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38C" w:rsidRPr="008F6269" w:rsidRDefault="00D6638C" w:rsidP="008F6269">
      <w:pPr>
        <w:pBdr>
          <w:top w:val="single" w:sz="24" w:space="0" w:color="DBE5F1"/>
          <w:left w:val="single" w:sz="24" w:space="0" w:color="DBE5F1"/>
          <w:bottom w:val="single" w:sz="24" w:space="0" w:color="DBE5F1"/>
          <w:right w:val="single" w:sz="24" w:space="0" w:color="DBE5F1"/>
        </w:pBdr>
        <w:shd w:val="clear" w:color="auto" w:fill="DBE5F1"/>
        <w:spacing w:before="200" w:after="0"/>
        <w:jc w:val="center"/>
        <w:outlineLvl w:val="1"/>
        <w:rPr>
          <w:rFonts w:ascii="Calibri" w:eastAsia="Times New Roman" w:hAnsi="Calibri" w:cs="Times New Roman"/>
          <w:b/>
          <w:caps/>
          <w:spacing w:val="15"/>
        </w:rPr>
      </w:pPr>
      <w:bookmarkStart w:id="0" w:name="_Toc321341546"/>
      <w:bookmarkStart w:id="1" w:name="_Toc323119582"/>
      <w:bookmarkStart w:id="2" w:name="_GoBack"/>
      <w:bookmarkEnd w:id="2"/>
      <w:r w:rsidRPr="008F6269">
        <w:rPr>
          <w:rFonts w:ascii="Calibri" w:eastAsia="Times New Roman" w:hAnsi="Calibri" w:cs="Times New Roman"/>
          <w:b/>
          <w:caps/>
          <w:spacing w:val="15"/>
        </w:rPr>
        <w:t>Terminal Evaluation Terms of Reference</w:t>
      </w:r>
      <w:bookmarkEnd w:id="0"/>
      <w:bookmarkEnd w:id="1"/>
    </w:p>
    <w:p w:rsidR="006C1964" w:rsidRDefault="00B913F1" w:rsidP="00F05366">
      <w:pPr>
        <w:pStyle w:val="Heading51"/>
      </w:pPr>
      <w:bookmarkStart w:id="3" w:name="_Toc299126613"/>
      <w:r>
        <w:t>INTRODUCTION</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224F9C" w:rsidRPr="00691B5B">
        <w:rPr>
          <w:rFonts w:ascii="Calibri" w:eastAsia="Times New Roman" w:hAnsi="Calibri" w:cs="Times New Roman"/>
          <w:i/>
          <w:sz w:val="20"/>
          <w:szCs w:val="20"/>
        </w:rPr>
        <w:t xml:space="preserve">Project </w:t>
      </w:r>
      <w:r w:rsidR="00691B5B" w:rsidRPr="00691B5B">
        <w:rPr>
          <w:rFonts w:ascii="Calibri" w:eastAsia="Times New Roman" w:hAnsi="Calibri" w:cs="Times New Roman"/>
          <w:i/>
          <w:sz w:val="20"/>
          <w:szCs w:val="20"/>
        </w:rPr>
        <w:t xml:space="preserve">“Improving the Financial Sustainability of the Carpathian System of Protected Areas” </w:t>
      </w:r>
      <w:r w:rsidRPr="00D6638C">
        <w:rPr>
          <w:rFonts w:ascii="Calibri" w:eastAsia="Times New Roman" w:hAnsi="Calibri" w:cs="Times New Roman"/>
          <w:sz w:val="20"/>
          <w:szCs w:val="20"/>
        </w:rPr>
        <w:t xml:space="preserve">(PIMS </w:t>
      </w:r>
      <w:r w:rsidR="00691B5B" w:rsidRPr="00691B5B">
        <w:rPr>
          <w:rFonts w:ascii="Calibri" w:eastAsia="Times New Roman" w:hAnsi="Calibri" w:cs="Times New Roman"/>
          <w:sz w:val="20"/>
          <w:szCs w:val="20"/>
        </w:rPr>
        <w:t>3458</w:t>
      </w:r>
      <w:r w:rsidRPr="00A8347F">
        <w:rPr>
          <w:rFonts w:ascii="Calibri" w:eastAsia="Times New Roman" w:hAnsi="Calibri" w:cs="Times New Roman"/>
          <w:sz w:val="20"/>
          <w:szCs w:val="20"/>
        </w:rPr>
        <w:t>)</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rsidR="00D6638C" w:rsidRPr="00D6638C" w:rsidRDefault="00D6638C" w:rsidP="00F05366">
      <w:pPr>
        <w:pStyle w:val="Heading51"/>
      </w:pPr>
      <w:bookmarkStart w:id="4" w:name="_Toc321341548"/>
      <w:r w:rsidRPr="00D6638C">
        <w:t>Project Summary Table</w:t>
      </w:r>
      <w:bookmarkEnd w:id="4"/>
    </w:p>
    <w:tbl>
      <w:tblPr>
        <w:tblW w:w="491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66"/>
        <w:gridCol w:w="394"/>
        <w:gridCol w:w="2160"/>
        <w:gridCol w:w="2188"/>
        <w:gridCol w:w="364"/>
        <w:gridCol w:w="1682"/>
        <w:gridCol w:w="1868"/>
      </w:tblGrid>
      <w:tr w:rsidR="00D6638C" w:rsidRPr="00D6638C" w:rsidTr="00224F9C">
        <w:trPr>
          <w:trHeight w:val="359"/>
        </w:trPr>
        <w:tc>
          <w:tcPr>
            <w:tcW w:w="455" w:type="pct"/>
            <w:shd w:val="clear" w:color="auto" w:fill="7F7F7F"/>
            <w:vAlign w:val="center"/>
          </w:tcPr>
          <w:p w:rsidR="00D6638C" w:rsidRPr="00D6638C" w:rsidRDefault="00D6638C" w:rsidP="00D6638C">
            <w:pPr>
              <w:spacing w:after="0"/>
              <w:contextualSpacing/>
              <w:rPr>
                <w:rFonts w:ascii="Calibri" w:eastAsia="Times New Roman" w:hAnsi="Calibri" w:cs="Calibri"/>
                <w:bCs/>
                <w:color w:val="FFFFFF"/>
                <w:sz w:val="20"/>
                <w:szCs w:val="20"/>
              </w:rPr>
            </w:pPr>
            <w:r w:rsidRPr="00D6638C">
              <w:rPr>
                <w:rFonts w:ascii="Calibri" w:eastAsia="Times New Roman" w:hAnsi="Calibri" w:cs="Calibri"/>
                <w:bCs/>
                <w:color w:val="FFFFFF"/>
                <w:sz w:val="20"/>
                <w:szCs w:val="20"/>
              </w:rPr>
              <w:t xml:space="preserve">Project Title: </w:t>
            </w:r>
          </w:p>
        </w:tc>
        <w:tc>
          <w:tcPr>
            <w:tcW w:w="4545" w:type="pct"/>
            <w:gridSpan w:val="6"/>
            <w:shd w:val="clear" w:color="auto" w:fill="FFFFFF"/>
            <w:vAlign w:val="center"/>
          </w:tcPr>
          <w:p w:rsidR="00D6638C" w:rsidRPr="00D6638C" w:rsidRDefault="00C70BC2" w:rsidP="00D6638C">
            <w:pPr>
              <w:spacing w:after="0"/>
              <w:contextualSpacing/>
              <w:rPr>
                <w:rFonts w:ascii="Calibri" w:eastAsia="Times New Roman" w:hAnsi="Calibri" w:cs="Calibri"/>
                <w:bCs/>
                <w:sz w:val="20"/>
                <w:szCs w:val="20"/>
              </w:rPr>
            </w:pPr>
            <w:r w:rsidRPr="00D6638C">
              <w:rPr>
                <w:rFonts w:ascii="Calibri" w:eastAsia="Times New Roman" w:hAnsi="Calibri" w:cs="Calibri"/>
                <w:bCs/>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4pt;height:18pt" o:ole="">
                  <v:imagedata r:id="rId9" o:title=""/>
                </v:shape>
                <w:control r:id="rId10" w:name="TextBox10" w:shapeid="_x0000_i1027"/>
              </w:object>
            </w:r>
          </w:p>
        </w:tc>
      </w:tr>
      <w:tr w:rsidR="00D6638C" w:rsidRPr="00D6638C" w:rsidTr="008B79AC">
        <w:tblPrEx>
          <w:shd w:val="clear" w:color="auto" w:fill="auto"/>
        </w:tblPrEx>
        <w:trPr>
          <w:trHeight w:val="553"/>
        </w:trPr>
        <w:tc>
          <w:tcPr>
            <w:tcW w:w="662"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GEF Project ID:</w:t>
            </w:r>
          </w:p>
        </w:tc>
        <w:tc>
          <w:tcPr>
            <w:tcW w:w="1134" w:type="pct"/>
            <w:vAlign w:val="center"/>
          </w:tcPr>
          <w:p w:rsidR="00D6638C" w:rsidRPr="00D6638C" w:rsidRDefault="00691B5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3849</w:t>
            </w:r>
          </w:p>
        </w:tc>
        <w:tc>
          <w:tcPr>
            <w:tcW w:w="1149" w:type="pc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 </w:t>
            </w:r>
          </w:p>
        </w:tc>
        <w:tc>
          <w:tcPr>
            <w:tcW w:w="1074" w:type="pct"/>
            <w:gridSpan w:val="2"/>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endorsement (Million US$)</w:t>
            </w:r>
          </w:p>
        </w:tc>
        <w:tc>
          <w:tcPr>
            <w:tcW w:w="981" w:type="pct"/>
          </w:tcPr>
          <w:p w:rsidR="00D6638C" w:rsidRPr="00D6638C" w:rsidRDefault="00D6638C" w:rsidP="00D6638C">
            <w:pPr>
              <w:spacing w:after="0"/>
              <w:jc w:val="center"/>
              <w:rPr>
                <w:rFonts w:ascii="Calibri" w:eastAsia="Arial Unicode MS" w:hAnsi="Calibri" w:cs="Times New Roman"/>
                <w:i/>
                <w:color w:val="000000"/>
                <w:sz w:val="20"/>
                <w:szCs w:val="20"/>
                <w:u w:val="single"/>
              </w:rPr>
            </w:pPr>
            <w:r w:rsidRPr="00D6638C">
              <w:rPr>
                <w:rFonts w:ascii="Calibri" w:eastAsia="Times New Roman" w:hAnsi="Calibri" w:cs="Times New Roman"/>
                <w:i/>
                <w:color w:val="000000"/>
                <w:sz w:val="20"/>
                <w:szCs w:val="20"/>
                <w:u w:val="single"/>
              </w:rPr>
              <w:t>at completion (Million US$)</w:t>
            </w:r>
          </w:p>
        </w:tc>
      </w:tr>
      <w:tr w:rsidR="00D6638C" w:rsidRPr="00D6638C" w:rsidTr="008B79AC">
        <w:tblPrEx>
          <w:shd w:val="clear" w:color="auto" w:fill="auto"/>
        </w:tblPrEx>
        <w:trPr>
          <w:trHeight w:val="278"/>
        </w:trPr>
        <w:tc>
          <w:tcPr>
            <w:tcW w:w="662"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UNDP Project ID:</w:t>
            </w:r>
          </w:p>
        </w:tc>
        <w:tc>
          <w:tcPr>
            <w:tcW w:w="1134" w:type="pct"/>
            <w:vAlign w:val="center"/>
          </w:tcPr>
          <w:p w:rsidR="00D6638C" w:rsidRDefault="00691B5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Atlas: 72323</w:t>
            </w:r>
          </w:p>
          <w:p w:rsidR="00691B5B" w:rsidRPr="00D6638C" w:rsidRDefault="00691B5B" w:rsidP="00D6638C">
            <w:pPr>
              <w:tabs>
                <w:tab w:val="right" w:pos="0"/>
              </w:tabs>
              <w:spacing w:after="0"/>
              <w:rPr>
                <w:rFonts w:ascii="Calibri" w:eastAsia="Times New Roman" w:hAnsi="Calibri" w:cs="Times New Roman"/>
                <w:bCs/>
                <w:color w:val="000000"/>
                <w:sz w:val="20"/>
                <w:szCs w:val="20"/>
              </w:rPr>
            </w:pPr>
            <w:r>
              <w:rPr>
                <w:rFonts w:ascii="Calibri" w:eastAsia="Times New Roman" w:hAnsi="Calibri" w:cs="Times New Roman"/>
                <w:sz w:val="20"/>
                <w:szCs w:val="20"/>
              </w:rPr>
              <w:t>PIMS:3458</w:t>
            </w:r>
          </w:p>
        </w:tc>
        <w:tc>
          <w:tcPr>
            <w:tcW w:w="114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 xml:space="preserve">GEF financing: </w:t>
            </w:r>
          </w:p>
        </w:tc>
        <w:tc>
          <w:tcPr>
            <w:tcW w:w="1074" w:type="pct"/>
            <w:gridSpan w:val="2"/>
            <w:vAlign w:val="center"/>
          </w:tcPr>
          <w:p w:rsidR="00D6638C" w:rsidRPr="00D6638C" w:rsidRDefault="002F1F16" w:rsidP="00D6638C">
            <w:pPr>
              <w:spacing w:after="0"/>
              <w:rPr>
                <w:rFonts w:ascii="Calibri" w:eastAsia="Arial Unicode MS" w:hAnsi="Calibri" w:cs="Times New Roman"/>
                <w:sz w:val="20"/>
                <w:szCs w:val="20"/>
              </w:rPr>
            </w:pPr>
            <w:r>
              <w:rPr>
                <w:rFonts w:ascii="Calibri" w:eastAsia="Times New Roman" w:hAnsi="Calibri" w:cs="Times New Roman"/>
                <w:sz w:val="20"/>
                <w:szCs w:val="20"/>
              </w:rPr>
              <w:t>0.95</w:t>
            </w:r>
          </w:p>
        </w:tc>
        <w:tc>
          <w:tcPr>
            <w:tcW w:w="981" w:type="pct"/>
          </w:tcPr>
          <w:p w:rsidR="00D6638C" w:rsidRPr="00D6638C" w:rsidRDefault="002F1F16"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0.95</w:t>
            </w:r>
          </w:p>
        </w:tc>
      </w:tr>
      <w:tr w:rsidR="00D6638C" w:rsidRPr="00D6638C" w:rsidTr="008B79AC">
        <w:tblPrEx>
          <w:shd w:val="clear" w:color="auto" w:fill="auto"/>
        </w:tblPrEx>
        <w:trPr>
          <w:trHeight w:val="269"/>
        </w:trPr>
        <w:tc>
          <w:tcPr>
            <w:tcW w:w="662"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Country:</w:t>
            </w:r>
          </w:p>
        </w:tc>
        <w:tc>
          <w:tcPr>
            <w:tcW w:w="1134" w:type="pct"/>
            <w:vAlign w:val="center"/>
          </w:tcPr>
          <w:p w:rsidR="00D6638C" w:rsidRPr="00D6638C" w:rsidRDefault="00691B5B"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Romania</w:t>
            </w:r>
          </w:p>
        </w:tc>
        <w:tc>
          <w:tcPr>
            <w:tcW w:w="114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IA/EA own:</w:t>
            </w:r>
          </w:p>
        </w:tc>
        <w:tc>
          <w:tcPr>
            <w:tcW w:w="1074" w:type="pct"/>
            <w:gridSpan w:val="2"/>
            <w:vAlign w:val="center"/>
          </w:tcPr>
          <w:p w:rsidR="00D6638C" w:rsidRPr="00D6638C" w:rsidRDefault="002F1F16" w:rsidP="00D6638C">
            <w:pPr>
              <w:spacing w:after="0"/>
              <w:rPr>
                <w:rFonts w:ascii="Calibri" w:eastAsia="Arial Unicode MS" w:hAnsi="Calibri" w:cs="Times New Roman"/>
                <w:sz w:val="20"/>
                <w:szCs w:val="20"/>
              </w:rPr>
            </w:pPr>
            <w:r>
              <w:rPr>
                <w:rFonts w:ascii="Calibri" w:eastAsia="Times New Roman" w:hAnsi="Calibri" w:cs="Times New Roman"/>
                <w:sz w:val="20"/>
                <w:szCs w:val="20"/>
              </w:rPr>
              <w:t>0.02</w:t>
            </w:r>
          </w:p>
        </w:tc>
        <w:tc>
          <w:tcPr>
            <w:tcW w:w="981" w:type="pct"/>
          </w:tcPr>
          <w:p w:rsidR="00D6638C" w:rsidRPr="00D6638C" w:rsidRDefault="002F1F16" w:rsidP="00D6638C">
            <w:pPr>
              <w:spacing w:after="0"/>
              <w:jc w:val="both"/>
              <w:rPr>
                <w:rFonts w:ascii="Calibri" w:eastAsia="Arial Unicode MS" w:hAnsi="Calibri" w:cs="Times New Roman"/>
                <w:sz w:val="20"/>
                <w:szCs w:val="20"/>
              </w:rPr>
            </w:pPr>
            <w:r>
              <w:rPr>
                <w:rFonts w:ascii="Calibri" w:eastAsia="Times New Roman" w:hAnsi="Calibri" w:cs="Times New Roman"/>
                <w:sz w:val="20"/>
                <w:szCs w:val="20"/>
              </w:rPr>
              <w:t>0.02</w:t>
            </w:r>
          </w:p>
        </w:tc>
      </w:tr>
      <w:tr w:rsidR="00D6638C" w:rsidRPr="00D6638C" w:rsidTr="003172F1">
        <w:tblPrEx>
          <w:shd w:val="clear" w:color="auto" w:fill="auto"/>
        </w:tblPrEx>
        <w:trPr>
          <w:trHeight w:val="296"/>
        </w:trPr>
        <w:tc>
          <w:tcPr>
            <w:tcW w:w="662"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Region:</w:t>
            </w:r>
          </w:p>
        </w:tc>
        <w:tc>
          <w:tcPr>
            <w:tcW w:w="1134" w:type="pct"/>
            <w:vAlign w:val="center"/>
          </w:tcPr>
          <w:p w:rsidR="00D6638C" w:rsidRPr="00D6638C" w:rsidRDefault="00691B5B" w:rsidP="00D6638C">
            <w:pPr>
              <w:tabs>
                <w:tab w:val="right" w:pos="0"/>
              </w:tabs>
              <w:spacing w:after="0"/>
              <w:rPr>
                <w:rFonts w:ascii="Calibri" w:eastAsia="Times New Roman" w:hAnsi="Calibri" w:cs="Times New Roman"/>
                <w:sz w:val="20"/>
                <w:szCs w:val="20"/>
                <w:lang w:val="es-ES_tradnl"/>
              </w:rPr>
            </w:pPr>
            <w:r w:rsidRPr="00691B5B">
              <w:rPr>
                <w:rFonts w:ascii="Calibri" w:eastAsia="Times New Roman" w:hAnsi="Calibri" w:cs="Times New Roman"/>
                <w:sz w:val="20"/>
                <w:szCs w:val="20"/>
              </w:rPr>
              <w:t>Europe&amp; CIS</w:t>
            </w:r>
          </w:p>
        </w:tc>
        <w:tc>
          <w:tcPr>
            <w:tcW w:w="114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Government:</w:t>
            </w:r>
          </w:p>
        </w:tc>
        <w:tc>
          <w:tcPr>
            <w:tcW w:w="1074" w:type="pct"/>
            <w:gridSpan w:val="2"/>
            <w:shd w:val="clear" w:color="auto" w:fill="auto"/>
            <w:vAlign w:val="center"/>
          </w:tcPr>
          <w:p w:rsidR="002F1F16" w:rsidRPr="002F1F16" w:rsidRDefault="00C70BC2" w:rsidP="002F1F16">
            <w:pPr>
              <w:spacing w:after="0"/>
              <w:rPr>
                <w:rFonts w:ascii="Calibri" w:eastAsia="Times New Roman" w:hAnsi="Calibri" w:cs="Times New Roman"/>
                <w:noProof/>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2F1F16" w:rsidRPr="002F1F16">
              <w:rPr>
                <w:rFonts w:ascii="Calibri" w:eastAsia="Times New Roman" w:hAnsi="Calibri" w:cs="Times New Roman"/>
                <w:noProof/>
                <w:sz w:val="20"/>
                <w:szCs w:val="20"/>
              </w:rPr>
              <w:t>2.,788,045</w:t>
            </w:r>
          </w:p>
          <w:p w:rsidR="00D6638C" w:rsidRPr="00D6638C" w:rsidRDefault="002F1F16" w:rsidP="002F1F16">
            <w:pPr>
              <w:spacing w:after="0"/>
              <w:rPr>
                <w:rFonts w:ascii="Calibri" w:eastAsia="Arial Unicode MS" w:hAnsi="Calibri" w:cs="Times New Roman"/>
                <w:sz w:val="20"/>
                <w:szCs w:val="20"/>
              </w:rPr>
            </w:pPr>
            <w:r w:rsidRPr="002F1F16">
              <w:rPr>
                <w:rFonts w:ascii="Calibri" w:eastAsia="Times New Roman" w:hAnsi="Calibri" w:cs="Times New Roman"/>
                <w:noProof/>
                <w:sz w:val="20"/>
                <w:szCs w:val="20"/>
              </w:rPr>
              <w:t>(1.,858,696 in kind)</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C70BC2" w:rsidRPr="00D6638C">
              <w:rPr>
                <w:rFonts w:ascii="Calibri" w:eastAsia="Times New Roman" w:hAnsi="Calibri" w:cs="Times New Roman"/>
                <w:sz w:val="20"/>
                <w:szCs w:val="20"/>
              </w:rPr>
              <w:fldChar w:fldCharType="end"/>
            </w:r>
          </w:p>
        </w:tc>
        <w:tc>
          <w:tcPr>
            <w:tcW w:w="981" w:type="pct"/>
          </w:tcPr>
          <w:p w:rsidR="00D6638C" w:rsidRPr="00D6638C" w:rsidRDefault="002F1F16" w:rsidP="00D6638C">
            <w:pPr>
              <w:spacing w:after="0"/>
              <w:jc w:val="both"/>
              <w:rPr>
                <w:rFonts w:ascii="Calibri" w:eastAsia="Times New Roman" w:hAnsi="Calibri" w:cs="Times New Roman"/>
                <w:sz w:val="20"/>
                <w:szCs w:val="20"/>
              </w:rPr>
            </w:pPr>
            <w:r w:rsidRPr="002F1F16">
              <w:rPr>
                <w:rFonts w:ascii="Calibri" w:eastAsia="Times New Roman" w:hAnsi="Calibri" w:cs="Times New Roman"/>
                <w:sz w:val="20"/>
                <w:szCs w:val="20"/>
              </w:rPr>
              <w:t>4.646.741 in kind</w:t>
            </w:r>
          </w:p>
        </w:tc>
      </w:tr>
      <w:tr w:rsidR="00D6638C" w:rsidRPr="00D6638C" w:rsidTr="008B79AC">
        <w:tblPrEx>
          <w:shd w:val="clear" w:color="auto" w:fill="auto"/>
        </w:tblPrEx>
        <w:trPr>
          <w:trHeight w:val="314"/>
        </w:trPr>
        <w:tc>
          <w:tcPr>
            <w:tcW w:w="662" w:type="pct"/>
            <w:gridSpan w:val="2"/>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Focal Area:</w:t>
            </w:r>
          </w:p>
        </w:tc>
        <w:tc>
          <w:tcPr>
            <w:tcW w:w="1134" w:type="pct"/>
            <w:vAlign w:val="center"/>
          </w:tcPr>
          <w:p w:rsidR="00D6638C" w:rsidRPr="00D6638C" w:rsidRDefault="00691B5B"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Biodiversity</w:t>
            </w:r>
          </w:p>
        </w:tc>
        <w:tc>
          <w:tcPr>
            <w:tcW w:w="114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bCs/>
                <w:sz w:val="20"/>
                <w:szCs w:val="20"/>
              </w:rPr>
              <w:t>Other:</w:t>
            </w:r>
          </w:p>
        </w:tc>
        <w:tc>
          <w:tcPr>
            <w:tcW w:w="1074" w:type="pct"/>
            <w:gridSpan w:val="2"/>
            <w:vAlign w:val="center"/>
          </w:tcPr>
          <w:p w:rsidR="00D6638C" w:rsidRPr="00D6638C" w:rsidRDefault="002F1F16" w:rsidP="00D6638C">
            <w:pPr>
              <w:spacing w:after="0"/>
              <w:rPr>
                <w:rFonts w:ascii="Calibri" w:eastAsia="Times New Roman" w:hAnsi="Calibri" w:cs="Times New Roman"/>
                <w:sz w:val="20"/>
                <w:szCs w:val="20"/>
              </w:rPr>
            </w:pPr>
            <w:r w:rsidRPr="002F1F16">
              <w:rPr>
                <w:rFonts w:ascii="Calibri" w:eastAsia="Times New Roman" w:hAnsi="Calibri" w:cs="Times New Roman"/>
                <w:sz w:val="20"/>
                <w:szCs w:val="20"/>
              </w:rPr>
              <w:t>0.0503</w:t>
            </w:r>
          </w:p>
        </w:tc>
        <w:tc>
          <w:tcPr>
            <w:tcW w:w="981" w:type="pct"/>
          </w:tcPr>
          <w:p w:rsidR="00D6638C" w:rsidRPr="00D6638C" w:rsidRDefault="002F1F16" w:rsidP="00D6638C">
            <w:pPr>
              <w:spacing w:after="0"/>
              <w:jc w:val="both"/>
              <w:rPr>
                <w:rFonts w:ascii="Calibri" w:eastAsia="Times New Roman" w:hAnsi="Calibri" w:cs="Times New Roman"/>
                <w:sz w:val="20"/>
                <w:szCs w:val="20"/>
              </w:rPr>
            </w:pPr>
            <w:r w:rsidRPr="002F1F16">
              <w:rPr>
                <w:rFonts w:ascii="Calibri" w:eastAsia="Times New Roman" w:hAnsi="Calibri" w:cs="Times New Roman"/>
                <w:sz w:val="20"/>
                <w:szCs w:val="20"/>
              </w:rPr>
              <w:t>0.0503</w:t>
            </w:r>
          </w:p>
        </w:tc>
      </w:tr>
      <w:tr w:rsidR="00D6638C" w:rsidRPr="00D6638C" w:rsidTr="008B79AC">
        <w:tblPrEx>
          <w:shd w:val="clear" w:color="auto" w:fill="auto"/>
        </w:tblPrEx>
        <w:trPr>
          <w:trHeight w:val="553"/>
        </w:trPr>
        <w:tc>
          <w:tcPr>
            <w:tcW w:w="662"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FA Objectives, (OP/SP):</w:t>
            </w:r>
          </w:p>
        </w:tc>
        <w:tc>
          <w:tcPr>
            <w:tcW w:w="1134" w:type="pct"/>
            <w:vAlign w:val="center"/>
          </w:tcPr>
          <w:p w:rsidR="00D6638C" w:rsidRPr="00D6638C" w:rsidRDefault="002F1F16"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Biodiversity, Financial Sustainability</w:t>
            </w:r>
          </w:p>
        </w:tc>
        <w:tc>
          <w:tcPr>
            <w:tcW w:w="1149" w:type="pct"/>
          </w:tcPr>
          <w:p w:rsidR="00D6638C" w:rsidRPr="00D6638C" w:rsidRDefault="00D6638C" w:rsidP="00D6638C">
            <w:pPr>
              <w:spacing w:after="0"/>
              <w:jc w:val="right"/>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Total co-financing:</w:t>
            </w:r>
          </w:p>
        </w:tc>
        <w:tc>
          <w:tcPr>
            <w:tcW w:w="1074" w:type="pct"/>
            <w:gridSpan w:val="2"/>
            <w:vAlign w:val="center"/>
          </w:tcPr>
          <w:p w:rsidR="00D6638C" w:rsidRPr="00D6638C" w:rsidRDefault="002F1F16" w:rsidP="00D6638C">
            <w:pPr>
              <w:spacing w:after="0"/>
              <w:rPr>
                <w:rFonts w:ascii="Calibri" w:eastAsia="Arial Unicode MS" w:hAnsi="Calibri" w:cs="Times New Roman"/>
                <w:sz w:val="20"/>
                <w:szCs w:val="20"/>
              </w:rPr>
            </w:pPr>
            <w:r>
              <w:rPr>
                <w:rFonts w:ascii="Calibri" w:eastAsia="Times New Roman" w:hAnsi="Calibri" w:cs="Times New Roman"/>
                <w:sz w:val="20"/>
                <w:szCs w:val="20"/>
              </w:rPr>
              <w:t>0.7</w:t>
            </w:r>
          </w:p>
        </w:tc>
        <w:tc>
          <w:tcPr>
            <w:tcW w:w="981" w:type="pct"/>
          </w:tcPr>
          <w:p w:rsidR="008B79AC" w:rsidRDefault="008B79AC" w:rsidP="00D6638C">
            <w:pPr>
              <w:spacing w:after="0"/>
              <w:jc w:val="both"/>
              <w:rPr>
                <w:rFonts w:ascii="Calibri" w:eastAsia="Times New Roman" w:hAnsi="Calibri" w:cs="Times New Roman"/>
                <w:sz w:val="20"/>
                <w:szCs w:val="20"/>
              </w:rPr>
            </w:pPr>
          </w:p>
          <w:p w:rsidR="00D6638C" w:rsidRPr="00D6638C" w:rsidRDefault="002F1F16" w:rsidP="00D6638C">
            <w:pPr>
              <w:spacing w:after="0"/>
              <w:jc w:val="both"/>
              <w:rPr>
                <w:rFonts w:ascii="Calibri" w:eastAsia="Times New Roman" w:hAnsi="Calibri" w:cs="Times New Roman"/>
                <w:sz w:val="20"/>
                <w:szCs w:val="20"/>
              </w:rPr>
            </w:pPr>
            <w:r>
              <w:rPr>
                <w:rFonts w:ascii="Calibri" w:eastAsia="Times New Roman" w:hAnsi="Calibri" w:cs="Times New Roman"/>
                <w:sz w:val="20"/>
                <w:szCs w:val="20"/>
              </w:rPr>
              <w:t>0.7</w:t>
            </w:r>
          </w:p>
        </w:tc>
      </w:tr>
      <w:tr w:rsidR="00D6638C" w:rsidRPr="00D6638C" w:rsidTr="008B79AC">
        <w:tblPrEx>
          <w:shd w:val="clear" w:color="auto" w:fill="auto"/>
        </w:tblPrEx>
        <w:trPr>
          <w:trHeight w:val="341"/>
        </w:trPr>
        <w:tc>
          <w:tcPr>
            <w:tcW w:w="662"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Executing Agency:</w:t>
            </w:r>
          </w:p>
        </w:tc>
        <w:tc>
          <w:tcPr>
            <w:tcW w:w="1134" w:type="pct"/>
            <w:vAlign w:val="center"/>
          </w:tcPr>
          <w:p w:rsidR="00D6638C" w:rsidRPr="00D6638C" w:rsidRDefault="002F1F16" w:rsidP="00D6638C">
            <w:pPr>
              <w:tabs>
                <w:tab w:val="right" w:pos="0"/>
              </w:tabs>
              <w:spacing w:after="0"/>
              <w:rPr>
                <w:rFonts w:ascii="Calibri" w:eastAsia="Times New Roman" w:hAnsi="Calibri" w:cs="Times New Roman"/>
                <w:sz w:val="20"/>
                <w:szCs w:val="20"/>
              </w:rPr>
            </w:pPr>
            <w:r w:rsidRPr="002F1F16">
              <w:rPr>
                <w:rFonts w:ascii="Calibri" w:eastAsia="Times New Roman" w:hAnsi="Calibri" w:cs="Times New Roman"/>
                <w:sz w:val="20"/>
                <w:szCs w:val="20"/>
              </w:rPr>
              <w:t>National Forest Administration Romsilva</w:t>
            </w:r>
          </w:p>
        </w:tc>
        <w:tc>
          <w:tcPr>
            <w:tcW w:w="1149" w:type="pct"/>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Total Project Cost:</w:t>
            </w:r>
          </w:p>
        </w:tc>
        <w:tc>
          <w:tcPr>
            <w:tcW w:w="1074" w:type="pct"/>
            <w:gridSpan w:val="2"/>
            <w:vAlign w:val="center"/>
          </w:tcPr>
          <w:p w:rsidR="00D6638C" w:rsidRPr="00D6638C" w:rsidRDefault="002F1F16" w:rsidP="00D6638C">
            <w:pPr>
              <w:spacing w:after="0"/>
              <w:rPr>
                <w:rFonts w:ascii="Calibri" w:eastAsia="Arial Unicode MS" w:hAnsi="Calibri" w:cs="Times New Roman"/>
                <w:sz w:val="20"/>
                <w:szCs w:val="20"/>
              </w:rPr>
            </w:pPr>
            <w:r w:rsidRPr="002F1F16">
              <w:rPr>
                <w:rFonts w:ascii="Calibri" w:eastAsia="Times New Roman" w:hAnsi="Calibri" w:cs="Times New Roman"/>
                <w:sz w:val="20"/>
                <w:szCs w:val="20"/>
              </w:rPr>
              <w:t>15.,667.041</w:t>
            </w:r>
          </w:p>
        </w:tc>
        <w:tc>
          <w:tcPr>
            <w:tcW w:w="981" w:type="pct"/>
          </w:tcPr>
          <w:p w:rsidR="008B79AC" w:rsidRDefault="008B79AC" w:rsidP="00D6638C">
            <w:pPr>
              <w:spacing w:after="0"/>
              <w:jc w:val="both"/>
              <w:rPr>
                <w:rFonts w:ascii="Calibri" w:eastAsia="Times New Roman" w:hAnsi="Calibri" w:cs="Times New Roman"/>
                <w:sz w:val="20"/>
                <w:szCs w:val="20"/>
              </w:rPr>
            </w:pPr>
          </w:p>
          <w:p w:rsidR="00D6638C" w:rsidRPr="00D6638C" w:rsidRDefault="002F1F16" w:rsidP="00D6638C">
            <w:pPr>
              <w:spacing w:after="0"/>
              <w:jc w:val="both"/>
              <w:rPr>
                <w:rFonts w:ascii="Calibri" w:eastAsia="Arial Unicode MS" w:hAnsi="Calibri" w:cs="Times New Roman"/>
                <w:sz w:val="20"/>
                <w:szCs w:val="20"/>
              </w:rPr>
            </w:pPr>
            <w:r w:rsidRPr="002F1F16">
              <w:rPr>
                <w:rFonts w:ascii="Calibri" w:eastAsia="Times New Roman" w:hAnsi="Calibri" w:cs="Times New Roman"/>
                <w:sz w:val="20"/>
                <w:szCs w:val="20"/>
              </w:rPr>
              <w:t>15.,667.041</w:t>
            </w:r>
          </w:p>
        </w:tc>
      </w:tr>
      <w:tr w:rsidR="00D6638C" w:rsidRPr="00D6638C" w:rsidTr="008B79AC">
        <w:tblPrEx>
          <w:shd w:val="clear" w:color="auto" w:fill="auto"/>
        </w:tblPrEx>
        <w:trPr>
          <w:trHeight w:val="368"/>
        </w:trPr>
        <w:tc>
          <w:tcPr>
            <w:tcW w:w="662" w:type="pct"/>
            <w:gridSpan w:val="2"/>
            <w:vMerge w:val="restart"/>
          </w:tcPr>
          <w:p w:rsidR="00D6638C" w:rsidRPr="00D6638C" w:rsidRDefault="00D6638C" w:rsidP="00D6638C">
            <w:pPr>
              <w:spacing w:after="0"/>
              <w:jc w:val="right"/>
              <w:rPr>
                <w:rFonts w:ascii="Calibri" w:eastAsia="Arial Unicode MS" w:hAnsi="Calibri" w:cs="Times New Roman"/>
                <w:sz w:val="20"/>
                <w:szCs w:val="20"/>
              </w:rPr>
            </w:pPr>
            <w:r w:rsidRPr="00D6638C">
              <w:rPr>
                <w:rFonts w:ascii="Calibri" w:eastAsia="Times New Roman" w:hAnsi="Calibri" w:cs="Times New Roman"/>
                <w:sz w:val="20"/>
                <w:szCs w:val="20"/>
              </w:rPr>
              <w:t>Other Partners involved:</w:t>
            </w:r>
          </w:p>
        </w:tc>
        <w:tc>
          <w:tcPr>
            <w:tcW w:w="1134" w:type="pct"/>
            <w:vMerge w:val="restart"/>
            <w:vAlign w:val="center"/>
          </w:tcPr>
          <w:p w:rsidR="00D6638C" w:rsidRPr="00D6638C" w:rsidRDefault="002F1F16" w:rsidP="00D6638C">
            <w:pPr>
              <w:tabs>
                <w:tab w:val="right" w:pos="0"/>
              </w:tabs>
              <w:spacing w:after="0"/>
              <w:rPr>
                <w:rFonts w:ascii="Calibri" w:eastAsia="Times New Roman" w:hAnsi="Calibri" w:cs="Times New Roman"/>
                <w:color w:val="000000"/>
                <w:sz w:val="20"/>
                <w:szCs w:val="20"/>
              </w:rPr>
            </w:pPr>
            <w:r>
              <w:rPr>
                <w:rFonts w:ascii="Calibri" w:eastAsia="Times New Roman" w:hAnsi="Calibri" w:cs="Times New Roman"/>
                <w:sz w:val="20"/>
                <w:szCs w:val="20"/>
              </w:rPr>
              <w:t>UNDP, WWF</w:t>
            </w:r>
          </w:p>
        </w:tc>
        <w:tc>
          <w:tcPr>
            <w:tcW w:w="2223" w:type="pct"/>
            <w:gridSpan w:val="3"/>
          </w:tcPr>
          <w:p w:rsidR="00D6638C" w:rsidRPr="00D6638C" w:rsidRDefault="00D6638C" w:rsidP="00D6638C">
            <w:pPr>
              <w:tabs>
                <w:tab w:val="right" w:pos="0"/>
              </w:tabs>
              <w:spacing w:after="0"/>
              <w:jc w:val="right"/>
              <w:rPr>
                <w:rFonts w:ascii="Calibri" w:eastAsia="Times New Roman" w:hAnsi="Calibri" w:cs="Times New Roman"/>
                <w:sz w:val="20"/>
                <w:szCs w:val="20"/>
              </w:rPr>
            </w:pPr>
            <w:r w:rsidRPr="00D6638C">
              <w:rPr>
                <w:rFonts w:ascii="Calibri" w:eastAsia="Times New Roman" w:hAnsi="Calibri" w:cs="Times New Roman"/>
                <w:color w:val="000000"/>
                <w:sz w:val="20"/>
                <w:szCs w:val="20"/>
              </w:rPr>
              <w:t xml:space="preserve">ProDoc Signature (date project began): </w:t>
            </w:r>
          </w:p>
        </w:tc>
        <w:tc>
          <w:tcPr>
            <w:tcW w:w="981" w:type="pct"/>
            <w:vAlign w:val="center"/>
          </w:tcPr>
          <w:p w:rsidR="00D6638C" w:rsidRPr="00D6638C" w:rsidRDefault="008B79AC" w:rsidP="00D6638C">
            <w:pPr>
              <w:tabs>
                <w:tab w:val="right" w:pos="0"/>
              </w:tabs>
              <w:spacing w:after="0"/>
              <w:rPr>
                <w:rFonts w:ascii="Calibri" w:eastAsia="Times New Roman" w:hAnsi="Calibri" w:cs="Times New Roman"/>
                <w:sz w:val="20"/>
                <w:szCs w:val="20"/>
              </w:rPr>
            </w:pPr>
            <w:r>
              <w:rPr>
                <w:rFonts w:ascii="Calibri" w:eastAsia="Times New Roman" w:hAnsi="Calibri" w:cs="Times New Roman"/>
                <w:sz w:val="20"/>
                <w:szCs w:val="20"/>
              </w:rPr>
              <w:t>27 November 2009</w:t>
            </w:r>
          </w:p>
        </w:tc>
      </w:tr>
      <w:tr w:rsidR="00D6638C" w:rsidRPr="00D6638C" w:rsidTr="008B79AC">
        <w:tblPrEx>
          <w:shd w:val="clear" w:color="auto" w:fill="auto"/>
        </w:tblPrEx>
        <w:trPr>
          <w:trHeight w:val="144"/>
        </w:trPr>
        <w:tc>
          <w:tcPr>
            <w:tcW w:w="662" w:type="pct"/>
            <w:gridSpan w:val="2"/>
            <w:vMerge/>
            <w:vAlign w:val="center"/>
          </w:tcPr>
          <w:p w:rsidR="00D6638C" w:rsidRPr="00D6638C" w:rsidRDefault="00D6638C" w:rsidP="00D6638C">
            <w:pPr>
              <w:spacing w:after="0"/>
              <w:rPr>
                <w:rFonts w:ascii="Calibri" w:eastAsia="Arial Unicode MS" w:hAnsi="Calibri" w:cs="Times New Roman"/>
                <w:sz w:val="20"/>
                <w:szCs w:val="20"/>
              </w:rPr>
            </w:pPr>
          </w:p>
        </w:tc>
        <w:tc>
          <w:tcPr>
            <w:tcW w:w="1134" w:type="pct"/>
            <w:vMerge/>
          </w:tcPr>
          <w:p w:rsidR="00D6638C" w:rsidRPr="00D6638C" w:rsidRDefault="00D6638C" w:rsidP="00D6638C">
            <w:pPr>
              <w:tabs>
                <w:tab w:val="right" w:pos="0"/>
              </w:tabs>
              <w:spacing w:after="0"/>
              <w:jc w:val="center"/>
              <w:rPr>
                <w:rFonts w:ascii="Calibri" w:eastAsia="Times New Roman" w:hAnsi="Calibri" w:cs="Times New Roman"/>
                <w:sz w:val="20"/>
                <w:szCs w:val="20"/>
              </w:rPr>
            </w:pPr>
          </w:p>
        </w:tc>
        <w:tc>
          <w:tcPr>
            <w:tcW w:w="1340" w:type="pct"/>
            <w:gridSpan w:val="2"/>
          </w:tcPr>
          <w:p w:rsidR="00D6638C" w:rsidRPr="00D6638C" w:rsidRDefault="00D6638C" w:rsidP="00D6638C">
            <w:pPr>
              <w:spacing w:after="0"/>
              <w:jc w:val="right"/>
              <w:rPr>
                <w:rFonts w:ascii="Calibri" w:eastAsia="Arial Unicode MS" w:hAnsi="Calibri" w:cs="Times New Roman"/>
                <w:color w:val="000000"/>
                <w:sz w:val="20"/>
                <w:szCs w:val="20"/>
              </w:rPr>
            </w:pPr>
            <w:r w:rsidRPr="00D6638C">
              <w:rPr>
                <w:rFonts w:ascii="Calibri" w:eastAsia="Times New Roman" w:hAnsi="Calibri" w:cs="Times New Roman"/>
                <w:color w:val="000000"/>
                <w:sz w:val="20"/>
                <w:szCs w:val="20"/>
              </w:rPr>
              <w:t>(Operational) Closing Date:</w:t>
            </w:r>
          </w:p>
        </w:tc>
        <w:tc>
          <w:tcPr>
            <w:tcW w:w="883" w:type="pct"/>
          </w:tcPr>
          <w:p w:rsidR="00D6638C" w:rsidRPr="00D6638C" w:rsidRDefault="00D6638C"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color w:val="000000"/>
                <w:sz w:val="20"/>
                <w:szCs w:val="20"/>
              </w:rPr>
              <w:t>Proposed:</w:t>
            </w:r>
          </w:p>
          <w:p w:rsidR="00D6638C" w:rsidRPr="00D6638C" w:rsidRDefault="00C70BC2" w:rsidP="00D6638C">
            <w:pPr>
              <w:tabs>
                <w:tab w:val="right" w:pos="0"/>
              </w:tabs>
              <w:spacing w:after="0"/>
              <w:rPr>
                <w:rFonts w:ascii="Calibri" w:eastAsia="Times New Roman" w:hAnsi="Calibri" w:cs="Times New Roman"/>
                <w:color w:val="000000"/>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8B79AC" w:rsidRPr="008B79AC">
              <w:rPr>
                <w:rFonts w:ascii="Calibri" w:eastAsia="Times New Roman" w:hAnsi="Calibri" w:cs="Times New Roman"/>
                <w:noProof/>
                <w:sz w:val="20"/>
                <w:szCs w:val="20"/>
              </w:rPr>
              <w:t>31 December 2013</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981" w:type="pct"/>
          </w:tcPr>
          <w:p w:rsidR="00D6638C" w:rsidRPr="00D6638C" w:rsidRDefault="00D6638C" w:rsidP="00D6638C">
            <w:pPr>
              <w:tabs>
                <w:tab w:val="right" w:pos="0"/>
              </w:tabs>
              <w:spacing w:after="0"/>
              <w:rPr>
                <w:rFonts w:ascii="Calibri" w:eastAsia="Times New Roman" w:hAnsi="Calibri" w:cs="Times New Roman"/>
                <w:sz w:val="20"/>
                <w:szCs w:val="20"/>
              </w:rPr>
            </w:pPr>
            <w:r w:rsidRPr="00D6638C">
              <w:rPr>
                <w:rFonts w:ascii="Calibri" w:eastAsia="Times New Roman" w:hAnsi="Calibri" w:cs="Times New Roman"/>
                <w:color w:val="000000"/>
                <w:sz w:val="20"/>
                <w:szCs w:val="20"/>
              </w:rPr>
              <w:t>Actual:</w:t>
            </w:r>
          </w:p>
          <w:p w:rsidR="00D6638C" w:rsidRPr="00D6638C" w:rsidRDefault="008B79AC" w:rsidP="00D6638C">
            <w:pPr>
              <w:tabs>
                <w:tab w:val="right" w:pos="0"/>
              </w:tabs>
              <w:spacing w:after="0"/>
              <w:rPr>
                <w:rFonts w:ascii="Calibri" w:eastAsia="Times New Roman" w:hAnsi="Calibri" w:cs="Times New Roman"/>
                <w:color w:val="000000"/>
                <w:sz w:val="20"/>
                <w:szCs w:val="20"/>
              </w:rPr>
            </w:pPr>
            <w:r w:rsidRPr="008B79AC">
              <w:rPr>
                <w:rFonts w:ascii="Calibri" w:eastAsia="Times New Roman" w:hAnsi="Calibri" w:cs="Times New Roman"/>
                <w:sz w:val="20"/>
                <w:szCs w:val="20"/>
              </w:rPr>
              <w:t>30 June 2014</w:t>
            </w:r>
          </w:p>
        </w:tc>
      </w:tr>
    </w:tbl>
    <w:p w:rsidR="00D6638C" w:rsidRPr="00B913F1" w:rsidRDefault="00D6638C" w:rsidP="00F05366">
      <w:pPr>
        <w:pStyle w:val="Heading51"/>
      </w:pPr>
      <w:bookmarkStart w:id="5" w:name="_Toc321341549"/>
      <w:r w:rsidRPr="00B913F1">
        <w:t>Objective and Scope</w:t>
      </w:r>
      <w:bookmarkEnd w:id="5"/>
    </w:p>
    <w:p w:rsid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project was designed to: </w:t>
      </w:r>
    </w:p>
    <w:p w:rsidR="008B79AC" w:rsidRP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t xml:space="preserve">The project objective is to secure the financial sustainability of Romania’s Carpathian Network of Protected Areas (CNPA) as a model for replication to the entire Carpathian Network of Protected Areas. With adequate financial resources the Romanian Carpathian PAs and the CNPAs will be on path to greater financial sustainability. The project sites include the 22 administrations of protected areas. The project is implemented </w:t>
      </w:r>
      <w:r w:rsidR="003F0EB9" w:rsidRPr="008B79AC">
        <w:rPr>
          <w:rFonts w:ascii="Calibri" w:eastAsia="Times New Roman" w:hAnsi="Calibri" w:cs="Times New Roman"/>
          <w:sz w:val="20"/>
          <w:szCs w:val="20"/>
        </w:rPr>
        <w:t>through</w:t>
      </w:r>
      <w:r w:rsidRPr="008B79AC">
        <w:rPr>
          <w:rFonts w:ascii="Calibri" w:eastAsia="Times New Roman" w:hAnsi="Calibri" w:cs="Times New Roman"/>
          <w:sz w:val="20"/>
          <w:szCs w:val="20"/>
        </w:rPr>
        <w:t xml:space="preserve"> the National Forest Administration (Implementing Partner), which support the administrative costs of 18/22 PA administrations included in the project. </w:t>
      </w:r>
    </w:p>
    <w:p w:rsidR="008B79AC" w:rsidRP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lastRenderedPageBreak/>
        <w:t>Project Components</w:t>
      </w:r>
    </w:p>
    <w:p w:rsidR="008B79AC" w:rsidRP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t xml:space="preserve">1) Strengthening the supportive legislative framework and Sustainable Protected Areas Financing Strategy; </w:t>
      </w:r>
    </w:p>
    <w:p w:rsidR="008B79AC" w:rsidRP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t xml:space="preserve"> 2) Strengthening the institutional and individual capacities of management authorities and other local stakeholders to develop and implement sustainable financing of protected areas. </w:t>
      </w:r>
    </w:p>
    <w:p w:rsidR="008B79AC" w:rsidRP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t>The project sites include the 22 administrations of protected areas: Apuseni, Munţii Maramureşului, Retezat, Piatra Craiului, Vânători Neamţ (Pilot Parks), Bucegi, Buila Vânturariţa, Calimani, Ceahlău, Cheile Bicazului-Hăşmaş, Cozia, Cheile Nerei, Defileul Jiului, Defileul Mureşului Superior, Domogled Valea Cernei, Gradistea Muncelului Cioclovina, Geoparcul Platoul Mehedinţi, Geoparcul Dinozaurilor Ţara Haţegului, Porţile de Fier, Putna Vrancea, Munţii Rodnei, Semenic Cheile Caraşului (pilot parks in italics).</w:t>
      </w:r>
    </w:p>
    <w:p w:rsidR="008B79AC" w:rsidRP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t>Expected Results</w:t>
      </w:r>
    </w:p>
    <w:p w:rsidR="008B79AC" w:rsidRP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t xml:space="preserve">The project is expected to generate significant new revenues to the CNPAs. Taken together, this project’s investment (1 million USD) is projected to generate additional revenue of USD 5 million per year and using a 6 percent discount rate, in a 10 year period, the net benefit of this investment is 35 million USD. To this end, the main following outputs will be delivered: </w:t>
      </w:r>
    </w:p>
    <w:p w:rsidR="008B79AC" w:rsidRP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t>(i)</w:t>
      </w:r>
      <w:r w:rsidRPr="008B79AC">
        <w:rPr>
          <w:rFonts w:ascii="Calibri" w:eastAsia="Times New Roman" w:hAnsi="Calibri" w:cs="Times New Roman"/>
          <w:sz w:val="20"/>
          <w:szCs w:val="20"/>
        </w:rPr>
        <w:tab/>
        <w:t xml:space="preserve">Assessment and amendment of the legal and regulatory framework, as well as the institutional structure governing the Romanian CNPAs. </w:t>
      </w:r>
    </w:p>
    <w:p w:rsidR="008B79AC" w:rsidRP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t>(ii)</w:t>
      </w:r>
      <w:r w:rsidRPr="008B79AC">
        <w:rPr>
          <w:rFonts w:ascii="Calibri" w:eastAsia="Times New Roman" w:hAnsi="Calibri" w:cs="Times New Roman"/>
          <w:sz w:val="20"/>
          <w:szCs w:val="20"/>
        </w:rPr>
        <w:tab/>
        <w:t>Formulation of a sustainable finance strategy for 22 large Romanian CNPAs, including the CNPAs’ financial history, investment priorities, revenue mechanisms and proposed cost-saving strategies to address financial needs and reduce gaps.</w:t>
      </w:r>
    </w:p>
    <w:p w:rsidR="008B79AC" w:rsidRP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t>(iii)</w:t>
      </w:r>
      <w:r w:rsidRPr="008B79AC">
        <w:rPr>
          <w:rFonts w:ascii="Calibri" w:eastAsia="Times New Roman" w:hAnsi="Calibri" w:cs="Times New Roman"/>
          <w:sz w:val="20"/>
          <w:szCs w:val="20"/>
        </w:rPr>
        <w:tab/>
        <w:t xml:space="preserve"> Conducting a powerful communications strategy, the project will encourage the government to gradually increase funding for the targeted PAs (e.g., 20% yearly increases from 2007 values). Political and financial support will be mobilized not only to increase the government’s contributions to cover the costs of protected areas, but also to support the overall implementation of the sustainable financial strategy of the CNPAs.</w:t>
      </w:r>
    </w:p>
    <w:p w:rsidR="008B79AC" w:rsidRP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t>(iv)</w:t>
      </w:r>
      <w:r w:rsidRPr="008B79AC">
        <w:rPr>
          <w:rFonts w:ascii="Calibri" w:eastAsia="Times New Roman" w:hAnsi="Calibri" w:cs="Times New Roman"/>
          <w:sz w:val="20"/>
          <w:szCs w:val="20"/>
        </w:rPr>
        <w:tab/>
        <w:t xml:space="preserve">Model business plans will demonstrate specific market-based financial mechanisms, using an approach that will maximize economic returns and minimize costs and environmental impact. </w:t>
      </w:r>
    </w:p>
    <w:p w:rsidR="008B79AC" w:rsidRP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t>(v)</w:t>
      </w:r>
      <w:r w:rsidRPr="008B79AC">
        <w:rPr>
          <w:rFonts w:ascii="Calibri" w:eastAsia="Times New Roman" w:hAnsi="Calibri" w:cs="Times New Roman"/>
          <w:sz w:val="20"/>
          <w:szCs w:val="20"/>
        </w:rPr>
        <w:tab/>
        <w:t xml:space="preserve"> Validation of a set of PA diversified income-generation mechanisms (market and non-market options) in at least 3 PAs which are one step ahead of the others due to their increased capacity for conservation management. </w:t>
      </w:r>
    </w:p>
    <w:p w:rsidR="008B79AC" w:rsidRDefault="008B79AC" w:rsidP="008B79AC">
      <w:pPr>
        <w:spacing w:before="200"/>
        <w:rPr>
          <w:rFonts w:ascii="Calibri" w:eastAsia="Times New Roman" w:hAnsi="Calibri" w:cs="Times New Roman"/>
          <w:sz w:val="20"/>
          <w:szCs w:val="20"/>
        </w:rPr>
      </w:pPr>
      <w:r w:rsidRPr="008B79AC">
        <w:rPr>
          <w:rFonts w:ascii="Calibri" w:eastAsia="Times New Roman" w:hAnsi="Calibri" w:cs="Times New Roman"/>
          <w:sz w:val="20"/>
          <w:szCs w:val="20"/>
        </w:rPr>
        <w:t>(vi)</w:t>
      </w:r>
      <w:r w:rsidRPr="008B79AC">
        <w:rPr>
          <w:rFonts w:ascii="Calibri" w:eastAsia="Times New Roman" w:hAnsi="Calibri" w:cs="Times New Roman"/>
          <w:sz w:val="20"/>
          <w:szCs w:val="20"/>
        </w:rPr>
        <w:tab/>
        <w:t xml:space="preserve"> Development of institutional and individual capacities of management authorities and other local stakeholders to achieve sustainable financing, which will result in a critical number of PA professionals trained, a Carpathian National Association of Protected Area manager established, improved information management linking PA management plans with financial management systems, a public PA management committee monitoring revenue and expenditures of PAs, lessons and knowledge documented and transferred to key actors representing PAs from other Carpathian countries.</w:t>
      </w:r>
    </w:p>
    <w:p w:rsidR="008B79AC" w:rsidRPr="00D6638C" w:rsidRDefault="008B79A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 xml:space="preserve">The objectives of the evaluation are to assess the achievement of project results, and to draw lessons that can both improve the sustainability of benefits from this project, and aid in the overall enhancement of UNDP programming.   </w:t>
      </w:r>
    </w:p>
    <w:p w:rsidR="00224F9C" w:rsidRDefault="00224F9C" w:rsidP="00224F9C">
      <w:bookmarkStart w:id="6" w:name="_Toc299133043"/>
      <w:bookmarkStart w:id="7" w:name="_Toc321341550"/>
    </w:p>
    <w:p w:rsidR="00D6638C" w:rsidRPr="00D6638C" w:rsidRDefault="00D6638C" w:rsidP="00F05366">
      <w:pPr>
        <w:pStyle w:val="Heading51"/>
      </w:pPr>
      <w:r w:rsidRPr="00D6638C">
        <w:t>Evaluation approach and method</w:t>
      </w:r>
      <w:bookmarkEnd w:id="6"/>
      <w:bookmarkEnd w:id="7"/>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UNDP Guidance for Conducting Terminal Evaluations of  UNDP-supported,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723607">
        <w:rPr>
          <w:rFonts w:ascii="Calibri" w:eastAsia="Times New Roman" w:hAnsi="Calibri" w:cs="Times New Roman"/>
          <w:sz w:val="20"/>
          <w:szCs w:val="20"/>
          <w:shd w:val="clear" w:color="auto" w:fill="BFBFBF"/>
        </w:rPr>
        <w:t>(</w:t>
      </w:r>
      <w:hyperlink w:anchor="_TOR_Annex_C:" w:history="1">
        <w:r w:rsidRPr="00723607">
          <w:rPr>
            <w:rFonts w:ascii="Calibri" w:eastAsia="Times New Roman" w:hAnsi="Calibri" w:cs="Times New Roman"/>
            <w:i/>
            <w:color w:val="0000FF"/>
            <w:sz w:val="20"/>
            <w:szCs w:val="20"/>
            <w:u w:val="single"/>
            <w:shd w:val="clear" w:color="auto" w:fill="BFBFBF"/>
          </w:rPr>
          <w:t>Annex C</w:t>
        </w:r>
      </w:hyperlink>
      <w:r w:rsidRPr="00723607">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w:t>
      </w:r>
      <w:r w:rsidR="00264E7E">
        <w:rPr>
          <w:rFonts w:ascii="Calibri" w:eastAsia="Times New Roman" w:hAnsi="Calibri" w:cs="Times New Roman"/>
          <w:sz w:val="20"/>
          <w:szCs w:val="20"/>
        </w:rPr>
        <w:t xml:space="preserve"> and </w:t>
      </w:r>
      <w:r w:rsidR="00264E7E" w:rsidRPr="003172F1">
        <w:rPr>
          <w:rFonts w:ascii="Calibri" w:eastAsia="Times New Roman" w:hAnsi="Calibri" w:cs="Times New Roman"/>
          <w:sz w:val="20"/>
          <w:szCs w:val="20"/>
        </w:rPr>
        <w:t>will be discussed with UNDP CO.</w:t>
      </w:r>
      <w:r w:rsidR="00264E7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The evaluator is expected to amend, complete and submit this matrix as part of  an evaluation inception report, and shall include it as an annex to the final report.  </w:t>
      </w:r>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evaluation must provide evidence‐based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The evaluator is expected to conduct a field mission to</w:t>
      </w:r>
      <w:r w:rsidR="0051753E">
        <w:rPr>
          <w:rFonts w:ascii="Calibri" w:eastAsia="Times New Roman" w:hAnsi="Calibri" w:cs="Times New Roman"/>
          <w:sz w:val="20"/>
          <w:szCs w:val="20"/>
        </w:rPr>
        <w:t xml:space="preserve"> Bucharest</w:t>
      </w:r>
      <w:r w:rsidR="00C84F98">
        <w:rPr>
          <w:rFonts w:ascii="Calibri" w:eastAsia="Times New Roman" w:hAnsi="Calibri" w:cs="Times New Roman"/>
          <w:sz w:val="20"/>
          <w:szCs w:val="20"/>
          <w:shd w:val="clear" w:color="auto" w:fill="DDD9C3"/>
        </w:rPr>
        <w:t xml:space="preserve">, </w:t>
      </w:r>
      <w:r w:rsidRPr="00D6638C">
        <w:rPr>
          <w:rFonts w:ascii="Calibri" w:eastAsia="Times New Roman" w:hAnsi="Calibri" w:cs="Times New Roman"/>
          <w:sz w:val="20"/>
          <w:szCs w:val="20"/>
        </w:rPr>
        <w:t xml:space="preserve">including the following project </w:t>
      </w:r>
      <w:r w:rsidRPr="00D6638C">
        <w:rPr>
          <w:rFonts w:ascii="Calibri" w:eastAsia="Times New Roman" w:hAnsi="Calibri" w:cs="Times New Roman"/>
          <w:sz w:val="20"/>
          <w:szCs w:val="20"/>
          <w:shd w:val="clear" w:color="auto" w:fill="FFFFFF"/>
        </w:rPr>
        <w:t xml:space="preserve">sites </w:t>
      </w:r>
      <w:r w:rsidR="0051753E" w:rsidRPr="00C84F98">
        <w:rPr>
          <w:rFonts w:ascii="Calibri" w:eastAsia="Times New Roman" w:hAnsi="Calibri" w:cs="Times New Roman"/>
          <w:sz w:val="20"/>
          <w:szCs w:val="20"/>
        </w:rPr>
        <w:t>2 pilot parks in Piatra Craiului National Park and Vanatori Neamt Natural Park</w:t>
      </w:r>
      <w:r w:rsidRPr="00D6638C">
        <w:rPr>
          <w:rFonts w:ascii="Calibri" w:eastAsia="Times New Roman" w:hAnsi="Calibri" w:cs="Times New Roman"/>
          <w:i/>
          <w:sz w:val="20"/>
          <w:szCs w:val="20"/>
        </w:rPr>
        <w:t>.</w:t>
      </w:r>
      <w:r w:rsidRPr="00D6638C">
        <w:rPr>
          <w:rFonts w:ascii="Calibri" w:eastAsia="Times New Roman" w:hAnsi="Calibri" w:cs="Times New Roman"/>
          <w:sz w:val="20"/>
          <w:szCs w:val="20"/>
        </w:rPr>
        <w:t xml:space="preserve"> Interviews will be held with the following organizations and individuals at a minimum:</w:t>
      </w:r>
      <w:r w:rsidR="00C84F98">
        <w:rPr>
          <w:rFonts w:ascii="Calibri" w:eastAsia="Times New Roman" w:hAnsi="Calibri" w:cs="Times New Roman"/>
          <w:sz w:val="20"/>
          <w:szCs w:val="20"/>
        </w:rPr>
        <w:t xml:space="preserve"> </w:t>
      </w:r>
      <w:r w:rsidR="00C84F98" w:rsidRPr="00C84F98">
        <w:rPr>
          <w:rFonts w:ascii="Calibri" w:eastAsia="Times New Roman" w:hAnsi="Calibri" w:cs="Times New Roman"/>
          <w:sz w:val="20"/>
          <w:szCs w:val="20"/>
        </w:rPr>
        <w:t>WWF, Ministry of Environment, NFA Romsilva, and UNDP Romania</w:t>
      </w:r>
      <w:r w:rsidR="00C84F98">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 xml:space="preserve">An outline of an evaluation approach is provided below; however it should be made clear that the evaluation consultant is responsible for revising the approach as necessary. Any changes should be in-line with international criteria and professional norms and standards cleared by UNDP. </w:t>
      </w:r>
      <w:r w:rsidRPr="00AE2CF9">
        <w:rPr>
          <w:rFonts w:ascii="Calibri" w:eastAsia="Times New Roman" w:hAnsi="Calibri" w:cs="Times New Roman"/>
          <w:sz w:val="20"/>
          <w:szCs w:val="20"/>
          <w:u w:val="single"/>
        </w:rPr>
        <w:t xml:space="preserve">The evaluation must provide evidence-based information that is credible, reliable and useful. </w:t>
      </w:r>
      <w:r w:rsidRPr="00AE2CF9">
        <w:rPr>
          <w:rFonts w:ascii="Calibri" w:eastAsia="Times New Roman" w:hAnsi="Calibri" w:cs="Times New Roman"/>
          <w:sz w:val="20"/>
          <w:szCs w:val="20"/>
        </w:rPr>
        <w:t xml:space="preserve">It must be easily understood by project partners and applicable to the remaining period of project duration. The evaluation should provide as much gender disaggregated data as possible. The evaluation mission will include a visit to Bucharest and some of the project pilot sites. The international consultant is expected to follow a participatory and consultative approach ensuring close engagement with the government counterparts, UNDP CO, Steering Committee, project team, and key stakeholders. The Evaluation international consultant is expected to consult all relevant sources of information, such as the project document (“prodoc”), project reports – incl. Annual Reports, project budget revision, progress reports, CTA mission reports, project files, national strategic and legal documents, GEF Capacity Development scores from inception to end of project, and any other material that s/he may consider useful for evidence based assessment. </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 xml:space="preserve">The methodology to be used by the Evaluation International Consultant should be presented in the report in detail. It shall include information on: </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w:t>
      </w:r>
      <w:r w:rsidRPr="00AE2CF9">
        <w:rPr>
          <w:rFonts w:ascii="Calibri" w:eastAsia="Times New Roman" w:hAnsi="Calibri" w:cs="Times New Roman"/>
          <w:sz w:val="20"/>
          <w:szCs w:val="20"/>
        </w:rPr>
        <w:tab/>
        <w:t>Documentation reviewed;</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lastRenderedPageBreak/>
        <w:t>•</w:t>
      </w:r>
      <w:r w:rsidRPr="00AE2CF9">
        <w:rPr>
          <w:rFonts w:ascii="Calibri" w:eastAsia="Times New Roman" w:hAnsi="Calibri" w:cs="Times New Roman"/>
          <w:sz w:val="20"/>
          <w:szCs w:val="20"/>
        </w:rPr>
        <w:tab/>
        <w:t>Interviews;</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w:t>
      </w:r>
      <w:r w:rsidRPr="00AE2CF9">
        <w:rPr>
          <w:rFonts w:ascii="Calibri" w:eastAsia="Times New Roman" w:hAnsi="Calibri" w:cs="Times New Roman"/>
          <w:sz w:val="20"/>
          <w:szCs w:val="20"/>
        </w:rPr>
        <w:tab/>
        <w:t>Field visits;</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w:t>
      </w:r>
      <w:r w:rsidRPr="00AE2CF9">
        <w:rPr>
          <w:rFonts w:ascii="Calibri" w:eastAsia="Times New Roman" w:hAnsi="Calibri" w:cs="Times New Roman"/>
          <w:sz w:val="20"/>
          <w:szCs w:val="20"/>
        </w:rPr>
        <w:tab/>
        <w:t>Questionnaires;</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w:t>
      </w:r>
      <w:r w:rsidRPr="00AE2CF9">
        <w:rPr>
          <w:rFonts w:ascii="Calibri" w:eastAsia="Times New Roman" w:hAnsi="Calibri" w:cs="Times New Roman"/>
          <w:sz w:val="20"/>
          <w:szCs w:val="20"/>
        </w:rPr>
        <w:tab/>
        <w:t>GEF CD Scorecard completed at the time of FE (by the Evaluation Team);</w:t>
      </w:r>
    </w:p>
    <w:p w:rsid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w:t>
      </w:r>
      <w:r w:rsidRPr="00AE2CF9">
        <w:rPr>
          <w:rFonts w:ascii="Calibri" w:eastAsia="Times New Roman" w:hAnsi="Calibri" w:cs="Times New Roman"/>
          <w:sz w:val="20"/>
          <w:szCs w:val="20"/>
        </w:rPr>
        <w:tab/>
        <w:t>Participatory techniques and other approaches for the gathering and analysis of data.</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Although the Evaluation International Consultant should feel free to discuss with the authorities concerned all matters relevant to its assignment, it s/he is not authorized to make any commitment or statement on behalf of UNDP or GEF or the project management.</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The consultant’s main responsibilities are:</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w:t>
      </w:r>
      <w:r w:rsidRPr="00AE2CF9">
        <w:rPr>
          <w:rFonts w:ascii="Calibri" w:eastAsia="Times New Roman" w:hAnsi="Calibri" w:cs="Times New Roman"/>
          <w:sz w:val="20"/>
          <w:szCs w:val="20"/>
        </w:rPr>
        <w:tab/>
        <w:t>Desk review of documents, development of detailed work plan and TE (Terminal Evaluation) outline (maximum 4-days home-based);</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w:t>
      </w:r>
      <w:r w:rsidRPr="00AE2CF9">
        <w:rPr>
          <w:rFonts w:ascii="Calibri" w:eastAsia="Times New Roman" w:hAnsi="Calibri" w:cs="Times New Roman"/>
          <w:sz w:val="20"/>
          <w:szCs w:val="20"/>
        </w:rPr>
        <w:tab/>
        <w:t>Debriefing with UNDP CO, agreement on the methodology, scope and outline of the TE report (2 days home based);</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w:t>
      </w:r>
      <w:r w:rsidRPr="00AE2CF9">
        <w:rPr>
          <w:rFonts w:ascii="Calibri" w:eastAsia="Times New Roman" w:hAnsi="Calibri" w:cs="Times New Roman"/>
          <w:sz w:val="20"/>
          <w:szCs w:val="20"/>
        </w:rPr>
        <w:tab/>
        <w:t>Interviews with project implementing partner (executing agency), relevant Government, NGO and donor representatives and UNDP/GEF Resident Representative and/</w:t>
      </w:r>
      <w:r w:rsidR="00264E7E">
        <w:rPr>
          <w:rFonts w:ascii="Calibri" w:eastAsia="Times New Roman" w:hAnsi="Calibri" w:cs="Times New Roman"/>
          <w:sz w:val="20"/>
          <w:szCs w:val="20"/>
        </w:rPr>
        <w:t>or Regional Technical Advisor (6</w:t>
      </w:r>
      <w:r w:rsidRPr="00AE2CF9">
        <w:rPr>
          <w:rFonts w:ascii="Calibri" w:eastAsia="Times New Roman" w:hAnsi="Calibri" w:cs="Times New Roman"/>
          <w:sz w:val="20"/>
          <w:szCs w:val="20"/>
        </w:rPr>
        <w:t xml:space="preserve"> days</w:t>
      </w:r>
      <w:r w:rsidR="00264E7E">
        <w:rPr>
          <w:rFonts w:ascii="Calibri" w:eastAsia="Times New Roman" w:hAnsi="Calibri" w:cs="Times New Roman"/>
          <w:sz w:val="20"/>
          <w:szCs w:val="20"/>
        </w:rPr>
        <w:t xml:space="preserve"> in-country mission</w:t>
      </w:r>
      <w:r w:rsidRPr="00AE2CF9">
        <w:rPr>
          <w:rFonts w:ascii="Calibri" w:eastAsia="Times New Roman" w:hAnsi="Calibri" w:cs="Times New Roman"/>
          <w:sz w:val="20"/>
          <w:szCs w:val="20"/>
        </w:rPr>
        <w:t xml:space="preserve"> </w:t>
      </w:r>
      <w:r w:rsidR="00264E7E">
        <w:rPr>
          <w:rFonts w:ascii="Calibri" w:eastAsia="Times New Roman" w:hAnsi="Calibri" w:cs="Times New Roman"/>
          <w:sz w:val="20"/>
          <w:szCs w:val="20"/>
        </w:rPr>
        <w:t>including field trips to 2</w:t>
      </w:r>
      <w:r w:rsidRPr="00AE2CF9">
        <w:rPr>
          <w:rFonts w:ascii="Calibri" w:eastAsia="Times New Roman" w:hAnsi="Calibri" w:cs="Times New Roman"/>
          <w:sz w:val="20"/>
          <w:szCs w:val="20"/>
        </w:rPr>
        <w:t xml:space="preserve"> project sites); </w:t>
      </w:r>
    </w:p>
    <w:p w:rsidR="00AE2CF9" w:rsidRPr="00AE2CF9"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w:t>
      </w:r>
      <w:r w:rsidRPr="00AE2CF9">
        <w:rPr>
          <w:rFonts w:ascii="Calibri" w:eastAsia="Times New Roman" w:hAnsi="Calibri" w:cs="Times New Roman"/>
          <w:sz w:val="20"/>
          <w:szCs w:val="20"/>
        </w:rPr>
        <w:tab/>
        <w:t>Completion</w:t>
      </w:r>
      <w:r w:rsidR="00264E7E">
        <w:rPr>
          <w:rFonts w:ascii="Calibri" w:eastAsia="Times New Roman" w:hAnsi="Calibri" w:cs="Times New Roman"/>
          <w:sz w:val="20"/>
          <w:szCs w:val="20"/>
        </w:rPr>
        <w:t xml:space="preserve"> of the first TE report </w:t>
      </w:r>
      <w:r w:rsidR="00264E7E" w:rsidRPr="003172F1">
        <w:rPr>
          <w:rFonts w:ascii="Calibri" w:eastAsia="Times New Roman" w:hAnsi="Calibri" w:cs="Times New Roman"/>
          <w:sz w:val="20"/>
          <w:szCs w:val="20"/>
        </w:rPr>
        <w:t>draft (15</w:t>
      </w:r>
      <w:r w:rsidRPr="003172F1">
        <w:rPr>
          <w:rFonts w:ascii="Calibri" w:eastAsia="Times New Roman" w:hAnsi="Calibri" w:cs="Times New Roman"/>
          <w:sz w:val="20"/>
          <w:szCs w:val="20"/>
        </w:rPr>
        <w:t xml:space="preserve"> days).</w:t>
      </w:r>
      <w:r w:rsidRPr="00AE2CF9">
        <w:rPr>
          <w:rFonts w:ascii="Calibri" w:eastAsia="Times New Roman" w:hAnsi="Calibri" w:cs="Times New Roman"/>
          <w:sz w:val="20"/>
          <w:szCs w:val="20"/>
        </w:rPr>
        <w:t xml:space="preserve"> The draft will be shared with the UNDP CO, UNDP-/GEF (UNDP-/GEF RCU Bratislava) and key project stakeholders for review and commenting; </w:t>
      </w:r>
    </w:p>
    <w:p w:rsidR="00AE2CF9" w:rsidRPr="00D6638C" w:rsidRDefault="00AE2CF9" w:rsidP="00AE2CF9">
      <w:pPr>
        <w:spacing w:after="120"/>
        <w:rPr>
          <w:rFonts w:ascii="Calibri" w:eastAsia="Times New Roman" w:hAnsi="Calibri" w:cs="Times New Roman"/>
          <w:sz w:val="20"/>
          <w:szCs w:val="20"/>
        </w:rPr>
      </w:pPr>
      <w:r w:rsidRPr="00AE2CF9">
        <w:rPr>
          <w:rFonts w:ascii="Calibri" w:eastAsia="Times New Roman" w:hAnsi="Calibri" w:cs="Times New Roman"/>
          <w:sz w:val="20"/>
          <w:szCs w:val="20"/>
        </w:rPr>
        <w:t>-</w:t>
      </w:r>
      <w:r w:rsidRPr="00AE2CF9">
        <w:rPr>
          <w:rFonts w:ascii="Calibri" w:eastAsia="Times New Roman" w:hAnsi="Calibri" w:cs="Times New Roman"/>
          <w:sz w:val="20"/>
          <w:szCs w:val="20"/>
        </w:rPr>
        <w:tab/>
        <w:t>Finalization and submission of the final TE report through incorporating suggestions received on the draft report (maximum 2 days);</w:t>
      </w:r>
    </w:p>
    <w:p w:rsidR="00D6638C" w:rsidRPr="00D6638C" w:rsidRDefault="00D6638C" w:rsidP="00F05366">
      <w:pPr>
        <w:pStyle w:val="Heading51"/>
      </w:pPr>
      <w:bookmarkStart w:id="8" w:name="_Toc321341551"/>
      <w:r w:rsidRPr="00D6638C">
        <w:t>Evaluation Criteria &amp; Ratings</w:t>
      </w:r>
      <w:bookmarkEnd w:id="8"/>
    </w:p>
    <w:p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D6638C">
        <w:rPr>
          <w:rFonts w:ascii="Calibri" w:eastAsia="Times New Roman" w:hAnsi="Calibri" w:cs="Times New Roman"/>
          <w:sz w:val="20"/>
          <w:szCs w:val="20"/>
          <w:highlight w:val="lightGray"/>
        </w:rPr>
        <w:t>(</w:t>
      </w:r>
      <w:hyperlink w:anchor="_TOR_Annex_A:" w:history="1">
        <w:r w:rsidRPr="00D6638C">
          <w:rPr>
            <w:rFonts w:ascii="Calibri" w:eastAsia="Times New Roman" w:hAnsi="Calibri" w:cs="Times New Roman"/>
            <w:color w:val="0000FF"/>
            <w:sz w:val="20"/>
            <w:szCs w:val="20"/>
            <w:u w:val="single"/>
          </w:rPr>
          <w:t xml:space="preserve"> Annex A</w:t>
        </w:r>
      </w:hyperlink>
      <w:r w:rsidRPr="00D6638C">
        <w:rPr>
          <w:rFonts w:ascii="Calibri" w:eastAsia="Times New Roman" w:hAnsi="Calibri" w:cs="Times New Roman"/>
          <w:sz w:val="20"/>
          <w:szCs w:val="20"/>
          <w:highlight w:val="lightGray"/>
        </w:rPr>
        <w:t>)</w:t>
      </w:r>
      <w:r w:rsidRPr="00D6638C">
        <w:rPr>
          <w:rFonts w:ascii="Calibri" w:eastAsia="Times New Roman" w:hAnsi="Calibri" w:cs="Times New Roman"/>
          <w:sz w:val="20"/>
          <w:szCs w:val="20"/>
        </w:rPr>
        <w:t>,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D6638C">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rsidR="00D6638C" w:rsidRPr="00D6638C" w:rsidRDefault="00D6638C"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7"/>
        <w:gridCol w:w="722"/>
        <w:gridCol w:w="4909"/>
        <w:gridCol w:w="722"/>
      </w:tblGrid>
      <w:tr w:rsidR="00D6638C" w:rsidRPr="00D6638C" w:rsidTr="006C1964">
        <w:trPr>
          <w:trHeight w:val="206"/>
        </w:trPr>
        <w:tc>
          <w:tcPr>
            <w:tcW w:w="5000" w:type="pct"/>
            <w:gridSpan w:val="4"/>
            <w:vAlign w:val="center"/>
          </w:tcPr>
          <w:p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rPr>
                <w:rFonts w:ascii="Calibri" w:eastAsia="Times New Roman" w:hAnsi="Calibri" w:cs="Times New Roman"/>
                <w:b/>
                <w:bCs/>
                <w:color w:val="FFFFFF"/>
                <w:sz w:val="20"/>
                <w:szCs w:val="20"/>
              </w:rPr>
            </w:pPr>
            <w:bookmarkStart w:id="9"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shd w:val="clear" w:color="auto" w:fill="4F81BD"/>
        </w:tblPrEx>
        <w:tc>
          <w:tcPr>
            <w:tcW w:w="1652"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 :</w:t>
            </w:r>
          </w:p>
        </w:tc>
        <w:tc>
          <w:tcPr>
            <w:tcW w:w="375" w:type="pct"/>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D6638C" w:rsidRPr="00D6638C" w:rsidRDefault="00D6638C" w:rsidP="00D6638C">
            <w:pPr>
              <w:spacing w:after="0"/>
              <w:rPr>
                <w:rFonts w:ascii="Calibri" w:eastAsia="Times New Roman" w:hAnsi="Calibri" w:cs="Times New Roman"/>
                <w:sz w:val="20"/>
                <w:szCs w:val="20"/>
              </w:rPr>
            </w:pPr>
          </w:p>
        </w:tc>
        <w:tc>
          <w:tcPr>
            <w:tcW w:w="375" w:type="pct"/>
          </w:tcPr>
          <w:p w:rsidR="00D6638C" w:rsidRPr="00D6638C" w:rsidRDefault="00D6638C" w:rsidP="00D6638C">
            <w:pPr>
              <w:spacing w:after="0"/>
              <w:rPr>
                <w:rFonts w:ascii="Calibri" w:eastAsia="Times New Roman" w:hAnsi="Calibri" w:cs="Times New Roman"/>
                <w:sz w:val="20"/>
                <w:szCs w:val="20"/>
              </w:rPr>
            </w:pPr>
          </w:p>
        </w:tc>
        <w:tc>
          <w:tcPr>
            <w:tcW w:w="2598" w:type="pc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rsidR="00D6638C" w:rsidRPr="00D6638C" w:rsidRDefault="00C70BC2"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00D6638C"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00D6638C"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rsidR="00D6638C" w:rsidRPr="00D6638C" w:rsidRDefault="00D6638C" w:rsidP="00F05366">
      <w:pPr>
        <w:pStyle w:val="Heading51"/>
      </w:pPr>
      <w:bookmarkStart w:id="10" w:name="_Toc321341552"/>
      <w:bookmarkStart w:id="11" w:name="_Toc277677977"/>
      <w:bookmarkStart w:id="12" w:name="_Toc299122831"/>
      <w:bookmarkStart w:id="13" w:name="_Toc299122853"/>
      <w:bookmarkStart w:id="14" w:name="_Toc299122832"/>
      <w:bookmarkStart w:id="15" w:name="_Toc299122854"/>
      <w:bookmarkStart w:id="16" w:name="_Toc299126619"/>
      <w:bookmarkEnd w:id="3"/>
      <w:bookmarkEnd w:id="9"/>
      <w:r w:rsidRPr="00D6638C">
        <w:lastRenderedPageBreak/>
        <w:t>Project finance / cofinance</w:t>
      </w:r>
      <w:bookmarkEnd w:id="10"/>
    </w:p>
    <w:p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D6638C" w:rsidRPr="00D6638C" w:rsidTr="006C1964">
        <w:tc>
          <w:tcPr>
            <w:tcW w:w="2088" w:type="dxa"/>
            <w:vMerge w:val="restart"/>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16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07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250" w:type="dxa"/>
            <w:gridSpan w:val="2"/>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rsidTr="006C1964">
        <w:trPr>
          <w:trHeight w:val="143"/>
        </w:trPr>
        <w:tc>
          <w:tcPr>
            <w:tcW w:w="2088" w:type="dxa"/>
            <w:vMerge/>
          </w:tcPr>
          <w:p w:rsidR="00D6638C" w:rsidRPr="00D6638C" w:rsidRDefault="00D6638C" w:rsidP="00D6638C">
            <w:pPr>
              <w:spacing w:after="0"/>
              <w:rPr>
                <w:rFonts w:ascii="Calibri" w:eastAsia="Times New Roman" w:hAnsi="Calibri" w:cs="Times New Roman"/>
                <w:sz w:val="20"/>
                <w:szCs w:val="20"/>
              </w:rPr>
            </w:pPr>
          </w:p>
        </w:tc>
        <w:tc>
          <w:tcPr>
            <w:tcW w:w="90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7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08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D6638C" w:rsidRPr="00D6638C" w:rsidTr="006C1964">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Grants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332"/>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Loans/Concessions </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In-kind support</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c>
          <w:tcPr>
            <w:tcW w:w="2088" w:type="dxa"/>
          </w:tcPr>
          <w:p w:rsidR="00D6638C" w:rsidRPr="00D6638C" w:rsidRDefault="00D6638C" w:rsidP="00D6638C">
            <w:pPr>
              <w:numPr>
                <w:ilvl w:val="0"/>
                <w:numId w:val="17"/>
              </w:numPr>
              <w:spacing w:before="60" w:after="6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Other</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r w:rsidR="00D6638C" w:rsidRPr="00D6638C" w:rsidTr="006C1964">
        <w:trPr>
          <w:trHeight w:val="215"/>
        </w:trPr>
        <w:tc>
          <w:tcPr>
            <w:tcW w:w="2088"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Totals</w:t>
            </w:r>
          </w:p>
        </w:tc>
        <w:tc>
          <w:tcPr>
            <w:tcW w:w="90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c>
          <w:tcPr>
            <w:tcW w:w="990" w:type="dxa"/>
          </w:tcPr>
          <w:p w:rsidR="00D6638C" w:rsidRPr="00D6638C" w:rsidRDefault="00D6638C" w:rsidP="00D6638C">
            <w:pPr>
              <w:spacing w:after="0"/>
              <w:rPr>
                <w:rFonts w:ascii="Calibri" w:eastAsia="Times New Roman" w:hAnsi="Calibri" w:cs="Times New Roman"/>
                <w:sz w:val="20"/>
                <w:szCs w:val="20"/>
              </w:rPr>
            </w:pPr>
          </w:p>
        </w:tc>
        <w:tc>
          <w:tcPr>
            <w:tcW w:w="1170" w:type="dxa"/>
          </w:tcPr>
          <w:p w:rsidR="00D6638C" w:rsidRPr="00D6638C" w:rsidRDefault="00D6638C" w:rsidP="00D6638C">
            <w:pPr>
              <w:spacing w:after="0"/>
              <w:rPr>
                <w:rFonts w:ascii="Calibri" w:eastAsia="Times New Roman" w:hAnsi="Calibri" w:cs="Times New Roman"/>
                <w:sz w:val="20"/>
                <w:szCs w:val="20"/>
              </w:rPr>
            </w:pPr>
          </w:p>
        </w:tc>
        <w:tc>
          <w:tcPr>
            <w:tcW w:w="1080" w:type="dxa"/>
          </w:tcPr>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F05366">
      <w:pPr>
        <w:pStyle w:val="Heading51"/>
      </w:pPr>
      <w:bookmarkStart w:id="17" w:name="_Toc321341553"/>
      <w:r w:rsidRPr="00D6638C">
        <w:t>Mainstreaming</w:t>
      </w:r>
      <w:bookmarkEnd w:id="11"/>
      <w:bookmarkEnd w:id="17"/>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 </w:t>
      </w:r>
    </w:p>
    <w:p w:rsidR="00D6638C" w:rsidRPr="00D6638C" w:rsidRDefault="00D6638C" w:rsidP="00F05366">
      <w:pPr>
        <w:pStyle w:val="Heading51"/>
      </w:pPr>
      <w:bookmarkStart w:id="18" w:name="_Toc277677980"/>
      <w:bookmarkStart w:id="19" w:name="_Toc321341554"/>
      <w:r w:rsidRPr="00D6638C">
        <w:t>Impact</w:t>
      </w:r>
      <w:bookmarkEnd w:id="18"/>
      <w:bookmarkEnd w:id="19"/>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a) verifiable improvements in ecological status, 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or 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0" w:name="_Toc278193982"/>
      <w:bookmarkStart w:id="21" w:name="_Toc299133042"/>
      <w:bookmarkStart w:id="22" w:name="_Toc321341555"/>
      <w:bookmarkStart w:id="23" w:name="_Toc299126621"/>
      <w:bookmarkEnd w:id="12"/>
      <w:bookmarkEnd w:id="13"/>
      <w:bookmarkEnd w:id="14"/>
      <w:bookmarkEnd w:id="15"/>
      <w:bookmarkEnd w:id="16"/>
      <w:r w:rsidRPr="00D6638C">
        <w:t>Conclusions</w:t>
      </w:r>
      <w:bookmarkStart w:id="24" w:name="_Toc277677982"/>
      <w:r w:rsidRPr="00D6638C">
        <w:t>, recommendations &amp; lessons</w:t>
      </w:r>
      <w:bookmarkEnd w:id="20"/>
      <w:bookmarkEnd w:id="21"/>
      <w:bookmarkEnd w:id="22"/>
      <w:bookmarkEnd w:id="24"/>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rsidR="00D6638C" w:rsidRPr="00D6638C" w:rsidRDefault="00D6638C" w:rsidP="00F05366">
      <w:pPr>
        <w:pStyle w:val="Heading51"/>
      </w:pPr>
      <w:bookmarkStart w:id="25" w:name="_Toc299126625"/>
      <w:bookmarkStart w:id="26" w:name="_Toc299133044"/>
      <w:bookmarkStart w:id="27" w:name="_Toc321341556"/>
      <w:r w:rsidRPr="00D6638C">
        <w:t>Implementation arrangements</w:t>
      </w:r>
      <w:bookmarkEnd w:id="25"/>
      <w:bookmarkEnd w:id="26"/>
      <w:bookmarkEnd w:id="27"/>
    </w:p>
    <w:p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principal responsibility for managing this evaluation resides with the UNDP CO </w:t>
      </w:r>
      <w:r w:rsidRPr="0051753E">
        <w:rPr>
          <w:rFonts w:ascii="Calibri" w:eastAsia="Times New Roman" w:hAnsi="Calibri" w:cs="Times New Roman"/>
          <w:sz w:val="20"/>
          <w:szCs w:val="20"/>
        </w:rPr>
        <w:t xml:space="preserve">in </w:t>
      </w:r>
      <w:r w:rsidR="0051753E" w:rsidRPr="0051753E">
        <w:rPr>
          <w:rFonts w:ascii="Calibri" w:eastAsia="Times New Roman" w:hAnsi="Calibri" w:cs="Times New Roman"/>
          <w:sz w:val="20"/>
          <w:szCs w:val="20"/>
          <w:shd w:val="clear" w:color="auto" w:fill="E0E0E0"/>
        </w:rPr>
        <w:t>Romania</w:t>
      </w:r>
      <w:r w:rsidRPr="0051753E">
        <w:rPr>
          <w:rFonts w:ascii="Calibri" w:eastAsia="Times New Roman" w:hAnsi="Calibri" w:cs="Times New Roman"/>
          <w:sz w:val="20"/>
          <w:szCs w:val="20"/>
          <w:highlight w:val="lightGray"/>
        </w:rPr>
        <w:t>.</w:t>
      </w:r>
      <w:r w:rsidR="0051753E">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evaluation team. The Project Team will be responsible for liaising with the Evaluators team to set up stakeholder interviews, arrange field visits, coordinate with the Government etc.  </w:t>
      </w:r>
      <w:bookmarkStart w:id="28" w:name="_Toc299133047"/>
      <w:bookmarkStart w:id="29" w:name="_Toc299122838"/>
      <w:bookmarkStart w:id="30" w:name="_Toc299122860"/>
      <w:bookmarkStart w:id="31" w:name="_Toc299126629"/>
      <w:bookmarkEnd w:id="23"/>
    </w:p>
    <w:p w:rsidR="00022F8E" w:rsidRDefault="00022F8E" w:rsidP="00D6638C">
      <w:pPr>
        <w:spacing w:before="200"/>
        <w:rPr>
          <w:rFonts w:ascii="Calibri" w:eastAsia="Times New Roman" w:hAnsi="Calibri" w:cs="Times New Roman"/>
          <w:sz w:val="20"/>
          <w:szCs w:val="20"/>
        </w:rPr>
      </w:pPr>
    </w:p>
    <w:p w:rsidR="00D6638C" w:rsidRPr="00D6638C" w:rsidRDefault="00D6638C" w:rsidP="00022F8E">
      <w:pPr>
        <w:pStyle w:val="Heading51"/>
      </w:pPr>
      <w:r w:rsidRPr="00D6638C">
        <w:lastRenderedPageBreak/>
        <w:t>Evaluation timeframe</w:t>
      </w:r>
      <w:bookmarkEnd w:id="28"/>
      <w:bookmarkEnd w:id="29"/>
      <w:bookmarkEnd w:id="30"/>
      <w:bookmarkEnd w:id="31"/>
    </w:p>
    <w:p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235167">
        <w:rPr>
          <w:rFonts w:ascii="Calibri" w:eastAsia="Times New Roman" w:hAnsi="Calibri" w:cs="Times New Roman"/>
          <w:i/>
          <w:sz w:val="20"/>
          <w:szCs w:val="20"/>
        </w:rPr>
        <w:t>21</w:t>
      </w:r>
      <w:r w:rsidRPr="00D6638C">
        <w:rPr>
          <w:rFonts w:ascii="Calibri" w:eastAsia="Times New Roman" w:hAnsi="Calibri" w:cs="Times New Roman"/>
          <w:sz w:val="20"/>
          <w:szCs w:val="20"/>
        </w:rPr>
        <w:t xml:space="preserve"> days</w:t>
      </w:r>
      <w:r w:rsidR="00C15ED7">
        <w:rPr>
          <w:rFonts w:ascii="Calibri" w:eastAsia="Times New Roman" w:hAnsi="Calibri" w:cs="Times New Roman"/>
          <w:sz w:val="20"/>
          <w:szCs w:val="20"/>
        </w:rPr>
        <w:t xml:space="preserve"> for the assignment </w:t>
      </w:r>
      <w:r w:rsidR="00C15ED7" w:rsidRPr="003172F1">
        <w:rPr>
          <w:rFonts w:ascii="Calibri" w:eastAsia="Times New Roman" w:hAnsi="Calibri" w:cs="Times New Roman"/>
          <w:i/>
          <w:sz w:val="20"/>
          <w:szCs w:val="20"/>
        </w:rPr>
        <w:t>(travel days are excluded; the lump sum in the financial offer will include travel expenditures as well)</w:t>
      </w:r>
      <w:r w:rsidRPr="00D6638C">
        <w:rPr>
          <w:rFonts w:ascii="Calibri" w:eastAsia="Times New Roman" w:hAnsi="Calibri" w:cs="Times New Roman"/>
          <w:sz w:val="20"/>
          <w:szCs w:val="20"/>
        </w:rPr>
        <w:t xml:space="preserve">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3499"/>
        <w:gridCol w:w="3071"/>
      </w:tblGrid>
      <w:tr w:rsidR="00D6638C" w:rsidRPr="00D6638C" w:rsidTr="00224F9C">
        <w:trPr>
          <w:trHeight w:val="440"/>
        </w:trPr>
        <w:tc>
          <w:tcPr>
            <w:tcW w:w="2988" w:type="dxa"/>
            <w:shd w:val="clear" w:color="auto" w:fill="7F7F7F"/>
          </w:tcPr>
          <w:p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rsidR="00472DF3" w:rsidRPr="00446EA3" w:rsidRDefault="00AC78DD" w:rsidP="00446EA3">
            <w:pPr>
              <w:spacing w:after="0"/>
              <w:rPr>
                <w:rFonts w:ascii="Calibri" w:eastAsia="Times New Roman" w:hAnsi="Calibri" w:cs="Times New Roman"/>
                <w:b/>
                <w:sz w:val="20"/>
                <w:szCs w:val="20"/>
              </w:rPr>
            </w:pPr>
            <w:r w:rsidRPr="00446EA3">
              <w:rPr>
                <w:rFonts w:ascii="Calibri" w:eastAsia="Times New Roman" w:hAnsi="Calibri" w:cs="Times New Roman"/>
                <w:i/>
                <w:sz w:val="20"/>
                <w:szCs w:val="20"/>
              </w:rPr>
              <w:t xml:space="preserve">4 </w:t>
            </w:r>
            <w:r w:rsidR="00D6638C" w:rsidRPr="00446EA3">
              <w:rPr>
                <w:rFonts w:ascii="Calibri" w:eastAsia="Times New Roman" w:hAnsi="Calibri" w:cs="Times New Roman"/>
                <w:sz w:val="20"/>
                <w:szCs w:val="20"/>
              </w:rPr>
              <w:t xml:space="preserve">days </w:t>
            </w:r>
            <w:r w:rsidR="00472DF3" w:rsidRPr="00446EA3">
              <w:rPr>
                <w:rFonts w:ascii="Calibri" w:eastAsia="Times New Roman" w:hAnsi="Calibri" w:cs="Times New Roman"/>
                <w:i/>
                <w:sz w:val="20"/>
                <w:szCs w:val="20"/>
              </w:rPr>
              <w:t>to review documents</w:t>
            </w:r>
          </w:p>
        </w:tc>
        <w:tc>
          <w:tcPr>
            <w:tcW w:w="3071" w:type="dxa"/>
          </w:tcPr>
          <w:p w:rsidR="00D6638C" w:rsidRPr="00446EA3" w:rsidRDefault="00446EA3"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rPr>
              <w:t>15-</w:t>
            </w:r>
            <w:r w:rsidR="00472DF3" w:rsidRPr="00446EA3">
              <w:rPr>
                <w:rFonts w:ascii="Calibri" w:eastAsia="Times New Roman" w:hAnsi="Calibri" w:cs="Times New Roman"/>
                <w:i/>
                <w:sz w:val="20"/>
                <w:szCs w:val="20"/>
              </w:rPr>
              <w:t>22 May 2014</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p>
        </w:tc>
        <w:tc>
          <w:tcPr>
            <w:tcW w:w="3499" w:type="dxa"/>
          </w:tcPr>
          <w:p w:rsidR="00D6638C" w:rsidRPr="00446EA3" w:rsidRDefault="009F4322" w:rsidP="00C15ED7">
            <w:pPr>
              <w:spacing w:after="0"/>
              <w:rPr>
                <w:rFonts w:ascii="Calibri" w:eastAsia="Times New Roman" w:hAnsi="Calibri" w:cs="Times New Roman"/>
                <w:b/>
                <w:sz w:val="20"/>
                <w:szCs w:val="20"/>
              </w:rPr>
            </w:pPr>
            <w:r>
              <w:rPr>
                <w:rFonts w:ascii="Calibri" w:eastAsia="Times New Roman" w:hAnsi="Calibri" w:cs="Times New Roman"/>
                <w:i/>
                <w:sz w:val="20"/>
                <w:szCs w:val="20"/>
              </w:rPr>
              <w:t>8 days: 6 days</w:t>
            </w:r>
            <w:r w:rsidR="00C15ED7">
              <w:rPr>
                <w:rFonts w:ascii="Calibri" w:eastAsia="Times New Roman" w:hAnsi="Calibri" w:cs="Times New Roman"/>
                <w:i/>
                <w:sz w:val="20"/>
                <w:szCs w:val="20"/>
              </w:rPr>
              <w:t xml:space="preserve"> in –country mission (</w:t>
            </w:r>
            <w:r>
              <w:rPr>
                <w:rFonts w:ascii="Calibri" w:eastAsia="Times New Roman" w:hAnsi="Calibri" w:cs="Times New Roman"/>
                <w:i/>
                <w:sz w:val="20"/>
                <w:szCs w:val="20"/>
              </w:rPr>
              <w:t xml:space="preserve">Bucharest +travel to pilot sites) </w:t>
            </w:r>
            <w:r w:rsidR="00C15ED7">
              <w:rPr>
                <w:rFonts w:ascii="Calibri" w:eastAsia="Times New Roman" w:hAnsi="Calibri" w:cs="Times New Roman"/>
                <w:i/>
                <w:sz w:val="20"/>
                <w:szCs w:val="20"/>
              </w:rPr>
              <w:t xml:space="preserve">, </w:t>
            </w:r>
            <w:r w:rsidR="00472DF3" w:rsidRPr="00446EA3">
              <w:rPr>
                <w:rFonts w:ascii="Calibri" w:eastAsia="Times New Roman" w:hAnsi="Calibri" w:cs="Times New Roman"/>
                <w:i/>
                <w:sz w:val="20"/>
                <w:szCs w:val="20"/>
              </w:rPr>
              <w:t>2 days travel</w:t>
            </w:r>
          </w:p>
        </w:tc>
        <w:tc>
          <w:tcPr>
            <w:tcW w:w="3071" w:type="dxa"/>
          </w:tcPr>
          <w:p w:rsidR="00D6638C" w:rsidRPr="00446EA3" w:rsidRDefault="00472DF3" w:rsidP="00D6638C">
            <w:pPr>
              <w:spacing w:after="0"/>
              <w:rPr>
                <w:rFonts w:ascii="Calibri" w:eastAsia="Times New Roman" w:hAnsi="Calibri" w:cs="Times New Roman"/>
                <w:i/>
                <w:sz w:val="20"/>
                <w:szCs w:val="20"/>
                <w:highlight w:val="lightGray"/>
              </w:rPr>
            </w:pPr>
            <w:r w:rsidRPr="00446EA3">
              <w:rPr>
                <w:rFonts w:ascii="Calibri" w:eastAsia="Times New Roman" w:hAnsi="Calibri" w:cs="Times New Roman"/>
                <w:i/>
                <w:sz w:val="20"/>
                <w:szCs w:val="20"/>
              </w:rPr>
              <w:t>26 May- 4 June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rsidR="00D6638C" w:rsidRPr="00446EA3" w:rsidRDefault="00E57BFC" w:rsidP="00D6638C">
            <w:pPr>
              <w:spacing w:after="0"/>
              <w:rPr>
                <w:rFonts w:ascii="Calibri" w:eastAsia="Times New Roman" w:hAnsi="Calibri" w:cs="Times New Roman"/>
                <w:b/>
                <w:sz w:val="20"/>
                <w:szCs w:val="20"/>
              </w:rPr>
            </w:pPr>
            <w:r>
              <w:rPr>
                <w:rFonts w:eastAsia="Times New Roman"/>
                <w:i/>
                <w:sz w:val="20"/>
                <w:szCs w:val="20"/>
              </w:rPr>
              <w:t>15</w:t>
            </w:r>
            <w:r w:rsidR="00472DF3" w:rsidRPr="00446EA3">
              <w:rPr>
                <w:rFonts w:eastAsia="Times New Roman"/>
                <w:i/>
                <w:sz w:val="20"/>
                <w:szCs w:val="20"/>
              </w:rPr>
              <w:t xml:space="preserve"> days</w:t>
            </w:r>
          </w:p>
        </w:tc>
        <w:tc>
          <w:tcPr>
            <w:tcW w:w="3071" w:type="dxa"/>
          </w:tcPr>
          <w:p w:rsidR="00D6638C" w:rsidRPr="00446EA3" w:rsidRDefault="00E57BFC" w:rsidP="00D6638C">
            <w:pPr>
              <w:spacing w:after="0"/>
              <w:rPr>
                <w:rFonts w:ascii="Calibri" w:eastAsia="Times New Roman" w:hAnsi="Calibri" w:cs="Times New Roman"/>
                <w:i/>
                <w:sz w:val="20"/>
                <w:szCs w:val="20"/>
                <w:highlight w:val="lightGray"/>
              </w:rPr>
            </w:pPr>
            <w:r>
              <w:rPr>
                <w:rFonts w:eastAsia="Times New Roman"/>
                <w:i/>
                <w:sz w:val="20"/>
                <w:szCs w:val="20"/>
              </w:rPr>
              <w:t>25</w:t>
            </w:r>
            <w:r w:rsidR="00472DF3" w:rsidRPr="00446EA3">
              <w:rPr>
                <w:rFonts w:eastAsia="Times New Roman"/>
                <w:i/>
                <w:sz w:val="20"/>
                <w:szCs w:val="20"/>
              </w:rPr>
              <w:t xml:space="preserve"> June</w:t>
            </w:r>
          </w:p>
        </w:tc>
      </w:tr>
      <w:tr w:rsidR="00D6638C" w:rsidRPr="00D6638C" w:rsidTr="00224F9C">
        <w:tc>
          <w:tcPr>
            <w:tcW w:w="298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rsidR="00D6638C" w:rsidRPr="00446EA3" w:rsidRDefault="00472DF3" w:rsidP="00472DF3">
            <w:pPr>
              <w:spacing w:after="0"/>
              <w:rPr>
                <w:rFonts w:ascii="Calibri" w:eastAsia="Times New Roman" w:hAnsi="Calibri" w:cs="Times New Roman"/>
                <w:sz w:val="20"/>
                <w:szCs w:val="20"/>
              </w:rPr>
            </w:pPr>
            <w:r w:rsidRPr="00446EA3">
              <w:rPr>
                <w:rFonts w:ascii="Calibri" w:eastAsia="Times New Roman" w:hAnsi="Calibri" w:cs="Times New Roman"/>
                <w:i/>
                <w:sz w:val="20"/>
                <w:szCs w:val="20"/>
              </w:rPr>
              <w:t>2</w:t>
            </w:r>
            <w:r w:rsidR="00D6638C" w:rsidRPr="00446EA3">
              <w:rPr>
                <w:rFonts w:ascii="Calibri" w:eastAsia="Times New Roman" w:hAnsi="Calibri" w:cs="Times New Roman"/>
                <w:sz w:val="20"/>
                <w:szCs w:val="20"/>
              </w:rPr>
              <w:t xml:space="preserve"> days </w:t>
            </w:r>
          </w:p>
        </w:tc>
        <w:tc>
          <w:tcPr>
            <w:tcW w:w="3071" w:type="dxa"/>
          </w:tcPr>
          <w:p w:rsidR="00D6638C" w:rsidRPr="00446EA3" w:rsidRDefault="00E57BFC" w:rsidP="00D6638C">
            <w:pPr>
              <w:spacing w:after="0"/>
              <w:rPr>
                <w:rFonts w:ascii="Calibri" w:eastAsia="Times New Roman" w:hAnsi="Calibri" w:cs="Times New Roman"/>
                <w:i/>
                <w:sz w:val="20"/>
                <w:szCs w:val="20"/>
                <w:highlight w:val="lightGray"/>
              </w:rPr>
            </w:pPr>
            <w:r>
              <w:rPr>
                <w:rFonts w:ascii="Calibri" w:eastAsia="Times New Roman" w:hAnsi="Calibri" w:cs="Times New Roman"/>
                <w:i/>
                <w:sz w:val="20"/>
                <w:szCs w:val="20"/>
              </w:rPr>
              <w:t>15 July</w:t>
            </w:r>
          </w:p>
        </w:tc>
      </w:tr>
    </w:tbl>
    <w:p w:rsidR="00D6638C" w:rsidRPr="00F05366" w:rsidRDefault="00D6638C" w:rsidP="00F05366">
      <w:pPr>
        <w:pStyle w:val="Heading31"/>
      </w:pPr>
      <w:bookmarkStart w:id="32" w:name="_Toc299133045"/>
      <w:bookmarkStart w:id="33" w:name="_Toc321341557"/>
      <w:bookmarkStart w:id="34" w:name="_Toc299126622"/>
      <w:bookmarkStart w:id="35" w:name="_Toc299133048"/>
      <w:r w:rsidRPr="00F05366">
        <w:t>Evaluation deliverables</w:t>
      </w:r>
      <w:bookmarkEnd w:id="32"/>
      <w:bookmarkEnd w:id="33"/>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team 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2340"/>
        <w:gridCol w:w="2610"/>
        <w:gridCol w:w="3060"/>
      </w:tblGrid>
      <w:tr w:rsidR="00D6638C" w:rsidRPr="00D6638C" w:rsidTr="006C1964">
        <w:tc>
          <w:tcPr>
            <w:tcW w:w="1548"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Deliverable</w:t>
            </w:r>
          </w:p>
        </w:tc>
        <w:tc>
          <w:tcPr>
            <w:tcW w:w="234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No later than 2 weeks before the evaluation mission.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rsidTr="006C1964">
        <w:tc>
          <w:tcPr>
            <w:tcW w:w="1548" w:type="dxa"/>
          </w:tcPr>
          <w:p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4"/>
      <w:bookmarkEnd w:id="35"/>
      <w:r w:rsidR="00D6638C" w:rsidRPr="00D6638C">
        <w:rPr>
          <w:rFonts w:ascii="Calibri" w:eastAsia="Times New Roman" w:hAnsi="Calibri" w:cs="Times New Roman"/>
          <w:sz w:val="20"/>
          <w:szCs w:val="20"/>
        </w:rPr>
        <w:t xml:space="preserve">report. </w:t>
      </w:r>
    </w:p>
    <w:p w:rsidR="00D6638C" w:rsidRPr="00D6638C" w:rsidRDefault="00D6638C" w:rsidP="00F05366">
      <w:pPr>
        <w:pStyle w:val="Heading51"/>
      </w:pPr>
      <w:bookmarkStart w:id="36" w:name="_Toc321341558"/>
      <w:r w:rsidRPr="00D6638C">
        <w:t>Team Composition</w:t>
      </w:r>
      <w:bookmarkEnd w:id="36"/>
    </w:p>
    <w:p w:rsidR="00D6638C" w:rsidRPr="00AE2CF9" w:rsidRDefault="00D6638C" w:rsidP="00E009D9">
      <w:pPr>
        <w:spacing w:before="200" w:line="240" w:lineRule="auto"/>
        <w:rPr>
          <w:rFonts w:ascii="Calibri" w:eastAsia="Times New Roman" w:hAnsi="Calibri" w:cs="Times New Roman"/>
          <w:sz w:val="20"/>
          <w:szCs w:val="20"/>
        </w:rPr>
      </w:pPr>
      <w:r w:rsidRPr="00AE2CF9">
        <w:rPr>
          <w:rFonts w:ascii="Calibri" w:eastAsia="Times New Roman" w:hAnsi="Calibri" w:cs="Times New Roman"/>
          <w:sz w:val="20"/>
          <w:szCs w:val="20"/>
        </w:rPr>
        <w:t xml:space="preserve">The evaluation team will be composed of </w:t>
      </w:r>
      <w:r w:rsidR="00446EA3" w:rsidRPr="00AE2CF9">
        <w:rPr>
          <w:rFonts w:ascii="Calibri" w:eastAsia="Times New Roman" w:hAnsi="Calibri" w:cs="Times New Roman"/>
          <w:sz w:val="20"/>
          <w:szCs w:val="20"/>
          <w:shd w:val="clear" w:color="auto" w:fill="FFFFFF"/>
        </w:rPr>
        <w:t xml:space="preserve">1 </w:t>
      </w:r>
      <w:r w:rsidRPr="00AE2CF9">
        <w:rPr>
          <w:rFonts w:ascii="Calibri" w:eastAsia="Times New Roman" w:hAnsi="Calibri" w:cs="Times New Roman"/>
          <w:sz w:val="20"/>
          <w:szCs w:val="20"/>
          <w:shd w:val="clear" w:color="auto" w:fill="FFFFFF"/>
        </w:rPr>
        <w:t xml:space="preserve">international </w:t>
      </w:r>
      <w:r w:rsidR="00446EA3" w:rsidRPr="00AE2CF9">
        <w:rPr>
          <w:rFonts w:ascii="Calibri" w:eastAsia="Times New Roman" w:hAnsi="Calibri" w:cs="Times New Roman"/>
          <w:sz w:val="20"/>
          <w:szCs w:val="20"/>
          <w:shd w:val="clear" w:color="auto" w:fill="FFFFFF"/>
        </w:rPr>
        <w:t>evaluator</w:t>
      </w:r>
      <w:r w:rsidR="00C15ED7">
        <w:rPr>
          <w:rFonts w:ascii="Calibri" w:eastAsia="Times New Roman" w:hAnsi="Calibri" w:cs="Times New Roman"/>
          <w:sz w:val="20"/>
          <w:szCs w:val="20"/>
          <w:shd w:val="clear" w:color="auto" w:fill="FFFFFF"/>
        </w:rPr>
        <w:t xml:space="preserve"> (supported if needed by an interpreter)</w:t>
      </w:r>
      <w:r w:rsidRPr="00AE2CF9">
        <w:rPr>
          <w:rFonts w:ascii="Calibri" w:eastAsia="Times New Roman" w:hAnsi="Calibri" w:cs="Times New Roman"/>
          <w:sz w:val="20"/>
          <w:szCs w:val="20"/>
        </w:rPr>
        <w:t>.  The consultant shall have prior experience in evaluating similar projects.  Experience with GEF financed projects is an advantage.</w:t>
      </w:r>
      <w:r w:rsidR="00446EA3" w:rsidRPr="00AE2CF9">
        <w:rPr>
          <w:rFonts w:ascii="Calibri" w:eastAsia="Times New Roman" w:hAnsi="Calibri" w:cs="Times New Roman"/>
          <w:sz w:val="20"/>
          <w:szCs w:val="20"/>
        </w:rPr>
        <w:t xml:space="preserve"> </w:t>
      </w:r>
      <w:r w:rsidRPr="00AE2CF9">
        <w:rPr>
          <w:rFonts w:ascii="Calibri" w:eastAsia="Times New Roman" w:hAnsi="Calibri" w:cs="Times New Roman"/>
          <w:sz w:val="20"/>
          <w:szCs w:val="20"/>
        </w:rPr>
        <w:t>The evaluator selected should not have participated in the project preparation and/or implementation and should not have conflict of interest with project related activities.</w:t>
      </w:r>
    </w:p>
    <w:p w:rsidR="00D6638C" w:rsidRPr="00AE2CF9" w:rsidRDefault="00D6638C" w:rsidP="00E009D9">
      <w:pPr>
        <w:spacing w:before="200" w:line="240" w:lineRule="auto"/>
        <w:rPr>
          <w:rFonts w:eastAsia="Times New Roman" w:cs="Times New Roman"/>
          <w:sz w:val="20"/>
          <w:szCs w:val="20"/>
        </w:rPr>
      </w:pPr>
      <w:r w:rsidRPr="00AE2CF9">
        <w:rPr>
          <w:rFonts w:eastAsia="Times New Roman" w:cs="Times New Roman"/>
          <w:sz w:val="20"/>
          <w:szCs w:val="20"/>
        </w:rPr>
        <w:t xml:space="preserve">The </w:t>
      </w:r>
      <w:r w:rsidR="00446EA3" w:rsidRPr="00AE2CF9">
        <w:rPr>
          <w:rFonts w:eastAsia="Times New Roman" w:cs="Times New Roman"/>
          <w:sz w:val="20"/>
          <w:szCs w:val="20"/>
        </w:rPr>
        <w:t>evaluator</w:t>
      </w:r>
      <w:r w:rsidRPr="00AE2CF9">
        <w:rPr>
          <w:rFonts w:eastAsia="Times New Roman" w:cs="Times New Roman"/>
          <w:sz w:val="20"/>
          <w:szCs w:val="20"/>
        </w:rPr>
        <w:t xml:space="preserve"> must present the following qualifications:</w:t>
      </w:r>
    </w:p>
    <w:p w:rsidR="00446EA3" w:rsidRPr="00AE2CF9" w:rsidRDefault="00446EA3" w:rsidP="00E009D9">
      <w:pPr>
        <w:pStyle w:val="ListParagraph"/>
        <w:numPr>
          <w:ilvl w:val="0"/>
          <w:numId w:val="34"/>
        </w:numPr>
        <w:spacing w:line="240" w:lineRule="auto"/>
        <w:rPr>
          <w:rFonts w:cs="Times New Roman"/>
        </w:rPr>
      </w:pPr>
      <w:r w:rsidRPr="00AE2CF9">
        <w:rPr>
          <w:rFonts w:cs="Times New Roman"/>
        </w:rPr>
        <w:t>Master degree (or equivalent) in Natural Resource Management, Environmental Economics and Policy or other related areas. Postgraduate degree will be an advantage.</w:t>
      </w:r>
    </w:p>
    <w:p w:rsidR="00D6638C" w:rsidRPr="00AE2CF9" w:rsidRDefault="00D6638C" w:rsidP="00E009D9">
      <w:pPr>
        <w:numPr>
          <w:ilvl w:val="0"/>
          <w:numId w:val="34"/>
        </w:numPr>
        <w:spacing w:before="200" w:line="240" w:lineRule="auto"/>
        <w:rPr>
          <w:rFonts w:eastAsia="Times New Roman" w:cs="Times New Roman"/>
          <w:sz w:val="20"/>
          <w:szCs w:val="20"/>
        </w:rPr>
      </w:pPr>
      <w:r w:rsidRPr="00AE2CF9">
        <w:rPr>
          <w:rFonts w:eastAsia="Times New Roman" w:cs="Times New Roman"/>
          <w:sz w:val="20"/>
          <w:szCs w:val="20"/>
          <w:shd w:val="clear" w:color="auto" w:fill="FFFFFF"/>
        </w:rPr>
        <w:t xml:space="preserve">Minimum </w:t>
      </w:r>
      <w:r w:rsidR="00446EA3" w:rsidRPr="00AE2CF9">
        <w:rPr>
          <w:rFonts w:eastAsia="Times New Roman" w:cs="Times New Roman"/>
          <w:i/>
          <w:sz w:val="20"/>
          <w:szCs w:val="20"/>
          <w:shd w:val="clear" w:color="auto" w:fill="FFFFFF"/>
        </w:rPr>
        <w:t xml:space="preserve">10 </w:t>
      </w:r>
      <w:r w:rsidRPr="00AE2CF9">
        <w:rPr>
          <w:rFonts w:eastAsia="Times New Roman" w:cs="Times New Roman"/>
          <w:sz w:val="20"/>
          <w:szCs w:val="20"/>
          <w:shd w:val="clear" w:color="auto" w:fill="FFFFFF"/>
        </w:rPr>
        <w:t>years of</w:t>
      </w:r>
      <w:r w:rsidRPr="00AE2CF9">
        <w:rPr>
          <w:rFonts w:eastAsia="Times New Roman" w:cs="Times New Roman"/>
          <w:sz w:val="20"/>
          <w:szCs w:val="20"/>
        </w:rPr>
        <w:t xml:space="preserve"> relevant professional experience</w:t>
      </w:r>
      <w:r w:rsidR="00446EA3" w:rsidRPr="00AE2CF9">
        <w:rPr>
          <w:rFonts w:eastAsia="Times New Roman" w:cs="Times New Roman"/>
          <w:sz w:val="20"/>
          <w:szCs w:val="20"/>
        </w:rPr>
        <w:t xml:space="preserve"> in environmental project management and implementation; in addition proven experience of providing consultancy services in GEF biodiversity projects evaluation is a must</w:t>
      </w:r>
    </w:p>
    <w:p w:rsidR="00D6638C" w:rsidRPr="00AE2CF9" w:rsidRDefault="00D6638C" w:rsidP="00E009D9">
      <w:pPr>
        <w:numPr>
          <w:ilvl w:val="0"/>
          <w:numId w:val="34"/>
        </w:numPr>
        <w:spacing w:before="200" w:line="240" w:lineRule="auto"/>
        <w:rPr>
          <w:rFonts w:eastAsia="Times New Roman" w:cs="Times New Roman"/>
          <w:sz w:val="20"/>
          <w:szCs w:val="20"/>
        </w:rPr>
      </w:pPr>
      <w:r w:rsidRPr="00AE2CF9">
        <w:rPr>
          <w:rFonts w:eastAsia="Times New Roman" w:cs="Times New Roman"/>
          <w:sz w:val="20"/>
          <w:szCs w:val="20"/>
        </w:rPr>
        <w:t xml:space="preserve">Knowledge of UNDP and GEF </w:t>
      </w:r>
    </w:p>
    <w:p w:rsidR="00D6638C" w:rsidRPr="00AE2CF9" w:rsidRDefault="00D6638C" w:rsidP="00E009D9">
      <w:pPr>
        <w:numPr>
          <w:ilvl w:val="0"/>
          <w:numId w:val="34"/>
        </w:numPr>
        <w:spacing w:before="200" w:line="240" w:lineRule="auto"/>
        <w:rPr>
          <w:rFonts w:eastAsia="Times New Roman" w:cs="Times New Roman"/>
          <w:sz w:val="20"/>
          <w:szCs w:val="20"/>
        </w:rPr>
      </w:pPr>
      <w:r w:rsidRPr="00AE2CF9">
        <w:rPr>
          <w:rFonts w:eastAsia="Times New Roman" w:cs="Times New Roman"/>
          <w:sz w:val="20"/>
          <w:szCs w:val="20"/>
        </w:rPr>
        <w:lastRenderedPageBreak/>
        <w:t>Previous experience with results‐based monitoring and evaluation methodologies;</w:t>
      </w:r>
    </w:p>
    <w:p w:rsidR="00446EA3" w:rsidRPr="00AE2CF9" w:rsidRDefault="00D6638C" w:rsidP="00E009D9">
      <w:pPr>
        <w:numPr>
          <w:ilvl w:val="0"/>
          <w:numId w:val="34"/>
        </w:numPr>
        <w:spacing w:before="200" w:line="240" w:lineRule="auto"/>
        <w:rPr>
          <w:rFonts w:cs="Times New Roman"/>
          <w:sz w:val="20"/>
          <w:szCs w:val="20"/>
          <w:shd w:val="clear" w:color="auto" w:fill="FFFFFF"/>
        </w:rPr>
      </w:pPr>
      <w:r w:rsidRPr="00AE2CF9">
        <w:rPr>
          <w:rFonts w:eastAsia="Times New Roman" w:cs="Times New Roman"/>
          <w:sz w:val="20"/>
          <w:szCs w:val="20"/>
        </w:rPr>
        <w:t xml:space="preserve">Technical knowledge in the </w:t>
      </w:r>
      <w:r w:rsidR="00446EA3" w:rsidRPr="00AE2CF9">
        <w:rPr>
          <w:rFonts w:eastAsia="Times New Roman" w:cs="Times New Roman"/>
          <w:sz w:val="20"/>
          <w:szCs w:val="20"/>
        </w:rPr>
        <w:t>biodiversity</w:t>
      </w:r>
      <w:r w:rsidRPr="00AE2CF9">
        <w:rPr>
          <w:rFonts w:eastAsia="Times New Roman" w:cs="Times New Roman"/>
          <w:sz w:val="20"/>
          <w:szCs w:val="20"/>
        </w:rPr>
        <w:t xml:space="preserve"> focal area(s)</w:t>
      </w:r>
      <w:r w:rsidR="00446EA3" w:rsidRPr="00AE2CF9">
        <w:rPr>
          <w:rFonts w:eastAsia="Times New Roman" w:cs="Times New Roman"/>
          <w:sz w:val="20"/>
          <w:szCs w:val="20"/>
        </w:rPr>
        <w:t xml:space="preserve"> </w:t>
      </w:r>
      <w:bookmarkStart w:id="37" w:name="_Toc278193977"/>
      <w:bookmarkStart w:id="38" w:name="_Toc299122835"/>
      <w:bookmarkStart w:id="39" w:name="_Toc299122857"/>
      <w:bookmarkStart w:id="40" w:name="_Toc299126624"/>
      <w:bookmarkStart w:id="41" w:name="_Toc299133050"/>
      <w:bookmarkStart w:id="42" w:name="_Toc321341559"/>
    </w:p>
    <w:p w:rsidR="00446EA3" w:rsidRPr="00AE2CF9" w:rsidRDefault="00446EA3" w:rsidP="00E009D9">
      <w:pPr>
        <w:numPr>
          <w:ilvl w:val="0"/>
          <w:numId w:val="34"/>
        </w:numPr>
        <w:spacing w:before="200" w:line="240" w:lineRule="auto"/>
        <w:rPr>
          <w:rFonts w:cs="Times New Roman"/>
          <w:sz w:val="20"/>
          <w:szCs w:val="20"/>
          <w:shd w:val="clear" w:color="auto" w:fill="FFFFFF"/>
        </w:rPr>
      </w:pPr>
      <w:r w:rsidRPr="00AE2CF9">
        <w:rPr>
          <w:rFonts w:cs="Times New Roman"/>
          <w:sz w:val="20"/>
          <w:szCs w:val="20"/>
          <w:shd w:val="clear" w:color="auto" w:fill="FFFFFF"/>
        </w:rPr>
        <w:t xml:space="preserve">Minimum 7 years experience with environmental policy advice and/or project development/implementation in biodiversity conservation; </w:t>
      </w:r>
    </w:p>
    <w:p w:rsidR="00446EA3" w:rsidRPr="00AE2CF9" w:rsidRDefault="00446EA3" w:rsidP="00E009D9">
      <w:pPr>
        <w:numPr>
          <w:ilvl w:val="0"/>
          <w:numId w:val="34"/>
        </w:numPr>
        <w:spacing w:before="200" w:line="240" w:lineRule="auto"/>
        <w:rPr>
          <w:sz w:val="20"/>
          <w:szCs w:val="20"/>
        </w:rPr>
      </w:pPr>
      <w:r w:rsidRPr="00AE2CF9">
        <w:rPr>
          <w:rFonts w:cs="Times New Roman"/>
          <w:sz w:val="20"/>
          <w:szCs w:val="20"/>
          <w:shd w:val="clear" w:color="auto" w:fill="FFFFFF"/>
        </w:rPr>
        <w:t>Relevant experience in evaluation of biodiversity projects in Romania and/or Europe and the CIS region. Such experience within UNDP system would be an asset;</w:t>
      </w:r>
    </w:p>
    <w:p w:rsidR="00022F8E" w:rsidRPr="00AE2CF9" w:rsidRDefault="00446EA3" w:rsidP="00E009D9">
      <w:pPr>
        <w:numPr>
          <w:ilvl w:val="0"/>
          <w:numId w:val="34"/>
        </w:numPr>
        <w:spacing w:before="200" w:line="240" w:lineRule="auto"/>
        <w:rPr>
          <w:sz w:val="20"/>
          <w:szCs w:val="20"/>
        </w:rPr>
      </w:pPr>
      <w:r w:rsidRPr="00AE2CF9">
        <w:rPr>
          <w:rFonts w:cs="Times New Roman"/>
          <w:sz w:val="20"/>
          <w:szCs w:val="20"/>
          <w:shd w:val="clear" w:color="auto" w:fill="FFFFFF"/>
        </w:rPr>
        <w:t>Prior experience in evaluating biodiversity projects preferably focused on financing protected areas.</w:t>
      </w:r>
    </w:p>
    <w:p w:rsidR="00446EA3" w:rsidRPr="00AE2CF9" w:rsidRDefault="00E009D9" w:rsidP="00E009D9">
      <w:pPr>
        <w:spacing w:before="200" w:line="240" w:lineRule="auto"/>
        <w:rPr>
          <w:sz w:val="20"/>
          <w:szCs w:val="20"/>
        </w:rPr>
      </w:pPr>
      <w:r w:rsidRPr="00AE2CF9">
        <w:rPr>
          <w:rFonts w:eastAsia="Times New Roman" w:cs="Times New Roman"/>
          <w:sz w:val="20"/>
          <w:szCs w:val="20"/>
        </w:rPr>
        <w:t xml:space="preserve">The evaluator must present the following </w:t>
      </w:r>
      <w:r w:rsidRPr="00AE2CF9">
        <w:rPr>
          <w:sz w:val="20"/>
          <w:szCs w:val="20"/>
        </w:rPr>
        <w:t>c</w:t>
      </w:r>
      <w:r w:rsidR="00446EA3" w:rsidRPr="00AE2CF9">
        <w:rPr>
          <w:sz w:val="20"/>
          <w:szCs w:val="20"/>
        </w:rPr>
        <w:t>ompetencies:</w:t>
      </w:r>
    </w:p>
    <w:p w:rsidR="00446EA3" w:rsidRPr="00AE2CF9" w:rsidRDefault="00446EA3" w:rsidP="00E009D9">
      <w:pPr>
        <w:pStyle w:val="ListParagraph"/>
        <w:numPr>
          <w:ilvl w:val="0"/>
          <w:numId w:val="34"/>
        </w:numPr>
        <w:spacing w:line="240" w:lineRule="auto"/>
      </w:pPr>
      <w:r w:rsidRPr="00AE2CF9">
        <w:t>Competencies in result-based management (RBM) evaluation methodologies; applying participatory monitoring approaches; SMART indicators and reconstructing or validating baseline scenarios;</w:t>
      </w:r>
    </w:p>
    <w:p w:rsidR="00446EA3" w:rsidRPr="00AE2CF9" w:rsidRDefault="00446EA3" w:rsidP="00E009D9">
      <w:pPr>
        <w:pStyle w:val="ListParagraph"/>
        <w:numPr>
          <w:ilvl w:val="0"/>
          <w:numId w:val="34"/>
        </w:numPr>
        <w:spacing w:line="240" w:lineRule="auto"/>
      </w:pPr>
      <w:r w:rsidRPr="00AE2CF9">
        <w:t xml:space="preserve">Competencies and recent knowledge of the GEF Monitoring and Evaluation Policy; UNDP’s results-based evaluation policies and procedures; Adaptive Management, as applied to capacity building  projects; </w:t>
      </w:r>
    </w:p>
    <w:p w:rsidR="00446EA3" w:rsidRPr="00AE2CF9" w:rsidRDefault="00446EA3" w:rsidP="00E009D9">
      <w:pPr>
        <w:pStyle w:val="ListParagraph"/>
        <w:numPr>
          <w:ilvl w:val="0"/>
          <w:numId w:val="34"/>
        </w:numPr>
        <w:spacing w:line="240" w:lineRule="auto"/>
      </w:pPr>
      <w:r w:rsidRPr="00AE2CF9">
        <w:t xml:space="preserve">It is desirable that the International Evaluation Consultant have knowledge/understanding of Romanian/EU conservation policies and legislation, forestry management policies and institutional system, protected areas system. </w:t>
      </w:r>
    </w:p>
    <w:p w:rsidR="00446EA3" w:rsidRDefault="00446EA3" w:rsidP="00E009D9">
      <w:pPr>
        <w:pStyle w:val="ListParagraph"/>
        <w:numPr>
          <w:ilvl w:val="0"/>
          <w:numId w:val="34"/>
        </w:numPr>
        <w:spacing w:line="240" w:lineRule="auto"/>
      </w:pPr>
      <w:r w:rsidRPr="00AE2CF9">
        <w:t xml:space="preserve">The International Evaluation Consultant must have demonstrated </w:t>
      </w:r>
      <w:r w:rsidR="00E009D9" w:rsidRPr="00AE2CF9">
        <w:t>competency in</w:t>
      </w:r>
      <w:r w:rsidRPr="00AE2CF9">
        <w:t xml:space="preserve"> areas of international projects’ (GEF/UNDP) evaluation. </w:t>
      </w:r>
    </w:p>
    <w:p w:rsidR="00446EA3" w:rsidRPr="003172F1" w:rsidRDefault="00446EA3" w:rsidP="00336EE2">
      <w:pPr>
        <w:spacing w:line="240" w:lineRule="auto"/>
        <w:rPr>
          <w:sz w:val="20"/>
          <w:szCs w:val="20"/>
        </w:rPr>
      </w:pPr>
      <w:r w:rsidRPr="003172F1">
        <w:rPr>
          <w:sz w:val="20"/>
          <w:szCs w:val="20"/>
        </w:rPr>
        <w:t>Language</w:t>
      </w:r>
      <w:r w:rsidR="00336EE2" w:rsidRPr="003172F1">
        <w:rPr>
          <w:sz w:val="20"/>
          <w:szCs w:val="20"/>
        </w:rPr>
        <w:t xml:space="preserve"> skills</w:t>
      </w:r>
      <w:r w:rsidRPr="003172F1">
        <w:rPr>
          <w:sz w:val="20"/>
          <w:szCs w:val="20"/>
        </w:rPr>
        <w:t>:</w:t>
      </w:r>
      <w:r w:rsidR="00336EE2" w:rsidRPr="003172F1">
        <w:rPr>
          <w:sz w:val="20"/>
          <w:szCs w:val="20"/>
        </w:rPr>
        <w:t xml:space="preserve"> Fluency in E</w:t>
      </w:r>
      <w:r w:rsidR="00E009D9" w:rsidRPr="003172F1">
        <w:rPr>
          <w:sz w:val="20"/>
          <w:szCs w:val="20"/>
        </w:rPr>
        <w:t>nglish</w:t>
      </w:r>
      <w:r w:rsidR="00336EE2" w:rsidRPr="003172F1">
        <w:rPr>
          <w:sz w:val="20"/>
          <w:szCs w:val="20"/>
        </w:rPr>
        <w:t xml:space="preserve"> language</w:t>
      </w:r>
      <w:r w:rsidR="00E009D9" w:rsidRPr="003172F1">
        <w:rPr>
          <w:sz w:val="20"/>
          <w:szCs w:val="20"/>
        </w:rPr>
        <w:t xml:space="preserve"> is mandatory</w:t>
      </w:r>
    </w:p>
    <w:p w:rsidR="00D6638C" w:rsidRPr="00AE2CF9" w:rsidRDefault="00D6638C" w:rsidP="00F05366">
      <w:pPr>
        <w:pStyle w:val="Heading51"/>
        <w:rPr>
          <w:sz w:val="20"/>
          <w:szCs w:val="20"/>
        </w:rPr>
      </w:pPr>
      <w:r w:rsidRPr="00AE2CF9">
        <w:rPr>
          <w:sz w:val="20"/>
          <w:szCs w:val="20"/>
        </w:rPr>
        <w:t>Evaluator Ethics</w:t>
      </w:r>
      <w:bookmarkEnd w:id="37"/>
      <w:bookmarkEnd w:id="38"/>
      <w:bookmarkEnd w:id="39"/>
      <w:bookmarkEnd w:id="40"/>
      <w:bookmarkEnd w:id="41"/>
      <w:bookmarkEnd w:id="42"/>
    </w:p>
    <w:p w:rsidR="00022F8E" w:rsidRPr="00AE2CF9" w:rsidRDefault="00022F8E" w:rsidP="00022F8E">
      <w:pPr>
        <w:rPr>
          <w:sz w:val="20"/>
          <w:szCs w:val="20"/>
        </w:rPr>
      </w:pPr>
    </w:p>
    <w:p w:rsidR="00D6638C" w:rsidRPr="00AE2CF9" w:rsidRDefault="00D6638C" w:rsidP="00022F8E">
      <w:pPr>
        <w:rPr>
          <w:sz w:val="20"/>
          <w:szCs w:val="20"/>
        </w:rPr>
      </w:pPr>
      <w:r w:rsidRPr="00AE2CF9">
        <w:rPr>
          <w:sz w:val="20"/>
          <w:szCs w:val="20"/>
        </w:rPr>
        <w:t xml:space="preserve">Evaluation consultants will be held to the highest ethical standards and are required to sign a Code of Conduct </w:t>
      </w:r>
      <w:r w:rsidR="00F05366" w:rsidRPr="00AE2CF9">
        <w:rPr>
          <w:sz w:val="20"/>
          <w:szCs w:val="20"/>
        </w:rPr>
        <w:t>(Annex E) u</w:t>
      </w:r>
      <w:r w:rsidRPr="00AE2CF9">
        <w:rPr>
          <w:sz w:val="20"/>
          <w:szCs w:val="20"/>
        </w:rPr>
        <w:t xml:space="preserve">pon acceptance of the assignment. UNDP evaluations are conducted in accordance with the principles outlined in the </w:t>
      </w:r>
      <w:hyperlink r:id="rId11" w:history="1">
        <w:r w:rsidRPr="00AE2CF9">
          <w:rPr>
            <w:rStyle w:val="Hyperlink"/>
            <w:rFonts w:ascii="Calibri" w:eastAsia="Times New Roman" w:hAnsi="Calibri" w:cs="Times New Roman"/>
            <w:sz w:val="20"/>
            <w:szCs w:val="20"/>
          </w:rPr>
          <w:t>UNEG 'Ethical Guidelines for Evaluations'</w:t>
        </w:r>
      </w:hyperlink>
    </w:p>
    <w:p w:rsidR="00D6638C" w:rsidRDefault="00D6638C" w:rsidP="00F05366">
      <w:pPr>
        <w:pStyle w:val="Heading51"/>
      </w:pPr>
      <w:bookmarkStart w:id="43" w:name="_Toc299126626"/>
      <w:bookmarkStart w:id="44" w:name="_Toc299133051"/>
      <w:bookmarkStart w:id="45" w:name="_Toc321341560"/>
      <w:bookmarkStart w:id="46" w:name="_Toc299122837"/>
      <w:bookmarkStart w:id="47" w:name="_Toc299122859"/>
      <w:bookmarkStart w:id="48" w:name="_Toc299126627"/>
      <w:r w:rsidRPr="00D6638C">
        <w:t>Payment modalities and specifications</w:t>
      </w:r>
      <w:bookmarkEnd w:id="43"/>
      <w:bookmarkEnd w:id="44"/>
      <w:bookmarkEnd w:id="45"/>
      <w:r w:rsidR="00E23201">
        <w:t xml:space="preserve"> </w:t>
      </w:r>
    </w:p>
    <w:p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4"/>
        <w:gridCol w:w="8427"/>
      </w:tblGrid>
      <w:tr w:rsidR="00D6638C" w:rsidRPr="00D6638C" w:rsidTr="006C1964">
        <w:tc>
          <w:tcPr>
            <w:tcW w:w="1278"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576" w:type="dxa"/>
            <w:shd w:val="clear" w:color="auto" w:fill="7F7F7F"/>
          </w:tcPr>
          <w:p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rsidTr="006C1964">
        <w:tc>
          <w:tcPr>
            <w:tcW w:w="1278" w:type="dxa"/>
          </w:tcPr>
          <w:p w:rsidR="00D6638C" w:rsidRPr="003172F1" w:rsidRDefault="00D6638C" w:rsidP="00D6638C">
            <w:pPr>
              <w:spacing w:after="0"/>
              <w:jc w:val="center"/>
              <w:rPr>
                <w:rFonts w:ascii="Calibri" w:eastAsia="Times New Roman" w:hAnsi="Calibri" w:cs="Times New Roman"/>
                <w:i/>
                <w:sz w:val="20"/>
                <w:szCs w:val="20"/>
              </w:rPr>
            </w:pPr>
            <w:r w:rsidRPr="003172F1">
              <w:rPr>
                <w:rFonts w:ascii="Calibri" w:eastAsia="Times New Roman" w:hAnsi="Calibri" w:cs="Times New Roman"/>
                <w:i/>
                <w:sz w:val="20"/>
                <w:szCs w:val="20"/>
              </w:rPr>
              <w:t>10%</w:t>
            </w:r>
          </w:p>
        </w:tc>
        <w:tc>
          <w:tcPr>
            <w:tcW w:w="8576" w:type="dxa"/>
          </w:tcPr>
          <w:p w:rsidR="00D6638C" w:rsidRPr="003172F1" w:rsidRDefault="00336EE2" w:rsidP="00336EE2">
            <w:pPr>
              <w:spacing w:after="0"/>
              <w:rPr>
                <w:rFonts w:ascii="Calibri" w:eastAsia="Times New Roman" w:hAnsi="Calibri" w:cs="Times New Roman"/>
                <w:sz w:val="20"/>
                <w:szCs w:val="20"/>
              </w:rPr>
            </w:pPr>
            <w:r w:rsidRPr="003172F1">
              <w:rPr>
                <w:rFonts w:ascii="Calibri" w:eastAsia="Times New Roman" w:hAnsi="Calibri" w:cs="Times New Roman"/>
                <w:sz w:val="20"/>
                <w:szCs w:val="20"/>
              </w:rPr>
              <w:t>Upon approval of inception report</w:t>
            </w:r>
          </w:p>
        </w:tc>
      </w:tr>
      <w:tr w:rsidR="00D6638C" w:rsidRPr="00D6638C" w:rsidTr="006C1964">
        <w:tc>
          <w:tcPr>
            <w:tcW w:w="1278" w:type="dxa"/>
          </w:tcPr>
          <w:p w:rsidR="00D6638C" w:rsidRPr="003172F1" w:rsidRDefault="00336EE2" w:rsidP="00D6638C">
            <w:pPr>
              <w:spacing w:after="0"/>
              <w:jc w:val="center"/>
              <w:rPr>
                <w:rFonts w:ascii="Calibri" w:eastAsia="Times New Roman" w:hAnsi="Calibri" w:cs="Times New Roman"/>
                <w:i/>
                <w:sz w:val="20"/>
                <w:szCs w:val="20"/>
              </w:rPr>
            </w:pPr>
            <w:r w:rsidRPr="003172F1">
              <w:rPr>
                <w:rFonts w:ascii="Calibri" w:eastAsia="Times New Roman" w:hAnsi="Calibri" w:cs="Times New Roman"/>
                <w:i/>
                <w:sz w:val="20"/>
                <w:szCs w:val="20"/>
              </w:rPr>
              <w:t>6</w:t>
            </w:r>
            <w:r w:rsidR="00D6638C" w:rsidRPr="003172F1">
              <w:rPr>
                <w:rFonts w:ascii="Calibri" w:eastAsia="Times New Roman" w:hAnsi="Calibri" w:cs="Times New Roman"/>
                <w:i/>
                <w:sz w:val="20"/>
                <w:szCs w:val="20"/>
              </w:rPr>
              <w:t>0%</w:t>
            </w:r>
          </w:p>
        </w:tc>
        <w:tc>
          <w:tcPr>
            <w:tcW w:w="8576" w:type="dxa"/>
          </w:tcPr>
          <w:p w:rsidR="00D6638C" w:rsidRPr="003172F1" w:rsidRDefault="00C15ED7" w:rsidP="00D6638C">
            <w:pPr>
              <w:spacing w:after="0"/>
              <w:rPr>
                <w:rFonts w:ascii="Calibri" w:eastAsia="Times New Roman" w:hAnsi="Calibri" w:cs="Times New Roman"/>
                <w:sz w:val="20"/>
                <w:szCs w:val="20"/>
              </w:rPr>
            </w:pPr>
            <w:r w:rsidRPr="003172F1">
              <w:rPr>
                <w:rFonts w:ascii="Calibri" w:eastAsia="Times New Roman" w:hAnsi="Calibri" w:cs="Times New Roman"/>
                <w:sz w:val="20"/>
                <w:szCs w:val="20"/>
              </w:rPr>
              <w:t>Upon approval of the 1st</w:t>
            </w:r>
            <w:r w:rsidR="00D6638C" w:rsidRPr="003172F1">
              <w:rPr>
                <w:rFonts w:ascii="Calibri" w:eastAsia="Times New Roman" w:hAnsi="Calibri" w:cs="Times New Roman"/>
                <w:sz w:val="20"/>
                <w:szCs w:val="20"/>
              </w:rPr>
              <w:t xml:space="preserve"> draft terminal evaluation report</w:t>
            </w:r>
          </w:p>
        </w:tc>
      </w:tr>
      <w:tr w:rsidR="00D6638C" w:rsidRPr="00D6638C" w:rsidTr="006C1964">
        <w:tc>
          <w:tcPr>
            <w:tcW w:w="1278" w:type="dxa"/>
          </w:tcPr>
          <w:p w:rsidR="00D6638C" w:rsidRPr="003172F1" w:rsidRDefault="00336EE2" w:rsidP="00D6638C">
            <w:pPr>
              <w:spacing w:after="0"/>
              <w:jc w:val="center"/>
              <w:rPr>
                <w:rFonts w:ascii="Calibri" w:eastAsia="Times New Roman" w:hAnsi="Calibri" w:cs="Times New Roman"/>
                <w:i/>
                <w:sz w:val="20"/>
                <w:szCs w:val="20"/>
              </w:rPr>
            </w:pPr>
            <w:r w:rsidRPr="003172F1">
              <w:rPr>
                <w:rFonts w:ascii="Calibri" w:eastAsia="Times New Roman" w:hAnsi="Calibri" w:cs="Times New Roman"/>
                <w:i/>
                <w:sz w:val="20"/>
                <w:szCs w:val="20"/>
              </w:rPr>
              <w:t>3</w:t>
            </w:r>
            <w:r w:rsidR="00D6638C" w:rsidRPr="003172F1">
              <w:rPr>
                <w:rFonts w:ascii="Calibri" w:eastAsia="Times New Roman" w:hAnsi="Calibri" w:cs="Times New Roman"/>
                <w:i/>
                <w:sz w:val="20"/>
                <w:szCs w:val="20"/>
              </w:rPr>
              <w:t>0%</w:t>
            </w:r>
          </w:p>
        </w:tc>
        <w:tc>
          <w:tcPr>
            <w:tcW w:w="8576" w:type="dxa"/>
          </w:tcPr>
          <w:p w:rsidR="00D6638C" w:rsidRPr="003172F1" w:rsidRDefault="00C15ED7" w:rsidP="00C15ED7">
            <w:pPr>
              <w:spacing w:after="0"/>
              <w:rPr>
                <w:rFonts w:ascii="Calibri" w:eastAsia="Times New Roman" w:hAnsi="Calibri" w:cs="Times New Roman"/>
                <w:sz w:val="20"/>
                <w:szCs w:val="20"/>
              </w:rPr>
            </w:pPr>
            <w:r w:rsidRPr="003172F1">
              <w:rPr>
                <w:rFonts w:ascii="Calibri" w:eastAsia="Times New Roman" w:hAnsi="Calibri" w:cs="Times New Roman"/>
                <w:sz w:val="20"/>
                <w:szCs w:val="20"/>
              </w:rPr>
              <w:t>Upon</w:t>
            </w:r>
            <w:r w:rsidR="00D6638C" w:rsidRPr="003172F1">
              <w:rPr>
                <w:rFonts w:ascii="Calibri" w:eastAsia="Times New Roman" w:hAnsi="Calibri" w:cs="Times New Roman"/>
                <w:sz w:val="20"/>
                <w:szCs w:val="20"/>
              </w:rPr>
              <w:t xml:space="preserve"> approval of the final terminal evaluation report </w:t>
            </w:r>
            <w:r w:rsidRPr="003172F1">
              <w:rPr>
                <w:rFonts w:ascii="Calibri" w:eastAsia="Times New Roman" w:hAnsi="Calibri" w:cs="Times New Roman"/>
                <w:sz w:val="20"/>
                <w:szCs w:val="20"/>
              </w:rPr>
              <w:t>(by UNDP-CO and UNDP RTA)</w:t>
            </w:r>
          </w:p>
        </w:tc>
      </w:tr>
    </w:tbl>
    <w:p w:rsidR="00D6638C" w:rsidRPr="00D6638C" w:rsidRDefault="00D6638C" w:rsidP="00F05366">
      <w:pPr>
        <w:pStyle w:val="Heading51"/>
      </w:pPr>
      <w:bookmarkStart w:id="49" w:name="_Toc299133052"/>
      <w:bookmarkStart w:id="50" w:name="_Toc321341561"/>
      <w:r w:rsidRPr="00D6638C">
        <w:t>Application process</w:t>
      </w:r>
      <w:bookmarkEnd w:id="46"/>
      <w:bookmarkEnd w:id="47"/>
      <w:bookmarkEnd w:id="48"/>
      <w:bookmarkEnd w:id="49"/>
      <w:bookmarkEnd w:id="50"/>
    </w:p>
    <w:p w:rsidR="00D6638C" w:rsidRPr="00D6638C" w:rsidRDefault="00B175BD" w:rsidP="00D6638C">
      <w:pPr>
        <w:spacing w:after="120"/>
        <w:rPr>
          <w:rFonts w:ascii="Calibri" w:eastAsia="Times New Roman" w:hAnsi="Calibri" w:cs="Times New Roman"/>
          <w:sz w:val="20"/>
          <w:szCs w:val="20"/>
        </w:rPr>
      </w:pPr>
      <w:r>
        <w:rPr>
          <w:rFonts w:ascii="Calibri" w:eastAsia="Times New Roman" w:hAnsi="Calibri" w:cs="Times New Roman"/>
          <w:sz w:val="20"/>
          <w:szCs w:val="20"/>
        </w:rPr>
        <w:t xml:space="preserve">A list of compatible applicants will be shortlisted from the Biodiversity Evaluation roster.  </w:t>
      </w:r>
      <w:r w:rsidRPr="00D6638C">
        <w:rPr>
          <w:rFonts w:ascii="Calibri" w:eastAsia="Times New Roman" w:hAnsi="Calibri" w:cs="Times New Roman"/>
          <w:sz w:val="20"/>
          <w:szCs w:val="20"/>
        </w:rPr>
        <w:t xml:space="preserve">Shortlisted candidates will be requested to submit a price offer indicating the total cost of the assignment (including daily fee, per diem and travel costs). </w:t>
      </w:r>
    </w:p>
    <w:p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take into account the competencies/skills of the applicants as well as their financial proposals. Qualified women and members of social minorities are encouraged to apply. </w:t>
      </w:r>
    </w:p>
    <w:p w:rsidR="00D6638C" w:rsidRPr="00D6638C" w:rsidRDefault="00D6638C" w:rsidP="003172F1">
      <w:pPr>
        <w:spacing w:before="200"/>
      </w:pPr>
      <w:r w:rsidRPr="00D6638C">
        <w:rPr>
          <w:rFonts w:ascii="Calibri" w:eastAsia="Times New Roman" w:hAnsi="Calibri" w:cs="Times New Roman"/>
          <w:sz w:val="20"/>
          <w:szCs w:val="20"/>
        </w:rPr>
        <w:br w:type="page"/>
      </w:r>
      <w:bookmarkStart w:id="51" w:name="_TOR_Annex_A:"/>
      <w:bookmarkStart w:id="52" w:name="_Toc299122844"/>
      <w:bookmarkStart w:id="53" w:name="_Toc299122866"/>
      <w:bookmarkStart w:id="54" w:name="_Toc299126630"/>
      <w:bookmarkStart w:id="55" w:name="_Toc299133053"/>
      <w:bookmarkStart w:id="56" w:name="_Toc321341562"/>
      <w:bookmarkEnd w:id="51"/>
      <w:r w:rsidRPr="00D6638C">
        <w:lastRenderedPageBreak/>
        <w:t>Annex A: Project Logical Framework</w:t>
      </w:r>
      <w:bookmarkEnd w:id="52"/>
      <w:bookmarkEnd w:id="53"/>
      <w:bookmarkEnd w:id="54"/>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9"/>
        <w:gridCol w:w="1605"/>
        <w:gridCol w:w="1190"/>
        <w:gridCol w:w="1868"/>
        <w:gridCol w:w="1751"/>
        <w:gridCol w:w="1908"/>
      </w:tblGrid>
      <w:tr w:rsidR="00CC26FB" w:rsidRPr="00CC26FB" w:rsidTr="00CC26FB">
        <w:trPr>
          <w:tblHeader/>
        </w:trPr>
        <w:tc>
          <w:tcPr>
            <w:tcW w:w="1612" w:type="dxa"/>
            <w:shd w:val="clear" w:color="auto" w:fill="008000"/>
          </w:tcPr>
          <w:p w:rsidR="00CC26FB" w:rsidRPr="00CC26FB" w:rsidRDefault="00CC26FB" w:rsidP="00CC26FB">
            <w:pPr>
              <w:spacing w:after="0" w:line="240" w:lineRule="auto"/>
              <w:jc w:val="both"/>
              <w:rPr>
                <w:rFonts w:eastAsia="Times New Roman" w:cs="Times New Roman"/>
                <w:b/>
                <w:bCs/>
                <w:sz w:val="20"/>
                <w:szCs w:val="20"/>
                <w:lang w:bidi="ar-SA"/>
              </w:rPr>
            </w:pPr>
            <w:bookmarkStart w:id="57" w:name="_Toc299122845"/>
            <w:bookmarkStart w:id="58" w:name="_Toc299122867"/>
            <w:bookmarkStart w:id="59" w:name="_Toc299126631"/>
            <w:r w:rsidRPr="00CC26FB">
              <w:rPr>
                <w:rFonts w:eastAsia="Times New Roman" w:cs="Times New Roman"/>
                <w:b/>
                <w:bCs/>
                <w:sz w:val="20"/>
                <w:szCs w:val="20"/>
                <w:lang w:bidi="ar-SA"/>
              </w:rPr>
              <w:t>Project Strategy</w:t>
            </w:r>
          </w:p>
        </w:tc>
        <w:tc>
          <w:tcPr>
            <w:tcW w:w="2276" w:type="dxa"/>
            <w:shd w:val="clear" w:color="auto" w:fill="008000"/>
          </w:tcPr>
          <w:p w:rsidR="00CC26FB" w:rsidRPr="00CC26FB" w:rsidRDefault="00CC26FB" w:rsidP="00CC26FB">
            <w:pPr>
              <w:spacing w:after="0" w:line="240" w:lineRule="auto"/>
              <w:jc w:val="both"/>
              <w:rPr>
                <w:rFonts w:eastAsia="Times New Roman" w:cs="Times New Roman"/>
                <w:b/>
                <w:bCs/>
                <w:sz w:val="20"/>
                <w:szCs w:val="20"/>
                <w:lang w:bidi="ar-SA"/>
              </w:rPr>
            </w:pPr>
            <w:r w:rsidRPr="00CC26FB">
              <w:rPr>
                <w:rFonts w:eastAsia="Times New Roman" w:cs="Times New Roman"/>
                <w:b/>
                <w:bCs/>
                <w:sz w:val="20"/>
                <w:szCs w:val="20"/>
                <w:lang w:bidi="ar-SA"/>
              </w:rPr>
              <w:t>Objectively Verifiable Indicators</w:t>
            </w:r>
          </w:p>
        </w:tc>
        <w:tc>
          <w:tcPr>
            <w:tcW w:w="1800" w:type="dxa"/>
            <w:shd w:val="clear" w:color="auto" w:fill="008000"/>
          </w:tcPr>
          <w:p w:rsidR="00CC26FB" w:rsidRPr="00CC26FB" w:rsidRDefault="00CC26FB" w:rsidP="00CC26FB">
            <w:pPr>
              <w:spacing w:after="0" w:line="240" w:lineRule="auto"/>
              <w:jc w:val="both"/>
              <w:rPr>
                <w:rFonts w:eastAsia="Times New Roman" w:cs="Times New Roman"/>
                <w:b/>
                <w:bCs/>
                <w:sz w:val="20"/>
                <w:szCs w:val="20"/>
                <w:lang w:bidi="ar-SA"/>
              </w:rPr>
            </w:pPr>
            <w:r w:rsidRPr="00CC26FB">
              <w:rPr>
                <w:rFonts w:eastAsia="Times New Roman" w:cs="Times New Roman"/>
                <w:b/>
                <w:bCs/>
                <w:sz w:val="20"/>
                <w:szCs w:val="20"/>
                <w:lang w:bidi="ar-SA"/>
              </w:rPr>
              <w:t>Baseline (August 2009)</w:t>
            </w:r>
          </w:p>
        </w:tc>
        <w:tc>
          <w:tcPr>
            <w:tcW w:w="3060" w:type="dxa"/>
            <w:shd w:val="clear" w:color="auto" w:fill="008000"/>
          </w:tcPr>
          <w:p w:rsidR="00CC26FB" w:rsidRPr="00CC26FB" w:rsidRDefault="00CC26FB" w:rsidP="00CC26FB">
            <w:pPr>
              <w:spacing w:after="0" w:line="240" w:lineRule="auto"/>
              <w:jc w:val="both"/>
              <w:rPr>
                <w:rFonts w:eastAsia="Times New Roman" w:cs="Times New Roman"/>
                <w:b/>
                <w:bCs/>
                <w:sz w:val="20"/>
                <w:szCs w:val="20"/>
                <w:lang w:bidi="ar-SA"/>
              </w:rPr>
            </w:pPr>
            <w:r w:rsidRPr="00CC26FB">
              <w:rPr>
                <w:rFonts w:eastAsia="Times New Roman" w:cs="Times New Roman"/>
                <w:b/>
                <w:bCs/>
                <w:sz w:val="20"/>
                <w:szCs w:val="20"/>
                <w:lang w:bidi="ar-SA"/>
              </w:rPr>
              <w:t>Target (and tentative date)</w:t>
            </w:r>
          </w:p>
        </w:tc>
        <w:tc>
          <w:tcPr>
            <w:tcW w:w="2520" w:type="dxa"/>
            <w:shd w:val="clear" w:color="auto" w:fill="008000"/>
          </w:tcPr>
          <w:p w:rsidR="00CC26FB" w:rsidRPr="00CC26FB" w:rsidRDefault="00CC26FB" w:rsidP="00CC26FB">
            <w:pPr>
              <w:spacing w:after="0" w:line="240" w:lineRule="auto"/>
              <w:jc w:val="both"/>
              <w:rPr>
                <w:rFonts w:eastAsia="Times New Roman" w:cs="Times New Roman"/>
                <w:b/>
                <w:bCs/>
                <w:sz w:val="20"/>
                <w:szCs w:val="20"/>
                <w:lang w:bidi="ar-SA"/>
              </w:rPr>
            </w:pPr>
            <w:r w:rsidRPr="00CC26FB">
              <w:rPr>
                <w:rFonts w:eastAsia="Times New Roman" w:cs="Times New Roman"/>
                <w:b/>
                <w:bCs/>
                <w:sz w:val="20"/>
                <w:szCs w:val="20"/>
                <w:lang w:bidi="ar-SA"/>
              </w:rPr>
              <w:t>Sources of verification</w:t>
            </w:r>
          </w:p>
        </w:tc>
        <w:tc>
          <w:tcPr>
            <w:tcW w:w="3060" w:type="dxa"/>
            <w:shd w:val="clear" w:color="auto" w:fill="008000"/>
          </w:tcPr>
          <w:p w:rsidR="00CC26FB" w:rsidRPr="00CC26FB" w:rsidRDefault="00CC26FB" w:rsidP="00CC26FB">
            <w:pPr>
              <w:spacing w:after="0" w:line="240" w:lineRule="auto"/>
              <w:jc w:val="both"/>
              <w:rPr>
                <w:rFonts w:eastAsia="Times New Roman" w:cs="Times New Roman"/>
                <w:b/>
                <w:bCs/>
                <w:sz w:val="20"/>
                <w:szCs w:val="20"/>
                <w:lang w:bidi="ar-SA"/>
              </w:rPr>
            </w:pPr>
            <w:r w:rsidRPr="00CC26FB">
              <w:rPr>
                <w:rFonts w:eastAsia="Times New Roman" w:cs="Times New Roman"/>
                <w:b/>
                <w:bCs/>
                <w:sz w:val="20"/>
                <w:szCs w:val="20"/>
                <w:lang w:bidi="ar-SA"/>
              </w:rPr>
              <w:t>Risks and Assumptions</w:t>
            </w:r>
          </w:p>
        </w:tc>
      </w:tr>
      <w:tr w:rsidR="00CC26FB" w:rsidRPr="00CC26FB" w:rsidTr="00CC26FB">
        <w:trPr>
          <w:cantSplit/>
          <w:trHeight w:val="503"/>
        </w:trPr>
        <w:tc>
          <w:tcPr>
            <w:tcW w:w="1612" w:type="dxa"/>
            <w:vMerge w:val="restart"/>
          </w:tcPr>
          <w:p w:rsidR="00CC26FB" w:rsidRPr="00CC26FB" w:rsidRDefault="00CC26FB" w:rsidP="00CC26FB">
            <w:pPr>
              <w:spacing w:after="0" w:line="240" w:lineRule="auto"/>
              <w:jc w:val="both"/>
              <w:rPr>
                <w:rFonts w:eastAsia="Times New Roman" w:cs="Times New Roman"/>
                <w:b/>
                <w:snapToGrid w:val="0"/>
                <w:sz w:val="20"/>
                <w:szCs w:val="20"/>
                <w:lang w:bidi="ar-SA"/>
              </w:rPr>
            </w:pPr>
            <w:r w:rsidRPr="00CC26FB">
              <w:rPr>
                <w:rFonts w:eastAsia="Times New Roman" w:cs="Times New Roman"/>
                <w:b/>
                <w:snapToGrid w:val="0"/>
                <w:sz w:val="20"/>
                <w:szCs w:val="20"/>
                <w:lang w:bidi="ar-SA"/>
              </w:rPr>
              <w:t>Objective:</w:t>
            </w:r>
          </w:p>
          <w:p w:rsidR="00CC26FB" w:rsidRPr="00CC26FB" w:rsidRDefault="00CC26FB" w:rsidP="00CC26FB">
            <w:pPr>
              <w:spacing w:after="0" w:line="240" w:lineRule="auto"/>
              <w:jc w:val="both"/>
              <w:rPr>
                <w:rFonts w:eastAsia="Times New Roman" w:cs="Times New Roman"/>
                <w:b/>
                <w:bCs/>
                <w:sz w:val="20"/>
                <w:szCs w:val="20"/>
                <w:lang w:bidi="ar-SA"/>
              </w:rPr>
            </w:pPr>
            <w:r w:rsidRPr="00CC26FB">
              <w:rPr>
                <w:rFonts w:eastAsia="Times New Roman" w:cs="Times New Roman"/>
                <w:snapToGrid w:val="0"/>
                <w:sz w:val="20"/>
                <w:szCs w:val="20"/>
                <w:lang w:bidi="ar-SA"/>
              </w:rPr>
              <w:t>To secure the financial sustainability of Romania’s Carpathian network of PAs, as a model for replication to the entire Carpathian Network of Protected Areas (CNPA)</w:t>
            </w:r>
          </w:p>
        </w:tc>
        <w:tc>
          <w:tcPr>
            <w:tcW w:w="2276"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Overall score of the Financial Scorecard:</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33%</w:t>
            </w:r>
          </w:p>
        </w:tc>
        <w:tc>
          <w:tcPr>
            <w:tcW w:w="3060" w:type="dxa"/>
          </w:tcPr>
          <w:p w:rsidR="00CC26FB" w:rsidRPr="00CC26FB" w:rsidRDefault="00CC26FB" w:rsidP="00CC26FB">
            <w:pPr>
              <w:tabs>
                <w:tab w:val="left" w:pos="604"/>
              </w:tabs>
              <w:spacing w:after="0" w:line="240" w:lineRule="auto"/>
              <w:jc w:val="both"/>
              <w:rPr>
                <w:rFonts w:eastAsia="Times New Roman" w:cs="Times New Roman"/>
                <w:bCs/>
                <w:sz w:val="20"/>
                <w:szCs w:val="20"/>
                <w:lang w:bidi="ar-SA"/>
              </w:rPr>
            </w:pPr>
            <w:r w:rsidRPr="00CC26FB">
              <w:rPr>
                <w:rFonts w:eastAsia="Times New Roman" w:cs="Times New Roman"/>
                <w:bCs/>
                <w:sz w:val="20"/>
                <w:szCs w:val="20"/>
                <w:lang w:bidi="ar-SA"/>
              </w:rPr>
              <w:t>50%</w:t>
            </w:r>
          </w:p>
        </w:tc>
        <w:tc>
          <w:tcPr>
            <w:tcW w:w="2520" w:type="dxa"/>
            <w:vMerge w:val="restart"/>
          </w:tcPr>
          <w:p w:rsidR="00CC26FB" w:rsidRPr="00CC26FB" w:rsidRDefault="00CC26FB" w:rsidP="00CC26FB">
            <w:pPr>
              <w:spacing w:after="0" w:line="240" w:lineRule="auto"/>
              <w:jc w:val="both"/>
              <w:rPr>
                <w:rFonts w:eastAsia="Times New Roman" w:cs="Times New Roman"/>
                <w:bCs/>
                <w:sz w:val="20"/>
                <w:szCs w:val="20"/>
                <w:lang w:bidi="ar-SA"/>
              </w:rPr>
            </w:pPr>
            <w:r w:rsidRPr="00CC26FB">
              <w:rPr>
                <w:rFonts w:eastAsia="Times New Roman" w:cs="Times New Roman"/>
                <w:bCs/>
                <w:sz w:val="20"/>
                <w:szCs w:val="20"/>
                <w:lang w:bidi="ar-SA"/>
              </w:rPr>
              <w:t xml:space="preserve">Financial reports (income, expenses, needs and financial gaps), </w:t>
            </w:r>
          </w:p>
          <w:p w:rsidR="00CC26FB" w:rsidRPr="00CC26FB" w:rsidRDefault="00CC26FB" w:rsidP="00CC26FB">
            <w:pPr>
              <w:spacing w:after="0" w:line="240" w:lineRule="auto"/>
              <w:jc w:val="both"/>
              <w:rPr>
                <w:rFonts w:eastAsia="Times New Roman" w:cs="Times New Roman"/>
                <w:bCs/>
                <w:sz w:val="20"/>
                <w:szCs w:val="20"/>
                <w:lang w:bidi="ar-SA"/>
              </w:rPr>
            </w:pPr>
            <w:r w:rsidRPr="00CC26FB">
              <w:rPr>
                <w:rFonts w:eastAsia="Times New Roman" w:cs="Times New Roman"/>
                <w:bCs/>
                <w:sz w:val="20"/>
                <w:szCs w:val="20"/>
                <w:lang w:bidi="ar-SA"/>
              </w:rPr>
              <w:t xml:space="preserve">Auditing reports, </w:t>
            </w:r>
          </w:p>
          <w:p w:rsidR="00CC26FB" w:rsidRPr="00CC26FB" w:rsidRDefault="00CC26FB" w:rsidP="00CC26FB">
            <w:pPr>
              <w:spacing w:after="0" w:line="240" w:lineRule="auto"/>
              <w:jc w:val="both"/>
              <w:rPr>
                <w:rFonts w:eastAsia="Times New Roman" w:cs="Times New Roman"/>
                <w:b/>
                <w:bCs/>
                <w:sz w:val="20"/>
                <w:szCs w:val="20"/>
                <w:lang w:bidi="ar-SA"/>
              </w:rPr>
            </w:pPr>
            <w:r w:rsidRPr="00CC26FB">
              <w:rPr>
                <w:rFonts w:eastAsia="Times New Roman" w:cs="Times New Roman"/>
                <w:bCs/>
                <w:sz w:val="20"/>
                <w:szCs w:val="20"/>
                <w:lang w:bidi="ar-SA"/>
              </w:rPr>
              <w:t>Implementation of PA management and business plans reports.</w:t>
            </w:r>
          </w:p>
        </w:tc>
        <w:tc>
          <w:tcPr>
            <w:tcW w:w="3060" w:type="dxa"/>
            <w:vMerge w:val="restart"/>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b/>
                <w:sz w:val="20"/>
                <w:szCs w:val="20"/>
                <w:lang w:bidi="ar-SA"/>
              </w:rPr>
              <w:t>Risk:</w:t>
            </w:r>
            <w:r w:rsidRPr="00CC26FB">
              <w:rPr>
                <w:rFonts w:eastAsia="Times New Roman" w:cs="Times New Roman"/>
                <w:sz w:val="20"/>
                <w:szCs w:val="20"/>
                <w:lang w:bidi="ar-SA"/>
              </w:rPr>
              <w:t xml:space="preserve"> </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Lack of political will slows down project efforts.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b/>
                <w:sz w:val="20"/>
                <w:szCs w:val="20"/>
                <w:lang w:bidi="ar-SA"/>
              </w:rPr>
              <w:t>Assumptions:</w:t>
            </w:r>
            <w:r w:rsidRPr="00CC26FB">
              <w:rPr>
                <w:rFonts w:eastAsia="Times New Roman" w:cs="Times New Roman"/>
                <w:sz w:val="20"/>
                <w:szCs w:val="20"/>
                <w:lang w:bidi="ar-SA"/>
              </w:rPr>
              <w:t xml:space="preserve"> </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The political commitment to establish a strong and effective CNPAs under the Carpathian Convention will facilitate project implementation.</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PA stakeholders are able to communicate in an efficient manner the needs and gaps of PAs, the value of PAs and the PAs contribution to productivity.</w:t>
            </w:r>
          </w:p>
          <w:p w:rsidR="00CC26FB" w:rsidRPr="00CC26FB" w:rsidRDefault="00CC26FB" w:rsidP="00CC26FB">
            <w:pPr>
              <w:spacing w:after="0" w:line="240" w:lineRule="auto"/>
              <w:jc w:val="both"/>
              <w:rPr>
                <w:rFonts w:eastAsia="Times New Roman" w:cs="Times New Roman"/>
                <w:b/>
                <w:bCs/>
                <w:sz w:val="20"/>
                <w:szCs w:val="20"/>
                <w:lang w:bidi="ar-SA"/>
              </w:rPr>
            </w:pPr>
            <w:r w:rsidRPr="00CC26FB">
              <w:rPr>
                <w:rFonts w:eastAsia="Times New Roman" w:cs="Times New Roman"/>
                <w:sz w:val="20"/>
                <w:szCs w:val="20"/>
                <w:lang w:bidi="ar-SA"/>
              </w:rPr>
              <w:t>Alliances with key decision makers in the government branches (legislative, judicial and executive), the private sector and civil society organizations are forged to support project implementation.</w:t>
            </w:r>
          </w:p>
        </w:tc>
      </w:tr>
      <w:tr w:rsidR="00CC26FB" w:rsidRPr="00CC26FB" w:rsidTr="00CC26FB">
        <w:trPr>
          <w:cantSplit/>
          <w:trHeight w:val="503"/>
        </w:trPr>
        <w:tc>
          <w:tcPr>
            <w:tcW w:w="1612" w:type="dxa"/>
            <w:vMerge/>
          </w:tcPr>
          <w:p w:rsidR="00CC26FB" w:rsidRPr="00CC26FB" w:rsidRDefault="00CC26FB" w:rsidP="00CC26FB">
            <w:pPr>
              <w:spacing w:after="0" w:line="240" w:lineRule="auto"/>
              <w:jc w:val="both"/>
              <w:rPr>
                <w:rFonts w:eastAsia="Times New Roman" w:cs="Times New Roman"/>
                <w:b/>
                <w:bCs/>
                <w:sz w:val="20"/>
                <w:szCs w:val="20"/>
                <w:lang w:bidi="ar-SA"/>
              </w:rPr>
            </w:pPr>
          </w:p>
        </w:tc>
        <w:tc>
          <w:tcPr>
            <w:tcW w:w="2276"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Trend in filling funding gap</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Stagnant</w:t>
            </w:r>
          </w:p>
        </w:tc>
        <w:tc>
          <w:tcPr>
            <w:tcW w:w="3060" w:type="dxa"/>
          </w:tcPr>
          <w:p w:rsidR="00CC26FB" w:rsidRPr="00CC26FB" w:rsidRDefault="00CC26FB" w:rsidP="00CC26FB">
            <w:pPr>
              <w:tabs>
                <w:tab w:val="left" w:pos="604"/>
              </w:tabs>
              <w:spacing w:after="0" w:line="240" w:lineRule="auto"/>
              <w:jc w:val="both"/>
              <w:rPr>
                <w:rFonts w:eastAsia="Times New Roman" w:cs="Times New Roman"/>
                <w:bCs/>
                <w:sz w:val="20"/>
                <w:szCs w:val="20"/>
                <w:lang w:bidi="ar-SA"/>
              </w:rPr>
            </w:pPr>
            <w:r w:rsidRPr="00CC26FB">
              <w:rPr>
                <w:rFonts w:eastAsia="Times New Roman" w:cs="Times New Roman"/>
                <w:bCs/>
                <w:sz w:val="20"/>
                <w:szCs w:val="20"/>
                <w:lang w:bidi="ar-SA"/>
              </w:rPr>
              <w:t>From Dec 2011, financial gaps are being gradually reduced a rate of 20% per year</w:t>
            </w:r>
          </w:p>
        </w:tc>
        <w:tc>
          <w:tcPr>
            <w:tcW w:w="2520" w:type="dxa"/>
            <w:vMerge/>
          </w:tcPr>
          <w:p w:rsidR="00CC26FB" w:rsidRPr="00CC26FB" w:rsidRDefault="00CC26FB" w:rsidP="00CC26FB">
            <w:pPr>
              <w:spacing w:after="0" w:line="240" w:lineRule="auto"/>
              <w:jc w:val="both"/>
              <w:rPr>
                <w:rFonts w:eastAsia="Times New Roman" w:cs="Times New Roman"/>
                <w:bCs/>
                <w:sz w:val="20"/>
                <w:szCs w:val="20"/>
                <w:lang w:bidi="ar-SA"/>
              </w:rPr>
            </w:pPr>
          </w:p>
        </w:tc>
        <w:tc>
          <w:tcPr>
            <w:tcW w:w="3060" w:type="dxa"/>
            <w:vMerge/>
          </w:tcPr>
          <w:p w:rsidR="00CC26FB" w:rsidRPr="00CC26FB" w:rsidRDefault="00CC26FB" w:rsidP="00CC26FB">
            <w:pPr>
              <w:spacing w:after="0" w:line="240" w:lineRule="auto"/>
              <w:jc w:val="both"/>
              <w:rPr>
                <w:rFonts w:eastAsia="Times New Roman" w:cs="Times New Roman"/>
                <w:b/>
                <w:sz w:val="20"/>
                <w:szCs w:val="20"/>
                <w:lang w:bidi="ar-SA"/>
              </w:rPr>
            </w:pPr>
          </w:p>
        </w:tc>
      </w:tr>
      <w:tr w:rsidR="00CC26FB" w:rsidRPr="00CC26FB" w:rsidTr="00CC26FB">
        <w:trPr>
          <w:cantSplit/>
          <w:trHeight w:val="503"/>
        </w:trPr>
        <w:tc>
          <w:tcPr>
            <w:tcW w:w="1612" w:type="dxa"/>
            <w:vMerge/>
          </w:tcPr>
          <w:p w:rsidR="00CC26FB" w:rsidRPr="00CC26FB" w:rsidRDefault="00CC26FB" w:rsidP="00CC26FB">
            <w:pPr>
              <w:spacing w:after="0" w:line="240" w:lineRule="auto"/>
              <w:jc w:val="both"/>
              <w:rPr>
                <w:rFonts w:eastAsia="Times New Roman" w:cs="Times New Roman"/>
                <w:b/>
                <w:bCs/>
                <w:sz w:val="20"/>
                <w:szCs w:val="20"/>
                <w:lang w:bidi="ar-SA"/>
              </w:rPr>
            </w:pPr>
          </w:p>
        </w:tc>
        <w:tc>
          <w:tcPr>
            <w:tcW w:w="2276"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xml:space="preserve">Coverage of Romanian Carpathian ecoregion with ensured financial sustainability </w:t>
            </w:r>
          </w:p>
        </w:tc>
        <w:tc>
          <w:tcPr>
            <w:tcW w:w="1800" w:type="dxa"/>
          </w:tcPr>
          <w:p w:rsidR="00CC26FB" w:rsidRPr="00CC26FB" w:rsidRDefault="00CC26FB" w:rsidP="00CC26FB">
            <w:pPr>
              <w:spacing w:after="0" w:line="240" w:lineRule="auto"/>
              <w:jc w:val="both"/>
              <w:rPr>
                <w:rFonts w:eastAsia="Times New Roman" w:cs="Times New Roman"/>
                <w:sz w:val="20"/>
                <w:szCs w:val="20"/>
                <w:lang w:val="fr-FR" w:bidi="ar-SA"/>
              </w:rPr>
            </w:pPr>
            <w:r w:rsidRPr="00CC26FB">
              <w:rPr>
                <w:rFonts w:eastAsia="Times New Roman" w:cs="Times New Roman"/>
                <w:sz w:val="20"/>
                <w:szCs w:val="20"/>
                <w:lang w:val="fr-FR" w:bidi="ar-SA"/>
              </w:rPr>
              <w:t>0 ha</w:t>
            </w:r>
          </w:p>
        </w:tc>
        <w:tc>
          <w:tcPr>
            <w:tcW w:w="3060" w:type="dxa"/>
          </w:tcPr>
          <w:p w:rsidR="00CC26FB" w:rsidRPr="00CC26FB" w:rsidRDefault="00CC26FB" w:rsidP="00CC26FB">
            <w:pPr>
              <w:tabs>
                <w:tab w:val="left" w:pos="604"/>
              </w:tabs>
              <w:spacing w:after="0" w:line="240" w:lineRule="auto"/>
              <w:jc w:val="both"/>
              <w:rPr>
                <w:rFonts w:eastAsia="Times New Roman" w:cs="Times New Roman"/>
                <w:bCs/>
                <w:sz w:val="20"/>
                <w:szCs w:val="20"/>
                <w:lang w:val="fr-FR" w:bidi="ar-SA"/>
              </w:rPr>
            </w:pPr>
            <w:r w:rsidRPr="00CC26FB">
              <w:rPr>
                <w:rFonts w:eastAsia="Times New Roman" w:cs="Times New Roman"/>
                <w:bCs/>
                <w:sz w:val="20"/>
                <w:szCs w:val="20"/>
                <w:lang w:val="fr-FR" w:bidi="ar-SA"/>
              </w:rPr>
              <w:t>&gt; 1 million ha.</w:t>
            </w:r>
          </w:p>
        </w:tc>
        <w:tc>
          <w:tcPr>
            <w:tcW w:w="2520" w:type="dxa"/>
            <w:vMerge/>
          </w:tcPr>
          <w:p w:rsidR="00CC26FB" w:rsidRPr="00CC26FB" w:rsidRDefault="00CC26FB" w:rsidP="00CC26FB">
            <w:pPr>
              <w:spacing w:after="0" w:line="240" w:lineRule="auto"/>
              <w:jc w:val="both"/>
              <w:rPr>
                <w:rFonts w:eastAsia="Times New Roman" w:cs="Times New Roman"/>
                <w:bCs/>
                <w:sz w:val="20"/>
                <w:szCs w:val="20"/>
                <w:lang w:val="fr-FR" w:bidi="ar-SA"/>
              </w:rPr>
            </w:pPr>
          </w:p>
        </w:tc>
        <w:tc>
          <w:tcPr>
            <w:tcW w:w="3060" w:type="dxa"/>
            <w:vMerge/>
          </w:tcPr>
          <w:p w:rsidR="00CC26FB" w:rsidRPr="00CC26FB" w:rsidRDefault="00CC26FB" w:rsidP="00CC26FB">
            <w:pPr>
              <w:spacing w:after="0" w:line="240" w:lineRule="auto"/>
              <w:jc w:val="both"/>
              <w:rPr>
                <w:rFonts w:eastAsia="Times New Roman" w:cs="Times New Roman"/>
                <w:b/>
                <w:sz w:val="20"/>
                <w:szCs w:val="20"/>
                <w:lang w:val="fr-FR" w:bidi="ar-SA"/>
              </w:rPr>
            </w:pPr>
          </w:p>
        </w:tc>
      </w:tr>
      <w:tr w:rsidR="00CC26FB" w:rsidRPr="00CC26FB" w:rsidTr="00CC26FB">
        <w:trPr>
          <w:cantSplit/>
        </w:trPr>
        <w:tc>
          <w:tcPr>
            <w:tcW w:w="1612" w:type="dxa"/>
            <w:vMerge w:val="restart"/>
          </w:tcPr>
          <w:p w:rsidR="00CC26FB" w:rsidRPr="00CC26FB" w:rsidRDefault="00CC26FB" w:rsidP="00CC26FB">
            <w:pPr>
              <w:spacing w:after="0" w:line="240" w:lineRule="auto"/>
              <w:jc w:val="both"/>
              <w:rPr>
                <w:rFonts w:eastAsia="Times New Roman" w:cs="Times New Roman"/>
                <w:b/>
                <w:sz w:val="20"/>
                <w:szCs w:val="20"/>
                <w:lang w:val="fr-FR" w:bidi="ar-SA"/>
              </w:rPr>
            </w:pPr>
            <w:r w:rsidRPr="00CC26FB">
              <w:rPr>
                <w:rFonts w:eastAsia="Times New Roman" w:cs="Times New Roman"/>
                <w:b/>
                <w:sz w:val="20"/>
                <w:szCs w:val="20"/>
                <w:lang w:val="fr-FR" w:bidi="ar-SA"/>
              </w:rPr>
              <w:t>Component 1.</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Supportive legislative framework and Sustainable PA Financing Strategy</w:t>
            </w:r>
          </w:p>
        </w:tc>
        <w:tc>
          <w:tcPr>
            <w:tcW w:w="2276"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Number of PA finance law and regulations reformed</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0</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5 (central transfers, tourism, environmental compensation, payments for ecosystems services)</w:t>
            </w:r>
          </w:p>
        </w:tc>
        <w:tc>
          <w:tcPr>
            <w:tcW w:w="2520" w:type="dxa"/>
            <w:vMerge w:val="restart"/>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PA needs and gaps document.</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Studies on PA valuation and contribution to productivity  completed and communicated.</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xml:space="preserve">Agreed agenda and records of increased transfer </w:t>
            </w:r>
            <w:r w:rsidRPr="00CC26FB">
              <w:rPr>
                <w:rFonts w:eastAsia="Times New Roman" w:cs="Times New Roman"/>
                <w:sz w:val="20"/>
                <w:szCs w:val="20"/>
                <w:lang w:bidi="ar-SA"/>
              </w:rPr>
              <w:lastRenderedPageBreak/>
              <w:t>from government.</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SFS document</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Reports on financial gaps reductions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SFS implementation reports.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Financial and auditing reports.</w:t>
            </w:r>
          </w:p>
        </w:tc>
        <w:tc>
          <w:tcPr>
            <w:tcW w:w="3060" w:type="dxa"/>
            <w:vMerge w:val="restart"/>
          </w:tcPr>
          <w:p w:rsidR="00CC26FB" w:rsidRPr="00CC26FB" w:rsidRDefault="00CC26FB" w:rsidP="00CC26FB">
            <w:pPr>
              <w:spacing w:after="0" w:line="240" w:lineRule="auto"/>
              <w:jc w:val="both"/>
              <w:rPr>
                <w:rFonts w:eastAsia="Times New Roman" w:cs="Times New Roman"/>
                <w:b/>
                <w:sz w:val="20"/>
                <w:szCs w:val="20"/>
                <w:lang w:bidi="ar-SA"/>
              </w:rPr>
            </w:pPr>
            <w:r w:rsidRPr="00CC26FB">
              <w:rPr>
                <w:rFonts w:eastAsia="Times New Roman" w:cs="Times New Roman"/>
                <w:b/>
                <w:sz w:val="20"/>
                <w:szCs w:val="20"/>
                <w:lang w:bidi="ar-SA"/>
              </w:rPr>
              <w:lastRenderedPageBreak/>
              <w:t>Risks: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xml:space="preserve">PA financing-low in the political agenda. Changes proposed to amend the current legislative framework will not be officially approved during the life span of the project. </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lastRenderedPageBreak/>
              <w:t>Key stakeholders (public and private) fail to get involved in co-management and sponsorship.</w:t>
            </w:r>
          </w:p>
          <w:p w:rsidR="00CC26FB" w:rsidRPr="00CC26FB" w:rsidRDefault="00CC26FB" w:rsidP="00CC26FB">
            <w:pPr>
              <w:spacing w:after="0" w:line="240" w:lineRule="auto"/>
              <w:jc w:val="both"/>
              <w:rPr>
                <w:rFonts w:eastAsia="Times New Roman" w:cs="Times New Roman"/>
                <w:b/>
                <w:sz w:val="20"/>
                <w:szCs w:val="20"/>
                <w:lang w:bidi="ar-SA"/>
              </w:rPr>
            </w:pPr>
            <w:r w:rsidRPr="00CC26FB">
              <w:rPr>
                <w:rFonts w:eastAsia="Times New Roman" w:cs="Times New Roman"/>
                <w:sz w:val="20"/>
                <w:szCs w:val="20"/>
                <w:lang w:bidi="ar-SA"/>
              </w:rPr>
              <w:t>Pressure from development on the protected areas result in continued de facto open access to resources within them and in buffer zones</w:t>
            </w:r>
          </w:p>
          <w:p w:rsidR="00CC26FB" w:rsidRPr="00CC26FB" w:rsidRDefault="00CC26FB" w:rsidP="00CC26FB">
            <w:pPr>
              <w:spacing w:after="0" w:line="240" w:lineRule="auto"/>
              <w:jc w:val="both"/>
              <w:rPr>
                <w:rFonts w:eastAsia="Times New Roman" w:cs="Times New Roman"/>
                <w:b/>
                <w:sz w:val="20"/>
                <w:szCs w:val="20"/>
                <w:lang w:bidi="ar-SA"/>
              </w:rPr>
            </w:pPr>
            <w:r w:rsidRPr="00CC26FB">
              <w:rPr>
                <w:rFonts w:eastAsia="Times New Roman" w:cs="Times New Roman"/>
                <w:b/>
                <w:sz w:val="20"/>
                <w:szCs w:val="20"/>
                <w:lang w:bidi="ar-SA"/>
              </w:rPr>
              <w:t>Assumptions: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Continuous dialogue and involvement of decision-makers is conducted in order to prioritize approval of the new legislative framework for PA financing, and implementation of the SFS.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xml:space="preserve">Consultations and communication campaign on socio-economic benefits of PAs and benefits to corporate image will be conducted to secure involvement of public and private institutions. </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xml:space="preserve">A strong communication strategy mobilizes political ownership from start. </w:t>
            </w:r>
          </w:p>
        </w:tc>
      </w:tr>
      <w:tr w:rsidR="00CC26FB" w:rsidRPr="00CC26FB" w:rsidTr="00CC26FB">
        <w:trPr>
          <w:cantSplit/>
        </w:trPr>
        <w:tc>
          <w:tcPr>
            <w:tcW w:w="1612" w:type="dxa"/>
            <w:vMerge/>
          </w:tcPr>
          <w:p w:rsidR="00CC26FB" w:rsidRPr="00CC26FB" w:rsidRDefault="00CC26FB" w:rsidP="00CC26FB">
            <w:pPr>
              <w:spacing w:after="0" w:line="240" w:lineRule="auto"/>
              <w:jc w:val="both"/>
              <w:rPr>
                <w:rFonts w:eastAsia="Times New Roman" w:cs="Times New Roman"/>
                <w:b/>
                <w:sz w:val="20"/>
                <w:szCs w:val="20"/>
                <w:lang w:bidi="ar-SA"/>
              </w:rPr>
            </w:pPr>
          </w:p>
        </w:tc>
        <w:tc>
          <w:tcPr>
            <w:tcW w:w="2276"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Funding gap for the Romanian Carpathian PA system:</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$4 M (basic needs)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$11M (optimal).</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&lt;$1 M (basic needs)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&lt;$5 M (optimal needs)</w:t>
            </w:r>
          </w:p>
        </w:tc>
        <w:tc>
          <w:tcPr>
            <w:tcW w:w="2520" w:type="dxa"/>
            <w:vMerge/>
          </w:tcPr>
          <w:p w:rsidR="00CC26FB" w:rsidRPr="00CC26FB" w:rsidRDefault="00CC26FB" w:rsidP="00CC26FB">
            <w:pPr>
              <w:spacing w:after="0" w:line="240" w:lineRule="auto"/>
              <w:jc w:val="both"/>
              <w:rPr>
                <w:rFonts w:eastAsia="Times New Roman" w:cs="Times New Roman"/>
                <w:sz w:val="20"/>
                <w:szCs w:val="20"/>
                <w:lang w:bidi="ar-SA"/>
              </w:rPr>
            </w:pPr>
          </w:p>
        </w:tc>
        <w:tc>
          <w:tcPr>
            <w:tcW w:w="3060" w:type="dxa"/>
            <w:vMerge/>
          </w:tcPr>
          <w:p w:rsidR="00CC26FB" w:rsidRPr="00CC26FB" w:rsidRDefault="00CC26FB" w:rsidP="00CC26FB">
            <w:pPr>
              <w:spacing w:after="0" w:line="240" w:lineRule="auto"/>
              <w:jc w:val="both"/>
              <w:rPr>
                <w:rFonts w:eastAsia="Times New Roman" w:cs="Times New Roman"/>
                <w:sz w:val="20"/>
                <w:szCs w:val="20"/>
                <w:lang w:bidi="ar-SA"/>
              </w:rPr>
            </w:pPr>
          </w:p>
        </w:tc>
      </w:tr>
      <w:tr w:rsidR="00CC26FB" w:rsidRPr="00CC26FB" w:rsidTr="00CC26FB">
        <w:trPr>
          <w:cantSplit/>
        </w:trPr>
        <w:tc>
          <w:tcPr>
            <w:tcW w:w="1612" w:type="dxa"/>
            <w:vMerge/>
          </w:tcPr>
          <w:p w:rsidR="00CC26FB" w:rsidRPr="00CC26FB" w:rsidRDefault="00CC26FB" w:rsidP="00CC26FB">
            <w:pPr>
              <w:spacing w:after="0" w:line="240" w:lineRule="auto"/>
              <w:jc w:val="both"/>
              <w:rPr>
                <w:rFonts w:eastAsia="Times New Roman" w:cs="Times New Roman"/>
                <w:b/>
                <w:sz w:val="20"/>
                <w:szCs w:val="20"/>
                <w:lang w:bidi="ar-SA"/>
              </w:rPr>
            </w:pPr>
          </w:p>
        </w:tc>
        <w:tc>
          <w:tcPr>
            <w:tcW w:w="2276"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Amount of allocations from Ministry of Environment for Carpathian PAs</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App.0</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By De. 2013, central budget allocation provision are available in the amount of &gt; 1 million USD</w:t>
            </w:r>
          </w:p>
        </w:tc>
        <w:tc>
          <w:tcPr>
            <w:tcW w:w="2520" w:type="dxa"/>
            <w:vMerge/>
          </w:tcPr>
          <w:p w:rsidR="00CC26FB" w:rsidRPr="00CC26FB" w:rsidRDefault="00CC26FB" w:rsidP="00CC26FB">
            <w:pPr>
              <w:spacing w:after="0" w:line="240" w:lineRule="auto"/>
              <w:jc w:val="both"/>
              <w:rPr>
                <w:rFonts w:eastAsia="Times New Roman" w:cs="Times New Roman"/>
                <w:sz w:val="20"/>
                <w:szCs w:val="20"/>
                <w:lang w:bidi="ar-SA"/>
              </w:rPr>
            </w:pPr>
          </w:p>
        </w:tc>
        <w:tc>
          <w:tcPr>
            <w:tcW w:w="3060" w:type="dxa"/>
            <w:vMerge/>
          </w:tcPr>
          <w:p w:rsidR="00CC26FB" w:rsidRPr="00CC26FB" w:rsidRDefault="00CC26FB" w:rsidP="00CC26FB">
            <w:pPr>
              <w:spacing w:after="0" w:line="240" w:lineRule="auto"/>
              <w:jc w:val="both"/>
              <w:rPr>
                <w:rFonts w:eastAsia="Times New Roman" w:cs="Times New Roman"/>
                <w:sz w:val="20"/>
                <w:szCs w:val="20"/>
                <w:lang w:bidi="ar-SA"/>
              </w:rPr>
            </w:pPr>
          </w:p>
        </w:tc>
      </w:tr>
      <w:tr w:rsidR="00CC26FB" w:rsidRPr="00CC26FB" w:rsidTr="00CC26FB">
        <w:trPr>
          <w:cantSplit/>
        </w:trPr>
        <w:tc>
          <w:tcPr>
            <w:tcW w:w="1612" w:type="dxa"/>
            <w:vMerge/>
          </w:tcPr>
          <w:p w:rsidR="00CC26FB" w:rsidRPr="00CC26FB" w:rsidRDefault="00CC26FB" w:rsidP="00CC26FB">
            <w:pPr>
              <w:spacing w:after="0" w:line="240" w:lineRule="auto"/>
              <w:jc w:val="both"/>
              <w:rPr>
                <w:rFonts w:eastAsia="Times New Roman" w:cs="Times New Roman"/>
                <w:b/>
                <w:sz w:val="20"/>
                <w:szCs w:val="20"/>
                <w:lang w:bidi="ar-SA"/>
              </w:rPr>
            </w:pPr>
          </w:p>
        </w:tc>
        <w:tc>
          <w:tcPr>
            <w:tcW w:w="2276"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napToGrid w:val="0"/>
                <w:sz w:val="20"/>
                <w:szCs w:val="20"/>
                <w:lang w:bidi="ar-SA"/>
              </w:rPr>
              <w:t>Compensation payments to forest users</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App. 30%</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40% (December 2013)</w:t>
            </w:r>
          </w:p>
        </w:tc>
        <w:tc>
          <w:tcPr>
            <w:tcW w:w="2520" w:type="dxa"/>
            <w:vMerge/>
          </w:tcPr>
          <w:p w:rsidR="00CC26FB" w:rsidRPr="00CC26FB" w:rsidRDefault="00CC26FB" w:rsidP="00CC26FB">
            <w:pPr>
              <w:spacing w:after="0" w:line="240" w:lineRule="auto"/>
              <w:jc w:val="both"/>
              <w:rPr>
                <w:rFonts w:eastAsia="Times New Roman" w:cs="Times New Roman"/>
                <w:sz w:val="20"/>
                <w:szCs w:val="20"/>
                <w:lang w:bidi="ar-SA"/>
              </w:rPr>
            </w:pPr>
          </w:p>
        </w:tc>
        <w:tc>
          <w:tcPr>
            <w:tcW w:w="3060" w:type="dxa"/>
            <w:vMerge/>
          </w:tcPr>
          <w:p w:rsidR="00CC26FB" w:rsidRPr="00CC26FB" w:rsidRDefault="00CC26FB" w:rsidP="00CC26FB">
            <w:pPr>
              <w:spacing w:after="0" w:line="240" w:lineRule="auto"/>
              <w:jc w:val="both"/>
              <w:rPr>
                <w:rFonts w:eastAsia="Times New Roman" w:cs="Times New Roman"/>
                <w:sz w:val="20"/>
                <w:szCs w:val="20"/>
                <w:lang w:bidi="ar-SA"/>
              </w:rPr>
            </w:pPr>
          </w:p>
        </w:tc>
      </w:tr>
      <w:tr w:rsidR="00CC26FB" w:rsidRPr="00CC26FB" w:rsidTr="00CC26FB">
        <w:trPr>
          <w:cantSplit/>
        </w:trPr>
        <w:tc>
          <w:tcPr>
            <w:tcW w:w="1612" w:type="dxa"/>
            <w:vMerge/>
          </w:tcPr>
          <w:p w:rsidR="00CC26FB" w:rsidRPr="00CC26FB" w:rsidRDefault="00CC26FB" w:rsidP="00CC26FB">
            <w:pPr>
              <w:spacing w:after="0" w:line="240" w:lineRule="auto"/>
              <w:jc w:val="both"/>
              <w:rPr>
                <w:rFonts w:eastAsia="Times New Roman" w:cs="Times New Roman"/>
                <w:b/>
                <w:sz w:val="20"/>
                <w:szCs w:val="20"/>
                <w:lang w:bidi="ar-SA"/>
              </w:rPr>
            </w:pPr>
          </w:p>
        </w:tc>
        <w:tc>
          <w:tcPr>
            <w:tcW w:w="2276" w:type="dxa"/>
          </w:tcPr>
          <w:p w:rsidR="00CC26FB" w:rsidRPr="00CC26FB" w:rsidRDefault="00CC26FB" w:rsidP="00CC26FB">
            <w:pPr>
              <w:spacing w:after="0" w:line="240" w:lineRule="auto"/>
              <w:jc w:val="both"/>
              <w:rPr>
                <w:rFonts w:eastAsia="Times New Roman" w:cs="Times New Roman"/>
                <w:snapToGrid w:val="0"/>
                <w:sz w:val="20"/>
                <w:szCs w:val="20"/>
                <w:lang w:bidi="ar-SA"/>
              </w:rPr>
            </w:pPr>
            <w:r w:rsidRPr="00CC26FB">
              <w:rPr>
                <w:rFonts w:eastAsia="Times New Roman" w:cs="Times New Roman"/>
                <w:snapToGrid w:val="0"/>
                <w:sz w:val="20"/>
                <w:szCs w:val="20"/>
                <w:lang w:bidi="ar-SA"/>
              </w:rPr>
              <w:t>Number and level of central budget transfers.</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None</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Twice a tear by Dec. 2011</w:t>
            </w:r>
          </w:p>
        </w:tc>
        <w:tc>
          <w:tcPr>
            <w:tcW w:w="2520" w:type="dxa"/>
            <w:vMerge/>
          </w:tcPr>
          <w:p w:rsidR="00CC26FB" w:rsidRPr="00CC26FB" w:rsidRDefault="00CC26FB" w:rsidP="00CC26FB">
            <w:pPr>
              <w:spacing w:after="0" w:line="240" w:lineRule="auto"/>
              <w:jc w:val="both"/>
              <w:rPr>
                <w:rFonts w:eastAsia="Times New Roman" w:cs="Times New Roman"/>
                <w:sz w:val="20"/>
                <w:szCs w:val="20"/>
                <w:lang w:bidi="ar-SA"/>
              </w:rPr>
            </w:pPr>
          </w:p>
        </w:tc>
        <w:tc>
          <w:tcPr>
            <w:tcW w:w="3060" w:type="dxa"/>
            <w:vMerge/>
          </w:tcPr>
          <w:p w:rsidR="00CC26FB" w:rsidRPr="00CC26FB" w:rsidRDefault="00CC26FB" w:rsidP="00CC26FB">
            <w:pPr>
              <w:spacing w:after="0" w:line="240" w:lineRule="auto"/>
              <w:jc w:val="both"/>
              <w:rPr>
                <w:rFonts w:eastAsia="Times New Roman" w:cs="Times New Roman"/>
                <w:sz w:val="20"/>
                <w:szCs w:val="20"/>
                <w:lang w:bidi="ar-SA"/>
              </w:rPr>
            </w:pPr>
          </w:p>
        </w:tc>
      </w:tr>
      <w:tr w:rsidR="00CC26FB" w:rsidRPr="00CC26FB" w:rsidTr="00CC26FB">
        <w:trPr>
          <w:cantSplit/>
        </w:trPr>
        <w:tc>
          <w:tcPr>
            <w:tcW w:w="1612" w:type="dxa"/>
            <w:vMerge/>
          </w:tcPr>
          <w:p w:rsidR="00CC26FB" w:rsidRPr="00CC26FB" w:rsidRDefault="00CC26FB" w:rsidP="00CC26FB">
            <w:pPr>
              <w:spacing w:after="0" w:line="240" w:lineRule="auto"/>
              <w:jc w:val="both"/>
              <w:rPr>
                <w:rFonts w:eastAsia="Times New Roman" w:cs="Times New Roman"/>
                <w:b/>
                <w:sz w:val="20"/>
                <w:szCs w:val="20"/>
                <w:lang w:bidi="ar-SA"/>
              </w:rPr>
            </w:pPr>
          </w:p>
        </w:tc>
        <w:tc>
          <w:tcPr>
            <w:tcW w:w="2276"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Number of cases for environmental compensation and level of fees</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None</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3 by Dec. 2013</w:t>
            </w:r>
          </w:p>
        </w:tc>
        <w:tc>
          <w:tcPr>
            <w:tcW w:w="2520" w:type="dxa"/>
            <w:vMerge/>
          </w:tcPr>
          <w:p w:rsidR="00CC26FB" w:rsidRPr="00CC26FB" w:rsidRDefault="00CC26FB" w:rsidP="00CC26FB">
            <w:pPr>
              <w:spacing w:after="0" w:line="240" w:lineRule="auto"/>
              <w:jc w:val="both"/>
              <w:rPr>
                <w:rFonts w:eastAsia="Times New Roman" w:cs="Times New Roman"/>
                <w:sz w:val="20"/>
                <w:szCs w:val="20"/>
                <w:lang w:bidi="ar-SA"/>
              </w:rPr>
            </w:pPr>
          </w:p>
        </w:tc>
        <w:tc>
          <w:tcPr>
            <w:tcW w:w="3060" w:type="dxa"/>
            <w:vMerge/>
          </w:tcPr>
          <w:p w:rsidR="00CC26FB" w:rsidRPr="00CC26FB" w:rsidRDefault="00CC26FB" w:rsidP="00CC26FB">
            <w:pPr>
              <w:spacing w:after="0" w:line="240" w:lineRule="auto"/>
              <w:jc w:val="both"/>
              <w:rPr>
                <w:rFonts w:eastAsia="Times New Roman" w:cs="Times New Roman"/>
                <w:sz w:val="20"/>
                <w:szCs w:val="20"/>
                <w:lang w:bidi="ar-SA"/>
              </w:rPr>
            </w:pPr>
          </w:p>
        </w:tc>
      </w:tr>
      <w:tr w:rsidR="00CC26FB" w:rsidRPr="00CC26FB" w:rsidTr="00CC26FB">
        <w:trPr>
          <w:cantSplit/>
        </w:trPr>
        <w:tc>
          <w:tcPr>
            <w:tcW w:w="1612" w:type="dxa"/>
            <w:vMerge/>
          </w:tcPr>
          <w:p w:rsidR="00CC26FB" w:rsidRPr="00CC26FB" w:rsidRDefault="00CC26FB" w:rsidP="00CC26FB">
            <w:pPr>
              <w:spacing w:after="0" w:line="240" w:lineRule="auto"/>
              <w:jc w:val="both"/>
              <w:rPr>
                <w:rFonts w:eastAsia="Times New Roman" w:cs="Times New Roman"/>
                <w:b/>
                <w:bCs/>
                <w:sz w:val="20"/>
                <w:szCs w:val="20"/>
                <w:lang w:bidi="ar-SA"/>
              </w:rPr>
            </w:pPr>
          </w:p>
        </w:tc>
        <w:tc>
          <w:tcPr>
            <w:tcW w:w="2276" w:type="dxa"/>
          </w:tcPr>
          <w:p w:rsidR="00CC26FB" w:rsidRPr="00CC26FB" w:rsidRDefault="00CC26FB" w:rsidP="00CC26FB">
            <w:pPr>
              <w:spacing w:after="0" w:line="240" w:lineRule="auto"/>
              <w:jc w:val="both"/>
              <w:rPr>
                <w:rFonts w:eastAsia="Times New Roman" w:cs="Times New Roman"/>
                <w:snapToGrid w:val="0"/>
                <w:sz w:val="20"/>
                <w:szCs w:val="20"/>
                <w:lang w:bidi="ar-SA"/>
              </w:rPr>
            </w:pPr>
            <w:r w:rsidRPr="00CC26FB">
              <w:rPr>
                <w:rFonts w:eastAsia="Times New Roman" w:cs="Times New Roman"/>
                <w:snapToGrid w:val="0"/>
                <w:sz w:val="20"/>
                <w:szCs w:val="20"/>
                <w:lang w:bidi="ar-SA"/>
              </w:rPr>
              <w:t># of sites in Carpathians with business plans and cost-reduction strategies</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0</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5 by Dec. 2013</w:t>
            </w:r>
          </w:p>
        </w:tc>
        <w:tc>
          <w:tcPr>
            <w:tcW w:w="2520" w:type="dxa"/>
            <w:vMerge/>
          </w:tcPr>
          <w:p w:rsidR="00CC26FB" w:rsidRPr="00CC26FB" w:rsidRDefault="00CC26FB" w:rsidP="00CC26FB">
            <w:pPr>
              <w:spacing w:after="0" w:line="240" w:lineRule="auto"/>
              <w:jc w:val="both"/>
              <w:rPr>
                <w:rFonts w:eastAsia="Times New Roman" w:cs="Times New Roman"/>
                <w:sz w:val="20"/>
                <w:szCs w:val="20"/>
                <w:lang w:bidi="ar-SA"/>
              </w:rPr>
            </w:pPr>
          </w:p>
        </w:tc>
        <w:tc>
          <w:tcPr>
            <w:tcW w:w="3060" w:type="dxa"/>
            <w:vMerge/>
          </w:tcPr>
          <w:p w:rsidR="00CC26FB" w:rsidRPr="00CC26FB" w:rsidRDefault="00CC26FB" w:rsidP="00CC26FB">
            <w:pPr>
              <w:spacing w:after="0" w:line="240" w:lineRule="auto"/>
              <w:jc w:val="both"/>
              <w:rPr>
                <w:rFonts w:eastAsia="Times New Roman" w:cs="Times New Roman"/>
                <w:sz w:val="20"/>
                <w:szCs w:val="20"/>
                <w:lang w:bidi="ar-SA"/>
              </w:rPr>
            </w:pPr>
          </w:p>
        </w:tc>
      </w:tr>
      <w:tr w:rsidR="00CC26FB" w:rsidRPr="00CC26FB" w:rsidTr="00CC26FB">
        <w:trPr>
          <w:cantSplit/>
        </w:trPr>
        <w:tc>
          <w:tcPr>
            <w:tcW w:w="1612" w:type="dxa"/>
            <w:vMerge/>
          </w:tcPr>
          <w:p w:rsidR="00CC26FB" w:rsidRPr="00CC26FB" w:rsidRDefault="00CC26FB" w:rsidP="00CC26FB">
            <w:pPr>
              <w:spacing w:after="0" w:line="240" w:lineRule="auto"/>
              <w:jc w:val="both"/>
              <w:rPr>
                <w:rFonts w:eastAsia="Times New Roman" w:cs="Times New Roman"/>
                <w:sz w:val="20"/>
                <w:szCs w:val="20"/>
                <w:lang w:bidi="ar-SA"/>
              </w:rPr>
            </w:pPr>
          </w:p>
        </w:tc>
        <w:tc>
          <w:tcPr>
            <w:tcW w:w="2276"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xml:space="preserve">Number of sites with diversified market-based instruments for PA funding </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0</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At least 3</w:t>
            </w:r>
          </w:p>
        </w:tc>
        <w:tc>
          <w:tcPr>
            <w:tcW w:w="2520" w:type="dxa"/>
            <w:vMerge/>
          </w:tcPr>
          <w:p w:rsidR="00CC26FB" w:rsidRPr="00CC26FB" w:rsidRDefault="00CC26FB" w:rsidP="00CC26FB">
            <w:pPr>
              <w:spacing w:after="0" w:line="240" w:lineRule="auto"/>
              <w:jc w:val="both"/>
              <w:rPr>
                <w:rFonts w:eastAsia="Times New Roman" w:cs="Times New Roman"/>
                <w:sz w:val="20"/>
                <w:szCs w:val="20"/>
                <w:lang w:bidi="ar-SA"/>
              </w:rPr>
            </w:pPr>
          </w:p>
        </w:tc>
        <w:tc>
          <w:tcPr>
            <w:tcW w:w="3060" w:type="dxa"/>
            <w:vMerge/>
          </w:tcPr>
          <w:p w:rsidR="00CC26FB" w:rsidRPr="00CC26FB" w:rsidRDefault="00CC26FB" w:rsidP="00CC26FB">
            <w:pPr>
              <w:spacing w:after="0" w:line="240" w:lineRule="auto"/>
              <w:jc w:val="both"/>
              <w:rPr>
                <w:rFonts w:eastAsia="Times New Roman" w:cs="Times New Roman"/>
                <w:sz w:val="20"/>
                <w:szCs w:val="20"/>
                <w:lang w:bidi="ar-SA"/>
              </w:rPr>
            </w:pPr>
          </w:p>
        </w:tc>
      </w:tr>
      <w:tr w:rsidR="00CC26FB" w:rsidRPr="00CC26FB" w:rsidTr="00CC26FB">
        <w:trPr>
          <w:cantSplit/>
        </w:trPr>
        <w:tc>
          <w:tcPr>
            <w:tcW w:w="1612" w:type="dxa"/>
            <w:vMerge/>
          </w:tcPr>
          <w:p w:rsidR="00CC26FB" w:rsidRPr="00CC26FB" w:rsidRDefault="00CC26FB" w:rsidP="00CC26FB">
            <w:pPr>
              <w:spacing w:after="0" w:line="240" w:lineRule="auto"/>
              <w:jc w:val="both"/>
              <w:rPr>
                <w:rFonts w:eastAsia="Times New Roman" w:cs="Times New Roman"/>
                <w:sz w:val="20"/>
                <w:szCs w:val="20"/>
                <w:lang w:bidi="ar-SA"/>
              </w:rPr>
            </w:pPr>
          </w:p>
        </w:tc>
        <w:tc>
          <w:tcPr>
            <w:tcW w:w="2276"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Number of cost-saving strategies in place at PA system level</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0</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&gt;10</w:t>
            </w:r>
          </w:p>
        </w:tc>
        <w:tc>
          <w:tcPr>
            <w:tcW w:w="252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of full and part-time staff.</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of volume purchases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Life span of goods and equip.</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of co-management agreement</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of volunteers programs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of corporate sponsorships</w:t>
            </w:r>
          </w:p>
        </w:tc>
        <w:tc>
          <w:tcPr>
            <w:tcW w:w="3060" w:type="dxa"/>
            <w:vMerge/>
          </w:tcPr>
          <w:p w:rsidR="00CC26FB" w:rsidRPr="00CC26FB" w:rsidRDefault="00CC26FB" w:rsidP="00CC26FB">
            <w:pPr>
              <w:spacing w:after="0" w:line="240" w:lineRule="auto"/>
              <w:jc w:val="both"/>
              <w:rPr>
                <w:rFonts w:eastAsia="Times New Roman" w:cs="Times New Roman"/>
                <w:sz w:val="20"/>
                <w:szCs w:val="20"/>
                <w:lang w:bidi="ar-SA"/>
              </w:rPr>
            </w:pPr>
          </w:p>
        </w:tc>
      </w:tr>
      <w:tr w:rsidR="00CC26FB" w:rsidRPr="00CC26FB" w:rsidTr="00CC26FB">
        <w:trPr>
          <w:cantSplit/>
        </w:trPr>
        <w:tc>
          <w:tcPr>
            <w:tcW w:w="1612" w:type="dxa"/>
            <w:vMerge w:val="restart"/>
            <w:tcBorders>
              <w:left w:val="single" w:sz="4" w:space="0" w:color="auto"/>
              <w:right w:val="single" w:sz="4" w:space="0" w:color="auto"/>
            </w:tcBorders>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b/>
                <w:sz w:val="20"/>
                <w:szCs w:val="20"/>
                <w:lang w:bidi="ar-SA"/>
              </w:rPr>
              <w:lastRenderedPageBreak/>
              <w:t>Component 2.</w:t>
            </w:r>
            <w:r w:rsidRPr="00CC26FB">
              <w:rPr>
                <w:rFonts w:eastAsia="Times New Roman" w:cs="Times New Roman"/>
                <w:sz w:val="20"/>
                <w:szCs w:val="20"/>
                <w:lang w:bidi="ar-SA"/>
              </w:rPr>
              <w:t xml:space="preserve"> </w:t>
            </w:r>
          </w:p>
          <w:p w:rsidR="00CC26FB" w:rsidRPr="00CC26FB" w:rsidRDefault="00CC26FB" w:rsidP="00CC26FB">
            <w:pPr>
              <w:spacing w:after="0" w:line="240" w:lineRule="auto"/>
              <w:jc w:val="both"/>
              <w:rPr>
                <w:rFonts w:eastAsia="Times New Roman" w:cs="Times New Roman"/>
                <w:b/>
                <w:bCs/>
                <w:sz w:val="20"/>
                <w:szCs w:val="20"/>
                <w:lang w:bidi="ar-SA"/>
              </w:rPr>
            </w:pPr>
            <w:r w:rsidRPr="00CC26FB">
              <w:rPr>
                <w:rFonts w:eastAsia="Times New Roman" w:cs="Times New Roman"/>
                <w:sz w:val="20"/>
                <w:szCs w:val="20"/>
                <w:lang w:bidi="ar-SA"/>
              </w:rPr>
              <w:t>Institutional and individual capacities of management authorities and other local stakeholders to realize sustainable financing of PAs developed</w:t>
            </w:r>
          </w:p>
        </w:tc>
        <w:tc>
          <w:tcPr>
            <w:tcW w:w="2276" w:type="dxa"/>
            <w:tcBorders>
              <w:left w:val="single" w:sz="4" w:space="0" w:color="auto"/>
            </w:tcBorders>
          </w:tcPr>
          <w:p w:rsidR="00CC26FB" w:rsidRPr="00CC26FB" w:rsidRDefault="00CC26FB" w:rsidP="00CC26FB">
            <w:pPr>
              <w:spacing w:after="0" w:line="240" w:lineRule="auto"/>
              <w:jc w:val="both"/>
              <w:rPr>
                <w:rFonts w:eastAsia="Times New Roman" w:cs="Times New Roman"/>
                <w:snapToGrid w:val="0"/>
                <w:sz w:val="20"/>
                <w:szCs w:val="20"/>
                <w:lang w:bidi="ar-SA"/>
              </w:rPr>
            </w:pPr>
            <w:r w:rsidRPr="00CC26FB">
              <w:rPr>
                <w:rFonts w:eastAsia="Times New Roman" w:cs="Times New Roman"/>
                <w:snapToGrid w:val="0"/>
                <w:sz w:val="20"/>
                <w:szCs w:val="20"/>
                <w:lang w:bidi="ar-SA"/>
              </w:rPr>
              <w:t xml:space="preserve"># of PA staff trained in effective financial management of PAs </w:t>
            </w:r>
          </w:p>
          <w:p w:rsidR="00CC26FB" w:rsidRPr="00CC26FB" w:rsidRDefault="00CC26FB" w:rsidP="00CC26FB">
            <w:pPr>
              <w:spacing w:after="0" w:line="240" w:lineRule="auto"/>
              <w:jc w:val="both"/>
              <w:rPr>
                <w:rFonts w:eastAsia="Times New Roman" w:cs="Times New Roman"/>
                <w:snapToGrid w:val="0"/>
                <w:sz w:val="20"/>
                <w:szCs w:val="20"/>
                <w:lang w:bidi="ar-SA"/>
              </w:rPr>
            </w:pPr>
          </w:p>
          <w:p w:rsidR="00CC26FB" w:rsidRPr="00CC26FB" w:rsidRDefault="00CC26FB" w:rsidP="00CC26FB">
            <w:pPr>
              <w:spacing w:after="0" w:line="240" w:lineRule="auto"/>
              <w:jc w:val="both"/>
              <w:rPr>
                <w:rFonts w:eastAsia="Times New Roman" w:cs="Times New Roman"/>
                <w:snapToGrid w:val="0"/>
                <w:sz w:val="20"/>
                <w:szCs w:val="20"/>
                <w:lang w:bidi="ar-SA"/>
              </w:rPr>
            </w:pPr>
            <w:r w:rsidRPr="00CC26FB">
              <w:rPr>
                <w:rFonts w:eastAsia="Times New Roman" w:cs="Times New Roman"/>
                <w:snapToGrid w:val="0"/>
                <w:sz w:val="20"/>
                <w:szCs w:val="20"/>
                <w:lang w:bidi="ar-SA"/>
              </w:rPr>
              <w:t># of Champion PA Finance Leaders” graduated</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0</w:t>
            </w:r>
          </w:p>
          <w:p w:rsidR="00CC26FB" w:rsidRPr="00CC26FB" w:rsidRDefault="00CC26FB" w:rsidP="00CC26FB">
            <w:pPr>
              <w:spacing w:after="0" w:line="240" w:lineRule="auto"/>
              <w:jc w:val="both"/>
              <w:rPr>
                <w:rFonts w:eastAsia="Times New Roman" w:cs="Times New Roman"/>
                <w:sz w:val="20"/>
                <w:szCs w:val="20"/>
                <w:lang w:bidi="ar-SA"/>
              </w:rPr>
            </w:pPr>
          </w:p>
          <w:p w:rsidR="00CC26FB" w:rsidRPr="00CC26FB" w:rsidRDefault="00CC26FB" w:rsidP="00CC26FB">
            <w:pPr>
              <w:spacing w:after="0" w:line="240" w:lineRule="auto"/>
              <w:jc w:val="both"/>
              <w:rPr>
                <w:rFonts w:eastAsia="Times New Roman" w:cs="Times New Roman"/>
                <w:sz w:val="20"/>
                <w:szCs w:val="20"/>
                <w:lang w:bidi="ar-SA"/>
              </w:rPr>
            </w:pPr>
          </w:p>
          <w:p w:rsidR="00CC26FB" w:rsidRPr="00CC26FB" w:rsidRDefault="00CC26FB" w:rsidP="00CC26FB">
            <w:pPr>
              <w:spacing w:after="0" w:line="240" w:lineRule="auto"/>
              <w:jc w:val="both"/>
              <w:rPr>
                <w:rFonts w:eastAsia="Times New Roman" w:cs="Times New Roman"/>
                <w:sz w:val="20"/>
                <w:szCs w:val="20"/>
                <w:lang w:bidi="ar-SA"/>
              </w:rPr>
            </w:pP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0</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At least 33 By Dec. 2012</w:t>
            </w:r>
          </w:p>
          <w:p w:rsidR="00CC26FB" w:rsidRPr="00CC26FB" w:rsidRDefault="00CC26FB" w:rsidP="00CC26FB">
            <w:pPr>
              <w:spacing w:after="0" w:line="240" w:lineRule="auto"/>
              <w:jc w:val="both"/>
              <w:rPr>
                <w:rFonts w:eastAsia="Times New Roman" w:cs="Times New Roman"/>
                <w:sz w:val="20"/>
                <w:szCs w:val="20"/>
                <w:lang w:bidi="ar-SA"/>
              </w:rPr>
            </w:pPr>
          </w:p>
          <w:p w:rsidR="00CC26FB" w:rsidRPr="00CC26FB" w:rsidRDefault="00CC26FB" w:rsidP="00CC26FB">
            <w:pPr>
              <w:spacing w:after="0" w:line="240" w:lineRule="auto"/>
              <w:jc w:val="both"/>
              <w:rPr>
                <w:rFonts w:eastAsia="Times New Roman" w:cs="Times New Roman"/>
                <w:sz w:val="20"/>
                <w:szCs w:val="20"/>
                <w:lang w:bidi="ar-SA"/>
              </w:rPr>
            </w:pPr>
          </w:p>
          <w:p w:rsidR="00CC26FB" w:rsidRPr="00CC26FB" w:rsidRDefault="00CC26FB" w:rsidP="00CC26FB">
            <w:pPr>
              <w:spacing w:after="0" w:line="240" w:lineRule="auto"/>
              <w:jc w:val="both"/>
              <w:rPr>
                <w:rFonts w:eastAsia="Times New Roman" w:cs="Times New Roman"/>
                <w:sz w:val="20"/>
                <w:szCs w:val="20"/>
                <w:lang w:bidi="ar-SA"/>
              </w:rPr>
            </w:pP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11 by Dec. 2011</w:t>
            </w:r>
          </w:p>
        </w:tc>
        <w:tc>
          <w:tcPr>
            <w:tcW w:w="252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Training modules and content formatted.</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Learning community meetings reports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LC workshop reports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Training platform participation reports.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Trainees performance reports.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PA functional charts.</w:t>
            </w:r>
          </w:p>
        </w:tc>
        <w:tc>
          <w:tcPr>
            <w:tcW w:w="3060" w:type="dxa"/>
            <w:vMerge w:val="restart"/>
          </w:tcPr>
          <w:p w:rsidR="00CC26FB" w:rsidRPr="00CC26FB" w:rsidRDefault="00CC26FB" w:rsidP="00CC26FB">
            <w:pPr>
              <w:spacing w:after="0" w:line="240" w:lineRule="auto"/>
              <w:jc w:val="both"/>
              <w:rPr>
                <w:rFonts w:eastAsia="Times New Roman" w:cs="Times New Roman"/>
                <w:sz w:val="20"/>
                <w:szCs w:val="20"/>
                <w:lang w:bidi="ar-SA"/>
              </w:rPr>
            </w:pPr>
          </w:p>
          <w:p w:rsidR="00CC26FB" w:rsidRPr="00CC26FB" w:rsidRDefault="00CC26FB" w:rsidP="00CC26FB">
            <w:pPr>
              <w:spacing w:after="0" w:line="240" w:lineRule="auto"/>
              <w:jc w:val="both"/>
              <w:rPr>
                <w:rFonts w:eastAsia="Times New Roman" w:cs="Times New Roman"/>
                <w:b/>
                <w:sz w:val="20"/>
                <w:szCs w:val="20"/>
                <w:lang w:bidi="ar-SA"/>
              </w:rPr>
            </w:pPr>
            <w:r w:rsidRPr="00CC26FB">
              <w:rPr>
                <w:rFonts w:eastAsia="Times New Roman" w:cs="Times New Roman"/>
                <w:b/>
                <w:sz w:val="20"/>
                <w:szCs w:val="20"/>
                <w:lang w:bidi="ar-SA"/>
              </w:rPr>
              <w:t>Risks: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No major risks for this component. However, constant staff turn around may limiting the opportunity for PA to benefit from staff with newly acquired skills.</w:t>
            </w:r>
          </w:p>
          <w:p w:rsidR="00CC26FB" w:rsidRPr="00CC26FB" w:rsidRDefault="00CC26FB" w:rsidP="00CC26FB">
            <w:pPr>
              <w:spacing w:after="0" w:line="240" w:lineRule="auto"/>
              <w:jc w:val="both"/>
              <w:rPr>
                <w:rFonts w:eastAsia="Times New Roman" w:cs="Times New Roman"/>
                <w:sz w:val="20"/>
                <w:szCs w:val="20"/>
                <w:lang w:bidi="ar-SA"/>
              </w:rPr>
            </w:pPr>
          </w:p>
          <w:p w:rsidR="00CC26FB" w:rsidRPr="00CC26FB" w:rsidRDefault="00CC26FB" w:rsidP="00CC26FB">
            <w:pPr>
              <w:spacing w:after="0" w:line="240" w:lineRule="auto"/>
              <w:jc w:val="both"/>
              <w:rPr>
                <w:rFonts w:eastAsia="Times New Roman" w:cs="Times New Roman"/>
                <w:b/>
                <w:sz w:val="20"/>
                <w:szCs w:val="20"/>
                <w:lang w:bidi="ar-SA"/>
              </w:rPr>
            </w:pPr>
            <w:r w:rsidRPr="00CC26FB">
              <w:rPr>
                <w:rFonts w:eastAsia="Times New Roman" w:cs="Times New Roman"/>
                <w:b/>
                <w:sz w:val="20"/>
                <w:szCs w:val="20"/>
                <w:lang w:bidi="ar-SA"/>
              </w:rPr>
              <w:t xml:space="preserve">Assumptions: </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Progressive increases in PA income will improve personnel permanence through more attractive hiring packages and incentives to existing staff in the Romania CNPAs.</w:t>
            </w:r>
          </w:p>
          <w:p w:rsidR="00CC26FB" w:rsidRPr="00CC26FB" w:rsidRDefault="00CC26FB" w:rsidP="00CC26FB">
            <w:pPr>
              <w:spacing w:after="0" w:line="240" w:lineRule="auto"/>
              <w:jc w:val="both"/>
              <w:rPr>
                <w:rFonts w:eastAsia="Times New Roman" w:cs="Times New Roman"/>
                <w:sz w:val="20"/>
                <w:szCs w:val="20"/>
                <w:lang w:bidi="ar-SA"/>
              </w:rPr>
            </w:pP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Leadership in the CNPAs will support the improved hiring packages and salary policies for PA staff.</w:t>
            </w:r>
          </w:p>
        </w:tc>
      </w:tr>
      <w:tr w:rsidR="00CC26FB" w:rsidRPr="00CC26FB" w:rsidTr="00CC26FB">
        <w:trPr>
          <w:cantSplit/>
        </w:trPr>
        <w:tc>
          <w:tcPr>
            <w:tcW w:w="1612" w:type="dxa"/>
            <w:vMerge/>
            <w:tcBorders>
              <w:left w:val="single" w:sz="4" w:space="0" w:color="auto"/>
              <w:right w:val="single" w:sz="4" w:space="0" w:color="auto"/>
            </w:tcBorders>
          </w:tcPr>
          <w:p w:rsidR="00CC26FB" w:rsidRPr="00CC26FB" w:rsidRDefault="00CC26FB" w:rsidP="00CC26FB">
            <w:pPr>
              <w:spacing w:after="0" w:line="240" w:lineRule="auto"/>
              <w:jc w:val="both"/>
              <w:rPr>
                <w:rFonts w:eastAsia="Times New Roman" w:cs="Times New Roman"/>
                <w:b/>
                <w:bCs/>
                <w:sz w:val="20"/>
                <w:szCs w:val="20"/>
                <w:lang w:bidi="ar-SA"/>
              </w:rPr>
            </w:pPr>
          </w:p>
        </w:tc>
        <w:tc>
          <w:tcPr>
            <w:tcW w:w="2276" w:type="dxa"/>
            <w:tcBorders>
              <w:left w:val="single" w:sz="4" w:space="0" w:color="auto"/>
            </w:tcBorders>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A Carpathian’s Association of PA Managers</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0</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One by Dec. 2011</w:t>
            </w:r>
          </w:p>
        </w:tc>
        <w:tc>
          <w:tcPr>
            <w:tcW w:w="252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By laws, minutes of meetings, ToR, action plan, results reports.</w:t>
            </w:r>
          </w:p>
        </w:tc>
        <w:tc>
          <w:tcPr>
            <w:tcW w:w="3060" w:type="dxa"/>
            <w:vMerge/>
          </w:tcPr>
          <w:p w:rsidR="00CC26FB" w:rsidRPr="00CC26FB" w:rsidRDefault="00CC26FB" w:rsidP="00CC26FB">
            <w:pPr>
              <w:spacing w:after="0" w:line="240" w:lineRule="auto"/>
              <w:jc w:val="both"/>
              <w:rPr>
                <w:rFonts w:eastAsia="Times New Roman" w:cs="Times New Roman"/>
                <w:sz w:val="20"/>
                <w:szCs w:val="20"/>
                <w:lang w:bidi="ar-SA"/>
              </w:rPr>
            </w:pPr>
          </w:p>
        </w:tc>
      </w:tr>
      <w:tr w:rsidR="00CC26FB" w:rsidRPr="00CC26FB" w:rsidTr="00CC26FB">
        <w:trPr>
          <w:cantSplit/>
        </w:trPr>
        <w:tc>
          <w:tcPr>
            <w:tcW w:w="1612" w:type="dxa"/>
            <w:vMerge/>
            <w:tcBorders>
              <w:left w:val="single" w:sz="4" w:space="0" w:color="auto"/>
              <w:right w:val="single" w:sz="4" w:space="0" w:color="auto"/>
            </w:tcBorders>
          </w:tcPr>
          <w:p w:rsidR="00CC26FB" w:rsidRPr="00CC26FB" w:rsidRDefault="00CC26FB" w:rsidP="00CC26FB">
            <w:pPr>
              <w:spacing w:after="0" w:line="240" w:lineRule="auto"/>
              <w:jc w:val="both"/>
              <w:rPr>
                <w:rFonts w:eastAsia="Times New Roman" w:cs="Times New Roman"/>
                <w:b/>
                <w:bCs/>
                <w:sz w:val="20"/>
                <w:szCs w:val="20"/>
                <w:lang w:bidi="ar-SA"/>
              </w:rPr>
            </w:pPr>
          </w:p>
        </w:tc>
        <w:tc>
          <w:tcPr>
            <w:tcW w:w="2276" w:type="dxa"/>
            <w:tcBorders>
              <w:left w:val="single" w:sz="4" w:space="0" w:color="auto"/>
            </w:tcBorders>
          </w:tcPr>
          <w:p w:rsidR="00CC26FB" w:rsidRPr="00CC26FB" w:rsidRDefault="00CC26FB" w:rsidP="00CC26FB">
            <w:pPr>
              <w:spacing w:after="0" w:line="240" w:lineRule="auto"/>
              <w:jc w:val="both"/>
              <w:rPr>
                <w:rFonts w:eastAsia="Times New Roman" w:cs="Times New Roman"/>
                <w:snapToGrid w:val="0"/>
                <w:sz w:val="20"/>
                <w:szCs w:val="20"/>
                <w:lang w:bidi="ar-SA"/>
              </w:rPr>
            </w:pPr>
            <w:r w:rsidRPr="00CC26FB">
              <w:rPr>
                <w:rFonts w:eastAsia="Times New Roman" w:cs="Times New Roman"/>
                <w:snapToGrid w:val="0"/>
                <w:sz w:val="20"/>
                <w:szCs w:val="20"/>
                <w:lang w:bidi="ar-SA"/>
              </w:rPr>
              <w:t>PAs conservation targets linked to programmes and activities through a  functioning financial management system (FMS)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xml:space="preserve">Metrics link conservation goals with costs. </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Traceable expenses, costs, needs and gaps by program.</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No</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Yes (By Dec 2010)</w:t>
            </w:r>
          </w:p>
        </w:tc>
        <w:tc>
          <w:tcPr>
            <w:tcW w:w="252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Intranet financial system</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Reports on financial gaps reductions</w:t>
            </w:r>
          </w:p>
          <w:p w:rsidR="00CC26FB" w:rsidRPr="00CC26FB" w:rsidRDefault="00CC26FB" w:rsidP="00CC26FB">
            <w:pPr>
              <w:spacing w:after="0" w:line="240" w:lineRule="auto"/>
              <w:jc w:val="both"/>
              <w:rPr>
                <w:rFonts w:eastAsia="Times New Roman" w:cs="Times New Roman"/>
                <w:sz w:val="20"/>
                <w:szCs w:val="20"/>
                <w:lang w:val="fr-FR" w:bidi="ar-SA"/>
              </w:rPr>
            </w:pPr>
            <w:r w:rsidRPr="00CC26FB">
              <w:rPr>
                <w:rFonts w:eastAsia="Times New Roman" w:cs="Times New Roman"/>
                <w:sz w:val="20"/>
                <w:szCs w:val="20"/>
                <w:lang w:val="fr-FR" w:bidi="ar-SA"/>
              </w:rPr>
              <w:t>SFS implementation reports.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Financial and auditing reports.</w:t>
            </w:r>
          </w:p>
        </w:tc>
        <w:tc>
          <w:tcPr>
            <w:tcW w:w="3060" w:type="dxa"/>
            <w:vMerge/>
          </w:tcPr>
          <w:p w:rsidR="00CC26FB" w:rsidRPr="00CC26FB" w:rsidRDefault="00CC26FB" w:rsidP="00CC26FB">
            <w:pPr>
              <w:spacing w:after="0" w:line="240" w:lineRule="auto"/>
              <w:jc w:val="both"/>
              <w:rPr>
                <w:rFonts w:eastAsia="Times New Roman" w:cs="Times New Roman"/>
                <w:sz w:val="20"/>
                <w:szCs w:val="20"/>
                <w:lang w:bidi="ar-SA"/>
              </w:rPr>
            </w:pPr>
          </w:p>
        </w:tc>
      </w:tr>
      <w:tr w:rsidR="00CC26FB" w:rsidRPr="00CC26FB" w:rsidTr="00CC26FB">
        <w:trPr>
          <w:cantSplit/>
        </w:trPr>
        <w:tc>
          <w:tcPr>
            <w:tcW w:w="1612" w:type="dxa"/>
            <w:vMerge/>
            <w:tcBorders>
              <w:left w:val="single" w:sz="4" w:space="0" w:color="auto"/>
              <w:right w:val="single" w:sz="4" w:space="0" w:color="auto"/>
            </w:tcBorders>
          </w:tcPr>
          <w:p w:rsidR="00CC26FB" w:rsidRPr="00CC26FB" w:rsidRDefault="00CC26FB" w:rsidP="00CC26FB">
            <w:pPr>
              <w:spacing w:after="0" w:line="240" w:lineRule="auto"/>
              <w:jc w:val="both"/>
              <w:rPr>
                <w:rFonts w:eastAsia="Times New Roman" w:cs="Times New Roman"/>
                <w:b/>
                <w:bCs/>
                <w:sz w:val="20"/>
                <w:szCs w:val="20"/>
                <w:lang w:bidi="ar-SA"/>
              </w:rPr>
            </w:pPr>
          </w:p>
        </w:tc>
        <w:tc>
          <w:tcPr>
            <w:tcW w:w="2276" w:type="dxa"/>
            <w:tcBorders>
              <w:left w:val="single" w:sz="4" w:space="0" w:color="auto"/>
            </w:tcBorders>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A PSA Management Committee</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0</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Yes (By Dec. 2012)</w:t>
            </w:r>
          </w:p>
        </w:tc>
        <w:tc>
          <w:tcPr>
            <w:tcW w:w="252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Biannual financial reports.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Auditing reports confirm 100% transparency and compliance</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ToR and minutes of meetings.</w:t>
            </w:r>
          </w:p>
        </w:tc>
        <w:tc>
          <w:tcPr>
            <w:tcW w:w="3060" w:type="dxa"/>
            <w:vMerge/>
          </w:tcPr>
          <w:p w:rsidR="00CC26FB" w:rsidRPr="00CC26FB" w:rsidRDefault="00CC26FB" w:rsidP="00CC26FB">
            <w:pPr>
              <w:spacing w:after="0" w:line="240" w:lineRule="auto"/>
              <w:jc w:val="both"/>
              <w:rPr>
                <w:rFonts w:eastAsia="Times New Roman" w:cs="Times New Roman"/>
                <w:sz w:val="20"/>
                <w:szCs w:val="20"/>
                <w:lang w:bidi="ar-SA"/>
              </w:rPr>
            </w:pPr>
          </w:p>
        </w:tc>
      </w:tr>
      <w:tr w:rsidR="00CC26FB" w:rsidRPr="00CC26FB" w:rsidTr="00CC26FB">
        <w:trPr>
          <w:cantSplit/>
        </w:trPr>
        <w:tc>
          <w:tcPr>
            <w:tcW w:w="1612" w:type="dxa"/>
            <w:vMerge/>
            <w:tcBorders>
              <w:left w:val="single" w:sz="4" w:space="0" w:color="auto"/>
              <w:right w:val="single" w:sz="4" w:space="0" w:color="auto"/>
            </w:tcBorders>
          </w:tcPr>
          <w:p w:rsidR="00CC26FB" w:rsidRPr="00CC26FB" w:rsidRDefault="00CC26FB" w:rsidP="00CC26FB">
            <w:pPr>
              <w:spacing w:after="0" w:line="240" w:lineRule="auto"/>
              <w:jc w:val="both"/>
              <w:rPr>
                <w:rFonts w:eastAsia="Times New Roman" w:cs="Times New Roman"/>
                <w:b/>
                <w:bCs/>
                <w:sz w:val="20"/>
                <w:szCs w:val="20"/>
                <w:lang w:bidi="ar-SA"/>
              </w:rPr>
            </w:pPr>
          </w:p>
        </w:tc>
        <w:tc>
          <w:tcPr>
            <w:tcW w:w="2276" w:type="dxa"/>
            <w:tcBorders>
              <w:left w:val="single" w:sz="4" w:space="0" w:color="auto"/>
            </w:tcBorders>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Experience from lessons learned is periodically feed into yearly planning</w:t>
            </w:r>
          </w:p>
        </w:tc>
        <w:tc>
          <w:tcPr>
            <w:tcW w:w="180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0</w:t>
            </w:r>
          </w:p>
        </w:tc>
        <w:tc>
          <w:tcPr>
            <w:tcW w:w="306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Starting in Dec. 2010, documented lessons available on a yearly basis, on three overarching aspects: cost-accounting, legal reform, formulation and implementation of financial mechanisms and business plans.</w:t>
            </w:r>
          </w:p>
        </w:tc>
        <w:tc>
          <w:tcPr>
            <w:tcW w:w="2520" w:type="dxa"/>
          </w:tcPr>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xml:space="preserve">Documents with lessons on: </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Online training modules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 xml:space="preserve">Annual operational plans </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Learning community reports</w:t>
            </w:r>
          </w:p>
          <w:p w:rsidR="00CC26FB" w:rsidRPr="00CC26FB" w:rsidRDefault="00CC26FB" w:rsidP="00CC26FB">
            <w:pPr>
              <w:spacing w:after="0" w:line="240" w:lineRule="auto"/>
              <w:jc w:val="both"/>
              <w:rPr>
                <w:rFonts w:eastAsia="Times New Roman" w:cs="Times New Roman"/>
                <w:sz w:val="20"/>
                <w:szCs w:val="20"/>
                <w:lang w:bidi="ar-SA"/>
              </w:rPr>
            </w:pPr>
            <w:r w:rsidRPr="00CC26FB">
              <w:rPr>
                <w:rFonts w:eastAsia="Times New Roman" w:cs="Times New Roman"/>
                <w:sz w:val="20"/>
                <w:szCs w:val="20"/>
                <w:lang w:bidi="ar-SA"/>
              </w:rPr>
              <w:t>Financial reports</w:t>
            </w:r>
          </w:p>
        </w:tc>
        <w:tc>
          <w:tcPr>
            <w:tcW w:w="3060" w:type="dxa"/>
            <w:vMerge/>
          </w:tcPr>
          <w:p w:rsidR="00CC26FB" w:rsidRPr="00CC26FB" w:rsidRDefault="00CC26FB" w:rsidP="00CC26FB">
            <w:pPr>
              <w:spacing w:after="0" w:line="240" w:lineRule="auto"/>
              <w:jc w:val="both"/>
              <w:rPr>
                <w:rFonts w:eastAsia="Times New Roman" w:cs="Times New Roman"/>
                <w:sz w:val="20"/>
                <w:szCs w:val="20"/>
                <w:lang w:bidi="ar-SA"/>
              </w:rPr>
            </w:pPr>
          </w:p>
        </w:tc>
      </w:tr>
    </w:tbl>
    <w:p w:rsidR="00D6638C" w:rsidRDefault="00D6638C"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Default="00CC26FB" w:rsidP="00D6638C">
      <w:pPr>
        <w:spacing w:before="200"/>
        <w:rPr>
          <w:rFonts w:ascii="Calibri" w:eastAsia="Times New Roman" w:hAnsi="Calibri" w:cs="Times New Roman"/>
          <w:sz w:val="20"/>
          <w:szCs w:val="20"/>
        </w:rPr>
      </w:pPr>
    </w:p>
    <w:p w:rsidR="00CC26FB" w:rsidRPr="00D6638C" w:rsidRDefault="00CC26FB" w:rsidP="00D6638C">
      <w:pPr>
        <w:spacing w:before="200"/>
        <w:rPr>
          <w:rFonts w:ascii="Calibri" w:eastAsia="Times New Roman" w:hAnsi="Calibri" w:cs="Times New Roman"/>
          <w:sz w:val="20"/>
          <w:szCs w:val="20"/>
        </w:rPr>
      </w:pPr>
    </w:p>
    <w:p w:rsidR="00D6638C" w:rsidRPr="00D6638C" w:rsidRDefault="00D6638C" w:rsidP="00F05366">
      <w:pPr>
        <w:pStyle w:val="Heading31"/>
      </w:pPr>
      <w:bookmarkStart w:id="60" w:name="_TOR_Annex_B:"/>
      <w:bookmarkStart w:id="61" w:name="_Toc299133054"/>
      <w:bookmarkStart w:id="62" w:name="_Toc321341563"/>
      <w:bookmarkEnd w:id="60"/>
      <w:r w:rsidRPr="00D6638C">
        <w:lastRenderedPageBreak/>
        <w:t>Annex B: List of Documents to be reviewed by the evaluators</w:t>
      </w:r>
      <w:bookmarkEnd w:id="57"/>
      <w:bookmarkEnd w:id="58"/>
      <w:bookmarkEnd w:id="59"/>
      <w:bookmarkEnd w:id="61"/>
      <w:bookmarkEnd w:id="62"/>
    </w:p>
    <w:p w:rsidR="00D6638C" w:rsidRDefault="00D6638C" w:rsidP="00D6638C">
      <w:pPr>
        <w:spacing w:before="200"/>
        <w:rPr>
          <w:rFonts w:ascii="Calibri" w:eastAsia="Times New Roman" w:hAnsi="Calibri" w:cs="Times New Roman"/>
          <w:i/>
          <w:sz w:val="20"/>
          <w:szCs w:val="20"/>
          <w:highlight w:val="lightGray"/>
          <w:lang w:val="en-GB"/>
        </w:rPr>
      </w:pPr>
    </w:p>
    <w:p w:rsidR="00CC26FB" w:rsidRPr="00CC26FB" w:rsidRDefault="00CC26FB" w:rsidP="00CC26FB">
      <w:pPr>
        <w:spacing w:before="200"/>
        <w:rPr>
          <w:rFonts w:ascii="Calibri" w:eastAsia="Times New Roman" w:hAnsi="Calibri" w:cs="Times New Roman"/>
          <w:b/>
          <w:i/>
          <w:sz w:val="20"/>
          <w:szCs w:val="20"/>
        </w:rPr>
      </w:pPr>
      <w:r w:rsidRPr="00CC26FB">
        <w:rPr>
          <w:rFonts w:ascii="Calibri" w:eastAsia="Times New Roman" w:hAnsi="Calibri" w:cs="Times New Roman"/>
          <w:b/>
          <w:i/>
          <w:sz w:val="20"/>
          <w:szCs w:val="20"/>
        </w:rPr>
        <w:t>General documentation</w:t>
      </w:r>
    </w:p>
    <w:p w:rsidR="00CC26FB" w:rsidRPr="00CC26FB" w:rsidRDefault="00CC26FB" w:rsidP="00CC26FB">
      <w:pPr>
        <w:spacing w:before="200"/>
        <w:rPr>
          <w:rFonts w:ascii="Calibri" w:eastAsia="Times New Roman" w:hAnsi="Calibri" w:cs="Times New Roman"/>
          <w:i/>
          <w:sz w:val="20"/>
          <w:szCs w:val="20"/>
        </w:rPr>
      </w:pPr>
      <w:r w:rsidRPr="00CC26FB">
        <w:rPr>
          <w:rFonts w:ascii="Calibri" w:eastAsia="Times New Roman" w:hAnsi="Calibri" w:cs="Times New Roman"/>
          <w:i/>
          <w:sz w:val="20"/>
          <w:szCs w:val="20"/>
        </w:rPr>
        <w:t xml:space="preserve">·          UNDP Programme and Operations Policies and Procedures </w:t>
      </w:r>
      <w:hyperlink r:id="rId12" w:history="1">
        <w:r w:rsidRPr="00CC26FB">
          <w:rPr>
            <w:rStyle w:val="Hyperlink"/>
            <w:rFonts w:ascii="Calibri" w:eastAsia="Times New Roman" w:hAnsi="Calibri" w:cs="Times New Roman"/>
            <w:i/>
            <w:sz w:val="20"/>
            <w:szCs w:val="20"/>
          </w:rPr>
          <w:t>https://intranet.undp.org/global/popp/ppm/Pages/Contents.aspx?lang=en</w:t>
        </w:r>
      </w:hyperlink>
    </w:p>
    <w:p w:rsidR="00CC26FB" w:rsidRPr="00CC26FB" w:rsidRDefault="00CC26FB" w:rsidP="00CC26FB">
      <w:pPr>
        <w:spacing w:before="200"/>
        <w:rPr>
          <w:rFonts w:ascii="Calibri" w:eastAsia="Times New Roman" w:hAnsi="Calibri" w:cs="Times New Roman"/>
          <w:i/>
          <w:sz w:val="20"/>
          <w:szCs w:val="20"/>
        </w:rPr>
      </w:pPr>
      <w:r w:rsidRPr="00CC26FB">
        <w:rPr>
          <w:rFonts w:ascii="Calibri" w:eastAsia="Times New Roman" w:hAnsi="Calibri" w:cs="Times New Roman"/>
          <w:i/>
          <w:sz w:val="20"/>
          <w:szCs w:val="20"/>
        </w:rPr>
        <w:t xml:space="preserve">·          UNDP Handbook for Monitoring and Evaluating for Results  </w:t>
      </w:r>
      <w:hyperlink r:id="rId13" w:history="1">
        <w:r w:rsidRPr="00CC26FB">
          <w:rPr>
            <w:rStyle w:val="Hyperlink"/>
            <w:rFonts w:ascii="Calibri" w:eastAsia="Times New Roman" w:hAnsi="Calibri" w:cs="Times New Roman"/>
            <w:i/>
            <w:sz w:val="20"/>
            <w:szCs w:val="20"/>
          </w:rPr>
          <w:t>http://web.undp.org/evaluation/handbook/</w:t>
        </w:r>
      </w:hyperlink>
    </w:p>
    <w:p w:rsidR="00CC26FB" w:rsidRPr="00CC26FB" w:rsidRDefault="00CC26FB" w:rsidP="00CC26FB">
      <w:pPr>
        <w:spacing w:before="200"/>
        <w:rPr>
          <w:rFonts w:ascii="Calibri" w:eastAsia="Times New Roman" w:hAnsi="Calibri" w:cs="Times New Roman"/>
          <w:i/>
          <w:sz w:val="20"/>
          <w:szCs w:val="20"/>
        </w:rPr>
      </w:pPr>
      <w:r w:rsidRPr="00CC26FB">
        <w:rPr>
          <w:rFonts w:ascii="Calibri" w:eastAsia="Times New Roman" w:hAnsi="Calibri" w:cs="Times New Roman"/>
          <w:i/>
          <w:sz w:val="20"/>
          <w:szCs w:val="20"/>
        </w:rPr>
        <w:t xml:space="preserve">·          GEF Monitoring and Evaluation Policy </w:t>
      </w:r>
      <w:hyperlink r:id="rId14" w:history="1">
        <w:r w:rsidRPr="00CC26FB">
          <w:rPr>
            <w:rStyle w:val="Hyperlink"/>
            <w:rFonts w:ascii="Calibri" w:eastAsia="Times New Roman" w:hAnsi="Calibri" w:cs="Times New Roman"/>
            <w:i/>
            <w:sz w:val="20"/>
            <w:szCs w:val="20"/>
          </w:rPr>
          <w:t>http://web.undp.org/evaluation/documents/guidance/GEF/UNDP-GEF-TE-Guide.pdf</w:t>
        </w:r>
      </w:hyperlink>
    </w:p>
    <w:p w:rsidR="00CC26FB" w:rsidRPr="00CC26FB" w:rsidRDefault="00CC26FB" w:rsidP="00CC26FB">
      <w:pPr>
        <w:spacing w:before="200"/>
        <w:rPr>
          <w:rFonts w:ascii="Calibri" w:eastAsia="Times New Roman" w:hAnsi="Calibri" w:cs="Times New Roman"/>
          <w:i/>
          <w:sz w:val="20"/>
          <w:szCs w:val="20"/>
        </w:rPr>
      </w:pPr>
    </w:p>
    <w:p w:rsidR="00CC26FB" w:rsidRPr="00CC26FB" w:rsidRDefault="00CC26FB" w:rsidP="00CC26FB">
      <w:pPr>
        <w:spacing w:before="200"/>
        <w:rPr>
          <w:rFonts w:ascii="Calibri" w:eastAsia="Times New Roman" w:hAnsi="Calibri" w:cs="Times New Roman"/>
          <w:b/>
          <w:i/>
          <w:sz w:val="20"/>
          <w:szCs w:val="20"/>
        </w:rPr>
      </w:pPr>
      <w:r w:rsidRPr="00CC26FB">
        <w:rPr>
          <w:rFonts w:ascii="Calibri" w:eastAsia="Times New Roman" w:hAnsi="Calibri" w:cs="Times New Roman"/>
          <w:b/>
          <w:i/>
          <w:sz w:val="20"/>
          <w:szCs w:val="20"/>
        </w:rPr>
        <w:t xml:space="preserve">Project documentation </w:t>
      </w:r>
    </w:p>
    <w:p w:rsidR="00CC26FB" w:rsidRPr="00CC26FB" w:rsidRDefault="00CC26FB" w:rsidP="00CC26FB">
      <w:pPr>
        <w:numPr>
          <w:ilvl w:val="0"/>
          <w:numId w:val="36"/>
        </w:numPr>
        <w:spacing w:before="200"/>
        <w:rPr>
          <w:rFonts w:ascii="Calibri" w:eastAsia="Times New Roman" w:hAnsi="Calibri" w:cs="Times New Roman"/>
          <w:i/>
          <w:sz w:val="20"/>
          <w:szCs w:val="20"/>
        </w:rPr>
      </w:pPr>
      <w:r w:rsidRPr="00CC26FB">
        <w:rPr>
          <w:rFonts w:ascii="Calibri" w:eastAsia="Times New Roman" w:hAnsi="Calibri" w:cs="Times New Roman"/>
          <w:i/>
          <w:sz w:val="20"/>
          <w:szCs w:val="20"/>
        </w:rPr>
        <w:t>GEF approved project document</w:t>
      </w:r>
    </w:p>
    <w:p w:rsidR="00CC26FB" w:rsidRPr="00CC26FB" w:rsidRDefault="00CC26FB" w:rsidP="00CC26FB">
      <w:pPr>
        <w:numPr>
          <w:ilvl w:val="0"/>
          <w:numId w:val="36"/>
        </w:numPr>
        <w:spacing w:before="200"/>
        <w:rPr>
          <w:rFonts w:ascii="Calibri" w:eastAsia="Times New Roman" w:hAnsi="Calibri" w:cs="Times New Roman"/>
          <w:i/>
          <w:sz w:val="20"/>
          <w:szCs w:val="20"/>
        </w:rPr>
      </w:pPr>
      <w:r w:rsidRPr="00CC26FB">
        <w:rPr>
          <w:rFonts w:ascii="Calibri" w:eastAsia="Times New Roman" w:hAnsi="Calibri" w:cs="Times New Roman"/>
          <w:i/>
          <w:sz w:val="20"/>
          <w:szCs w:val="20"/>
        </w:rPr>
        <w:t>Project Inception Report</w:t>
      </w:r>
    </w:p>
    <w:p w:rsidR="00CC26FB" w:rsidRPr="00CC26FB" w:rsidRDefault="00CC26FB" w:rsidP="00CC26FB">
      <w:pPr>
        <w:numPr>
          <w:ilvl w:val="0"/>
          <w:numId w:val="36"/>
        </w:numPr>
        <w:spacing w:before="200"/>
        <w:rPr>
          <w:rFonts w:ascii="Calibri" w:eastAsia="Times New Roman" w:hAnsi="Calibri" w:cs="Times New Roman"/>
          <w:i/>
          <w:sz w:val="20"/>
          <w:szCs w:val="20"/>
        </w:rPr>
      </w:pPr>
      <w:r w:rsidRPr="00CC26FB">
        <w:rPr>
          <w:rFonts w:ascii="Calibri" w:eastAsia="Times New Roman" w:hAnsi="Calibri" w:cs="Times New Roman"/>
          <w:i/>
          <w:sz w:val="20"/>
          <w:szCs w:val="20"/>
        </w:rPr>
        <w:t>Project MTE Report</w:t>
      </w:r>
    </w:p>
    <w:p w:rsidR="00CC26FB" w:rsidRPr="00CC26FB" w:rsidRDefault="00CC26FB" w:rsidP="00CC26FB">
      <w:pPr>
        <w:numPr>
          <w:ilvl w:val="0"/>
          <w:numId w:val="36"/>
        </w:numPr>
        <w:spacing w:before="200"/>
        <w:rPr>
          <w:rFonts w:ascii="Calibri" w:eastAsia="Times New Roman" w:hAnsi="Calibri" w:cs="Times New Roman"/>
          <w:i/>
          <w:sz w:val="20"/>
          <w:szCs w:val="20"/>
        </w:rPr>
      </w:pPr>
      <w:r w:rsidRPr="00CC26FB">
        <w:rPr>
          <w:rFonts w:ascii="Calibri" w:eastAsia="Times New Roman" w:hAnsi="Calibri" w:cs="Times New Roman"/>
          <w:i/>
          <w:sz w:val="20"/>
          <w:szCs w:val="20"/>
        </w:rPr>
        <w:t>Annual Project Reports</w:t>
      </w:r>
    </w:p>
    <w:p w:rsidR="00CC26FB" w:rsidRPr="00CC26FB" w:rsidRDefault="00CC26FB" w:rsidP="00CC26FB">
      <w:pPr>
        <w:numPr>
          <w:ilvl w:val="0"/>
          <w:numId w:val="36"/>
        </w:numPr>
        <w:spacing w:before="200"/>
        <w:rPr>
          <w:rFonts w:ascii="Calibri" w:eastAsia="Times New Roman" w:hAnsi="Calibri" w:cs="Times New Roman"/>
          <w:i/>
          <w:sz w:val="20"/>
          <w:szCs w:val="20"/>
        </w:rPr>
      </w:pPr>
      <w:r w:rsidRPr="00CC26FB">
        <w:rPr>
          <w:rFonts w:ascii="Calibri" w:eastAsia="Times New Roman" w:hAnsi="Calibri" w:cs="Times New Roman"/>
          <w:i/>
          <w:sz w:val="20"/>
          <w:szCs w:val="20"/>
        </w:rPr>
        <w:t>Project Implementation Reviews</w:t>
      </w:r>
    </w:p>
    <w:p w:rsidR="00CC26FB" w:rsidRPr="00CC26FB" w:rsidRDefault="00CC26FB" w:rsidP="00CC26FB">
      <w:pPr>
        <w:numPr>
          <w:ilvl w:val="0"/>
          <w:numId w:val="36"/>
        </w:numPr>
        <w:spacing w:before="200"/>
        <w:rPr>
          <w:rFonts w:ascii="Calibri" w:eastAsia="Times New Roman" w:hAnsi="Calibri" w:cs="Times New Roman"/>
          <w:i/>
          <w:sz w:val="20"/>
          <w:szCs w:val="20"/>
        </w:rPr>
      </w:pPr>
      <w:r w:rsidRPr="00CC26FB">
        <w:rPr>
          <w:rFonts w:ascii="Calibri" w:eastAsia="Times New Roman" w:hAnsi="Calibri" w:cs="Times New Roman"/>
          <w:i/>
          <w:sz w:val="20"/>
          <w:szCs w:val="20"/>
        </w:rPr>
        <w:t>Management Effectiveness Tracking Tool (BD2 Tracking Tool)</w:t>
      </w:r>
    </w:p>
    <w:p w:rsidR="00CC26FB" w:rsidRPr="00CC26FB" w:rsidRDefault="00CC26FB" w:rsidP="00CC26FB">
      <w:pPr>
        <w:numPr>
          <w:ilvl w:val="0"/>
          <w:numId w:val="36"/>
        </w:numPr>
        <w:spacing w:before="200"/>
        <w:rPr>
          <w:rFonts w:ascii="Calibri" w:eastAsia="Times New Roman" w:hAnsi="Calibri" w:cs="Times New Roman"/>
          <w:i/>
          <w:sz w:val="20"/>
          <w:szCs w:val="20"/>
        </w:rPr>
      </w:pPr>
      <w:r w:rsidRPr="00CC26FB">
        <w:rPr>
          <w:rFonts w:ascii="Calibri" w:eastAsia="Times New Roman" w:hAnsi="Calibri" w:cs="Times New Roman"/>
          <w:i/>
          <w:sz w:val="20"/>
          <w:szCs w:val="20"/>
        </w:rPr>
        <w:t>Quarterly Reports</w:t>
      </w:r>
    </w:p>
    <w:p w:rsidR="00CC26FB" w:rsidRPr="00CC26FB" w:rsidRDefault="00CC26FB" w:rsidP="00CC26FB">
      <w:pPr>
        <w:numPr>
          <w:ilvl w:val="0"/>
          <w:numId w:val="36"/>
        </w:numPr>
        <w:spacing w:before="200"/>
        <w:rPr>
          <w:rFonts w:ascii="Calibri" w:eastAsia="Times New Roman" w:hAnsi="Calibri" w:cs="Times New Roman"/>
          <w:i/>
          <w:sz w:val="20"/>
          <w:szCs w:val="20"/>
        </w:rPr>
      </w:pPr>
      <w:r w:rsidRPr="00CC26FB">
        <w:rPr>
          <w:rFonts w:ascii="Calibri" w:eastAsia="Times New Roman" w:hAnsi="Calibri" w:cs="Times New Roman"/>
          <w:i/>
          <w:sz w:val="20"/>
          <w:szCs w:val="20"/>
        </w:rPr>
        <w:t>Steering Committee Meeting minutes</w:t>
      </w:r>
    </w:p>
    <w:p w:rsidR="00CC26FB" w:rsidRPr="00CC26FB" w:rsidRDefault="00CC26FB" w:rsidP="00CC26FB">
      <w:pPr>
        <w:numPr>
          <w:ilvl w:val="0"/>
          <w:numId w:val="36"/>
        </w:numPr>
        <w:spacing w:before="200"/>
        <w:rPr>
          <w:rFonts w:ascii="Calibri" w:eastAsia="Times New Roman" w:hAnsi="Calibri" w:cs="Times New Roman"/>
          <w:b/>
          <w:i/>
          <w:sz w:val="20"/>
          <w:szCs w:val="20"/>
        </w:rPr>
      </w:pPr>
      <w:r w:rsidRPr="00CC26FB">
        <w:rPr>
          <w:rFonts w:ascii="Calibri" w:eastAsia="Times New Roman" w:hAnsi="Calibri" w:cs="Times New Roman"/>
          <w:i/>
          <w:sz w:val="20"/>
          <w:szCs w:val="20"/>
        </w:rPr>
        <w:t>National Comprehensive Project Assessment</w:t>
      </w:r>
    </w:p>
    <w:p w:rsidR="00CC26FB" w:rsidRPr="00D6638C" w:rsidRDefault="00CC26FB" w:rsidP="00D6638C">
      <w:pPr>
        <w:spacing w:before="200"/>
        <w:rPr>
          <w:rFonts w:ascii="Calibri" w:eastAsia="Times New Roman" w:hAnsi="Calibri" w:cs="Times New Roman"/>
          <w:i/>
          <w:sz w:val="20"/>
          <w:szCs w:val="20"/>
          <w:highlight w:val="lightGray"/>
          <w:lang w:val="en-GB"/>
        </w:rPr>
        <w:sectPr w:rsidR="00CC26FB" w:rsidRPr="00D6638C" w:rsidSect="00224F9C">
          <w:footerReference w:type="default" r:id="rId15"/>
          <w:pgSz w:w="12240" w:h="15840"/>
          <w:pgMar w:top="1440" w:right="1325" w:bottom="1440" w:left="1440" w:header="708" w:footer="708" w:gutter="0"/>
          <w:cols w:space="708"/>
          <w:docGrid w:linePitch="360"/>
        </w:sectPr>
      </w:pPr>
    </w:p>
    <w:p w:rsidR="00D6638C" w:rsidRDefault="00D6638C" w:rsidP="00F05366">
      <w:pPr>
        <w:pStyle w:val="Heading31"/>
      </w:pPr>
      <w:bookmarkStart w:id="63" w:name="_TOR_Annex_C:"/>
      <w:bookmarkStart w:id="64" w:name="_Toc321341564"/>
      <w:bookmarkStart w:id="65" w:name="_Toc299122846"/>
      <w:bookmarkStart w:id="66" w:name="_Toc299122868"/>
      <w:bookmarkStart w:id="67" w:name="_Toc299126632"/>
      <w:bookmarkEnd w:id="63"/>
      <w:r w:rsidRPr="00D6638C">
        <w:lastRenderedPageBreak/>
        <w:t>Annex C: Evaluation Questions</w:t>
      </w:r>
      <w:bookmarkEnd w:id="64"/>
    </w:p>
    <w:p w:rsidR="00E23201" w:rsidRPr="00E23201" w:rsidRDefault="00E23201" w:rsidP="00E23201"/>
    <w:tbl>
      <w:tblPr>
        <w:tblpPr w:leftFromText="180" w:rightFromText="180" w:vertAnchor="text" w:horzAnchor="page" w:tblpX="454" w:tblpY="197"/>
        <w:tblW w:w="1460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6158"/>
        <w:gridCol w:w="3870"/>
        <w:gridCol w:w="2430"/>
        <w:gridCol w:w="1923"/>
        <w:gridCol w:w="21"/>
      </w:tblGrid>
      <w:tr w:rsidR="00310398" w:rsidRPr="00D6638C" w:rsidTr="00691B5B">
        <w:trPr>
          <w:gridAfter w:val="1"/>
          <w:wAfter w:w="21" w:type="dxa"/>
          <w:tblHeader/>
        </w:trPr>
        <w:tc>
          <w:tcPr>
            <w:tcW w:w="6357" w:type="dxa"/>
            <w:gridSpan w:val="2"/>
            <w:tcBorders>
              <w:top w:val="single" w:sz="6" w:space="0" w:color="auto"/>
              <w:left w:val="single" w:sz="6" w:space="0" w:color="auto"/>
              <w:bottom w:val="single" w:sz="6" w:space="0" w:color="auto"/>
            </w:tcBorders>
            <w:shd w:val="clear" w:color="auto" w:fill="D9D9D9" w:themeFill="background1" w:themeFillShade="D9"/>
            <w:vAlign w:val="center"/>
          </w:tcPr>
          <w:p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87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2430" w:type="dxa"/>
            <w:tcBorders>
              <w:top w:val="single" w:sz="6" w:space="0" w:color="auto"/>
              <w:bottom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rsidTr="006C1964">
        <w:trPr>
          <w:gridAfter w:val="1"/>
          <w:wAfter w:w="21" w:type="dxa"/>
        </w:trPr>
        <w:tc>
          <w:tcPr>
            <w:tcW w:w="14580" w:type="dxa"/>
            <w:gridSpan w:val="5"/>
            <w:tcBorders>
              <w:left w:val="single" w:sz="6" w:space="0" w:color="auto"/>
              <w:right w:val="single" w:sz="6" w:space="0" w:color="auto"/>
            </w:tcBorders>
            <w:shd w:val="pct12" w:color="auto" w:fill="000000" w:themeFill="text1"/>
          </w:tcPr>
          <w:p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rPr>
          <w:gridAfter w:val="1"/>
          <w:wAfter w:w="21" w:type="dxa"/>
        </w:trPr>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D6638C">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267"/>
        </w:trPr>
        <w:tc>
          <w:tcPr>
            <w:tcW w:w="14601" w:type="dxa"/>
            <w:gridSpan w:val="6"/>
            <w:tcBorders>
              <w:top w:val="nil"/>
              <w:left w:val="single" w:sz="6" w:space="0" w:color="auto"/>
              <w:bottom w:val="nil"/>
              <w:right w:val="single" w:sz="6" w:space="0" w:color="auto"/>
            </w:tcBorders>
            <w:shd w:val="pct12" w:color="auto" w:fill="000000" w:themeFill="text1"/>
            <w:vAlign w:val="center"/>
          </w:tcPr>
          <w:p w:rsidR="00D6638C" w:rsidRPr="00310398" w:rsidRDefault="00D6638C" w:rsidP="00D6638C">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spacing w:after="0" w:line="240" w:lineRule="auto"/>
              <w:contextualSpacing/>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A62C96">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 financial</w:t>
            </w:r>
            <w:r w:rsidR="00A62C96">
              <w:rPr>
                <w:rFonts w:eastAsia="Times New Roman" w:cstheme="minorHAnsi"/>
                <w:sz w:val="20"/>
                <w:szCs w:val="20"/>
                <w:lang w:bidi="ar-SA"/>
              </w:rPr>
              <w:t xml:space="preserve"> </w:t>
            </w:r>
            <w:r w:rsidR="0087489C">
              <w:rPr>
                <w:rFonts w:eastAsia="Times New Roman" w:cstheme="minorHAnsi"/>
                <w:sz w:val="20"/>
                <w:szCs w:val="20"/>
                <w:lang w:bidi="ar-SA"/>
              </w:rPr>
              <w:t>mechanisms and</w:t>
            </w:r>
            <w:r w:rsidR="00A62C96">
              <w:rPr>
                <w:rFonts w:eastAsia="Times New Roman" w:cstheme="minorHAnsi"/>
                <w:sz w:val="20"/>
                <w:szCs w:val="20"/>
                <w:lang w:bidi="ar-SA"/>
              </w:rPr>
              <w:t xml:space="preserve"> </w:t>
            </w:r>
            <w:r w:rsidR="00CC26FB">
              <w:rPr>
                <w:rFonts w:eastAsia="Times New Roman" w:cstheme="minorHAnsi"/>
                <w:sz w:val="20"/>
                <w:szCs w:val="20"/>
                <w:lang w:bidi="ar-SA"/>
              </w:rPr>
              <w:t>tools</w:t>
            </w:r>
            <w:r w:rsidRPr="00310398">
              <w:rPr>
                <w:rFonts w:eastAsia="Times New Roman" w:cstheme="minorHAnsi"/>
                <w:sz w:val="20"/>
                <w:szCs w:val="20"/>
                <w:lang w:bidi="ar-SA"/>
              </w:rPr>
              <w:t>, institutional</w:t>
            </w:r>
            <w:r w:rsidR="00CC26FB">
              <w:rPr>
                <w:rFonts w:eastAsia="Times New Roman" w:cstheme="minorHAnsi"/>
                <w:sz w:val="20"/>
                <w:szCs w:val="20"/>
                <w:lang w:bidi="ar-SA"/>
              </w:rPr>
              <w:t xml:space="preserve"> development</w:t>
            </w:r>
            <w:r w:rsidRPr="00310398">
              <w:rPr>
                <w:rFonts w:eastAsia="Times New Roman" w:cstheme="minorHAnsi"/>
                <w:sz w:val="20"/>
                <w:szCs w:val="20"/>
                <w:lang w:bidi="ar-SA"/>
              </w:rPr>
              <w:t xml:space="preserve">, </w:t>
            </w:r>
            <w:r w:rsidR="00CC26FB">
              <w:rPr>
                <w:rFonts w:eastAsia="Times New Roman" w:cstheme="minorHAnsi"/>
                <w:sz w:val="20"/>
                <w:szCs w:val="20"/>
                <w:lang w:bidi="ar-SA"/>
              </w:rPr>
              <w:t>international</w:t>
            </w:r>
            <w:r w:rsidR="00A62C96">
              <w:rPr>
                <w:rFonts w:eastAsia="Times New Roman" w:cstheme="minorHAnsi"/>
                <w:sz w:val="20"/>
                <w:szCs w:val="20"/>
                <w:lang w:bidi="ar-SA"/>
              </w:rPr>
              <w:t xml:space="preserve"> </w:t>
            </w:r>
            <w:r w:rsidR="0087489C">
              <w:rPr>
                <w:rFonts w:eastAsia="Times New Roman" w:cstheme="minorHAnsi"/>
                <w:sz w:val="20"/>
                <w:szCs w:val="20"/>
                <w:lang w:bidi="ar-SA"/>
              </w:rPr>
              <w:t>policies sustaining</w:t>
            </w:r>
            <w:r w:rsidRPr="00310398">
              <w:rPr>
                <w:rFonts w:eastAsia="Times New Roman" w:cstheme="minorHAnsi"/>
                <w:sz w:val="20"/>
                <w:szCs w:val="20"/>
                <w:lang w:bidi="ar-SA"/>
              </w:rPr>
              <w:t xml:space="preserve"> long-term project results?</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6C1964">
        <w:trPr>
          <w:trHeight w:val="141"/>
        </w:trPr>
        <w:tc>
          <w:tcPr>
            <w:tcW w:w="14601" w:type="dxa"/>
            <w:gridSpan w:val="6"/>
            <w:tcBorders>
              <w:top w:val="nil"/>
              <w:left w:val="single" w:sz="6" w:space="0" w:color="auto"/>
              <w:bottom w:val="nil"/>
              <w:right w:val="single" w:sz="6" w:space="0" w:color="auto"/>
            </w:tcBorders>
            <w:shd w:val="pct12" w:color="auto" w:fill="000000" w:themeFill="text1"/>
          </w:tcPr>
          <w:p w:rsidR="00D6638C" w:rsidRPr="00310398" w:rsidRDefault="00D6638C" w:rsidP="00CC26FB">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Impact: Are there indications that the project has contributed</w:t>
            </w:r>
            <w:r w:rsidR="00CC26FB">
              <w:rPr>
                <w:rFonts w:eastAsia="Times New Roman" w:cstheme="minorHAnsi"/>
                <w:b/>
                <w:iCs/>
                <w:sz w:val="20"/>
                <w:szCs w:val="20"/>
                <w:lang w:bidi="ar-SA"/>
              </w:rPr>
              <w:t xml:space="preserve"> to, or enabled progress toward improving the financial sustainability of Protected Areas</w:t>
            </w:r>
            <w:r w:rsidRPr="00310398">
              <w:rPr>
                <w:rFonts w:eastAsia="Times New Roman" w:cstheme="minorHAnsi"/>
                <w:b/>
                <w:iCs/>
                <w:sz w:val="20"/>
                <w:szCs w:val="20"/>
                <w:lang w:bidi="ar-SA"/>
              </w:rPr>
              <w:t xml:space="preserve">?  </w:t>
            </w: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6638C" w:rsidRPr="00D6638C" w:rsidTr="00310398">
        <w:tc>
          <w:tcPr>
            <w:tcW w:w="199" w:type="dxa"/>
            <w:tcBorders>
              <w:top w:val="nil"/>
              <w:left w:val="nil"/>
              <w:bottom w:val="nil"/>
              <w:right w:val="nil"/>
            </w:tcBorders>
            <w:shd w:val="pct12" w:color="auto" w:fill="FFFFFF"/>
          </w:tcPr>
          <w:p w:rsidR="00D6638C" w:rsidRPr="00D6638C" w:rsidRDefault="00D6638C" w:rsidP="00D6638C">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6158" w:type="dxa"/>
            <w:tcBorders>
              <w:left w:val="nil"/>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87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2430" w:type="dxa"/>
            <w:tcBorders>
              <w:bottom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rsidR="00D6638C" w:rsidRPr="00D6638C" w:rsidRDefault="00D6638C" w:rsidP="00D6638C">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rsidR="00D6638C" w:rsidRPr="00D6638C" w:rsidRDefault="00D6638C" w:rsidP="00D6638C">
      <w:pPr>
        <w:spacing w:before="200"/>
        <w:rPr>
          <w:rFonts w:ascii="Calibri" w:eastAsia="Times New Roman" w:hAnsi="Calibri" w:cs="Times New Roman"/>
          <w:sz w:val="20"/>
          <w:szCs w:val="20"/>
        </w:rPr>
        <w:sectPr w:rsidR="00D6638C" w:rsidRPr="00D6638C" w:rsidSect="006C1964">
          <w:pgSz w:w="15840" w:h="12240" w:orient="landscape"/>
          <w:pgMar w:top="1440" w:right="900" w:bottom="1440" w:left="1440" w:header="708" w:footer="708" w:gutter="0"/>
          <w:cols w:space="708"/>
          <w:docGrid w:linePitch="360"/>
        </w:sectPr>
      </w:pPr>
    </w:p>
    <w:p w:rsidR="00D6638C" w:rsidRDefault="00D6638C" w:rsidP="00F05366">
      <w:pPr>
        <w:pStyle w:val="Heading31"/>
      </w:pPr>
      <w:bookmarkStart w:id="68" w:name="_TOR_Annex_D:"/>
      <w:bookmarkStart w:id="69" w:name="_Toc321341565"/>
      <w:bookmarkEnd w:id="68"/>
      <w:r w:rsidRPr="00D6638C">
        <w:lastRenderedPageBreak/>
        <w:t>Annex D: Rating</w:t>
      </w:r>
      <w:r w:rsidR="00E77635">
        <w:t xml:space="preserve"> Scales</w:t>
      </w:r>
      <w:bookmarkEnd w:id="69"/>
    </w:p>
    <w:p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812"/>
        <w:gridCol w:w="3813"/>
        <w:gridCol w:w="1861"/>
      </w:tblGrid>
      <w:tr w:rsidR="00D6638C" w:rsidRPr="00D6638C" w:rsidTr="00E77635">
        <w:trPr>
          <w:trHeight w:val="548"/>
        </w:trPr>
        <w:tc>
          <w:tcPr>
            <w:tcW w:w="2009" w:type="pct"/>
            <w:shd w:val="clear" w:color="auto" w:fill="auto"/>
            <w:hideMark/>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rsidTr="00E77635">
        <w:trPr>
          <w:trHeight w:val="269"/>
        </w:trPr>
        <w:tc>
          <w:tcPr>
            <w:tcW w:w="2009" w:type="pct"/>
            <w:vMerge w:val="restart"/>
            <w:shd w:val="clear" w:color="auto" w:fill="auto"/>
            <w:hideMark/>
          </w:tcPr>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rsidTr="00E77635">
        <w:trPr>
          <w:trHeight w:val="251"/>
        </w:trPr>
        <w:tc>
          <w:tcPr>
            <w:tcW w:w="2009" w:type="pct"/>
            <w:vMerge/>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rsidTr="00E77635">
        <w:tc>
          <w:tcPr>
            <w:tcW w:w="2009" w:type="pct"/>
            <w:vMerge/>
            <w:tcBorders>
              <w:bottom w:val="single" w:sz="4" w:space="0" w:color="auto"/>
            </w:tcBorders>
            <w:shd w:val="clear" w:color="auto" w:fill="auto"/>
            <w:hideMark/>
          </w:tcPr>
          <w:p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rsidR="00D6638C" w:rsidRPr="00D6638C" w:rsidRDefault="00D6638C" w:rsidP="00D6638C">
            <w:pPr>
              <w:spacing w:after="0" w:line="240" w:lineRule="auto"/>
              <w:rPr>
                <w:rFonts w:ascii="Calibri" w:eastAsia="Times New Roman" w:hAnsi="Calibri" w:cs="Times New Roman"/>
                <w:sz w:val="20"/>
                <w:szCs w:val="20"/>
              </w:rPr>
            </w:pPr>
          </w:p>
          <w:p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rsidR="00D6638C" w:rsidRPr="00D6638C" w:rsidRDefault="00D6638C" w:rsidP="00F05366">
      <w:pPr>
        <w:pStyle w:val="Heading31"/>
      </w:pPr>
      <w:r w:rsidRPr="00D6638C">
        <w:br w:type="page"/>
      </w:r>
      <w:bookmarkStart w:id="70" w:name="_Toc299133056"/>
      <w:bookmarkStart w:id="71" w:name="_Toc321341566"/>
      <w:r w:rsidRPr="00D6638C">
        <w:lastRenderedPageBreak/>
        <w:t xml:space="preserve">Annex E: Evaluation Consultant Code of Conduct </w:t>
      </w:r>
      <w:r w:rsidR="00B913F1">
        <w:t xml:space="preserve">and </w:t>
      </w:r>
      <w:r w:rsidRPr="00D6638C">
        <w:t>Agreement Form</w:t>
      </w:r>
      <w:bookmarkEnd w:id="65"/>
      <w:bookmarkEnd w:id="66"/>
      <w:bookmarkEnd w:id="67"/>
      <w:bookmarkEnd w:id="70"/>
      <w:bookmarkEnd w:id="71"/>
    </w:p>
    <w:p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00C70BC2"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00C70BC2" w:rsidRPr="00D6638C">
        <w:rPr>
          <w:rFonts w:ascii="Calibri" w:eastAsia="Times New Roman" w:hAnsi="Calibri" w:cs="Calibri"/>
          <w:color w:val="000000"/>
          <w:u w:val="single"/>
        </w:rPr>
      </w:r>
      <w:r w:rsidR="00C70BC2"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00C70BC2"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rsidR="00D6638C" w:rsidRPr="00D6638C" w:rsidRDefault="00D6638C" w:rsidP="00F05366">
      <w:pPr>
        <w:pStyle w:val="Heading31"/>
      </w:pPr>
      <w:r w:rsidRPr="00D6638C">
        <w:rPr>
          <w:sz w:val="20"/>
          <w:szCs w:val="20"/>
        </w:rPr>
        <w:br w:type="page"/>
      </w:r>
      <w:bookmarkStart w:id="72" w:name="_TOR_Annex_F:"/>
      <w:bookmarkStart w:id="73" w:name="_Toc299122847"/>
      <w:bookmarkStart w:id="74" w:name="_Toc299122869"/>
      <w:bookmarkStart w:id="75" w:name="_Toc299126633"/>
      <w:bookmarkStart w:id="76" w:name="_Toc299133057"/>
      <w:bookmarkStart w:id="77" w:name="_Toc321341567"/>
      <w:bookmarkEnd w:id="72"/>
      <w:r w:rsidRPr="00D6638C">
        <w:lastRenderedPageBreak/>
        <w:t>Annex F: Evaluation Report Outline</w:t>
      </w:r>
      <w:bookmarkEnd w:id="73"/>
      <w:bookmarkEnd w:id="74"/>
      <w:bookmarkEnd w:id="75"/>
      <w:bookmarkEnd w:id="76"/>
      <w:r w:rsidRPr="00D6638C">
        <w:rPr>
          <w:vertAlign w:val="superscript"/>
        </w:rPr>
        <w:footnoteReference w:id="4"/>
      </w:r>
      <w:bookmarkEnd w:id="77"/>
    </w:p>
    <w:tbl>
      <w:tblPr>
        <w:tblW w:w="0" w:type="auto"/>
        <w:tblInd w:w="108" w:type="dxa"/>
        <w:tblLook w:val="04A0" w:firstRow="1" w:lastRow="0" w:firstColumn="1" w:lastColumn="0" w:noHBand="0" w:noVBand="1"/>
      </w:tblPr>
      <w:tblGrid>
        <w:gridCol w:w="985"/>
        <w:gridCol w:w="8483"/>
      </w:tblGrid>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of  UNDP supported GEF financed project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team members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Feedback from M&amp;E activities used for adaptive management</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lastRenderedPageBreak/>
              <w:t xml:space="preserve">Project Finance: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rsidTr="006C1964">
        <w:trPr>
          <w:trHeight w:val="74"/>
        </w:trPr>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rsidTr="006C1964">
        <w:tc>
          <w:tcPr>
            <w:tcW w:w="985" w:type="dxa"/>
          </w:tcPr>
          <w:p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ToR</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rsidR="00D6638C" w:rsidRPr="00D6638C" w:rsidRDefault="00D6638C" w:rsidP="00D6638C">
            <w:pPr>
              <w:spacing w:after="0"/>
              <w:rPr>
                <w:rFonts w:ascii="Calibri" w:eastAsia="Times New Roman" w:hAnsi="Calibri" w:cs="Times New Roman"/>
                <w:sz w:val="20"/>
                <w:szCs w:val="20"/>
              </w:rPr>
            </w:pPr>
          </w:p>
          <w:p w:rsidR="00D6638C" w:rsidRPr="00D6638C" w:rsidRDefault="00D6638C" w:rsidP="00D6638C">
            <w:pPr>
              <w:spacing w:after="0"/>
              <w:rPr>
                <w:rFonts w:ascii="Calibri" w:eastAsia="Times New Roman" w:hAnsi="Calibri" w:cs="Times New Roman"/>
                <w:sz w:val="20"/>
                <w:szCs w:val="20"/>
              </w:rPr>
            </w:pPr>
          </w:p>
        </w:tc>
      </w:tr>
    </w:tbl>
    <w:p w:rsidR="00D6638C" w:rsidRPr="00D6638C" w:rsidRDefault="00D6638C" w:rsidP="00D6638C">
      <w:pPr>
        <w:spacing w:before="200"/>
        <w:rPr>
          <w:rFonts w:ascii="Calibri" w:eastAsia="Times New Roman" w:hAnsi="Calibri" w:cs="Times New Roman"/>
          <w:sz w:val="20"/>
          <w:szCs w:val="20"/>
        </w:rPr>
      </w:pPr>
      <w:bookmarkStart w:id="78" w:name="_TOR_Annex_G:"/>
      <w:bookmarkStart w:id="79" w:name="_Toc299133058"/>
      <w:bookmarkStart w:id="80" w:name="_Toc299122848"/>
      <w:bookmarkStart w:id="81" w:name="_Toc299122870"/>
      <w:bookmarkStart w:id="82" w:name="_Toc299126634"/>
      <w:bookmarkEnd w:id="78"/>
    </w:p>
    <w:p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rsidR="00D6638C" w:rsidRPr="00F05366" w:rsidRDefault="00D6638C" w:rsidP="00F05366">
      <w:pPr>
        <w:pStyle w:val="Heading31"/>
      </w:pPr>
      <w:bookmarkStart w:id="83" w:name="_TOR_Annex_G:_1"/>
      <w:bookmarkStart w:id="84" w:name="_Toc321341568"/>
      <w:bookmarkEnd w:id="83"/>
      <w:r w:rsidRPr="00F05366">
        <w:lastRenderedPageBreak/>
        <w:t>Annex G: Evaluation Report Clearance Form</w:t>
      </w:r>
      <w:bookmarkEnd w:id="79"/>
      <w:bookmarkEnd w:id="84"/>
    </w:p>
    <w:p w:rsidR="00D6638C" w:rsidRPr="00D6638C" w:rsidRDefault="00C45CA6" w:rsidP="00D6638C">
      <w:pPr>
        <w:spacing w:before="200"/>
        <w:rPr>
          <w:rFonts w:ascii="Calibri" w:eastAsia="Times New Roman" w:hAnsi="Calibri" w:cs="Times New Roman"/>
          <w:i/>
          <w:sz w:val="20"/>
          <w:szCs w:val="20"/>
        </w:rPr>
      </w:pPr>
      <w:r>
        <w:rPr>
          <w:rFonts w:ascii="Calibri" w:eastAsia="Times New Roman" w:hAnsi="Calibri" w:cs="Times New Roman"/>
          <w:noProof/>
          <w:sz w:val="20"/>
          <w:szCs w:val="20"/>
          <w:lang w:bidi="ar-SA"/>
        </w:rPr>
        <mc:AlternateContent>
          <mc:Choice Requires="wps">
            <w:drawing>
              <wp:anchor distT="0" distB="0" distL="114300" distR="114300" simplePos="0" relativeHeight="251659264" behindDoc="0" locked="0" layoutInCell="1" allowOverlap="1">
                <wp:simplePos x="0" y="0"/>
                <wp:positionH relativeFrom="column">
                  <wp:posOffset>-99060</wp:posOffset>
                </wp:positionH>
                <wp:positionV relativeFrom="paragraph">
                  <wp:posOffset>381000</wp:posOffset>
                </wp:positionV>
                <wp:extent cx="5835015" cy="2362835"/>
                <wp:effectExtent l="0" t="0" r="13335"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2362835"/>
                        </a:xfrm>
                        <a:prstGeom prst="rect">
                          <a:avLst/>
                        </a:prstGeom>
                        <a:solidFill>
                          <a:srgbClr val="FFFFFF"/>
                        </a:solidFill>
                        <a:ln w="9525">
                          <a:solidFill>
                            <a:srgbClr val="000000"/>
                          </a:solidFill>
                          <a:miter lim="800000"/>
                          <a:headEnd/>
                          <a:tailEnd/>
                        </a:ln>
                      </wps:spPr>
                      <wps:txbx>
                        <w:txbxContent>
                          <w:p w:rsidR="00336EE2" w:rsidRPr="0084083F" w:rsidRDefault="00336EE2" w:rsidP="00D6638C">
                            <w:pPr>
                              <w:rPr>
                                <w:rFonts w:eastAsia="Batang"/>
                              </w:rPr>
                            </w:pPr>
                            <w:r w:rsidRPr="0084083F">
                              <w:rPr>
                                <w:rFonts w:eastAsia="Batang"/>
                              </w:rPr>
                              <w:t>Evaluation Report Reviewed and Cleared by</w:t>
                            </w:r>
                          </w:p>
                          <w:p w:rsidR="00336EE2" w:rsidRPr="0084083F" w:rsidRDefault="00336EE2" w:rsidP="00D6638C">
                            <w:r w:rsidRPr="0084083F">
                              <w:t>UNDP Country Office</w:t>
                            </w:r>
                          </w:p>
                          <w:p w:rsidR="00336EE2" w:rsidRPr="0084083F" w:rsidRDefault="00336EE2" w:rsidP="00D6638C">
                            <w:r w:rsidRPr="0084083F">
                              <w:t>Name:  ___________________________________________________</w:t>
                            </w:r>
                          </w:p>
                          <w:p w:rsidR="00336EE2" w:rsidRPr="0084083F" w:rsidRDefault="00336EE2" w:rsidP="00D6638C">
                            <w:r w:rsidRPr="0084083F">
                              <w:t>Signature: ______________________________       Date: _________________________________</w:t>
                            </w:r>
                          </w:p>
                          <w:p w:rsidR="00336EE2" w:rsidRPr="0084083F" w:rsidRDefault="00336EE2" w:rsidP="00D6638C">
                            <w:r w:rsidRPr="0084083F">
                              <w:t>UNDP GEF R</w:t>
                            </w:r>
                            <w:r>
                              <w:t>TA</w:t>
                            </w:r>
                          </w:p>
                          <w:p w:rsidR="00336EE2" w:rsidRPr="0084083F" w:rsidRDefault="00336EE2" w:rsidP="00D6638C">
                            <w:r w:rsidRPr="0084083F">
                              <w:t>Name:  ___________________________________________________</w:t>
                            </w:r>
                          </w:p>
                          <w:p w:rsidR="00336EE2" w:rsidRPr="0084083F" w:rsidRDefault="00336EE2"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7.8pt;margin-top:30pt;width:459.45pt;height:186.0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">
                <v:textbox style="mso-fit-shape-to-text:t">
                  <w:txbxContent>
                    <w:p w:rsidR="00336EE2" w:rsidRPr="0084083F" w:rsidRDefault="00336EE2" w:rsidP="00D6638C">
                      <w:pPr>
                        <w:rPr>
                          <w:rFonts w:eastAsia="Batang"/>
                        </w:rPr>
                      </w:pPr>
                      <w:r w:rsidRPr="0084083F">
                        <w:rPr>
                          <w:rFonts w:eastAsia="Batang"/>
                        </w:rPr>
                        <w:t>Evaluation Report Reviewed and Cleared by</w:t>
                      </w:r>
                    </w:p>
                    <w:p w:rsidR="00336EE2" w:rsidRPr="0084083F" w:rsidRDefault="00336EE2" w:rsidP="00D6638C">
                      <w:r w:rsidRPr="0084083F">
                        <w:t>UNDP Country Office</w:t>
                      </w:r>
                    </w:p>
                    <w:p w:rsidR="00336EE2" w:rsidRPr="0084083F" w:rsidRDefault="00336EE2" w:rsidP="00D6638C">
                      <w:r w:rsidRPr="0084083F">
                        <w:t>Name:  ___________________________________________________</w:t>
                      </w:r>
                    </w:p>
                    <w:p w:rsidR="00336EE2" w:rsidRPr="0084083F" w:rsidRDefault="00336EE2" w:rsidP="00D6638C">
                      <w:r w:rsidRPr="0084083F">
                        <w:t>Signature: ______________________________       Date: _________________________________</w:t>
                      </w:r>
                    </w:p>
                    <w:p w:rsidR="00336EE2" w:rsidRPr="0084083F" w:rsidRDefault="00336EE2" w:rsidP="00D6638C">
                      <w:r w:rsidRPr="0084083F">
                        <w:t>UNDP GEF R</w:t>
                      </w:r>
                      <w:r>
                        <w:t>TA</w:t>
                      </w:r>
                    </w:p>
                    <w:p w:rsidR="00336EE2" w:rsidRPr="0084083F" w:rsidRDefault="00336EE2" w:rsidP="00D6638C">
                      <w:r w:rsidRPr="0084083F">
                        <w:t>Name:  ___________________________________________________</w:t>
                      </w:r>
                    </w:p>
                    <w:p w:rsidR="00336EE2" w:rsidRPr="0084083F" w:rsidRDefault="00336EE2" w:rsidP="00D6638C">
                      <w:r w:rsidRPr="0084083F">
                        <w:t>Signature: ______________________________       Date: _________________________________</w:t>
                      </w:r>
                    </w:p>
                  </w:txbxContent>
                </v:textbox>
              </v:shape>
            </w:pict>
          </mc:Fallback>
        </mc:AlternateContent>
      </w:r>
      <w:r w:rsidR="00D6638C"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80"/>
      <w:bookmarkEnd w:id="81"/>
      <w:bookmarkEnd w:id="82"/>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i/>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D6638C" w:rsidRPr="00D6638C" w:rsidRDefault="00D6638C" w:rsidP="00D6638C">
      <w:pPr>
        <w:spacing w:before="200"/>
        <w:rPr>
          <w:rFonts w:ascii="Calibri" w:eastAsia="Times New Roman" w:hAnsi="Calibri" w:cs="Times New Roman"/>
          <w:sz w:val="20"/>
          <w:szCs w:val="20"/>
        </w:rPr>
      </w:pPr>
    </w:p>
    <w:p w:rsidR="00303541" w:rsidRDefault="00303541" w:rsidP="00D6638C">
      <w:pPr>
        <w:spacing w:before="200"/>
      </w:pPr>
      <w:bookmarkStart w:id="85" w:name="_Annex_3._Sample"/>
      <w:bookmarkEnd w:id="85"/>
    </w:p>
    <w:sectPr w:rsidR="00303541" w:rsidSect="00002D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7C8" w:rsidRDefault="001F17C8" w:rsidP="00D6638C">
      <w:pPr>
        <w:spacing w:after="0" w:line="240" w:lineRule="auto"/>
      </w:pPr>
      <w:r>
        <w:separator/>
      </w:r>
    </w:p>
  </w:endnote>
  <w:endnote w:type="continuationSeparator" w:id="0">
    <w:p w:rsidR="001F17C8" w:rsidRDefault="001F17C8"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Myriad-Bold">
    <w:altName w:val="Arial"/>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9715490"/>
      <w:docPartObj>
        <w:docPartGallery w:val="Page Numbers (Bottom of Page)"/>
        <w:docPartUnique/>
      </w:docPartObj>
    </w:sdtPr>
    <w:sdtEndPr>
      <w:rPr>
        <w:noProof/>
      </w:rPr>
    </w:sdtEndPr>
    <w:sdtContent>
      <w:p w:rsidR="00336EE2" w:rsidRDefault="00C70BC2">
        <w:pPr>
          <w:pStyle w:val="Footer"/>
          <w:jc w:val="right"/>
        </w:pPr>
        <w:r>
          <w:fldChar w:fldCharType="begin"/>
        </w:r>
        <w:r w:rsidR="00336EE2">
          <w:instrText xml:space="preserve"> PAGE   \* MERGEFORMAT </w:instrText>
        </w:r>
        <w:r>
          <w:fldChar w:fldCharType="separate"/>
        </w:r>
        <w:r w:rsidR="00C45CA6">
          <w:rPr>
            <w:noProof/>
          </w:rPr>
          <w:t>1</w:t>
        </w:r>
        <w:r>
          <w:rPr>
            <w:noProof/>
          </w:rPr>
          <w:fldChar w:fldCharType="end"/>
        </w:r>
      </w:p>
    </w:sdtContent>
  </w:sdt>
  <w:p w:rsidR="00336EE2" w:rsidRDefault="00336E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7C8" w:rsidRDefault="001F17C8" w:rsidP="00D6638C">
      <w:pPr>
        <w:spacing w:after="0" w:line="240" w:lineRule="auto"/>
      </w:pPr>
      <w:r>
        <w:separator/>
      </w:r>
    </w:p>
  </w:footnote>
  <w:footnote w:type="continuationSeparator" w:id="0">
    <w:p w:rsidR="001F17C8" w:rsidRDefault="001F17C8" w:rsidP="00D6638C">
      <w:pPr>
        <w:spacing w:after="0" w:line="240" w:lineRule="auto"/>
      </w:pPr>
      <w:r>
        <w:continuationSeparator/>
      </w:r>
    </w:p>
  </w:footnote>
  <w:footnote w:id="1">
    <w:p w:rsidR="00336EE2" w:rsidRDefault="00336EE2"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rsidR="00336EE2" w:rsidRPr="00022F8E" w:rsidRDefault="00336EE2">
      <w:pPr>
        <w:pStyle w:val="FootnoteText"/>
        <w:rPr>
          <w:lang w:val="en-GB"/>
        </w:rPr>
      </w:pPr>
      <w:r>
        <w:rPr>
          <w:rStyle w:val="FootnoteReference"/>
        </w:rPr>
        <w:footnoteRef/>
      </w:r>
      <w:r>
        <w:t xml:space="preserve"> </w:t>
      </w:r>
      <w:r>
        <w:rPr>
          <w:lang w:val="en-GB"/>
        </w:rPr>
        <w:t xml:space="preserve">A useful tool for gauging progress to impact is the Review of Outcomes to Impacts (ROtI) method developed by the GEF Evaluation Office: </w:t>
      </w:r>
      <w:hyperlink r:id="rId2" w:history="1">
        <w:r w:rsidRPr="00E23201">
          <w:rPr>
            <w:rStyle w:val="Hyperlink"/>
            <w:lang w:val="en-GB"/>
          </w:rPr>
          <w:t xml:space="preserve"> ROTI Handbook 2009</w:t>
        </w:r>
      </w:hyperlink>
    </w:p>
  </w:footnote>
  <w:footnote w:id="3">
    <w:p w:rsidR="00336EE2" w:rsidRDefault="00336EE2" w:rsidP="00D6638C">
      <w:pPr>
        <w:pStyle w:val="FootnoteText"/>
      </w:pPr>
      <w:r w:rsidRPr="004B6248">
        <w:rPr>
          <w:rStyle w:val="FootnoteReference"/>
        </w:rPr>
        <w:footnoteRef/>
      </w:r>
      <w:r w:rsidRPr="00FB1376">
        <w:t>www.unevaluation.org/unegcodeofconduct</w:t>
      </w:r>
    </w:p>
    <w:p w:rsidR="00336EE2" w:rsidRDefault="00336EE2" w:rsidP="00D6638C">
      <w:pPr>
        <w:pStyle w:val="FootnoteText"/>
      </w:pPr>
    </w:p>
  </w:footnote>
  <w:footnote w:id="4">
    <w:p w:rsidR="00336EE2" w:rsidRPr="002B7151" w:rsidRDefault="00336EE2"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rsidR="00336EE2" w:rsidRPr="002B7151" w:rsidRDefault="00336EE2"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rsidR="00336EE2" w:rsidRPr="002B7151" w:rsidRDefault="00336EE2"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B61B72"/>
    <w:multiLevelType w:val="hybridMultilevel"/>
    <w:tmpl w:val="18247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D603490"/>
    <w:multiLevelType w:val="hybridMultilevel"/>
    <w:tmpl w:val="CC76685A"/>
    <w:lvl w:ilvl="0" w:tplc="C0F86A3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2">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D844F6F"/>
    <w:multiLevelType w:val="hybridMultilevel"/>
    <w:tmpl w:val="89F4EFD8"/>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4">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E4936"/>
    <w:multiLevelType w:val="hybridMultilevel"/>
    <w:tmpl w:val="D674DDD8"/>
    <w:lvl w:ilvl="0" w:tplc="C0F86A3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7">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3">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5236C4E"/>
    <w:multiLevelType w:val="hybridMultilevel"/>
    <w:tmpl w:val="7736F73E"/>
    <w:lvl w:ilvl="0" w:tplc="C0F86A3A">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6">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8">
    <w:nsid w:val="60555A5E"/>
    <w:multiLevelType w:val="hybridMultilevel"/>
    <w:tmpl w:val="290C18DE"/>
    <w:lvl w:ilvl="0" w:tplc="0240D344">
      <w:start w:val="1"/>
      <w:numFmt w:val="bullet"/>
      <w:lvlText w:val=""/>
      <w:lvlJc w:val="left"/>
      <w:pPr>
        <w:tabs>
          <w:tab w:val="num" w:pos="360"/>
        </w:tabs>
        <w:ind w:left="36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3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1">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7"/>
  </w:num>
  <w:num w:numId="4">
    <w:abstractNumId w:val="19"/>
  </w:num>
  <w:num w:numId="5">
    <w:abstractNumId w:val="2"/>
  </w:num>
  <w:num w:numId="6">
    <w:abstractNumId w:val="23"/>
  </w:num>
  <w:num w:numId="7">
    <w:abstractNumId w:val="1"/>
  </w:num>
  <w:num w:numId="8">
    <w:abstractNumId w:val="30"/>
  </w:num>
  <w:num w:numId="9">
    <w:abstractNumId w:val="13"/>
  </w:num>
  <w:num w:numId="10">
    <w:abstractNumId w:val="29"/>
  </w:num>
  <w:num w:numId="11">
    <w:abstractNumId w:val="11"/>
  </w:num>
  <w:num w:numId="12">
    <w:abstractNumId w:val="25"/>
  </w:num>
  <w:num w:numId="13">
    <w:abstractNumId w:val="22"/>
  </w:num>
  <w:num w:numId="14">
    <w:abstractNumId w:val="3"/>
  </w:num>
  <w:num w:numId="15">
    <w:abstractNumId w:val="21"/>
  </w:num>
  <w:num w:numId="16">
    <w:abstractNumId w:val="16"/>
  </w:num>
  <w:num w:numId="17">
    <w:abstractNumId w:val="4"/>
  </w:num>
  <w:num w:numId="18">
    <w:abstractNumId w:val="14"/>
  </w:num>
  <w:num w:numId="19">
    <w:abstractNumId w:val="33"/>
  </w:num>
  <w:num w:numId="20">
    <w:abstractNumId w:val="17"/>
  </w:num>
  <w:num w:numId="21">
    <w:abstractNumId w:val="12"/>
  </w:num>
  <w:num w:numId="22">
    <w:abstractNumId w:val="5"/>
  </w:num>
  <w:num w:numId="23">
    <w:abstractNumId w:val="7"/>
  </w:num>
  <w:num w:numId="24">
    <w:abstractNumId w:val="31"/>
  </w:num>
  <w:num w:numId="25">
    <w:abstractNumId w:val="0"/>
  </w:num>
  <w:num w:numId="26">
    <w:abstractNumId w:val="35"/>
  </w:num>
  <w:num w:numId="27">
    <w:abstractNumId w:val="10"/>
  </w:num>
  <w:num w:numId="28">
    <w:abstractNumId w:val="32"/>
  </w:num>
  <w:num w:numId="29">
    <w:abstractNumId w:val="20"/>
  </w:num>
  <w:num w:numId="30">
    <w:abstractNumId w:val="18"/>
  </w:num>
  <w:num w:numId="31">
    <w:abstractNumId w:val="26"/>
  </w:num>
  <w:num w:numId="32">
    <w:abstractNumId w:val="6"/>
  </w:num>
  <w:num w:numId="33">
    <w:abstractNumId w:val="8"/>
  </w:num>
  <w:num w:numId="34">
    <w:abstractNumId w:val="24"/>
  </w:num>
  <w:num w:numId="35">
    <w:abstractNumId w:val="15"/>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38C"/>
    <w:rsid w:val="00002D5E"/>
    <w:rsid w:val="00022F8E"/>
    <w:rsid w:val="001B6FDA"/>
    <w:rsid w:val="001F17C8"/>
    <w:rsid w:val="00224F9C"/>
    <w:rsid w:val="00235167"/>
    <w:rsid w:val="00264E7E"/>
    <w:rsid w:val="002F1F16"/>
    <w:rsid w:val="00303541"/>
    <w:rsid w:val="00310398"/>
    <w:rsid w:val="003172F1"/>
    <w:rsid w:val="00336EE2"/>
    <w:rsid w:val="003A1C86"/>
    <w:rsid w:val="003F0EB9"/>
    <w:rsid w:val="00446EA3"/>
    <w:rsid w:val="00472DF3"/>
    <w:rsid w:val="0051753E"/>
    <w:rsid w:val="005259D7"/>
    <w:rsid w:val="00691B5B"/>
    <w:rsid w:val="006C1964"/>
    <w:rsid w:val="00723607"/>
    <w:rsid w:val="0087489C"/>
    <w:rsid w:val="008A10AA"/>
    <w:rsid w:val="008B79AC"/>
    <w:rsid w:val="008F6269"/>
    <w:rsid w:val="009A1F16"/>
    <w:rsid w:val="009F4322"/>
    <w:rsid w:val="00A62C96"/>
    <w:rsid w:val="00A8347F"/>
    <w:rsid w:val="00AC78DD"/>
    <w:rsid w:val="00AE2CF9"/>
    <w:rsid w:val="00B175BD"/>
    <w:rsid w:val="00B334C8"/>
    <w:rsid w:val="00B913F1"/>
    <w:rsid w:val="00C15ED7"/>
    <w:rsid w:val="00C45CA6"/>
    <w:rsid w:val="00C70BC2"/>
    <w:rsid w:val="00C84F98"/>
    <w:rsid w:val="00CC26FB"/>
    <w:rsid w:val="00D6638C"/>
    <w:rsid w:val="00DE4296"/>
    <w:rsid w:val="00E009D9"/>
    <w:rsid w:val="00E23201"/>
    <w:rsid w:val="00E57BFC"/>
    <w:rsid w:val="00E77635"/>
    <w:rsid w:val="00F053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basedOn w:val="DefaultParagraphFont"/>
    <w:link w:val="ListParagraph"/>
    <w:uiPriority w:val="34"/>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undp.org/evaluation/handboo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ranet.undp.org/global/popp/ppm/Pages/Contents.aspx?lang=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valuation.org/ethicalguidelin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eb.undp.org/evaluation/documents/guidance/GEF/UNDP-GEF-TE-Guide.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6941B-303F-4AEA-B161-7F4CDE527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4878</Words>
  <Characters>27806</Characters>
  <Application>Microsoft Office Word</Application>
  <DocSecurity>4</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UNDP</Company>
  <LinksUpToDate>false</LinksUpToDate>
  <CharactersWithSpaces>32619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User</cp:lastModifiedBy>
  <cp:revision>2</cp:revision>
  <cp:lastPrinted>2014-03-19T10:04:00Z</cp:lastPrinted>
  <dcterms:created xsi:type="dcterms:W3CDTF">2014-10-20T10:39:00Z</dcterms:created>
  <dcterms:modified xsi:type="dcterms:W3CDTF">2014-10-20T10:39:00Z</dcterms:modified>
</cp:coreProperties>
</file>