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lang w:val="it-IT"/>
        </w:rPr>
        <w:id w:val="76926116"/>
        <w:docPartObj>
          <w:docPartGallery w:val="Cover Pages"/>
          <w:docPartUnique/>
        </w:docPartObj>
      </w:sdtPr>
      <w:sdtEndPr>
        <w:rPr>
          <w:lang w:val="en-US"/>
        </w:rPr>
      </w:sdtEndPr>
      <w:sdtContent>
        <w:p w:rsidR="00D32E3B" w:rsidRDefault="00021B43" w:rsidP="00203710">
          <w:pPr>
            <w:jc w:val="both"/>
            <w:rPr>
              <w:lang w:val="it-IT"/>
            </w:rPr>
          </w:pPr>
          <w:r w:rsidRPr="00021B43">
            <w:rPr>
              <w:noProof/>
              <w:lang w:val="it-IT" w:eastAsia="it-IT" w:bidi="ar-SA"/>
            </w:rPr>
            <w:pict>
              <v:group id="Group 4" o:spid="_x0000_s1026" style="position:absolute;left:0;text-align:left;margin-left:1830.2pt;margin-top:0;width:244.6pt;height:791.65pt;z-index:25166131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" o:allowincell="f">
                <v:group id="Group 5"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6"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GRFMIA&#10;AADbAAAADwAAAGRycy9kb3ducmV2LnhtbESPzarCMBSE94LvEI7gzqZ2UbUaRUThIri4/oDLQ3Ns&#10;i81JaXK1vr0RLrgcZuYbZrHqTC0e1LrKsoJxFIMgzq2uuFBwPu1GUxDOI2usLZOCFzlYLfu9BWba&#10;PvmXHkdfiABhl6GC0vsmk9LlJRl0kW2Ig3ezrUEfZFtI3eIzwE0tkzhOpcGKw0KJDW1Kyu/HP6Ng&#10;lu5jI5t1urtcazyM3d0nh61Sw0G3noPw1Plv+L/9oxUkE/h8C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ZEUwgAAANsAAAAPAAAAAAAAAAAAAAAAAJgCAABkcnMvZG93&#10;bnJldi54bWxQSwUGAAAAAAQABAD1AAAAhwMAAAAA&#10;" fillcolor="#9bbb59 [3206]" stroked="f" strokecolor="#d8d8d8 [2732]"/>
                  <v:rect id="Rectangle 7"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9FL4A&#10;AADbAAAADwAAAGRycy9kb3ducmV2LnhtbERPy4rCMBTdC/5DuMLsNNUBR6tRRBSd1fjcX5prU2xu&#10;ShPb+veTxcAsD+e9XHe2FA3VvnCsYDxKQBBnThecK7hd98MZCB+QNZaOScGbPKxX/d4SU+1aPlNz&#10;CbmIIexTVGBCqFIpfWbIoh+5ijhyD1dbDBHWudQ1tjHclnKSJFNpseDYYLCiraHseXlZBd/J5/2w&#10;wxOXXz+Nnrd3s0F9Vupj0G0WIAJ14V/85z5qBZM4Nn6JP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RS+AAAA2wAAAA8AAAAAAAAAAAAAAAAAmAIAAGRycy9kb3ducmV2&#10;LnhtbFBLBQYAAAAABAAEAPUAAACDAwAAAAA=&#10;" fillcolor="#9bbb59 [3206]" stroked="f" strokecolor="white [3212]" strokeweight="1pt">
                    <v:fill r:id="rId10" o:title="" opacity="52428f" o:opacity2="52428f" type="pattern"/>
                    <v:shadow color="#d8d8d8 [2732]" offset="3pt,3pt"/>
                  </v:rect>
                </v:group>
                <v:rect id="Rectangle 8"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z5sQA&#10;AADbAAAADwAAAGRycy9kb3ducmV2LnhtbESPQWvCQBSE74X+h+UVvIhu6qHYmI3UQotgEavB8yP7&#10;zMZm34bsatJ/3xWEHoeZ+YbJloNtxJU6XztW8DxNQBCXTtdcKSgOH5M5CB+QNTaOScEveVjmjw8Z&#10;ptr1/E3XfahEhLBPUYEJoU2l9KUhi37qWuLonVxnMUTZVVJ32Ee4beQsSV6kxZrjgsGW3g2VP/uL&#10;jRRb9Lgxw3m3WtHXfPtJx0KOlRo9DW8LEIGG8B++t9dawewVbl/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c+bEAAAA2wAAAA8AAAAAAAAAAAAAAAAAmAIAAGRycy9k&#10;b3ducmV2LnhtbFBLBQYAAAAABAAEAPUAAACJAwAAAAA=&#10;" filled="f" fillcolor="white [3212]" stroked="f" strokecolor="white [3212]" strokeweight="1pt">
                  <v:fill opacity="52428f"/>
                  <v:textbox inset="28.8pt,14.4pt,14.4pt,14.4pt">
                    <w:txbxContent>
                      <w:p w:rsidR="00871056" w:rsidRPr="00CC3C5A" w:rsidRDefault="00871056" w:rsidP="00A971D6">
                        <w:pPr>
                          <w:jc w:val="both"/>
                          <w:rPr>
                            <w:szCs w:val="96"/>
                            <w:lang w:val="it-IT"/>
                          </w:rPr>
                        </w:pPr>
                      </w:p>
                    </w:txbxContent>
                  </v:textbox>
                </v:rect>
                <v:rect id="Rectangle 9"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MpsQA&#10;AADbAAAADwAAAGRycy9kb3ducmV2LnhtbESPTUvEQAyG78L+hyGCF3GnqyCldrq4CyuCIvtRPIdO&#10;7FQ7mdIZt/Xfm4PgMbx5n+Qp17Pv1ZnG2AU2sFpmoIibYDtuDdSn3U0OKiZki31gMvBDEdbV4qLE&#10;woaJD3Q+plYJhGOBBlxKQ6F1bBx5jMswEEv2EUaPScax1XbESeC+17dZdq89diwXHA60ddR8Hb+9&#10;UHw94YubP/ebDb3mb0/0XutrY64u58cHUInm9L/81362Bu7ke3ERD9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9TKbEAAAA2wAAAA8AAAAAAAAAAAAAAAAAmAIAAGRycy9k&#10;b3ducmV2LnhtbFBLBQYAAAAABAAEAPUAAACJAwAAAAA=&#10;" filled="f" fillcolor="white [3212]" stroked="f" strokecolor="white [3212]" strokeweight="1pt">
                  <v:fill opacity="52428f"/>
                  <v:textbox inset="28.8pt,14.4pt,14.4pt,14.4pt">
                    <w:txbxContent>
                      <w:sdt>
                        <w:sdtPr>
                          <w:rPr>
                            <w:color w:val="FFFFFF" w:themeColor="background1"/>
                            <w:lang w:val="it-IT"/>
                          </w:rPr>
                          <w:alias w:val="Autore"/>
                          <w:id w:val="76926160"/>
                          <w:dataBinding w:prefixMappings="xmlns:ns0='http://schemas.openxmlformats.org/package/2006/metadata/core-properties' xmlns:ns1='http://purl.org/dc/elements/1.1/'" w:xpath="/ns0:coreProperties[1]/ns1:creator[1]" w:storeItemID="{6C3C8BC8-F283-45AE-878A-BAB7291924A1}"/>
                          <w:text/>
                        </w:sdtPr>
                        <w:sdtContent>
                          <w:p w:rsidR="00871056" w:rsidRPr="008C0D47" w:rsidRDefault="00871056" w:rsidP="00A971D6">
                            <w:pPr>
                              <w:pStyle w:val="NoSpacing"/>
                              <w:spacing w:line="360" w:lineRule="auto"/>
                              <w:jc w:val="both"/>
                              <w:rPr>
                                <w:color w:val="FFFFFF" w:themeColor="background1"/>
                                <w:lang w:val="it-IT"/>
                              </w:rPr>
                            </w:pPr>
                            <w:r w:rsidRPr="008C0D47">
                              <w:rPr>
                                <w:color w:val="FFFFFF" w:themeColor="background1"/>
                                <w:lang w:val="it-IT"/>
                              </w:rPr>
                              <w:t>Carlo Lupi and Nghiem Kim Hoa-</w:t>
                            </w:r>
                          </w:p>
                        </w:sdtContent>
                      </w:sdt>
                      <w:sdt>
                        <w:sdtPr>
                          <w:rPr>
                            <w:color w:val="FFFFFF" w:themeColor="background1"/>
                          </w:rPr>
                          <w:alias w:val="Società"/>
                          <w:id w:val="76926161"/>
                          <w:dataBinding w:prefixMappings="xmlns:ns0='http://schemas.openxmlformats.org/officeDocument/2006/extended-properties'" w:xpath="/ns0:Properties[1]/ns0:Company[1]" w:storeItemID="{6668398D-A668-4E3E-A5EB-62B293D839F1}"/>
                          <w:text/>
                        </w:sdtPr>
                        <w:sdtContent>
                          <w:p w:rsidR="00871056" w:rsidRPr="00D32E3B" w:rsidRDefault="00871056" w:rsidP="00A971D6">
                            <w:pPr>
                              <w:pStyle w:val="NoSpacing"/>
                              <w:spacing w:line="360" w:lineRule="auto"/>
                              <w:jc w:val="both"/>
                              <w:rPr>
                                <w:color w:val="FFFFFF" w:themeColor="background1"/>
                                <w:lang w:val="en-GB"/>
                              </w:rPr>
                            </w:pPr>
                            <w:r>
                              <w:rPr>
                                <w:color w:val="FFFFFF" w:themeColor="background1"/>
                              </w:rPr>
                              <w:t>Independent Terminal Evaluation Consultants</w:t>
                            </w:r>
                          </w:p>
                        </w:sdtContent>
                      </w:sdt>
                      <w:sdt>
                        <w:sdtPr>
                          <w:rPr>
                            <w:color w:val="FFFFFF" w:themeColor="background1"/>
                          </w:rPr>
                          <w:alias w:val="Data"/>
                          <w:id w:val="76926162"/>
                          <w:dataBinding w:prefixMappings="xmlns:ns0='http://schemas.microsoft.com/office/2006/coverPageProps'" w:xpath="/ns0:CoverPageProperties[1]/ns0:PublishDate[1]" w:storeItemID="{55AF091B-3C7A-41E3-B477-F2FDAA23CFDA}"/>
                          <w:date w:fullDate="2015-03-02T00:00:00Z">
                            <w:dateFormat w:val="dd/MM/yyyy"/>
                            <w:lid w:val="it-IT"/>
                            <w:storeMappedDataAs w:val="dateTime"/>
                            <w:calendar w:val="gregorian"/>
                          </w:date>
                        </w:sdtPr>
                        <w:sdtContent>
                          <w:p w:rsidR="00871056" w:rsidRDefault="00871056" w:rsidP="00A971D6">
                            <w:pPr>
                              <w:pStyle w:val="NoSpacing"/>
                              <w:spacing w:line="360" w:lineRule="auto"/>
                              <w:jc w:val="both"/>
                              <w:rPr>
                                <w:color w:val="FFFFFF" w:themeColor="background1"/>
                              </w:rPr>
                            </w:pPr>
                            <w:r>
                              <w:rPr>
                                <w:color w:val="FFFFFF" w:themeColor="background1"/>
                                <w:lang w:val="it-IT"/>
                              </w:rPr>
                              <w:t>02/03/2015</w:t>
                            </w:r>
                          </w:p>
                        </w:sdtContent>
                      </w:sdt>
                    </w:txbxContent>
                  </v:textbox>
                </v:rect>
                <w10:wrap anchorx="page" anchory="page"/>
              </v:group>
            </w:pict>
          </w:r>
          <w:r w:rsidR="00795827">
            <w:rPr>
              <w:lang w:val="it-IT"/>
            </w:rPr>
            <w:t xml:space="preserve"> </w:t>
          </w:r>
          <w:r w:rsidR="00CA782F">
            <w:rPr>
              <w:lang w:val="it-IT"/>
            </w:rPr>
            <w:t xml:space="preserve"> </w:t>
          </w:r>
        </w:p>
        <w:p w:rsidR="00D32E3B" w:rsidRDefault="00AC5F7E" w:rsidP="00A971D6">
          <w:pPr>
            <w:autoSpaceDE/>
            <w:autoSpaceDN/>
            <w:adjustRightInd/>
            <w:spacing w:before="200" w:after="200"/>
            <w:jc w:val="both"/>
            <w:rPr>
              <w:b/>
              <w:bCs/>
              <w:caps/>
              <w:color w:val="FFFFFF" w:themeColor="background1"/>
              <w:spacing w:val="15"/>
              <w:sz w:val="22"/>
              <w:szCs w:val="22"/>
            </w:rPr>
          </w:pPr>
          <w:r>
            <w:rPr>
              <w:noProof/>
              <w:lang w:bidi="ar-SA"/>
            </w:rPr>
            <w:drawing>
              <wp:anchor distT="0" distB="0" distL="114300" distR="114300" simplePos="0" relativeHeight="251662336" behindDoc="0" locked="0" layoutInCell="0" allowOverlap="1">
                <wp:simplePos x="0" y="0"/>
                <wp:positionH relativeFrom="page">
                  <wp:align>right</wp:align>
                </wp:positionH>
                <wp:positionV relativeFrom="page">
                  <wp:align>center</wp:align>
                </wp:positionV>
                <wp:extent cx="4942622" cy="2783007"/>
                <wp:effectExtent l="19050" t="19050" r="10378" b="1734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email"/>
                        <a:stretch>
                          <a:fillRect/>
                        </a:stretch>
                      </pic:blipFill>
                      <pic:spPr>
                        <a:xfrm>
                          <a:off x="0" y="0"/>
                          <a:ext cx="4942622" cy="2783007"/>
                        </a:xfrm>
                        <a:prstGeom prst="rect">
                          <a:avLst/>
                        </a:prstGeom>
                        <a:ln w="12700">
                          <a:solidFill>
                            <a:schemeClr val="bg1"/>
                          </a:solidFill>
                        </a:ln>
                      </pic:spPr>
                    </pic:pic>
                  </a:graphicData>
                </a:graphic>
              </wp:anchor>
            </w:drawing>
          </w:r>
          <w:r w:rsidR="00021B43" w:rsidRPr="00021B43">
            <w:rPr>
              <w:noProof/>
              <w:lang w:val="it-IT" w:eastAsia="it-IT" w:bidi="ar-SA"/>
            </w:rPr>
            <w:pict>
              <v:rect id="Rectangle 10" o:spid="_x0000_s1032" style="position:absolute;left:0;text-align:left;margin-left:.55pt;margin-top:122.35pt;width:549pt;height:103pt;z-index:251663360;visibility:visible;mso-width-percent:900;mso-height-percent:73;mso-position-horizontal-relative:page;mso-position-vertical-relative:page;mso-width-percent:900;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" o:allowincell="f" fillcolor="#4f81bd [3204]" strokecolor="white [3212]" strokeweight="1pt">
                <v:shadow color="#d8d8d8 [2732]" offset="3pt,3pt"/>
                <v:textbox style="mso-fit-shape-to-text:t" inset="14.4pt,,14.4pt">
                  <w:txbxContent>
                    <w:sdt>
                      <w:sdtPr>
                        <w:rPr>
                          <w:rFonts w:eastAsiaTheme="majorEastAsia"/>
                          <w:color w:val="FFFFFF" w:themeColor="background1"/>
                          <w:sz w:val="48"/>
                          <w:szCs w:val="48"/>
                        </w:rPr>
                        <w:alias w:val="Titolo"/>
                        <w:id w:val="76926159"/>
                        <w:dataBinding w:prefixMappings="xmlns:ns0='http://schemas.openxmlformats.org/package/2006/metadata/core-properties' xmlns:ns1='http://purl.org/dc/elements/1.1/'" w:xpath="/ns0:coreProperties[1]/ns1:title[1]" w:storeItemID="{6C3C8BC8-F283-45AE-878A-BAB7291924A1}"/>
                        <w:text/>
                      </w:sdtPr>
                      <w:sdtContent>
                        <w:p w:rsidR="00871056" w:rsidRPr="00E119B3" w:rsidRDefault="00871056" w:rsidP="008C0D47">
                          <w:pPr>
                            <w:pStyle w:val="NoSpacing"/>
                            <w:jc w:val="right"/>
                            <w:rPr>
                              <w:rFonts w:eastAsiaTheme="majorEastAsia"/>
                              <w:color w:val="FFFFFF" w:themeColor="background1"/>
                              <w:sz w:val="48"/>
                              <w:szCs w:val="48"/>
                            </w:rPr>
                          </w:pPr>
                          <w:r>
                            <w:rPr>
                              <w:rFonts w:eastAsiaTheme="majorEastAsia"/>
                              <w:color w:val="FFFFFF" w:themeColor="background1"/>
                              <w:sz w:val="48"/>
                              <w:szCs w:val="48"/>
                            </w:rPr>
                            <w:t>GEF/UNDP project Environmental Remediation of Dioxin Contaminated Hotspots in Viet Nam</w:t>
                          </w:r>
                        </w:p>
                      </w:sdtContent>
                    </w:sdt>
                    <w:p w:rsidR="00871056" w:rsidRPr="00E119B3" w:rsidRDefault="00871056">
                      <w:pPr>
                        <w:pStyle w:val="NoSpacing"/>
                        <w:jc w:val="right"/>
                        <w:rPr>
                          <w:rFonts w:eastAsiaTheme="majorEastAsia"/>
                          <w:color w:val="FFFFFF" w:themeColor="background1"/>
                          <w:sz w:val="72"/>
                          <w:szCs w:val="72"/>
                        </w:rPr>
                      </w:pPr>
                      <w:r>
                        <w:rPr>
                          <w:rFonts w:eastAsiaTheme="majorEastAsia"/>
                          <w:color w:val="FFFFFF" w:themeColor="background1"/>
                          <w:sz w:val="48"/>
                          <w:szCs w:val="48"/>
                        </w:rPr>
                        <w:t>Terminal</w:t>
                      </w:r>
                      <w:r w:rsidRPr="00E119B3">
                        <w:rPr>
                          <w:rFonts w:eastAsiaTheme="majorEastAsia"/>
                          <w:color w:val="FFFFFF" w:themeColor="background1"/>
                          <w:sz w:val="48"/>
                          <w:szCs w:val="48"/>
                        </w:rPr>
                        <w:t xml:space="preserve"> Evaluation Report</w:t>
                      </w:r>
                    </w:p>
                  </w:txbxContent>
                </v:textbox>
                <w10:wrap anchorx="page" anchory="page"/>
              </v:rect>
            </w:pict>
          </w:r>
          <w:r w:rsidR="00D32E3B">
            <w:br w:type="page"/>
          </w:r>
        </w:p>
      </w:sdtContent>
    </w:sdt>
    <w:p w:rsidR="00226653" w:rsidRDefault="00226653" w:rsidP="00226653">
      <w:pPr>
        <w:pStyle w:val="ListParagraph"/>
        <w:ind w:left="720"/>
        <w:rPr>
          <w:rFonts w:eastAsia="Calibri" w:hAnsi="Calibri" w:cs="Calibri"/>
        </w:rPr>
      </w:pPr>
      <w:r w:rsidRPr="00226653">
        <w:rPr>
          <w:rFonts w:eastAsia="Calibri" w:hAnsi="Calibri" w:cs="Calibri"/>
        </w:rPr>
        <w:lastRenderedPageBreak/>
        <w:t xml:space="preserve">Environmental Remediation of Dioxin Contaminated Hotspots in Viet Nam  </w:t>
      </w:r>
    </w:p>
    <w:p w:rsidR="00DF21C2" w:rsidRDefault="00DF21C2" w:rsidP="00DF21C2">
      <w:pPr>
        <w:pStyle w:val="ListParagraph"/>
        <w:ind w:left="720"/>
        <w:rPr>
          <w:rFonts w:eastAsia="Calibri" w:hAnsi="Calibri" w:cs="Calibri"/>
        </w:rPr>
      </w:pPr>
    </w:p>
    <w:p w:rsidR="00226653" w:rsidRPr="00226653" w:rsidRDefault="00226653" w:rsidP="00226653">
      <w:pPr>
        <w:pStyle w:val="ListParagraph"/>
        <w:ind w:left="720"/>
        <w:rPr>
          <w:rFonts w:eastAsia="Calibri" w:hAnsi="Calibri" w:cs="Calibri"/>
        </w:rPr>
      </w:pPr>
      <w:r>
        <w:rPr>
          <w:rFonts w:eastAsia="Calibri" w:hAnsi="Calibri" w:cs="Calibri"/>
        </w:rPr>
        <w:t xml:space="preserve">GEF Project ID: </w:t>
      </w:r>
      <w:r w:rsidRPr="00226653">
        <w:rPr>
          <w:rFonts w:eastAsia="Calibri" w:hAnsi="Calibri" w:cs="Calibri"/>
        </w:rPr>
        <w:t>3032</w:t>
      </w:r>
    </w:p>
    <w:p w:rsidR="00226653" w:rsidRPr="00226653" w:rsidRDefault="00226653" w:rsidP="00226653">
      <w:pPr>
        <w:pStyle w:val="ListParagraph"/>
        <w:ind w:left="720"/>
        <w:rPr>
          <w:rFonts w:eastAsia="Calibri" w:hAnsi="Calibri" w:cs="Calibri"/>
        </w:rPr>
      </w:pPr>
      <w:r>
        <w:rPr>
          <w:rFonts w:eastAsia="Calibri" w:hAnsi="Calibri" w:cs="Calibri"/>
        </w:rPr>
        <w:t xml:space="preserve">UNDP PMIS ID: </w:t>
      </w:r>
      <w:r w:rsidRPr="00226653">
        <w:rPr>
          <w:rFonts w:eastAsia="Calibri" w:hAnsi="Calibri" w:cs="Calibri"/>
        </w:rPr>
        <w:t>3685</w:t>
      </w:r>
    </w:p>
    <w:p w:rsidR="00226653" w:rsidRDefault="00226653" w:rsidP="00226653">
      <w:pPr>
        <w:pStyle w:val="ListParagraph"/>
        <w:ind w:left="720"/>
      </w:pPr>
    </w:p>
    <w:p w:rsidR="00226653" w:rsidRDefault="00226653" w:rsidP="00226653">
      <w:pPr>
        <w:pStyle w:val="ListParagraph"/>
        <w:ind w:left="720"/>
      </w:pPr>
      <w:r>
        <w:t>Terminal Evaluation Report - November 2014 / January 2015</w:t>
      </w:r>
    </w:p>
    <w:p w:rsidR="00226653" w:rsidRDefault="00226653" w:rsidP="00226653">
      <w:pPr>
        <w:pStyle w:val="ListParagraph"/>
        <w:ind w:left="720"/>
      </w:pPr>
    </w:p>
    <w:p w:rsidR="00226653" w:rsidRDefault="00226653" w:rsidP="00226653">
      <w:pPr>
        <w:pStyle w:val="ListParagraph"/>
        <w:ind w:left="720"/>
      </w:pPr>
      <w:r>
        <w:t>Carlo Lupi</w:t>
      </w:r>
    </w:p>
    <w:p w:rsidR="00226653" w:rsidRDefault="00226653" w:rsidP="00226653">
      <w:pPr>
        <w:pStyle w:val="ListParagraph"/>
        <w:ind w:left="720"/>
      </w:pPr>
      <w:r>
        <w:t>Nghiem Kim Hoa</w:t>
      </w:r>
    </w:p>
    <w:p w:rsidR="006E0D63" w:rsidRDefault="006E0D63" w:rsidP="00A971D6">
      <w:pPr>
        <w:jc w:val="both"/>
      </w:pPr>
    </w:p>
    <w:p w:rsidR="00DF21C2" w:rsidRDefault="00DF21C2" w:rsidP="00A971D6">
      <w:pPr>
        <w:jc w:val="both"/>
      </w:pPr>
      <w:r>
        <w:br w:type="page"/>
      </w:r>
    </w:p>
    <w:p w:rsidR="00CB1986" w:rsidRDefault="00CB1986" w:rsidP="00396E06">
      <w:pPr>
        <w:pStyle w:val="Heading1"/>
      </w:pPr>
      <w:bookmarkStart w:id="1" w:name="_Toc417120256"/>
      <w:r>
        <w:lastRenderedPageBreak/>
        <w:t>Executive summary</w:t>
      </w:r>
      <w:bookmarkEnd w:id="1"/>
    </w:p>
    <w:p w:rsidR="00DF21C2" w:rsidRDefault="00DF21C2" w:rsidP="007E51A4">
      <w:pPr>
        <w:pStyle w:val="Heading2"/>
        <w:rPr>
          <w:lang w:val="en-GB"/>
        </w:rPr>
      </w:pPr>
      <w:bookmarkStart w:id="2" w:name="_Toc417120257"/>
      <w:r>
        <w:rPr>
          <w:lang w:val="en-GB"/>
        </w:rPr>
        <w:t>Project Summary Table</w:t>
      </w:r>
      <w:bookmarkEnd w:id="2"/>
    </w:p>
    <w:tbl>
      <w:tblPr>
        <w:tblW w:w="0" w:type="auto"/>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1918"/>
        <w:gridCol w:w="7870"/>
      </w:tblGrid>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GEF Project ID</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Pr>
                <w:rFonts w:eastAsia="Times New Roman"/>
                <w:lang w:val="en-GB" w:eastAsia="zh-CN" w:bidi="ar-SA"/>
              </w:rPr>
              <w:t>3032</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UNDP PMIS ID</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386A58">
              <w:rPr>
                <w:szCs w:val="22"/>
                <w:lang w:val="en-GB"/>
              </w:rPr>
              <w:t>3685</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Funding Source</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GEF Trust Fund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Project Name</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8C0D47">
              <w:rPr>
                <w:rFonts w:eastAsia="Times New Roman"/>
                <w:lang w:val="en-GB" w:eastAsia="zh-CN" w:bidi="ar-SA"/>
              </w:rPr>
              <w:t xml:space="preserve">Environmental Remediation of Dioxin Contaminated Hotspots in Viet Nam  </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Country</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Vietnam</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Region</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Asia and the Pacific</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Focal Area</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POPs</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Operational Program</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14</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Strategic Program</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t>CB-1</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PIF Approval Date</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Pr>
                <w:rFonts w:eastAsia="Times New Roman"/>
                <w:lang w:val="en-GB" w:eastAsia="zh-CN" w:bidi="ar-SA"/>
              </w:rPr>
              <w:t>13/12/2007</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Approval Date</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Pr>
                <w:rFonts w:eastAsia="Times New Roman"/>
                <w:lang w:val="en-GB" w:eastAsia="zh-CN" w:bidi="ar-SA"/>
              </w:rPr>
              <w:t>22/02/2008</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CEO Endorsement Date</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Pr>
                <w:rFonts w:eastAsia="Times New Roman"/>
                <w:lang w:val="en-GB" w:eastAsia="zh-CN" w:bidi="ar-SA"/>
              </w:rPr>
              <w:t>15/09/2009</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Project Status</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IA Approved</w:t>
            </w:r>
            <w:r>
              <w:rPr>
                <w:rFonts w:eastAsia="Times New Roman"/>
                <w:lang w:val="en-GB" w:eastAsia="zh-CN" w:bidi="ar-SA"/>
              </w:rPr>
              <w:t xml:space="preserve"> </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Executing Agency</w:t>
            </w:r>
          </w:p>
        </w:tc>
        <w:tc>
          <w:tcPr>
            <w:tcW w:w="7825"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Pr>
                <w:rFonts w:eastAsia="Times New Roman"/>
                <w:lang w:val="en-GB" w:eastAsia="zh-CN" w:bidi="ar-SA"/>
              </w:rPr>
              <w:t>UNDP</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Description</w:t>
            </w:r>
          </w:p>
        </w:tc>
        <w:tc>
          <w:tcPr>
            <w:tcW w:w="7825" w:type="dxa"/>
            <w:vAlign w:val="center"/>
            <w:hideMark/>
          </w:tcPr>
          <w:p w:rsidR="00DF21C2" w:rsidRPr="006843B6" w:rsidRDefault="00DF21C2" w:rsidP="00A971D6">
            <w:pPr>
              <w:spacing w:before="0" w:after="0"/>
              <w:jc w:val="both"/>
            </w:pPr>
            <w:r>
              <w:rPr>
                <w:szCs w:val="22"/>
                <w:lang w:val="en-GB"/>
              </w:rPr>
              <w:t xml:space="preserve">Several extensive and highly contaminated dioxin hotspots exist in Viet Nam. Several </w:t>
            </w:r>
            <w:r w:rsidRPr="00044C20">
              <w:rPr>
                <w:szCs w:val="22"/>
                <w:lang w:val="en-GB"/>
              </w:rPr>
              <w:t>barriers</w:t>
            </w:r>
            <w:r>
              <w:rPr>
                <w:szCs w:val="22"/>
                <w:lang w:val="en-GB"/>
              </w:rPr>
              <w:t xml:space="preserve"> (management, technical capacity, unavailability of data, institutional capacity, financial resources, communication and education) </w:t>
            </w:r>
            <w:r w:rsidRPr="00044C20">
              <w:rPr>
                <w:szCs w:val="22"/>
                <w:lang w:val="en-GB"/>
              </w:rPr>
              <w:t>have</w:t>
            </w:r>
            <w:r>
              <w:rPr>
                <w:szCs w:val="22"/>
                <w:lang w:val="en-GB"/>
              </w:rPr>
              <w:t xml:space="preserve"> </w:t>
            </w:r>
            <w:r w:rsidRPr="00044C20">
              <w:rPr>
                <w:szCs w:val="22"/>
                <w:lang w:val="en-GB"/>
              </w:rPr>
              <w:t>limited</w:t>
            </w:r>
            <w:r>
              <w:rPr>
                <w:szCs w:val="22"/>
                <w:lang w:val="en-GB"/>
              </w:rPr>
              <w:t xml:space="preserve"> </w:t>
            </w:r>
            <w:r w:rsidRPr="00044C20">
              <w:rPr>
                <w:szCs w:val="22"/>
                <w:lang w:val="en-GB"/>
              </w:rPr>
              <w:t>Viet</w:t>
            </w:r>
            <w:r>
              <w:rPr>
                <w:szCs w:val="22"/>
                <w:lang w:val="en-GB"/>
              </w:rPr>
              <w:t xml:space="preserve"> </w:t>
            </w:r>
            <w:r w:rsidRPr="00044C20">
              <w:rPr>
                <w:szCs w:val="22"/>
                <w:lang w:val="en-GB"/>
              </w:rPr>
              <w:t>Nam</w:t>
            </w:r>
            <w:r>
              <w:rPr>
                <w:szCs w:val="22"/>
                <w:lang w:val="en-GB"/>
              </w:rPr>
              <w:t xml:space="preserve"> </w:t>
            </w:r>
            <w:r w:rsidRPr="00044C20">
              <w:rPr>
                <w:szCs w:val="22"/>
                <w:lang w:val="en-GB"/>
              </w:rPr>
              <w:t>in</w:t>
            </w:r>
            <w:r>
              <w:rPr>
                <w:szCs w:val="22"/>
                <w:lang w:val="en-GB"/>
              </w:rPr>
              <w:t xml:space="preserve"> </w:t>
            </w:r>
            <w:r w:rsidRPr="00044C20">
              <w:rPr>
                <w:szCs w:val="22"/>
                <w:lang w:val="en-GB"/>
              </w:rPr>
              <w:t>its</w:t>
            </w:r>
            <w:r>
              <w:rPr>
                <w:szCs w:val="22"/>
                <w:lang w:val="en-GB"/>
              </w:rPr>
              <w:t xml:space="preserve"> </w:t>
            </w:r>
            <w:r w:rsidRPr="00044C20">
              <w:rPr>
                <w:szCs w:val="22"/>
                <w:lang w:val="en-GB"/>
              </w:rPr>
              <w:t>ability</w:t>
            </w:r>
            <w:r>
              <w:rPr>
                <w:szCs w:val="22"/>
                <w:lang w:val="en-GB"/>
              </w:rPr>
              <w:t xml:space="preserve"> </w:t>
            </w:r>
            <w:r w:rsidRPr="00044C20">
              <w:rPr>
                <w:szCs w:val="22"/>
                <w:lang w:val="en-GB"/>
              </w:rPr>
              <w:t>to</w:t>
            </w:r>
            <w:r>
              <w:rPr>
                <w:szCs w:val="22"/>
                <w:lang w:val="en-GB"/>
              </w:rPr>
              <w:t xml:space="preserve"> </w:t>
            </w:r>
            <w:r w:rsidRPr="00044C20">
              <w:rPr>
                <w:szCs w:val="22"/>
                <w:lang w:val="en-GB"/>
              </w:rPr>
              <w:t>deal</w:t>
            </w:r>
            <w:r>
              <w:rPr>
                <w:szCs w:val="22"/>
                <w:lang w:val="en-GB"/>
              </w:rPr>
              <w:t xml:space="preserve"> </w:t>
            </w:r>
            <w:r w:rsidRPr="00044C20">
              <w:rPr>
                <w:szCs w:val="22"/>
                <w:lang w:val="en-GB"/>
              </w:rPr>
              <w:t>with</w:t>
            </w:r>
            <w:r>
              <w:rPr>
                <w:szCs w:val="22"/>
                <w:lang w:val="en-GB"/>
              </w:rPr>
              <w:t xml:space="preserve"> these </w:t>
            </w:r>
            <w:r w:rsidRPr="00044C20">
              <w:rPr>
                <w:szCs w:val="22"/>
                <w:lang w:val="en-GB"/>
              </w:rPr>
              <w:t>hotspots</w:t>
            </w:r>
            <w:r>
              <w:rPr>
                <w:szCs w:val="22"/>
                <w:lang w:val="en-GB"/>
              </w:rPr>
              <w:t xml:space="preserve">. </w:t>
            </w:r>
            <w:r w:rsidRPr="00BD76A6">
              <w:rPr>
                <w:szCs w:val="22"/>
                <w:lang w:val="en-GB"/>
              </w:rPr>
              <w:t>Without</w:t>
            </w:r>
            <w:r>
              <w:rPr>
                <w:szCs w:val="22"/>
                <w:lang w:val="en-GB"/>
              </w:rPr>
              <w:t xml:space="preserve"> </w:t>
            </w:r>
            <w:r w:rsidRPr="00BD76A6">
              <w:rPr>
                <w:szCs w:val="22"/>
                <w:lang w:val="en-GB"/>
              </w:rPr>
              <w:t>the</w:t>
            </w:r>
            <w:r>
              <w:rPr>
                <w:szCs w:val="22"/>
                <w:lang w:val="en-GB"/>
              </w:rPr>
              <w:t xml:space="preserve"> project, </w:t>
            </w:r>
            <w:r w:rsidRPr="00BD76A6">
              <w:rPr>
                <w:szCs w:val="22"/>
                <w:lang w:val="en-GB"/>
              </w:rPr>
              <w:t>dioxins</w:t>
            </w:r>
            <w:r>
              <w:rPr>
                <w:szCs w:val="22"/>
                <w:lang w:val="en-GB"/>
              </w:rPr>
              <w:t xml:space="preserve"> </w:t>
            </w:r>
            <w:r w:rsidRPr="00BD76A6">
              <w:rPr>
                <w:szCs w:val="22"/>
                <w:lang w:val="en-GB"/>
              </w:rPr>
              <w:t>accumulated</w:t>
            </w:r>
            <w:r>
              <w:rPr>
                <w:szCs w:val="22"/>
                <w:lang w:val="en-GB"/>
              </w:rPr>
              <w:t xml:space="preserve"> </w:t>
            </w:r>
            <w:r w:rsidRPr="00BD76A6">
              <w:rPr>
                <w:szCs w:val="22"/>
                <w:lang w:val="en-GB"/>
              </w:rPr>
              <w:t>at</w:t>
            </w:r>
            <w:r>
              <w:rPr>
                <w:szCs w:val="22"/>
                <w:lang w:val="en-GB"/>
              </w:rPr>
              <w:t xml:space="preserve"> </w:t>
            </w:r>
            <w:r w:rsidRPr="00BD76A6">
              <w:rPr>
                <w:szCs w:val="22"/>
                <w:lang w:val="en-GB"/>
              </w:rPr>
              <w:t>hotspots</w:t>
            </w:r>
            <w:r>
              <w:rPr>
                <w:szCs w:val="22"/>
                <w:lang w:val="en-GB"/>
              </w:rPr>
              <w:t xml:space="preserve"> </w:t>
            </w:r>
            <w:r w:rsidRPr="00BD76A6">
              <w:rPr>
                <w:szCs w:val="22"/>
                <w:lang w:val="en-GB"/>
              </w:rPr>
              <w:t>will</w:t>
            </w:r>
            <w:r>
              <w:rPr>
                <w:szCs w:val="22"/>
                <w:lang w:val="en-GB"/>
              </w:rPr>
              <w:t xml:space="preserve"> continue to </w:t>
            </w:r>
            <w:r w:rsidRPr="00BD76A6">
              <w:rPr>
                <w:szCs w:val="22"/>
                <w:lang w:val="en-GB"/>
              </w:rPr>
              <w:t>become</w:t>
            </w:r>
            <w:r>
              <w:rPr>
                <w:szCs w:val="22"/>
                <w:lang w:val="en-GB"/>
              </w:rPr>
              <w:t xml:space="preserve"> </w:t>
            </w:r>
            <w:r w:rsidRPr="00BD76A6">
              <w:rPr>
                <w:szCs w:val="22"/>
                <w:lang w:val="en-GB"/>
              </w:rPr>
              <w:t>bio-available</w:t>
            </w:r>
            <w:r>
              <w:rPr>
                <w:szCs w:val="22"/>
                <w:lang w:val="en-GB"/>
              </w:rPr>
              <w:t xml:space="preserve"> </w:t>
            </w:r>
            <w:r w:rsidRPr="00BD76A6">
              <w:rPr>
                <w:szCs w:val="22"/>
                <w:lang w:val="en-GB"/>
              </w:rPr>
              <w:t>and</w:t>
            </w:r>
            <w:r>
              <w:rPr>
                <w:szCs w:val="22"/>
                <w:lang w:val="en-GB"/>
              </w:rPr>
              <w:t xml:space="preserve"> </w:t>
            </w:r>
            <w:r w:rsidRPr="00BD76A6">
              <w:rPr>
                <w:szCs w:val="22"/>
                <w:lang w:val="en-GB"/>
              </w:rPr>
              <w:t>dispersed</w:t>
            </w:r>
            <w:r>
              <w:rPr>
                <w:szCs w:val="22"/>
                <w:lang w:val="en-GB"/>
              </w:rPr>
              <w:t xml:space="preserve"> </w:t>
            </w:r>
            <w:r w:rsidRPr="00BD76A6">
              <w:rPr>
                <w:szCs w:val="22"/>
                <w:lang w:val="en-GB"/>
              </w:rPr>
              <w:t>in</w:t>
            </w:r>
            <w:r>
              <w:rPr>
                <w:szCs w:val="22"/>
                <w:lang w:val="en-GB"/>
              </w:rPr>
              <w:t xml:space="preserve"> </w:t>
            </w:r>
            <w:r w:rsidRPr="00BD76A6">
              <w:rPr>
                <w:szCs w:val="22"/>
                <w:lang w:val="en-GB"/>
              </w:rPr>
              <w:t>the</w:t>
            </w:r>
            <w:r>
              <w:rPr>
                <w:szCs w:val="22"/>
                <w:lang w:val="en-GB"/>
              </w:rPr>
              <w:t xml:space="preserve"> </w:t>
            </w:r>
            <w:r w:rsidRPr="00BD76A6">
              <w:rPr>
                <w:szCs w:val="22"/>
                <w:lang w:val="en-GB"/>
              </w:rPr>
              <w:t>local</w:t>
            </w:r>
            <w:r>
              <w:rPr>
                <w:szCs w:val="22"/>
                <w:lang w:val="en-GB"/>
              </w:rPr>
              <w:t xml:space="preserve"> </w:t>
            </w:r>
            <w:r w:rsidRPr="00BD76A6">
              <w:rPr>
                <w:szCs w:val="22"/>
                <w:lang w:val="en-GB"/>
              </w:rPr>
              <w:t>and</w:t>
            </w:r>
            <w:r>
              <w:rPr>
                <w:szCs w:val="22"/>
                <w:lang w:val="en-GB"/>
              </w:rPr>
              <w:t xml:space="preserve"> </w:t>
            </w:r>
            <w:r w:rsidRPr="00BD76A6">
              <w:rPr>
                <w:szCs w:val="22"/>
                <w:lang w:val="en-GB"/>
              </w:rPr>
              <w:t>global</w:t>
            </w:r>
            <w:r>
              <w:rPr>
                <w:szCs w:val="22"/>
                <w:lang w:val="en-GB"/>
              </w:rPr>
              <w:t xml:space="preserve"> </w:t>
            </w:r>
            <w:r w:rsidRPr="00BD76A6">
              <w:rPr>
                <w:szCs w:val="22"/>
                <w:lang w:val="en-GB"/>
              </w:rPr>
              <w:t>environment,</w:t>
            </w:r>
            <w:r>
              <w:rPr>
                <w:szCs w:val="22"/>
                <w:lang w:val="en-GB"/>
              </w:rPr>
              <w:t xml:space="preserve"> </w:t>
            </w:r>
            <w:r w:rsidRPr="00BD76A6">
              <w:rPr>
                <w:szCs w:val="22"/>
                <w:lang w:val="en-GB"/>
              </w:rPr>
              <w:t>through</w:t>
            </w:r>
            <w:r>
              <w:rPr>
                <w:szCs w:val="22"/>
                <w:lang w:val="en-GB"/>
              </w:rPr>
              <w:t xml:space="preserve"> </w:t>
            </w:r>
            <w:r w:rsidRPr="00BD76A6">
              <w:rPr>
                <w:szCs w:val="22"/>
                <w:lang w:val="en-GB"/>
              </w:rPr>
              <w:t>soil</w:t>
            </w:r>
            <w:r>
              <w:rPr>
                <w:szCs w:val="22"/>
                <w:lang w:val="en-GB"/>
              </w:rPr>
              <w:t xml:space="preserve"> </w:t>
            </w:r>
            <w:r w:rsidRPr="00BD76A6">
              <w:rPr>
                <w:szCs w:val="22"/>
                <w:lang w:val="en-GB"/>
              </w:rPr>
              <w:t>particles</w:t>
            </w:r>
            <w:r>
              <w:rPr>
                <w:szCs w:val="22"/>
                <w:lang w:val="en-GB"/>
              </w:rPr>
              <w:t xml:space="preserve"> </w:t>
            </w:r>
            <w:r w:rsidRPr="00BD76A6">
              <w:rPr>
                <w:szCs w:val="22"/>
                <w:lang w:val="en-GB"/>
              </w:rPr>
              <w:t>and</w:t>
            </w:r>
            <w:r>
              <w:rPr>
                <w:szCs w:val="22"/>
                <w:lang w:val="en-GB"/>
              </w:rPr>
              <w:t xml:space="preserve"> </w:t>
            </w:r>
            <w:r w:rsidRPr="00BD76A6">
              <w:rPr>
                <w:szCs w:val="22"/>
                <w:lang w:val="en-GB"/>
              </w:rPr>
              <w:t>organic</w:t>
            </w:r>
            <w:r>
              <w:rPr>
                <w:szCs w:val="22"/>
                <w:lang w:val="en-GB"/>
              </w:rPr>
              <w:t xml:space="preserve"> </w:t>
            </w:r>
            <w:r w:rsidRPr="00BD76A6">
              <w:rPr>
                <w:szCs w:val="22"/>
                <w:lang w:val="en-GB"/>
              </w:rPr>
              <w:t>materials</w:t>
            </w:r>
            <w:r>
              <w:rPr>
                <w:szCs w:val="22"/>
                <w:lang w:val="en-GB"/>
              </w:rPr>
              <w:t xml:space="preserve"> </w:t>
            </w:r>
            <w:r w:rsidRPr="00BD76A6">
              <w:rPr>
                <w:szCs w:val="22"/>
                <w:lang w:val="en-GB"/>
              </w:rPr>
              <w:t>that</w:t>
            </w:r>
            <w:r>
              <w:rPr>
                <w:szCs w:val="22"/>
                <w:lang w:val="en-GB"/>
              </w:rPr>
              <w:t xml:space="preserve"> </w:t>
            </w:r>
            <w:r w:rsidRPr="00BD76A6">
              <w:rPr>
                <w:szCs w:val="22"/>
                <w:lang w:val="en-GB"/>
              </w:rPr>
              <w:t>bind</w:t>
            </w:r>
            <w:r>
              <w:rPr>
                <w:szCs w:val="22"/>
                <w:lang w:val="en-GB"/>
              </w:rPr>
              <w:t xml:space="preserve"> </w:t>
            </w:r>
            <w:r w:rsidRPr="00BD76A6">
              <w:rPr>
                <w:szCs w:val="22"/>
                <w:lang w:val="en-GB"/>
              </w:rPr>
              <w:t>dioxin</w:t>
            </w:r>
            <w:r>
              <w:rPr>
                <w:szCs w:val="22"/>
                <w:lang w:val="en-GB"/>
              </w:rPr>
              <w:t xml:space="preserve"> </w:t>
            </w:r>
            <w:r w:rsidRPr="00BD76A6">
              <w:rPr>
                <w:szCs w:val="22"/>
                <w:lang w:val="en-GB"/>
              </w:rPr>
              <w:t>and</w:t>
            </w:r>
            <w:r>
              <w:rPr>
                <w:szCs w:val="22"/>
                <w:lang w:val="en-GB"/>
              </w:rPr>
              <w:t xml:space="preserve"> </w:t>
            </w:r>
            <w:r w:rsidRPr="00BD76A6">
              <w:rPr>
                <w:szCs w:val="22"/>
                <w:lang w:val="en-GB"/>
              </w:rPr>
              <w:t>are</w:t>
            </w:r>
            <w:r>
              <w:rPr>
                <w:szCs w:val="22"/>
                <w:lang w:val="en-GB"/>
              </w:rPr>
              <w:t xml:space="preserve"> </w:t>
            </w:r>
            <w:r w:rsidRPr="00BD76A6">
              <w:rPr>
                <w:szCs w:val="22"/>
                <w:lang w:val="en-GB"/>
              </w:rPr>
              <w:t>carried</w:t>
            </w:r>
            <w:r>
              <w:rPr>
                <w:szCs w:val="22"/>
                <w:lang w:val="en-GB"/>
              </w:rPr>
              <w:t xml:space="preserve"> </w:t>
            </w:r>
            <w:r w:rsidRPr="00BD76A6">
              <w:rPr>
                <w:szCs w:val="22"/>
                <w:lang w:val="en-GB"/>
              </w:rPr>
              <w:t>by</w:t>
            </w:r>
            <w:r>
              <w:rPr>
                <w:szCs w:val="22"/>
                <w:lang w:val="en-GB"/>
              </w:rPr>
              <w:t xml:space="preserve"> </w:t>
            </w:r>
            <w:r w:rsidRPr="00BD76A6">
              <w:rPr>
                <w:szCs w:val="22"/>
                <w:lang w:val="en-GB"/>
              </w:rPr>
              <w:t>water</w:t>
            </w:r>
            <w:r>
              <w:rPr>
                <w:szCs w:val="22"/>
                <w:lang w:val="en-GB"/>
              </w:rPr>
              <w:t xml:space="preserve"> </w:t>
            </w:r>
            <w:r w:rsidRPr="00BD76A6">
              <w:rPr>
                <w:szCs w:val="22"/>
                <w:lang w:val="en-GB"/>
              </w:rPr>
              <w:t>currents,</w:t>
            </w:r>
            <w:r>
              <w:rPr>
                <w:szCs w:val="22"/>
                <w:lang w:val="en-GB"/>
              </w:rPr>
              <w:t xml:space="preserve"> </w:t>
            </w:r>
            <w:r w:rsidRPr="00BD76A6">
              <w:rPr>
                <w:szCs w:val="22"/>
                <w:lang w:val="en-GB"/>
              </w:rPr>
              <w:t>wild</w:t>
            </w:r>
            <w:r>
              <w:rPr>
                <w:szCs w:val="22"/>
                <w:lang w:val="en-GB"/>
              </w:rPr>
              <w:t xml:space="preserve"> </w:t>
            </w:r>
            <w:r w:rsidRPr="00BD76A6">
              <w:rPr>
                <w:szCs w:val="22"/>
                <w:lang w:val="en-GB"/>
              </w:rPr>
              <w:t>life,</w:t>
            </w:r>
            <w:r>
              <w:rPr>
                <w:szCs w:val="22"/>
                <w:lang w:val="en-GB"/>
              </w:rPr>
              <w:t xml:space="preserve"> </w:t>
            </w:r>
            <w:r w:rsidRPr="00BD76A6">
              <w:rPr>
                <w:szCs w:val="22"/>
                <w:lang w:val="en-GB"/>
              </w:rPr>
              <w:t>and</w:t>
            </w:r>
            <w:r>
              <w:rPr>
                <w:szCs w:val="22"/>
                <w:lang w:val="en-GB"/>
              </w:rPr>
              <w:t xml:space="preserve"> </w:t>
            </w:r>
            <w:r w:rsidRPr="00BD76A6">
              <w:rPr>
                <w:szCs w:val="22"/>
                <w:lang w:val="en-GB"/>
              </w:rPr>
              <w:t>air.</w:t>
            </w:r>
            <w:r w:rsidR="00DB340F">
              <w:rPr>
                <w:szCs w:val="22"/>
                <w:lang w:val="en-GB"/>
              </w:rPr>
              <w:t xml:space="preserve"> </w:t>
            </w:r>
            <w:r>
              <w:rPr>
                <w:szCs w:val="22"/>
                <w:lang w:val="en-GB"/>
              </w:rPr>
              <w:t xml:space="preserve">The </w:t>
            </w:r>
            <w:r w:rsidRPr="00044C20">
              <w:rPr>
                <w:szCs w:val="22"/>
                <w:lang w:val="en-GB"/>
              </w:rPr>
              <w:t>project</w:t>
            </w:r>
            <w:r>
              <w:rPr>
                <w:szCs w:val="22"/>
                <w:lang w:val="en-GB"/>
              </w:rPr>
              <w:t xml:space="preserve"> </w:t>
            </w:r>
            <w:r w:rsidRPr="00044C20">
              <w:rPr>
                <w:szCs w:val="22"/>
                <w:lang w:val="en-GB"/>
              </w:rPr>
              <w:t>will</w:t>
            </w:r>
            <w:r>
              <w:rPr>
                <w:szCs w:val="22"/>
                <w:lang w:val="en-GB"/>
              </w:rPr>
              <w:t xml:space="preserve"> address the barriers described above in order to </w:t>
            </w:r>
            <w:r w:rsidRPr="00044C20">
              <w:rPr>
                <w:szCs w:val="22"/>
                <w:lang w:val="en-GB"/>
              </w:rPr>
              <w:t>effectively</w:t>
            </w:r>
            <w:r>
              <w:rPr>
                <w:szCs w:val="22"/>
                <w:lang w:val="en-GB"/>
              </w:rPr>
              <w:t xml:space="preserve"> </w:t>
            </w:r>
            <w:r w:rsidRPr="00044C20">
              <w:rPr>
                <w:szCs w:val="22"/>
                <w:lang w:val="en-GB"/>
              </w:rPr>
              <w:t>contain/remediate</w:t>
            </w:r>
            <w:r>
              <w:rPr>
                <w:szCs w:val="22"/>
                <w:lang w:val="en-GB"/>
              </w:rPr>
              <w:t xml:space="preserve"> </w:t>
            </w:r>
            <w:r w:rsidRPr="00044C20">
              <w:rPr>
                <w:szCs w:val="22"/>
                <w:lang w:val="en-GB"/>
              </w:rPr>
              <w:t>the</w:t>
            </w:r>
            <w:r>
              <w:rPr>
                <w:szCs w:val="22"/>
                <w:lang w:val="en-GB"/>
              </w:rPr>
              <w:t xml:space="preserve"> </w:t>
            </w:r>
            <w:r w:rsidRPr="00044C20">
              <w:rPr>
                <w:szCs w:val="22"/>
                <w:lang w:val="en-GB"/>
              </w:rPr>
              <w:t>highly</w:t>
            </w:r>
            <w:r>
              <w:rPr>
                <w:szCs w:val="22"/>
                <w:lang w:val="en-GB"/>
              </w:rPr>
              <w:t xml:space="preserve"> </w:t>
            </w:r>
            <w:r w:rsidRPr="00044C20">
              <w:rPr>
                <w:szCs w:val="22"/>
                <w:lang w:val="en-GB"/>
              </w:rPr>
              <w:t>dioxin</w:t>
            </w:r>
            <w:r>
              <w:rPr>
                <w:szCs w:val="22"/>
                <w:lang w:val="en-GB"/>
              </w:rPr>
              <w:t xml:space="preserve"> </w:t>
            </w:r>
            <w:r w:rsidRPr="00044C20">
              <w:rPr>
                <w:szCs w:val="22"/>
                <w:lang w:val="en-GB"/>
              </w:rPr>
              <w:t>contaminate</w:t>
            </w:r>
            <w:r>
              <w:rPr>
                <w:szCs w:val="22"/>
                <w:lang w:val="en-GB"/>
              </w:rPr>
              <w:t xml:space="preserve">d </w:t>
            </w:r>
            <w:r w:rsidRPr="00044C20">
              <w:rPr>
                <w:szCs w:val="22"/>
                <w:lang w:val="en-GB"/>
              </w:rPr>
              <w:t>material</w:t>
            </w:r>
            <w:r>
              <w:rPr>
                <w:szCs w:val="22"/>
                <w:lang w:val="en-GB"/>
              </w:rPr>
              <w:t xml:space="preserve"> </w:t>
            </w:r>
            <w:r w:rsidRPr="00044C20">
              <w:rPr>
                <w:szCs w:val="22"/>
                <w:lang w:val="en-GB"/>
              </w:rPr>
              <w:t>in</w:t>
            </w:r>
            <w:r>
              <w:rPr>
                <w:szCs w:val="22"/>
                <w:lang w:val="en-GB"/>
              </w:rPr>
              <w:t xml:space="preserve"> </w:t>
            </w:r>
            <w:r w:rsidRPr="00044C20">
              <w:rPr>
                <w:szCs w:val="22"/>
                <w:lang w:val="en-GB"/>
              </w:rPr>
              <w:t>the</w:t>
            </w:r>
            <w:r>
              <w:rPr>
                <w:szCs w:val="22"/>
                <w:lang w:val="en-GB"/>
              </w:rPr>
              <w:t xml:space="preserve"> three main </w:t>
            </w:r>
            <w:r w:rsidRPr="00044C20">
              <w:rPr>
                <w:szCs w:val="22"/>
                <w:lang w:val="en-GB"/>
              </w:rPr>
              <w:t>hotspots</w:t>
            </w:r>
            <w:r>
              <w:rPr>
                <w:szCs w:val="22"/>
                <w:lang w:val="en-GB"/>
              </w:rPr>
              <w:t xml:space="preserve"> </w:t>
            </w:r>
            <w:r w:rsidRPr="00044C20">
              <w:rPr>
                <w:szCs w:val="22"/>
                <w:lang w:val="en-GB"/>
              </w:rPr>
              <w:t>areas</w:t>
            </w:r>
            <w:r>
              <w:rPr>
                <w:szCs w:val="22"/>
                <w:lang w:val="en-GB"/>
              </w:rPr>
              <w:t xml:space="preserve"> at Phu Cat, Bien Hoa and </w:t>
            </w:r>
            <w:proofErr w:type="spellStart"/>
            <w:r>
              <w:rPr>
                <w:szCs w:val="22"/>
                <w:lang w:val="en-GB"/>
              </w:rPr>
              <w:t>Da</w:t>
            </w:r>
            <w:proofErr w:type="spellEnd"/>
            <w:r>
              <w:rPr>
                <w:szCs w:val="22"/>
                <w:lang w:val="en-GB"/>
              </w:rPr>
              <w:t xml:space="preserve"> Nang </w:t>
            </w:r>
            <w:r w:rsidRPr="00044C20">
              <w:rPr>
                <w:szCs w:val="22"/>
                <w:lang w:val="en-GB"/>
              </w:rPr>
              <w:t>a</w:t>
            </w:r>
            <w:r>
              <w:rPr>
                <w:szCs w:val="22"/>
                <w:lang w:val="en-GB"/>
              </w:rPr>
              <w:t xml:space="preserve">s well as </w:t>
            </w:r>
            <w:r w:rsidRPr="00044C20">
              <w:rPr>
                <w:szCs w:val="22"/>
                <w:lang w:val="en-GB"/>
              </w:rPr>
              <w:t>address</w:t>
            </w:r>
            <w:r>
              <w:rPr>
                <w:szCs w:val="22"/>
                <w:lang w:val="en-GB"/>
              </w:rPr>
              <w:t xml:space="preserve"> </w:t>
            </w:r>
            <w:r w:rsidRPr="00044C20">
              <w:rPr>
                <w:szCs w:val="22"/>
                <w:lang w:val="en-GB"/>
              </w:rPr>
              <w:t>the</w:t>
            </w:r>
            <w:r>
              <w:rPr>
                <w:szCs w:val="22"/>
                <w:lang w:val="en-GB"/>
              </w:rPr>
              <w:t xml:space="preserve"> </w:t>
            </w:r>
            <w:r w:rsidRPr="00044C20">
              <w:rPr>
                <w:szCs w:val="22"/>
                <w:lang w:val="en-GB"/>
              </w:rPr>
              <w:t>technical,</w:t>
            </w:r>
            <w:r>
              <w:rPr>
                <w:szCs w:val="22"/>
                <w:lang w:val="en-GB"/>
              </w:rPr>
              <w:t xml:space="preserve"> </w:t>
            </w:r>
            <w:r w:rsidRPr="00044C20">
              <w:rPr>
                <w:szCs w:val="22"/>
                <w:lang w:val="en-GB"/>
              </w:rPr>
              <w:t>institutional,</w:t>
            </w:r>
            <w:r>
              <w:rPr>
                <w:szCs w:val="22"/>
                <w:lang w:val="en-GB"/>
              </w:rPr>
              <w:t xml:space="preserve"> </w:t>
            </w:r>
            <w:r w:rsidRPr="00044C20">
              <w:rPr>
                <w:szCs w:val="22"/>
                <w:lang w:val="en-GB"/>
              </w:rPr>
              <w:t>financial</w:t>
            </w:r>
            <w:r>
              <w:rPr>
                <w:szCs w:val="22"/>
                <w:lang w:val="en-GB"/>
              </w:rPr>
              <w:t xml:space="preserve"> </w:t>
            </w:r>
            <w:r w:rsidRPr="00044C20">
              <w:rPr>
                <w:szCs w:val="22"/>
                <w:lang w:val="en-GB"/>
              </w:rPr>
              <w:t>as</w:t>
            </w:r>
            <w:r>
              <w:rPr>
                <w:szCs w:val="22"/>
                <w:lang w:val="en-GB"/>
              </w:rPr>
              <w:t xml:space="preserve"> </w:t>
            </w:r>
            <w:r w:rsidRPr="00044C20">
              <w:rPr>
                <w:szCs w:val="22"/>
                <w:lang w:val="en-GB"/>
              </w:rPr>
              <w:t>well</w:t>
            </w:r>
            <w:r>
              <w:rPr>
                <w:szCs w:val="22"/>
                <w:lang w:val="en-GB"/>
              </w:rPr>
              <w:t xml:space="preserve"> </w:t>
            </w:r>
            <w:r w:rsidRPr="00044C20">
              <w:rPr>
                <w:szCs w:val="22"/>
                <w:lang w:val="en-GB"/>
              </w:rPr>
              <w:t>as</w:t>
            </w:r>
            <w:r>
              <w:rPr>
                <w:szCs w:val="22"/>
                <w:lang w:val="en-GB"/>
              </w:rPr>
              <w:t xml:space="preserve"> </w:t>
            </w:r>
            <w:r w:rsidRPr="00044C20">
              <w:rPr>
                <w:szCs w:val="22"/>
                <w:lang w:val="en-GB"/>
              </w:rPr>
              <w:t>societal</w:t>
            </w:r>
            <w:r>
              <w:rPr>
                <w:szCs w:val="22"/>
                <w:lang w:val="en-GB"/>
              </w:rPr>
              <w:t xml:space="preserve"> </w:t>
            </w:r>
            <w:r w:rsidRPr="00044C20">
              <w:rPr>
                <w:szCs w:val="22"/>
                <w:lang w:val="en-GB"/>
              </w:rPr>
              <w:t>root</w:t>
            </w:r>
            <w:r>
              <w:rPr>
                <w:szCs w:val="22"/>
                <w:lang w:val="en-GB"/>
              </w:rPr>
              <w:t xml:space="preserve"> </w:t>
            </w:r>
            <w:r w:rsidRPr="00044C20">
              <w:rPr>
                <w:szCs w:val="22"/>
                <w:lang w:val="en-GB"/>
              </w:rPr>
              <w:t>causes</w:t>
            </w:r>
            <w:r>
              <w:rPr>
                <w:szCs w:val="22"/>
                <w:lang w:val="en-GB"/>
              </w:rPr>
              <w:t xml:space="preserve"> </w:t>
            </w:r>
            <w:r w:rsidRPr="00044C20">
              <w:rPr>
                <w:szCs w:val="22"/>
                <w:lang w:val="en-GB"/>
              </w:rPr>
              <w:t>for</w:t>
            </w:r>
            <w:r>
              <w:rPr>
                <w:szCs w:val="22"/>
                <w:lang w:val="en-GB"/>
              </w:rPr>
              <w:t xml:space="preserve"> </w:t>
            </w:r>
            <w:r w:rsidRPr="00044C20">
              <w:rPr>
                <w:szCs w:val="22"/>
                <w:lang w:val="en-GB"/>
              </w:rPr>
              <w:t>enabling</w:t>
            </w:r>
            <w:r>
              <w:rPr>
                <w:szCs w:val="22"/>
                <w:lang w:val="en-GB"/>
              </w:rPr>
              <w:t xml:space="preserve"> </w:t>
            </w:r>
            <w:r w:rsidRPr="00044C20">
              <w:rPr>
                <w:szCs w:val="22"/>
                <w:lang w:val="en-GB"/>
              </w:rPr>
              <w:t>Viet</w:t>
            </w:r>
            <w:r>
              <w:rPr>
                <w:szCs w:val="22"/>
                <w:lang w:val="en-GB"/>
              </w:rPr>
              <w:t xml:space="preserve"> </w:t>
            </w:r>
            <w:r w:rsidRPr="00044C20">
              <w:rPr>
                <w:szCs w:val="22"/>
                <w:lang w:val="en-GB"/>
              </w:rPr>
              <w:t>Nam</w:t>
            </w:r>
            <w:r>
              <w:rPr>
                <w:szCs w:val="22"/>
                <w:lang w:val="en-GB"/>
              </w:rPr>
              <w:t xml:space="preserve"> </w:t>
            </w:r>
            <w:r w:rsidRPr="00044C20">
              <w:rPr>
                <w:szCs w:val="22"/>
                <w:lang w:val="en-GB"/>
              </w:rPr>
              <w:t>to</w:t>
            </w:r>
            <w:r>
              <w:rPr>
                <w:szCs w:val="22"/>
                <w:lang w:val="en-GB"/>
              </w:rPr>
              <w:t xml:space="preserve"> </w:t>
            </w:r>
            <w:r w:rsidRPr="00044C20">
              <w:rPr>
                <w:szCs w:val="22"/>
                <w:lang w:val="en-GB"/>
              </w:rPr>
              <w:t>address</w:t>
            </w:r>
            <w:r>
              <w:rPr>
                <w:szCs w:val="22"/>
                <w:lang w:val="en-GB"/>
              </w:rPr>
              <w:t xml:space="preserve"> </w:t>
            </w:r>
            <w:r w:rsidRPr="00044C20">
              <w:rPr>
                <w:szCs w:val="22"/>
                <w:lang w:val="en-GB"/>
              </w:rPr>
              <w:t>additional</w:t>
            </w:r>
            <w:r>
              <w:rPr>
                <w:szCs w:val="22"/>
                <w:lang w:val="en-GB"/>
              </w:rPr>
              <w:t xml:space="preserve"> </w:t>
            </w:r>
            <w:r w:rsidRPr="00044C20">
              <w:rPr>
                <w:szCs w:val="22"/>
                <w:lang w:val="en-GB"/>
              </w:rPr>
              <w:t>sites</w:t>
            </w:r>
            <w:r>
              <w:rPr>
                <w:szCs w:val="22"/>
                <w:lang w:val="en-GB"/>
              </w:rPr>
              <w:t xml:space="preserve"> </w:t>
            </w:r>
            <w:r w:rsidRPr="00044C20">
              <w:rPr>
                <w:szCs w:val="22"/>
                <w:lang w:val="en-GB"/>
              </w:rPr>
              <w:t>of</w:t>
            </w:r>
            <w:r>
              <w:rPr>
                <w:szCs w:val="22"/>
                <w:lang w:val="en-GB"/>
              </w:rPr>
              <w:t xml:space="preserve"> </w:t>
            </w:r>
            <w:r w:rsidRPr="00044C20">
              <w:rPr>
                <w:szCs w:val="22"/>
                <w:lang w:val="en-GB"/>
              </w:rPr>
              <w:t>concern.</w:t>
            </w:r>
            <w:r>
              <w:rPr>
                <w:szCs w:val="22"/>
                <w:lang w:val="en-GB"/>
              </w:rPr>
              <w:t xml:space="preserve">  </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PDF B Amount</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25,000 USD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Project Cost</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37,312,500 USD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GEF Agency Fees</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450,000</w:t>
            </w:r>
            <w:r w:rsidRPr="00211130">
              <w:rPr>
                <w:rFonts w:eastAsia="Times New Roman"/>
                <w:lang w:val="en-GB" w:eastAsia="zh-CN" w:bidi="ar-SA"/>
              </w:rPr>
              <w:t xml:space="preserve"> USD</w:t>
            </w:r>
          </w:p>
        </w:tc>
      </w:tr>
      <w:tr w:rsidR="00DF21C2" w:rsidRPr="00211130" w:rsidTr="005E1B0B">
        <w:trPr>
          <w:trHeight w:val="30"/>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GEF Project (CEO Endo.)</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4,977,000</w:t>
            </w:r>
            <w:r w:rsidRPr="00211130">
              <w:rPr>
                <w:rFonts w:eastAsia="Times New Roman"/>
                <w:lang w:val="en-GB" w:eastAsia="zh-CN" w:bidi="ar-SA"/>
              </w:rPr>
              <w:t xml:space="preserve"> USD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Co</w:t>
            </w:r>
            <w:r>
              <w:rPr>
                <w:rFonts w:eastAsia="Times New Roman"/>
                <w:lang w:val="en-GB" w:eastAsia="zh-CN" w:bidi="ar-SA"/>
              </w:rPr>
              <w:t>-</w:t>
            </w:r>
            <w:r w:rsidRPr="00211130">
              <w:rPr>
                <w:rFonts w:eastAsia="Times New Roman"/>
                <w:lang w:val="en-GB" w:eastAsia="zh-CN" w:bidi="ar-SA"/>
              </w:rPr>
              <w:t>financing Total (CEO Endo.)</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32,335,550</w:t>
            </w:r>
            <w:r w:rsidRPr="00211130">
              <w:rPr>
                <w:rFonts w:eastAsia="Times New Roman"/>
                <w:lang w:val="en-GB" w:eastAsia="zh-CN" w:bidi="ar-SA"/>
              </w:rPr>
              <w:t xml:space="preserve"> USD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Project Cost (CEO Endo.)</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197A86">
              <w:rPr>
                <w:rFonts w:eastAsia="Times New Roman"/>
                <w:lang w:val="en-GB" w:eastAsia="zh-CN" w:bidi="ar-SA"/>
              </w:rPr>
              <w:t>37,312,550</w:t>
            </w:r>
            <w:r w:rsidRPr="00211130">
              <w:rPr>
                <w:rFonts w:eastAsia="Times New Roman"/>
                <w:lang w:val="en-GB" w:eastAsia="zh-CN" w:bidi="ar-SA"/>
              </w:rPr>
              <w:t xml:space="preserve"> USD</w:t>
            </w:r>
          </w:p>
        </w:tc>
      </w:tr>
      <w:tr w:rsidR="00DF21C2" w:rsidRPr="00211130" w:rsidTr="005E1B0B">
        <w:trPr>
          <w:tblCellSpacing w:w="15" w:type="dxa"/>
        </w:trPr>
        <w:tc>
          <w:tcPr>
            <w:tcW w:w="1873" w:type="dxa"/>
            <w:vAlign w:val="center"/>
            <w:hideMark/>
          </w:tcPr>
          <w:p w:rsidR="00DF21C2" w:rsidRPr="00211130" w:rsidRDefault="00DF21C2" w:rsidP="00A971D6">
            <w:pPr>
              <w:autoSpaceDE/>
              <w:autoSpaceDN/>
              <w:adjustRightInd/>
              <w:spacing w:before="0" w:after="0" w:line="240" w:lineRule="auto"/>
              <w:jc w:val="both"/>
              <w:rPr>
                <w:rFonts w:eastAsia="Times New Roman"/>
                <w:lang w:val="en-GB" w:eastAsia="zh-CN" w:bidi="ar-SA"/>
              </w:rPr>
            </w:pPr>
            <w:r w:rsidRPr="00211130">
              <w:rPr>
                <w:rFonts w:eastAsia="Times New Roman"/>
                <w:lang w:val="en-GB" w:eastAsia="zh-CN" w:bidi="ar-SA"/>
              </w:rPr>
              <w:t>GEF Agency Fees (CEO Endo.)</w:t>
            </w:r>
          </w:p>
        </w:tc>
        <w:tc>
          <w:tcPr>
            <w:tcW w:w="7825" w:type="dxa"/>
            <w:vAlign w:val="center"/>
            <w:hideMark/>
          </w:tcPr>
          <w:p w:rsidR="00DF21C2" w:rsidRPr="00211130" w:rsidRDefault="00DF21C2" w:rsidP="005E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Pr>
                <w:rFonts w:eastAsia="Times New Roman"/>
                <w:lang w:val="en-GB" w:eastAsia="zh-CN" w:bidi="ar-SA"/>
              </w:rPr>
              <w:t>450,000</w:t>
            </w:r>
            <w:r w:rsidRPr="00211130">
              <w:rPr>
                <w:rFonts w:eastAsia="Times New Roman"/>
                <w:lang w:val="en-GB" w:eastAsia="zh-CN" w:bidi="ar-SA"/>
              </w:rPr>
              <w:t xml:space="preserve"> USD</w:t>
            </w:r>
          </w:p>
        </w:tc>
      </w:tr>
    </w:tbl>
    <w:p w:rsidR="00B03A4D" w:rsidRDefault="00B03A4D" w:rsidP="00A971D6">
      <w:pPr>
        <w:jc w:val="both"/>
        <w:rPr>
          <w:lang w:val="en-GB"/>
        </w:rPr>
      </w:pPr>
    </w:p>
    <w:p w:rsidR="00B03A4D" w:rsidRDefault="00B03A4D" w:rsidP="00A971D6">
      <w:pPr>
        <w:autoSpaceDE/>
        <w:autoSpaceDN/>
        <w:adjustRightInd/>
        <w:spacing w:before="200" w:after="200"/>
        <w:jc w:val="both"/>
        <w:rPr>
          <w:lang w:val="en-GB"/>
        </w:rPr>
      </w:pPr>
      <w:r>
        <w:rPr>
          <w:lang w:val="en-GB"/>
        </w:rPr>
        <w:lastRenderedPageBreak/>
        <w:br w:type="page"/>
      </w:r>
    </w:p>
    <w:p w:rsidR="007E51A4" w:rsidRDefault="007E51A4" w:rsidP="007E51A4">
      <w:pPr>
        <w:pStyle w:val="Heading2"/>
        <w:rPr>
          <w:lang w:val="en-GB"/>
        </w:rPr>
      </w:pPr>
      <w:bookmarkStart w:id="3" w:name="_Toc417120258"/>
      <w:r>
        <w:rPr>
          <w:lang w:val="en-GB"/>
        </w:rPr>
        <w:lastRenderedPageBreak/>
        <w:t>Brief introduction to the project</w:t>
      </w:r>
      <w:bookmarkEnd w:id="3"/>
    </w:p>
    <w:p w:rsidR="00E74E79" w:rsidRDefault="00E74E79" w:rsidP="00A971D6">
      <w:pPr>
        <w:jc w:val="both"/>
        <w:rPr>
          <w:lang w:val="en-GB"/>
        </w:rPr>
      </w:pPr>
      <w:r>
        <w:rPr>
          <w:lang w:val="en-GB"/>
        </w:rPr>
        <w:t xml:space="preserve">The TCDD contamination in Viet Nam originated from the operations carried out by the US army during the armed conflict lasted from 1961 to 1971. The so-called Operation “Ranch-Hand” </w:t>
      </w:r>
      <w:r w:rsidRPr="00386A58">
        <w:rPr>
          <w:rFonts w:eastAsia="+mn-ea"/>
          <w:bCs/>
          <w:szCs w:val="22"/>
          <w:lang w:val="en-GB"/>
        </w:rPr>
        <w:t>(May 1964 – January 1971)</w:t>
      </w:r>
      <w:r>
        <w:rPr>
          <w:rFonts w:eastAsia="+mn-ea"/>
          <w:bCs/>
          <w:szCs w:val="22"/>
          <w:lang w:val="en-GB"/>
        </w:rPr>
        <w:t xml:space="preserve"> </w:t>
      </w:r>
      <w:r w:rsidRPr="001C3273">
        <w:rPr>
          <w:rFonts w:eastAsia="+mn-ea"/>
          <w:bCs/>
          <w:szCs w:val="22"/>
          <w:lang w:val="en-GB"/>
        </w:rPr>
        <w:t>involved spraying an estimated 20 million U.S. gallons (76,000 m</w:t>
      </w:r>
      <w:r w:rsidRPr="00BE0B25">
        <w:rPr>
          <w:rFonts w:eastAsia="+mn-ea"/>
          <w:bCs/>
          <w:szCs w:val="22"/>
          <w:vertAlign w:val="superscript"/>
          <w:lang w:val="en-GB"/>
        </w:rPr>
        <w:t>3</w:t>
      </w:r>
      <w:r w:rsidRPr="001C3273">
        <w:rPr>
          <w:rFonts w:eastAsia="+mn-ea"/>
          <w:bCs/>
          <w:szCs w:val="22"/>
          <w:lang w:val="en-GB"/>
        </w:rPr>
        <w:t>) of defoliants and herbicides</w:t>
      </w:r>
      <w:r>
        <w:rPr>
          <w:rFonts w:eastAsia="+mn-ea"/>
          <w:bCs/>
          <w:szCs w:val="22"/>
          <w:lang w:val="en-GB"/>
        </w:rPr>
        <w:t xml:space="preserve"> </w:t>
      </w:r>
      <w:r w:rsidRPr="001C3273">
        <w:rPr>
          <w:rFonts w:eastAsia="+mn-ea"/>
          <w:bCs/>
          <w:szCs w:val="22"/>
          <w:lang w:val="en-GB"/>
        </w:rPr>
        <w:t>over rural areas of South Vietnam in an attempt to deprive the Viet Cong of food and vegetation cover.</w:t>
      </w:r>
      <w:r>
        <w:rPr>
          <w:lang w:val="en-GB"/>
        </w:rPr>
        <w:t xml:space="preserve"> As the pesticides used for the Ranch Hand operation (and more specifically the so-called “Agent Orange”) were contaminated by TCDD, the operation resulted in an extensive contamination by TCDD of large part of the country. 40 years later, whilst the TCDD level in the sprayed area declined to lower levels, high level of contamination remained in a number of “hot spots”, among which the most severely contaminated are the three air bases where the Ranch Hand operation was based: the Bien Hoa Airbase, the Phu Cat Airbase, and the </w:t>
      </w:r>
      <w:proofErr w:type="spellStart"/>
      <w:r>
        <w:rPr>
          <w:lang w:val="en-GB"/>
        </w:rPr>
        <w:t>Da</w:t>
      </w:r>
      <w:proofErr w:type="spellEnd"/>
      <w:r>
        <w:rPr>
          <w:lang w:val="en-GB"/>
        </w:rPr>
        <w:t xml:space="preserve"> Nang Airbase. </w:t>
      </w:r>
    </w:p>
    <w:p w:rsidR="00E74E79" w:rsidRDefault="00E74E79" w:rsidP="00A971D6">
      <w:pPr>
        <w:jc w:val="both"/>
        <w:rPr>
          <w:lang w:val="en-GB"/>
        </w:rPr>
      </w:pPr>
      <w:r>
        <w:rPr>
          <w:lang w:val="en-GB"/>
        </w:rPr>
        <w:t xml:space="preserve">As reported in the Project Document, the situation of TCDD contamination in the three air bases is as following: </w:t>
      </w:r>
    </w:p>
    <w:p w:rsidR="00E74E79" w:rsidRPr="009B243B" w:rsidRDefault="00E74E79" w:rsidP="00A971D6">
      <w:pPr>
        <w:pStyle w:val="ListParagraph"/>
        <w:numPr>
          <w:ilvl w:val="0"/>
          <w:numId w:val="5"/>
        </w:numPr>
        <w:jc w:val="both"/>
        <w:rPr>
          <w:lang w:val="en-GB"/>
        </w:rPr>
      </w:pPr>
      <w:r w:rsidRPr="009B243B">
        <w:rPr>
          <w:lang w:val="en-GB"/>
        </w:rPr>
        <w:t xml:space="preserve">In the At Bien Hoa Airbase, there are at least three areas of very high contamination.  The main area, a loading area (aka “Z1 area” – see Annex 1), has dioxin concentrations in the soil surface (0-30 cm layer) as high as 409,818ppt I-TEQ and an estimated average of over 15,864 </w:t>
      </w:r>
      <w:proofErr w:type="spellStart"/>
      <w:r w:rsidRPr="009B243B">
        <w:rPr>
          <w:lang w:val="en-GB"/>
        </w:rPr>
        <w:t>ppt</w:t>
      </w:r>
      <w:proofErr w:type="spellEnd"/>
      <w:r w:rsidRPr="009B243B">
        <w:rPr>
          <w:lang w:val="en-GB"/>
        </w:rPr>
        <w:t xml:space="preserve"> I-TEQ, with elevated dioxin concentrations found down to at least 1.5m depth; </w:t>
      </w:r>
      <w:r>
        <w:rPr>
          <w:lang w:val="en-GB"/>
        </w:rPr>
        <w:t>following the estimates provided by the inception report, the total amount of soil requiring decontamination / containment is from 195,500 to 235,000 m3, out of which still requiring containment from 101,500 to 141,500.</w:t>
      </w:r>
    </w:p>
    <w:p w:rsidR="00E74E79" w:rsidRPr="009B243B" w:rsidRDefault="00E74E79" w:rsidP="00A971D6">
      <w:pPr>
        <w:pStyle w:val="ListParagraph"/>
        <w:numPr>
          <w:ilvl w:val="0"/>
          <w:numId w:val="5"/>
        </w:numPr>
        <w:jc w:val="both"/>
        <w:rPr>
          <w:lang w:val="en-GB"/>
        </w:rPr>
      </w:pPr>
      <w:r>
        <w:rPr>
          <w:lang w:val="en-GB"/>
        </w:rPr>
        <w:t>In the</w:t>
      </w:r>
      <w:r w:rsidRPr="009B243B">
        <w:rPr>
          <w:lang w:val="en-GB"/>
        </w:rPr>
        <w:t xml:space="preserve"> </w:t>
      </w:r>
      <w:proofErr w:type="spellStart"/>
      <w:r w:rsidRPr="009B243B">
        <w:rPr>
          <w:lang w:val="en-GB"/>
        </w:rPr>
        <w:t>Da</w:t>
      </w:r>
      <w:proofErr w:type="spellEnd"/>
      <w:r w:rsidRPr="009B243B">
        <w:rPr>
          <w:lang w:val="en-GB"/>
        </w:rPr>
        <w:t xml:space="preserve"> Nang Airport and Airbase, there are three geographically proximate areas of very high contamination. This includes the former “mixing and loading areas”, where maximum dioxin levels reach 365,000ppt I-TEQ and the estimated average is well over 50,000pp</w:t>
      </w:r>
      <w:r>
        <w:rPr>
          <w:lang w:val="en-GB"/>
        </w:rPr>
        <w:t>t</w:t>
      </w:r>
      <w:r w:rsidRPr="009B243B">
        <w:rPr>
          <w:lang w:val="en-GB"/>
        </w:rPr>
        <w:t xml:space="preserve"> I-TEQ. The nearby storage/dumping area has a highest dioxin level of 134,802ppt I-TEQ with the average estimated as 39,883ppt I-TEQ</w:t>
      </w:r>
      <w:r>
        <w:rPr>
          <w:lang w:val="en-GB"/>
        </w:rPr>
        <w:t xml:space="preserve">. </w:t>
      </w:r>
    </w:p>
    <w:p w:rsidR="00E74E79" w:rsidRPr="005F71B7" w:rsidRDefault="00E74E79" w:rsidP="00A971D6">
      <w:pPr>
        <w:pStyle w:val="ListParagraph"/>
        <w:numPr>
          <w:ilvl w:val="0"/>
          <w:numId w:val="5"/>
        </w:numPr>
        <w:jc w:val="both"/>
        <w:rPr>
          <w:lang w:val="en-GB"/>
        </w:rPr>
      </w:pPr>
      <w:r>
        <w:rPr>
          <w:szCs w:val="22"/>
          <w:lang w:val="en-GB"/>
        </w:rPr>
        <w:t>In the</w:t>
      </w:r>
      <w:r w:rsidRPr="009B243B">
        <w:rPr>
          <w:szCs w:val="22"/>
          <w:lang w:val="en-GB"/>
        </w:rPr>
        <w:t xml:space="preserve"> </w:t>
      </w:r>
      <w:r w:rsidRPr="00335842">
        <w:rPr>
          <w:szCs w:val="22"/>
          <w:lang w:val="en-GB"/>
        </w:rPr>
        <w:t>Phu Cat Airport and Airbase</w:t>
      </w:r>
      <w:r w:rsidRPr="009B243B">
        <w:rPr>
          <w:szCs w:val="22"/>
          <w:lang w:val="en-GB"/>
        </w:rPr>
        <w:t xml:space="preserve">, dioxin concentration in the former herbicide storage area is very high, reaching up to 238,000ppt </w:t>
      </w:r>
      <w:proofErr w:type="gramStart"/>
      <w:r w:rsidRPr="009B243B">
        <w:rPr>
          <w:szCs w:val="22"/>
          <w:lang w:val="en-GB"/>
        </w:rPr>
        <w:t>I-TEQ,</w:t>
      </w:r>
      <w:proofErr w:type="gramEnd"/>
      <w:r w:rsidRPr="009B243B">
        <w:rPr>
          <w:szCs w:val="22"/>
          <w:lang w:val="en-GB"/>
        </w:rPr>
        <w:t xml:space="preserve"> and the average toxicity is estimated at 26,248ppt I-TEQ (over 97% of which is TCDD). The topography of the site suggests that water flow could have resulted in contamination of three nearby lakes, but samples taken from the drainage canal and lake sediment revealed comparatively low dioxin concentrations.</w:t>
      </w:r>
      <w:r>
        <w:rPr>
          <w:szCs w:val="22"/>
          <w:lang w:val="en-GB"/>
        </w:rPr>
        <w:t xml:space="preserve"> The amount of soil to be contained, as revised at inception report, was of 12,000 m</w:t>
      </w:r>
      <w:r w:rsidRPr="00AD25A4">
        <w:rPr>
          <w:szCs w:val="22"/>
          <w:vertAlign w:val="superscript"/>
          <w:lang w:val="en-GB"/>
        </w:rPr>
        <w:t>3</w:t>
      </w:r>
    </w:p>
    <w:p w:rsidR="005F71B7" w:rsidRPr="00AD25A4" w:rsidRDefault="005F71B7" w:rsidP="00A971D6">
      <w:pPr>
        <w:pStyle w:val="ListParagraph"/>
        <w:numPr>
          <w:ilvl w:val="0"/>
          <w:numId w:val="5"/>
        </w:numPr>
        <w:jc w:val="both"/>
        <w:rPr>
          <w:lang w:val="en-GB"/>
        </w:rPr>
      </w:pPr>
      <w:r>
        <w:rPr>
          <w:szCs w:val="22"/>
          <w:lang w:val="en-GB"/>
        </w:rPr>
        <w:t>The situation of PCDD/F contamination was updated with new monitoring data in the course of project implementation. The updated situation has been reported in the "Updated comprehensive report", released in 2014</w:t>
      </w:r>
      <w:sdt>
        <w:sdtPr>
          <w:rPr>
            <w:szCs w:val="22"/>
            <w:lang w:val="en-GB"/>
          </w:rPr>
          <w:id w:val="41437860"/>
          <w:citation/>
        </w:sdtPr>
        <w:sdtContent>
          <w:r w:rsidR="00021B43">
            <w:rPr>
              <w:szCs w:val="22"/>
              <w:lang w:val="en-GB"/>
            </w:rPr>
            <w:fldChar w:fldCharType="begin"/>
          </w:r>
          <w:r w:rsidR="00696A5E" w:rsidRPr="00696A5E">
            <w:rPr>
              <w:szCs w:val="22"/>
              <w:lang w:val="en-GB"/>
            </w:rPr>
            <w:instrText xml:space="preserve"> CITATION Vie11 \l 1040 </w:instrText>
          </w:r>
          <w:r w:rsidR="00021B43">
            <w:rPr>
              <w:szCs w:val="22"/>
              <w:lang w:val="en-GB"/>
            </w:rPr>
            <w:fldChar w:fldCharType="separate"/>
          </w:r>
          <w:r w:rsidR="00D211C2">
            <w:rPr>
              <w:noProof/>
              <w:szCs w:val="22"/>
              <w:lang w:val="en-GB"/>
            </w:rPr>
            <w:t xml:space="preserve"> </w:t>
          </w:r>
          <w:r w:rsidR="00D211C2" w:rsidRPr="00D211C2">
            <w:rPr>
              <w:noProof/>
              <w:szCs w:val="22"/>
              <w:lang w:val="en-GB"/>
            </w:rPr>
            <w:t>(1)</w:t>
          </w:r>
          <w:r w:rsidR="00021B43">
            <w:rPr>
              <w:szCs w:val="22"/>
              <w:lang w:val="en-GB"/>
            </w:rPr>
            <w:fldChar w:fldCharType="end"/>
          </w:r>
        </w:sdtContent>
      </w:sdt>
    </w:p>
    <w:p w:rsidR="00E74E79" w:rsidRDefault="00E74E79" w:rsidP="00A971D6">
      <w:pPr>
        <w:jc w:val="both"/>
      </w:pPr>
      <w:r w:rsidRPr="00291270">
        <w:t xml:space="preserve">The Project </w:t>
      </w:r>
      <w:r>
        <w:t>“</w:t>
      </w:r>
      <w:r w:rsidRPr="008C0D47">
        <w:t>Environmental Remediation of Dioxin Contaminated Hotspots in Viet Nam</w:t>
      </w:r>
      <w:r>
        <w:t>”</w:t>
      </w:r>
      <w:sdt>
        <w:sdtPr>
          <w:id w:val="41437861"/>
          <w:citation/>
        </w:sdtPr>
        <w:sdtContent>
          <w:r w:rsidR="00021B43">
            <w:fldChar w:fldCharType="begin"/>
          </w:r>
          <w:r w:rsidR="00696A5E" w:rsidRPr="00696A5E">
            <w:rPr>
              <w:lang w:val="en-GB"/>
            </w:rPr>
            <w:instrText xml:space="preserve"> CITATION Gov \l 1040 </w:instrText>
          </w:r>
          <w:r w:rsidR="00021B43">
            <w:fldChar w:fldCharType="separate"/>
          </w:r>
          <w:r w:rsidR="00D211C2">
            <w:rPr>
              <w:noProof/>
              <w:lang w:val="en-GB"/>
            </w:rPr>
            <w:t xml:space="preserve"> </w:t>
          </w:r>
          <w:r w:rsidR="00D211C2" w:rsidRPr="00D211C2">
            <w:rPr>
              <w:noProof/>
              <w:lang w:val="en-GB"/>
            </w:rPr>
            <w:t>(2)</w:t>
          </w:r>
          <w:r w:rsidR="00021B43">
            <w:fldChar w:fldCharType="end"/>
          </w:r>
        </w:sdtContent>
      </w:sdt>
      <w:r>
        <w:t xml:space="preserve"> </w:t>
      </w:r>
      <w:r w:rsidRPr="00291270">
        <w:t xml:space="preserve">as originally approved has the objective </w:t>
      </w:r>
      <w:r>
        <w:t xml:space="preserve">to remove the barriers that limit Vietnam in dealing with the hotspot contaminated by Dioxin, namely: </w:t>
      </w:r>
    </w:p>
    <w:p w:rsidR="00E74E79" w:rsidRDefault="00E74E79" w:rsidP="00A971D6">
      <w:pPr>
        <w:pStyle w:val="ListParagraph"/>
        <w:numPr>
          <w:ilvl w:val="1"/>
          <w:numId w:val="4"/>
        </w:numPr>
        <w:spacing w:before="0"/>
        <w:contextualSpacing w:val="0"/>
        <w:jc w:val="both"/>
      </w:pPr>
      <w:r w:rsidRPr="001C3273">
        <w:t>The lack of an overall plan to deal with the hotspots and an overall regulatory framework regarding dioxin contamination</w:t>
      </w:r>
      <w:r>
        <w:t>;</w:t>
      </w:r>
    </w:p>
    <w:p w:rsidR="00E74E79" w:rsidRDefault="00E74E79" w:rsidP="00A971D6">
      <w:pPr>
        <w:pStyle w:val="ListParagraph"/>
        <w:numPr>
          <w:ilvl w:val="1"/>
          <w:numId w:val="4"/>
        </w:numPr>
        <w:spacing w:before="0"/>
        <w:contextualSpacing w:val="0"/>
        <w:jc w:val="both"/>
      </w:pPr>
      <w:r w:rsidRPr="001C3273">
        <w:t>Limited availability of high quality data on site contamination and effects on environments and people</w:t>
      </w:r>
      <w:r>
        <w:t>;</w:t>
      </w:r>
    </w:p>
    <w:p w:rsidR="00E74E79" w:rsidRDefault="00E74E79" w:rsidP="00A971D6">
      <w:pPr>
        <w:pStyle w:val="ListParagraph"/>
        <w:numPr>
          <w:ilvl w:val="1"/>
          <w:numId w:val="4"/>
        </w:numPr>
        <w:spacing w:before="0"/>
        <w:contextualSpacing w:val="0"/>
        <w:jc w:val="both"/>
      </w:pPr>
      <w:r w:rsidRPr="001C3273">
        <w:t>Technological capacities (</w:t>
      </w:r>
      <w:r>
        <w:t xml:space="preserve">access to technologies and </w:t>
      </w:r>
      <w:r w:rsidRPr="001C3273">
        <w:t>essential equipment, knowledge</w:t>
      </w:r>
      <w:r>
        <w:t>, experience</w:t>
      </w:r>
      <w:r w:rsidRPr="001C3273">
        <w:t>) for problem analysis and for remediation of dioxin contamination</w:t>
      </w:r>
      <w:r>
        <w:t>;</w:t>
      </w:r>
    </w:p>
    <w:p w:rsidR="00E74E79" w:rsidRDefault="00E74E79" w:rsidP="00A971D6">
      <w:pPr>
        <w:pStyle w:val="ListParagraph"/>
        <w:numPr>
          <w:ilvl w:val="1"/>
          <w:numId w:val="4"/>
        </w:numPr>
        <w:spacing w:before="0"/>
        <w:contextualSpacing w:val="0"/>
        <w:jc w:val="both"/>
      </w:pPr>
      <w:r w:rsidRPr="001C3273">
        <w:t>Institutional capacities for coordination of national and international partners, and for planning and managing site remediation</w:t>
      </w:r>
      <w:r>
        <w:t>;</w:t>
      </w:r>
    </w:p>
    <w:p w:rsidR="00E74E79" w:rsidRDefault="00E74E79" w:rsidP="00A971D6">
      <w:pPr>
        <w:pStyle w:val="ListParagraph"/>
        <w:numPr>
          <w:ilvl w:val="1"/>
          <w:numId w:val="4"/>
        </w:numPr>
        <w:spacing w:before="0"/>
        <w:contextualSpacing w:val="0"/>
        <w:jc w:val="both"/>
      </w:pPr>
      <w:r w:rsidRPr="001C3273">
        <w:t>Financial resources for remediation to internationally accepted norms</w:t>
      </w:r>
      <w:r>
        <w:t>;</w:t>
      </w:r>
    </w:p>
    <w:p w:rsidR="00E74E79" w:rsidRDefault="00E74E79" w:rsidP="00A971D6">
      <w:pPr>
        <w:pStyle w:val="ListParagraph"/>
        <w:numPr>
          <w:ilvl w:val="1"/>
          <w:numId w:val="4"/>
        </w:numPr>
        <w:spacing w:before="0"/>
        <w:contextualSpacing w:val="0"/>
        <w:jc w:val="both"/>
      </w:pPr>
      <w:r w:rsidRPr="001C3273">
        <w:t xml:space="preserve">Capacities for public education and local land use planning to address the sensitive issue of highly toxic </w:t>
      </w:r>
      <w:r>
        <w:t>materials near populated areas.</w:t>
      </w:r>
      <w:r w:rsidRPr="001C3273">
        <w:t xml:space="preserve"> </w:t>
      </w:r>
    </w:p>
    <w:p w:rsidR="00E74E79" w:rsidRDefault="00E74E79" w:rsidP="00A971D6">
      <w:pPr>
        <w:spacing w:before="0"/>
        <w:jc w:val="both"/>
      </w:pPr>
      <w:r>
        <w:lastRenderedPageBreak/>
        <w:t>The following assessments of dioxin contamination in the three areas were made prior to the project submission to GEF by the Vietnamese government, UNDP and donors:</w:t>
      </w:r>
    </w:p>
    <w:p w:rsidR="00E74E79" w:rsidRPr="00177445" w:rsidRDefault="00E74E79" w:rsidP="00A971D6">
      <w:pPr>
        <w:pStyle w:val="ListParagraph"/>
        <w:numPr>
          <w:ilvl w:val="0"/>
          <w:numId w:val="6"/>
        </w:numPr>
        <w:spacing w:before="0"/>
        <w:jc w:val="both"/>
        <w:rPr>
          <w:lang w:val="en-GB"/>
        </w:rPr>
      </w:pPr>
      <w:r w:rsidRPr="00177445">
        <w:rPr>
          <w:lang w:val="en-GB"/>
        </w:rPr>
        <w:t>The Z1 (Bien Hoa airbase, 1994/1995), Z2 (</w:t>
      </w:r>
      <w:proofErr w:type="spellStart"/>
      <w:r w:rsidRPr="00177445">
        <w:rPr>
          <w:lang w:val="en-GB"/>
        </w:rPr>
        <w:t>Da</w:t>
      </w:r>
      <w:proofErr w:type="spellEnd"/>
      <w:r w:rsidRPr="00177445">
        <w:rPr>
          <w:lang w:val="en-GB"/>
        </w:rPr>
        <w:t xml:space="preserve"> Nang airbase, 1997/1998) and Z3 (Phu Cat airbase, 1999/2002) project by the Vietnamese Ministry of Defence;</w:t>
      </w:r>
    </w:p>
    <w:p w:rsidR="00E74E79" w:rsidRPr="00444076" w:rsidRDefault="00E74E79" w:rsidP="00A971D6">
      <w:pPr>
        <w:pStyle w:val="ListParagraph"/>
        <w:numPr>
          <w:ilvl w:val="0"/>
          <w:numId w:val="6"/>
        </w:numPr>
        <w:spacing w:before="0"/>
        <w:jc w:val="both"/>
        <w:rPr>
          <w:lang w:val="en-GB"/>
        </w:rPr>
      </w:pPr>
      <w:r w:rsidRPr="00444076">
        <w:rPr>
          <w:lang w:val="en-GB"/>
        </w:rPr>
        <w:t xml:space="preserve">The collaboration between US EPA and VAST (Viet Nam Academy for Science and Technology) on sampling and contamination analysis; </w:t>
      </w:r>
    </w:p>
    <w:p w:rsidR="00E74E79" w:rsidRPr="00177445" w:rsidRDefault="00E74E79" w:rsidP="00A971D6">
      <w:pPr>
        <w:pStyle w:val="ListParagraph"/>
        <w:numPr>
          <w:ilvl w:val="0"/>
          <w:numId w:val="6"/>
        </w:numPr>
        <w:spacing w:before="0"/>
        <w:jc w:val="both"/>
        <w:rPr>
          <w:lang w:val="en-GB"/>
        </w:rPr>
      </w:pPr>
      <w:r w:rsidRPr="00177445">
        <w:rPr>
          <w:lang w:val="en-GB"/>
        </w:rPr>
        <w:t>The project “</w:t>
      </w:r>
      <w:r w:rsidRPr="00177445">
        <w:rPr>
          <w:i/>
          <w:lang w:val="en-GB"/>
        </w:rPr>
        <w:t xml:space="preserve">Assessment of Dioxin Contamination in the Environment and Human population in the vicinity of the </w:t>
      </w:r>
      <w:proofErr w:type="spellStart"/>
      <w:r w:rsidRPr="00177445">
        <w:rPr>
          <w:i/>
          <w:lang w:val="en-GB"/>
        </w:rPr>
        <w:t>Da</w:t>
      </w:r>
      <w:proofErr w:type="spellEnd"/>
      <w:r w:rsidRPr="00177445">
        <w:rPr>
          <w:i/>
          <w:lang w:val="en-GB"/>
        </w:rPr>
        <w:t xml:space="preserve"> Nang airbase, 2006/2007</w:t>
      </w:r>
      <w:r w:rsidRPr="00177445">
        <w:rPr>
          <w:lang w:val="en-GB"/>
        </w:rPr>
        <w:t xml:space="preserve">” by Office 33 and Hatfield Consultants Limited (Vancouver, Canada), with funding from Ford Foundation; </w:t>
      </w:r>
    </w:p>
    <w:p w:rsidR="00E74E79" w:rsidRDefault="00E74E79" w:rsidP="00A971D6">
      <w:pPr>
        <w:pStyle w:val="ListParagraph"/>
        <w:numPr>
          <w:ilvl w:val="0"/>
          <w:numId w:val="6"/>
        </w:numPr>
        <w:spacing w:before="0"/>
        <w:jc w:val="both"/>
        <w:rPr>
          <w:lang w:val="en-GB"/>
        </w:rPr>
      </w:pPr>
      <w:r w:rsidRPr="00177445">
        <w:rPr>
          <w:lang w:val="en-GB"/>
        </w:rPr>
        <w:t>Soil and sediment samples taken and analyzed under the UNDP preparation project, by the Viet Nam - Russia Tropical Centre (VRTC) under th</w:t>
      </w:r>
      <w:r>
        <w:rPr>
          <w:lang w:val="en-GB"/>
        </w:rPr>
        <w:t>e MOD and Hatfield Consultants.</w:t>
      </w:r>
    </w:p>
    <w:p w:rsidR="00E74E79" w:rsidRPr="00586170" w:rsidRDefault="00E74E79" w:rsidP="00A971D6">
      <w:pPr>
        <w:jc w:val="both"/>
        <w:rPr>
          <w:lang w:val="en-GB"/>
        </w:rPr>
      </w:pPr>
      <w:r w:rsidRPr="00586170">
        <w:rPr>
          <w:lang w:val="en-GB"/>
        </w:rPr>
        <w:t xml:space="preserve">The project </w:t>
      </w:r>
      <w:r>
        <w:rPr>
          <w:lang w:val="en-GB"/>
        </w:rPr>
        <w:t xml:space="preserve">built </w:t>
      </w:r>
      <w:r w:rsidRPr="00586170">
        <w:rPr>
          <w:lang w:val="en-GB"/>
        </w:rPr>
        <w:t>upon work conducted by international organizations or their contracted consultants in association with national partners, all of which are coor</w:t>
      </w:r>
      <w:r>
        <w:rPr>
          <w:lang w:val="en-GB"/>
        </w:rPr>
        <w:t>dinated by the Office 33</w:t>
      </w:r>
      <w:r w:rsidRPr="00586170">
        <w:rPr>
          <w:lang w:val="en-GB"/>
        </w:rPr>
        <w:t xml:space="preserve"> </w:t>
      </w:r>
      <w:r>
        <w:rPr>
          <w:lang w:val="en-GB"/>
        </w:rPr>
        <w:t>of</w:t>
      </w:r>
      <w:r w:rsidRPr="00586170">
        <w:rPr>
          <w:lang w:val="en-GB"/>
        </w:rPr>
        <w:t xml:space="preserve"> the Ministry of </w:t>
      </w:r>
      <w:r>
        <w:rPr>
          <w:lang w:val="en-GB"/>
        </w:rPr>
        <w:t>Natural Resources &amp; Environment, which at the same time is the project implementation counterpart.</w:t>
      </w:r>
    </w:p>
    <w:p w:rsidR="00E74E79" w:rsidRDefault="00E74E79" w:rsidP="00A971D6">
      <w:pPr>
        <w:spacing w:before="0"/>
        <w:jc w:val="both"/>
        <w:rPr>
          <w:lang w:val="en-GB"/>
        </w:rPr>
      </w:pPr>
      <w:r>
        <w:rPr>
          <w:lang w:val="en-GB"/>
        </w:rPr>
        <w:t>The project envisages the achievement of 3 outcomes:</w:t>
      </w:r>
    </w:p>
    <w:p w:rsidR="00E74E79" w:rsidRPr="007E51A4" w:rsidRDefault="00E74E79" w:rsidP="00A971D6">
      <w:pPr>
        <w:pStyle w:val="ListParagraph"/>
        <w:numPr>
          <w:ilvl w:val="0"/>
          <w:numId w:val="9"/>
        </w:numPr>
        <w:jc w:val="both"/>
        <w:rPr>
          <w:szCs w:val="22"/>
          <w:lang w:val="en-GB"/>
        </w:rPr>
      </w:pPr>
      <w:r w:rsidRPr="007E51A4">
        <w:rPr>
          <w:szCs w:val="22"/>
          <w:lang w:val="en-GB"/>
        </w:rPr>
        <w:t>Outcome 1: Dioxin in core hotspot areas contained and remediated</w:t>
      </w:r>
      <w:r>
        <w:rPr>
          <w:szCs w:val="22"/>
          <w:lang w:val="en-GB"/>
        </w:rPr>
        <w:t>;</w:t>
      </w:r>
    </w:p>
    <w:p w:rsidR="00E74E79" w:rsidRPr="007E51A4" w:rsidRDefault="00E74E79" w:rsidP="00A971D6">
      <w:pPr>
        <w:pStyle w:val="ListParagraph"/>
        <w:numPr>
          <w:ilvl w:val="0"/>
          <w:numId w:val="9"/>
        </w:numPr>
        <w:jc w:val="both"/>
        <w:rPr>
          <w:szCs w:val="22"/>
          <w:lang w:val="en-GB"/>
        </w:rPr>
      </w:pPr>
      <w:r w:rsidRPr="007E51A4">
        <w:rPr>
          <w:szCs w:val="22"/>
          <w:lang w:val="en-GB"/>
        </w:rPr>
        <w:t>Outcome 2: Land use on and around hotspots eliminates risks and contributes to environmental recovery</w:t>
      </w:r>
      <w:r>
        <w:rPr>
          <w:szCs w:val="22"/>
          <w:lang w:val="en-GB"/>
        </w:rPr>
        <w:t>;</w:t>
      </w:r>
    </w:p>
    <w:p w:rsidR="00E74E79" w:rsidRDefault="00E74E79" w:rsidP="00E177FD">
      <w:pPr>
        <w:pStyle w:val="ListParagraph"/>
        <w:numPr>
          <w:ilvl w:val="0"/>
          <w:numId w:val="9"/>
        </w:numPr>
        <w:rPr>
          <w:szCs w:val="22"/>
          <w:lang w:val="en-GB"/>
        </w:rPr>
      </w:pPr>
      <w:r w:rsidRPr="007E51A4">
        <w:rPr>
          <w:szCs w:val="22"/>
          <w:lang w:val="en-GB"/>
        </w:rPr>
        <w:t>Outcome 3: Strengthened national regulations and institutional capacities</w:t>
      </w:r>
      <w:r>
        <w:rPr>
          <w:szCs w:val="22"/>
          <w:lang w:val="en-GB"/>
        </w:rPr>
        <w:t>.</w:t>
      </w:r>
    </w:p>
    <w:p w:rsidR="00E74E79" w:rsidRDefault="00E74E79" w:rsidP="00E74E79">
      <w:pPr>
        <w:pStyle w:val="Heading2"/>
        <w:rPr>
          <w:lang w:val="en-GB"/>
        </w:rPr>
      </w:pPr>
      <w:bookmarkStart w:id="4" w:name="_Toc407572392"/>
      <w:bookmarkStart w:id="5" w:name="_Toc417120259"/>
      <w:r>
        <w:rPr>
          <w:lang w:val="en-GB"/>
        </w:rPr>
        <w:t>Evaluation Rating Table</w:t>
      </w:r>
      <w:bookmarkEnd w:id="4"/>
      <w:bookmarkEnd w:id="5"/>
    </w:p>
    <w:p w:rsidR="00E74E79" w:rsidRDefault="00E74E79" w:rsidP="00A971D6">
      <w:pPr>
        <w:jc w:val="both"/>
        <w:rPr>
          <w:lang w:val="en-GB"/>
        </w:rPr>
      </w:pPr>
      <w:r>
        <w:rPr>
          <w:lang w:val="en-GB"/>
        </w:rPr>
        <w:t xml:space="preserve">The evaluating </w:t>
      </w:r>
      <w:r w:rsidR="00B63332">
        <w:rPr>
          <w:lang w:val="en-GB"/>
        </w:rPr>
        <w:t xml:space="preserve">table </w:t>
      </w:r>
      <w:r>
        <w:rPr>
          <w:lang w:val="en-GB"/>
        </w:rPr>
        <w:t xml:space="preserve">below </w:t>
      </w:r>
      <w:r w:rsidR="00070F1B">
        <w:rPr>
          <w:lang w:val="en-GB"/>
        </w:rPr>
        <w:t xml:space="preserve">includes </w:t>
      </w:r>
      <w:r>
        <w:rPr>
          <w:lang w:val="en-GB"/>
        </w:rPr>
        <w:t>the additio</w:t>
      </w:r>
      <w:r w:rsidR="00070F1B">
        <w:rPr>
          <w:lang w:val="en-GB"/>
        </w:rPr>
        <w:t>nal outcomes achieved after mid-</w:t>
      </w:r>
      <w:r>
        <w:rPr>
          <w:lang w:val="en-GB"/>
        </w:rPr>
        <w:t>term evaluation and the updated scoring. Changes or new achievement</w:t>
      </w:r>
      <w:r w:rsidR="00070F1B">
        <w:rPr>
          <w:lang w:val="en-GB"/>
        </w:rPr>
        <w:t>s</w:t>
      </w:r>
      <w:r>
        <w:rPr>
          <w:lang w:val="en-GB"/>
        </w:rPr>
        <w:t xml:space="preserve"> after </w:t>
      </w:r>
      <w:r w:rsidR="00070F1B">
        <w:rPr>
          <w:lang w:val="en-GB"/>
        </w:rPr>
        <w:t xml:space="preserve">mid-term are </w:t>
      </w:r>
      <w:r>
        <w:rPr>
          <w:lang w:val="en-GB"/>
        </w:rPr>
        <w:t xml:space="preserve">reported in bold </w:t>
      </w:r>
      <w:r w:rsidR="00D211C2">
        <w:rPr>
          <w:lang w:val="en-GB"/>
        </w:rPr>
        <w:t xml:space="preserve">in </w:t>
      </w:r>
      <w:r w:rsidR="00021B43">
        <w:rPr>
          <w:lang w:val="en-GB"/>
        </w:rPr>
        <w:fldChar w:fldCharType="begin"/>
      </w:r>
      <w:r w:rsidR="00B91A0E">
        <w:rPr>
          <w:lang w:val="en-GB"/>
        </w:rPr>
        <w:instrText xml:space="preserve"> REF _Ref410057003 \h </w:instrText>
      </w:r>
      <w:r w:rsidR="00021B43">
        <w:rPr>
          <w:lang w:val="en-GB"/>
        </w:rPr>
      </w:r>
      <w:r w:rsidR="00021B43">
        <w:rPr>
          <w:lang w:val="en-GB"/>
        </w:rPr>
        <w:fldChar w:fldCharType="separate"/>
      </w:r>
      <w:r w:rsidR="002C0E6E" w:rsidRPr="00240082">
        <w:t xml:space="preserve">Table </w:t>
      </w:r>
      <w:r w:rsidR="002C0E6E">
        <w:rPr>
          <w:noProof/>
        </w:rPr>
        <w:t>6</w:t>
      </w:r>
      <w:r w:rsidR="00021B43">
        <w:rPr>
          <w:lang w:val="en-GB"/>
        </w:rPr>
        <w:fldChar w:fldCharType="end"/>
      </w:r>
      <w:r w:rsidR="00B91A0E">
        <w:rPr>
          <w:lang w:val="en-GB"/>
        </w:rPr>
        <w:t xml:space="preserve"> </w:t>
      </w:r>
      <w:r w:rsidR="00856D9B">
        <w:rPr>
          <w:lang w:val="en-GB"/>
        </w:rPr>
        <w:t>(</w:t>
      </w:r>
      <w:r w:rsidR="00021B43">
        <w:rPr>
          <w:lang w:val="en-GB"/>
        </w:rPr>
        <w:fldChar w:fldCharType="begin"/>
      </w:r>
      <w:r w:rsidR="00856D9B">
        <w:rPr>
          <w:lang w:val="en-GB"/>
        </w:rPr>
        <w:instrText xml:space="preserve"> REF _Ref415223282 \h </w:instrText>
      </w:r>
      <w:r w:rsidR="00021B43">
        <w:rPr>
          <w:lang w:val="en-GB"/>
        </w:rPr>
      </w:r>
      <w:r w:rsidR="00021B43">
        <w:rPr>
          <w:lang w:val="en-GB"/>
        </w:rPr>
        <w:fldChar w:fldCharType="separate"/>
      </w:r>
      <w:r w:rsidR="002C0E6E" w:rsidRPr="00240082">
        <w:t>Rating of the Relevance, Efficiency and Effectiveness of Project Outcome and Outputs</w:t>
      </w:r>
      <w:r w:rsidR="002C0E6E">
        <w:t>.</w:t>
      </w:r>
      <w:r w:rsidR="00021B43">
        <w:rPr>
          <w:lang w:val="en-GB"/>
        </w:rPr>
        <w:fldChar w:fldCharType="end"/>
      </w:r>
      <w:r w:rsidR="00856D9B">
        <w:rPr>
          <w:lang w:val="en-GB"/>
        </w:rPr>
        <w:t>)</w:t>
      </w:r>
      <w:r>
        <w:rPr>
          <w:lang w:val="en-GB"/>
        </w:rPr>
        <w:t>.</w:t>
      </w:r>
      <w:r w:rsidR="00D211C2">
        <w:rPr>
          <w:lang w:val="en-GB"/>
        </w:rPr>
        <w:t xml:space="preserve"> </w:t>
      </w:r>
      <w:r>
        <w:rPr>
          <w:lang w:val="en-GB"/>
        </w:rPr>
        <w:t xml:space="preserve"> Based on the available data and information, the "Satisfactory" scoring proposed at </w:t>
      </w:r>
      <w:r w:rsidR="00070F1B">
        <w:rPr>
          <w:lang w:val="en-GB"/>
        </w:rPr>
        <w:t>mid-term</w:t>
      </w:r>
      <w:r>
        <w:rPr>
          <w:lang w:val="en-GB"/>
        </w:rPr>
        <w:t xml:space="preserve"> evaluation can be confirmed. </w:t>
      </w:r>
    </w:p>
    <w:p w:rsidR="00B340C9" w:rsidRDefault="00D211C2" w:rsidP="00A971D6">
      <w:pPr>
        <w:pStyle w:val="Caption"/>
        <w:jc w:val="both"/>
        <w:rPr>
          <w:rFonts w:ascii="Calibri" w:eastAsia="Calibri" w:hAnsi="Calibri" w:cs="Calibri"/>
          <w:sz w:val="13"/>
          <w:szCs w:val="13"/>
        </w:rPr>
      </w:pPr>
      <w:bookmarkStart w:id="6" w:name="_Toc417125816"/>
      <w:r>
        <w:t xml:space="preserve">Table </w:t>
      </w:r>
      <w:r w:rsidR="00021B43">
        <w:fldChar w:fldCharType="begin"/>
      </w:r>
      <w:r w:rsidR="00233B51">
        <w:instrText xml:space="preserve"> SEQ Table \* ARABIC </w:instrText>
      </w:r>
      <w:r w:rsidR="00021B43">
        <w:fldChar w:fldCharType="separate"/>
      </w:r>
      <w:r w:rsidR="002C0E6E">
        <w:rPr>
          <w:noProof/>
        </w:rPr>
        <w:t>1</w:t>
      </w:r>
      <w:r w:rsidR="00021B43">
        <w:rPr>
          <w:noProof/>
        </w:rPr>
        <w:fldChar w:fldCharType="end"/>
      </w:r>
      <w:r>
        <w:t xml:space="preserve">: </w:t>
      </w:r>
      <w:r w:rsidR="00856D9B">
        <w:t>P</w:t>
      </w:r>
      <w:r>
        <w:t>roject overall rating</w:t>
      </w:r>
      <w:bookmarkEnd w:id="6"/>
    </w:p>
    <w:tbl>
      <w:tblPr>
        <w:tblStyle w:val="TableNormal1"/>
        <w:tblW w:w="0" w:type="auto"/>
        <w:tblInd w:w="135" w:type="dxa"/>
        <w:tblLayout w:type="fixed"/>
        <w:tblLook w:val="01E0"/>
      </w:tblPr>
      <w:tblGrid>
        <w:gridCol w:w="3313"/>
        <w:gridCol w:w="828"/>
        <w:gridCol w:w="4609"/>
        <w:gridCol w:w="722"/>
      </w:tblGrid>
      <w:tr w:rsidR="00B340C9" w:rsidTr="00A7709B">
        <w:trPr>
          <w:trHeight w:val="300"/>
        </w:trPr>
        <w:tc>
          <w:tcPr>
            <w:tcW w:w="9472" w:type="dxa"/>
            <w:gridSpan w:val="4"/>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b/>
                <w:sz w:val="20"/>
              </w:rPr>
              <w:t>Evaluation</w:t>
            </w:r>
            <w:r>
              <w:rPr>
                <w:rFonts w:ascii="Calibri"/>
                <w:b/>
                <w:spacing w:val="-9"/>
                <w:sz w:val="20"/>
              </w:rPr>
              <w:t xml:space="preserve"> </w:t>
            </w:r>
            <w:r>
              <w:rPr>
                <w:rFonts w:ascii="Calibri"/>
                <w:b/>
                <w:sz w:val="20"/>
              </w:rPr>
              <w:t>Ratings:</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03"/>
              <w:rPr>
                <w:rFonts w:ascii="Calibri" w:eastAsia="Calibri" w:hAnsi="Calibri" w:cs="Calibri"/>
                <w:sz w:val="20"/>
                <w:szCs w:val="20"/>
              </w:rPr>
            </w:pPr>
            <w:r>
              <w:rPr>
                <w:rFonts w:ascii="Calibri"/>
                <w:b/>
                <w:color w:val="FFFFFF"/>
                <w:sz w:val="20"/>
              </w:rPr>
              <w:t>1. Monitoring and</w:t>
            </w:r>
            <w:r>
              <w:rPr>
                <w:rFonts w:ascii="Calibri"/>
                <w:b/>
                <w:color w:val="FFFFFF"/>
                <w:spacing w:val="-15"/>
                <w:sz w:val="20"/>
              </w:rPr>
              <w:t xml:space="preserve"> </w:t>
            </w:r>
            <w:r>
              <w:rPr>
                <w:rFonts w:ascii="Calibri"/>
                <w:b/>
                <w:color w:val="FFFFFF"/>
                <w:sz w:val="20"/>
              </w:rPr>
              <w:t>Evaluation</w:t>
            </w:r>
          </w:p>
        </w:tc>
        <w:tc>
          <w:tcPr>
            <w:tcW w:w="828"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56"/>
              <w:rPr>
                <w:rFonts w:ascii="Calibri" w:eastAsia="Calibri" w:hAnsi="Calibri" w:cs="Calibri"/>
                <w:sz w:val="20"/>
                <w:szCs w:val="20"/>
              </w:rPr>
            </w:pPr>
            <w:r>
              <w:rPr>
                <w:rFonts w:ascii="Calibri"/>
                <w:b/>
                <w:i/>
                <w:color w:val="FFFFFF"/>
                <w:sz w:val="20"/>
              </w:rPr>
              <w:t>rating</w:t>
            </w:r>
          </w:p>
        </w:tc>
        <w:tc>
          <w:tcPr>
            <w:tcW w:w="4609"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03"/>
              <w:rPr>
                <w:rFonts w:ascii="Calibri" w:eastAsia="Calibri" w:hAnsi="Calibri" w:cs="Calibri"/>
                <w:sz w:val="20"/>
                <w:szCs w:val="20"/>
              </w:rPr>
            </w:pPr>
            <w:r>
              <w:rPr>
                <w:rFonts w:ascii="Calibri"/>
                <w:b/>
                <w:color w:val="FFFFFF"/>
                <w:sz w:val="20"/>
              </w:rPr>
              <w:t>2. IA&amp; EA</w:t>
            </w:r>
            <w:r>
              <w:rPr>
                <w:rFonts w:ascii="Calibri"/>
                <w:b/>
                <w:color w:val="FFFFFF"/>
                <w:spacing w:val="-10"/>
                <w:sz w:val="20"/>
              </w:rPr>
              <w:t xml:space="preserve"> </w:t>
            </w:r>
            <w:r>
              <w:rPr>
                <w:rFonts w:ascii="Calibri"/>
                <w:b/>
                <w:color w:val="FFFFFF"/>
                <w:sz w:val="20"/>
              </w:rPr>
              <w:t>Execution</w:t>
            </w:r>
          </w:p>
        </w:tc>
        <w:tc>
          <w:tcPr>
            <w:tcW w:w="722"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03"/>
              <w:rPr>
                <w:rFonts w:ascii="Calibri" w:eastAsia="Calibri" w:hAnsi="Calibri" w:cs="Calibri"/>
                <w:sz w:val="20"/>
                <w:szCs w:val="20"/>
              </w:rPr>
            </w:pPr>
            <w:r>
              <w:rPr>
                <w:rFonts w:ascii="Calibri"/>
                <w:b/>
                <w:i/>
                <w:color w:val="FFFFFF"/>
                <w:sz w:val="20"/>
              </w:rPr>
              <w:t>rating</w:t>
            </w:r>
          </w:p>
        </w:tc>
      </w:tr>
      <w:tr w:rsidR="00B340C9" w:rsidTr="00A7709B">
        <w:trPr>
          <w:trHeight w:val="30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M&amp;E design at</w:t>
            </w:r>
            <w:r>
              <w:rPr>
                <w:rFonts w:ascii="Calibri"/>
                <w:spacing w:val="-8"/>
                <w:sz w:val="20"/>
              </w:rPr>
              <w:t xml:space="preserve"> </w:t>
            </w:r>
            <w:r>
              <w:rPr>
                <w:rFonts w:ascii="Calibri"/>
                <w:sz w:val="20"/>
              </w:rPr>
              <w:t>entry</w:t>
            </w:r>
          </w:p>
        </w:tc>
        <w:tc>
          <w:tcPr>
            <w:tcW w:w="828" w:type="dxa"/>
            <w:tcBorders>
              <w:top w:val="single" w:sz="4" w:space="0" w:color="000000"/>
              <w:left w:val="single" w:sz="4" w:space="0" w:color="000000"/>
              <w:bottom w:val="single" w:sz="4" w:space="0" w:color="000000"/>
              <w:right w:val="single" w:sz="4" w:space="0" w:color="000000"/>
            </w:tcBorders>
          </w:tcPr>
          <w:p w:rsidR="00856D9B" w:rsidRDefault="00B340C9" w:rsidP="00A971D6">
            <w:pPr>
              <w:spacing w:before="0" w:after="0" w:line="480" w:lineRule="auto"/>
              <w:jc w:val="both"/>
            </w:pPr>
            <w:r>
              <w:t>HS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Quality of UNDP</w:t>
            </w:r>
            <w:r>
              <w:rPr>
                <w:rFonts w:ascii="Calibri"/>
                <w:spacing w:val="-10"/>
                <w:sz w:val="20"/>
              </w:rPr>
              <w:t xml:space="preserve"> </w:t>
            </w:r>
            <w:r>
              <w:rPr>
                <w:rFonts w:ascii="Calibri"/>
                <w:sz w:val="20"/>
              </w:rPr>
              <w:t>Implementation</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M&amp;E Plan</w:t>
            </w:r>
            <w:r>
              <w:rPr>
                <w:rFonts w:ascii="Calibri"/>
                <w:spacing w:val="-12"/>
                <w:sz w:val="20"/>
              </w:rPr>
              <w:t xml:space="preserve"> </w:t>
            </w:r>
            <w:r>
              <w:rPr>
                <w:rFonts w:ascii="Calibri"/>
                <w:sz w:val="20"/>
              </w:rPr>
              <w:t>Implementation</w:t>
            </w:r>
          </w:p>
        </w:tc>
        <w:tc>
          <w:tcPr>
            <w:tcW w:w="828" w:type="dxa"/>
            <w:tcBorders>
              <w:top w:val="single" w:sz="4" w:space="0" w:color="000000"/>
              <w:left w:val="single" w:sz="4" w:space="0" w:color="000000"/>
              <w:bottom w:val="single" w:sz="4" w:space="0" w:color="000000"/>
              <w:right w:val="single" w:sz="4" w:space="0" w:color="000000"/>
            </w:tcBorders>
          </w:tcPr>
          <w:p w:rsidR="00B340C9" w:rsidRDefault="00B340C9" w:rsidP="00A971D6">
            <w:pPr>
              <w:spacing w:before="0" w:after="0" w:line="480" w:lineRule="auto"/>
              <w:jc w:val="both"/>
            </w:pPr>
            <w:r>
              <w:t>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Quality of Execution - Executing</w:t>
            </w:r>
            <w:r>
              <w:rPr>
                <w:rFonts w:ascii="Calibri"/>
                <w:spacing w:val="-14"/>
                <w:sz w:val="20"/>
              </w:rPr>
              <w:t xml:space="preserve"> </w:t>
            </w:r>
            <w:r>
              <w:rPr>
                <w:rFonts w:ascii="Calibri"/>
                <w:sz w:val="20"/>
              </w:rPr>
              <w:t>Agency</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Overall quality of</w:t>
            </w:r>
            <w:r>
              <w:rPr>
                <w:rFonts w:ascii="Calibri"/>
                <w:spacing w:val="-10"/>
                <w:sz w:val="20"/>
              </w:rPr>
              <w:t xml:space="preserve"> </w:t>
            </w:r>
            <w:r>
              <w:rPr>
                <w:rFonts w:ascii="Calibri"/>
                <w:sz w:val="20"/>
              </w:rPr>
              <w:t>M&amp;E</w:t>
            </w:r>
          </w:p>
        </w:tc>
        <w:tc>
          <w:tcPr>
            <w:tcW w:w="828" w:type="dxa"/>
            <w:tcBorders>
              <w:top w:val="single" w:sz="4" w:space="0" w:color="000000"/>
              <w:left w:val="single" w:sz="4" w:space="0" w:color="000000"/>
              <w:bottom w:val="single" w:sz="4" w:space="0" w:color="000000"/>
              <w:right w:val="single" w:sz="4" w:space="0" w:color="000000"/>
            </w:tcBorders>
          </w:tcPr>
          <w:p w:rsidR="00B340C9" w:rsidRDefault="00B340C9" w:rsidP="00A971D6">
            <w:pPr>
              <w:spacing w:before="0" w:after="0" w:line="480" w:lineRule="auto"/>
              <w:jc w:val="both"/>
            </w:pPr>
            <w:r>
              <w:t>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Overall quality of Implementation /</w:t>
            </w:r>
            <w:r>
              <w:rPr>
                <w:rFonts w:ascii="Calibri"/>
                <w:spacing w:val="-20"/>
                <w:sz w:val="20"/>
              </w:rPr>
              <w:t xml:space="preserve"> </w:t>
            </w:r>
            <w:r>
              <w:rPr>
                <w:rFonts w:ascii="Calibri"/>
                <w:sz w:val="20"/>
              </w:rPr>
              <w:t>Execution</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03"/>
              <w:rPr>
                <w:rFonts w:ascii="Calibri" w:eastAsia="Calibri" w:hAnsi="Calibri" w:cs="Calibri"/>
                <w:sz w:val="20"/>
                <w:szCs w:val="20"/>
              </w:rPr>
            </w:pPr>
            <w:r>
              <w:rPr>
                <w:rFonts w:ascii="Calibri"/>
                <w:b/>
                <w:color w:val="FFFFFF"/>
                <w:sz w:val="20"/>
              </w:rPr>
              <w:t>3. Assessment of</w:t>
            </w:r>
            <w:r>
              <w:rPr>
                <w:rFonts w:ascii="Calibri"/>
                <w:b/>
                <w:color w:val="FFFFFF"/>
                <w:spacing w:val="-11"/>
                <w:sz w:val="20"/>
              </w:rPr>
              <w:t xml:space="preserve"> </w:t>
            </w:r>
            <w:r>
              <w:rPr>
                <w:rFonts w:ascii="Calibri"/>
                <w:b/>
                <w:color w:val="FFFFFF"/>
                <w:sz w:val="20"/>
              </w:rPr>
              <w:t>Outcomes</w:t>
            </w:r>
          </w:p>
        </w:tc>
        <w:tc>
          <w:tcPr>
            <w:tcW w:w="828"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63"/>
              <w:rPr>
                <w:rFonts w:ascii="Calibri" w:eastAsia="Calibri" w:hAnsi="Calibri" w:cs="Calibri"/>
                <w:sz w:val="20"/>
                <w:szCs w:val="20"/>
              </w:rPr>
            </w:pPr>
            <w:r>
              <w:rPr>
                <w:rFonts w:ascii="Calibri"/>
                <w:b/>
                <w:color w:val="FFFFFF"/>
                <w:sz w:val="20"/>
              </w:rPr>
              <w:t>rating</w:t>
            </w:r>
          </w:p>
        </w:tc>
        <w:tc>
          <w:tcPr>
            <w:tcW w:w="4609"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03"/>
              <w:rPr>
                <w:rFonts w:ascii="Calibri" w:eastAsia="Calibri" w:hAnsi="Calibri" w:cs="Calibri"/>
                <w:sz w:val="20"/>
                <w:szCs w:val="20"/>
              </w:rPr>
            </w:pPr>
            <w:r>
              <w:rPr>
                <w:rFonts w:ascii="Calibri"/>
                <w:b/>
                <w:color w:val="FFFFFF"/>
                <w:sz w:val="20"/>
              </w:rPr>
              <w:t>4.</w:t>
            </w:r>
            <w:r>
              <w:rPr>
                <w:rFonts w:ascii="Calibri"/>
                <w:b/>
                <w:color w:val="FFFFFF"/>
                <w:spacing w:val="-9"/>
                <w:sz w:val="20"/>
              </w:rPr>
              <w:t xml:space="preserve"> </w:t>
            </w:r>
            <w:r>
              <w:rPr>
                <w:rFonts w:ascii="Calibri"/>
                <w:b/>
                <w:color w:val="FFFFFF"/>
                <w:sz w:val="20"/>
              </w:rPr>
              <w:t>Sustainability</w:t>
            </w:r>
            <w:r w:rsidR="00D211C2">
              <w:rPr>
                <w:rFonts w:ascii="Calibri"/>
                <w:b/>
                <w:color w:val="FFFFFF"/>
                <w:sz w:val="20"/>
              </w:rPr>
              <w:t xml:space="preserve"> (Risk)</w:t>
            </w:r>
          </w:p>
        </w:tc>
        <w:tc>
          <w:tcPr>
            <w:tcW w:w="722" w:type="dxa"/>
            <w:tcBorders>
              <w:top w:val="single" w:sz="4" w:space="0" w:color="000000"/>
              <w:left w:val="single" w:sz="4" w:space="0" w:color="000000"/>
              <w:bottom w:val="single" w:sz="4" w:space="0" w:color="000000"/>
              <w:right w:val="single" w:sz="4" w:space="0" w:color="000000"/>
            </w:tcBorders>
            <w:shd w:val="clear" w:color="auto" w:fill="7E7E7E"/>
          </w:tcPr>
          <w:p w:rsidR="00B340C9" w:rsidRDefault="00B340C9" w:rsidP="00856D9B">
            <w:pPr>
              <w:pStyle w:val="TableParagraph"/>
              <w:spacing w:line="480" w:lineRule="auto"/>
              <w:ind w:left="110"/>
              <w:rPr>
                <w:rFonts w:ascii="Calibri" w:eastAsia="Calibri" w:hAnsi="Calibri" w:cs="Calibri"/>
                <w:sz w:val="20"/>
                <w:szCs w:val="20"/>
              </w:rPr>
            </w:pPr>
            <w:r>
              <w:rPr>
                <w:rFonts w:ascii="Calibri"/>
                <w:b/>
                <w:color w:val="FFFFFF"/>
                <w:sz w:val="20"/>
              </w:rPr>
              <w:t>rating</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Relevance</w:t>
            </w:r>
          </w:p>
        </w:tc>
        <w:tc>
          <w:tcPr>
            <w:tcW w:w="828"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HS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Financial</w:t>
            </w:r>
            <w:r>
              <w:rPr>
                <w:rFonts w:ascii="Calibri"/>
                <w:spacing w:val="-9"/>
                <w:sz w:val="20"/>
              </w:rPr>
              <w:t xml:space="preserve"> </w:t>
            </w:r>
            <w:r>
              <w:rPr>
                <w:rFonts w:ascii="Calibri"/>
                <w:sz w:val="20"/>
              </w:rPr>
              <w:t>resources:</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M</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Effectiveness</w:t>
            </w:r>
          </w:p>
        </w:tc>
        <w:tc>
          <w:tcPr>
            <w:tcW w:w="828"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Socio-political:</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L</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Efficiency</w:t>
            </w:r>
          </w:p>
        </w:tc>
        <w:tc>
          <w:tcPr>
            <w:tcW w:w="828"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Institutional framework and</w:t>
            </w:r>
            <w:r>
              <w:rPr>
                <w:rFonts w:ascii="Calibri"/>
                <w:spacing w:val="-16"/>
                <w:sz w:val="20"/>
              </w:rPr>
              <w:t xml:space="preserve"> </w:t>
            </w:r>
            <w:r>
              <w:rPr>
                <w:rFonts w:ascii="Calibri"/>
                <w:sz w:val="20"/>
              </w:rPr>
              <w:t>governance:</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L</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Overall Project Outcome</w:t>
            </w:r>
            <w:r>
              <w:rPr>
                <w:rFonts w:ascii="Calibri"/>
                <w:spacing w:val="-15"/>
                <w:sz w:val="20"/>
              </w:rPr>
              <w:t xml:space="preserve"> </w:t>
            </w:r>
            <w:r>
              <w:rPr>
                <w:rFonts w:ascii="Calibri"/>
                <w:sz w:val="20"/>
              </w:rPr>
              <w:t>Rating</w:t>
            </w:r>
          </w:p>
        </w:tc>
        <w:tc>
          <w:tcPr>
            <w:tcW w:w="828"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S</w:t>
            </w: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Environmental</w:t>
            </w:r>
            <w:r>
              <w:rPr>
                <w:rFonts w:ascii="Calibri"/>
                <w:spacing w:val="-9"/>
                <w:sz w:val="20"/>
              </w:rPr>
              <w:t xml:space="preserve"> </w:t>
            </w:r>
            <w:r>
              <w:rPr>
                <w:rFonts w:ascii="Calibri"/>
                <w:sz w:val="20"/>
              </w:rPr>
              <w:t>:</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M</w:t>
            </w:r>
          </w:p>
        </w:tc>
      </w:tr>
      <w:tr w:rsidR="00B340C9" w:rsidTr="00856D9B">
        <w:trPr>
          <w:trHeight w:val="20"/>
        </w:trPr>
        <w:tc>
          <w:tcPr>
            <w:tcW w:w="3313" w:type="dxa"/>
            <w:tcBorders>
              <w:top w:val="single" w:sz="4" w:space="0" w:color="000000"/>
              <w:left w:val="single" w:sz="4" w:space="0" w:color="000000"/>
              <w:bottom w:val="single" w:sz="4" w:space="0" w:color="000000"/>
              <w:right w:val="single" w:sz="4" w:space="0" w:color="000000"/>
            </w:tcBorders>
          </w:tcPr>
          <w:p w:rsidR="00B340C9" w:rsidRDefault="00B340C9" w:rsidP="00A971D6">
            <w:pPr>
              <w:spacing w:before="0" w:after="0" w:line="480" w:lineRule="auto"/>
              <w:jc w:val="both"/>
            </w:pPr>
          </w:p>
        </w:tc>
        <w:tc>
          <w:tcPr>
            <w:tcW w:w="828" w:type="dxa"/>
            <w:tcBorders>
              <w:top w:val="single" w:sz="4" w:space="0" w:color="000000"/>
              <w:left w:val="single" w:sz="4" w:space="0" w:color="000000"/>
              <w:bottom w:val="single" w:sz="4" w:space="0" w:color="000000"/>
              <w:right w:val="single" w:sz="4" w:space="0" w:color="000000"/>
            </w:tcBorders>
          </w:tcPr>
          <w:p w:rsidR="00B340C9" w:rsidRDefault="00B340C9" w:rsidP="00A971D6">
            <w:pPr>
              <w:spacing w:before="0" w:after="0" w:line="480" w:lineRule="auto"/>
              <w:jc w:val="both"/>
            </w:pPr>
          </w:p>
        </w:tc>
        <w:tc>
          <w:tcPr>
            <w:tcW w:w="4609" w:type="dxa"/>
            <w:tcBorders>
              <w:top w:val="single" w:sz="4" w:space="0" w:color="000000"/>
              <w:left w:val="single" w:sz="4" w:space="0" w:color="000000"/>
              <w:bottom w:val="single" w:sz="4" w:space="0" w:color="000000"/>
              <w:right w:val="single" w:sz="4" w:space="0" w:color="000000"/>
            </w:tcBorders>
          </w:tcPr>
          <w:p w:rsidR="00B340C9" w:rsidRDefault="00B340C9" w:rsidP="00856D9B">
            <w:pPr>
              <w:pStyle w:val="TableParagraph"/>
              <w:spacing w:line="480" w:lineRule="auto"/>
              <w:ind w:left="103"/>
              <w:rPr>
                <w:rFonts w:ascii="Calibri" w:eastAsia="Calibri" w:hAnsi="Calibri" w:cs="Calibri"/>
                <w:sz w:val="20"/>
                <w:szCs w:val="20"/>
              </w:rPr>
            </w:pPr>
            <w:r>
              <w:rPr>
                <w:rFonts w:ascii="Calibri"/>
                <w:sz w:val="20"/>
              </w:rPr>
              <w:t xml:space="preserve">Overall </w:t>
            </w:r>
            <w:r w:rsidR="00D211C2">
              <w:rPr>
                <w:rFonts w:ascii="Calibri"/>
                <w:sz w:val="20"/>
              </w:rPr>
              <w:t xml:space="preserve">risk for </w:t>
            </w:r>
            <w:r>
              <w:rPr>
                <w:rFonts w:ascii="Calibri"/>
                <w:spacing w:val="-14"/>
                <w:sz w:val="20"/>
              </w:rPr>
              <w:t xml:space="preserve"> </w:t>
            </w:r>
            <w:r>
              <w:rPr>
                <w:rFonts w:ascii="Calibri"/>
                <w:sz w:val="20"/>
              </w:rPr>
              <w:t>sustainability:</w:t>
            </w:r>
          </w:p>
        </w:tc>
        <w:tc>
          <w:tcPr>
            <w:tcW w:w="722" w:type="dxa"/>
            <w:tcBorders>
              <w:top w:val="single" w:sz="4" w:space="0" w:color="000000"/>
              <w:left w:val="single" w:sz="4" w:space="0" w:color="000000"/>
              <w:bottom w:val="single" w:sz="4" w:space="0" w:color="000000"/>
              <w:right w:val="single" w:sz="4" w:space="0" w:color="000000"/>
            </w:tcBorders>
          </w:tcPr>
          <w:p w:rsidR="00B340C9" w:rsidRDefault="00D211C2" w:rsidP="00A971D6">
            <w:pPr>
              <w:spacing w:before="0" w:after="0" w:line="480" w:lineRule="auto"/>
              <w:jc w:val="both"/>
            </w:pPr>
            <w:r>
              <w:t>M/L</w:t>
            </w:r>
          </w:p>
        </w:tc>
      </w:tr>
    </w:tbl>
    <w:p w:rsidR="00B340C9" w:rsidRDefault="00B340C9" w:rsidP="00A971D6">
      <w:pPr>
        <w:spacing w:before="11" w:after="60"/>
        <w:jc w:val="both"/>
        <w:rPr>
          <w:rFonts w:ascii="Calibri" w:eastAsia="Calibri" w:hAnsi="Calibri" w:cs="Calibri"/>
          <w:sz w:val="19"/>
          <w:szCs w:val="19"/>
        </w:rPr>
      </w:pPr>
    </w:p>
    <w:p w:rsidR="00310C1D" w:rsidRDefault="00F50516" w:rsidP="00A971D6">
      <w:pPr>
        <w:jc w:val="both"/>
        <w:rPr>
          <w:lang w:val="en-GB"/>
        </w:rPr>
      </w:pPr>
      <w:r>
        <w:rPr>
          <w:lang w:val="en-GB"/>
        </w:rPr>
        <w:t xml:space="preserve"> </w:t>
      </w:r>
    </w:p>
    <w:p w:rsidR="00B63332" w:rsidRDefault="00B63332" w:rsidP="00B63332">
      <w:pPr>
        <w:pStyle w:val="Heading3"/>
      </w:pPr>
      <w:r>
        <w:t>Summary of achievements.</w:t>
      </w:r>
    </w:p>
    <w:p w:rsidR="00B63332" w:rsidRDefault="00B63332" w:rsidP="00A971D6">
      <w:pPr>
        <w:jc w:val="both"/>
        <w:rPr>
          <w:lang w:val="en-GB"/>
        </w:rPr>
      </w:pPr>
      <w:r w:rsidRPr="00B63332">
        <w:rPr>
          <w:b/>
          <w:lang w:val="en-GB"/>
        </w:rPr>
        <w:t>Component 1:</w:t>
      </w:r>
      <w:r>
        <w:rPr>
          <w:lang w:val="en-GB"/>
        </w:rPr>
        <w:t xml:space="preserve"> </w:t>
      </w:r>
      <w:r w:rsidRPr="00B63332">
        <w:rPr>
          <w:lang w:val="en-GB"/>
        </w:rPr>
        <w:t>Dioxin in core hotspot areas contained and remediated</w:t>
      </w:r>
      <w:r>
        <w:rPr>
          <w:lang w:val="en-GB"/>
        </w:rPr>
        <w:t xml:space="preserve">. </w:t>
      </w:r>
    </w:p>
    <w:p w:rsidR="00DB340F" w:rsidRDefault="00B63332" w:rsidP="00070F1B">
      <w:pPr>
        <w:jc w:val="both"/>
        <w:rPr>
          <w:lang w:val="en-GB"/>
        </w:rPr>
      </w:pPr>
      <w:r w:rsidRPr="00B63332">
        <w:rPr>
          <w:b/>
          <w:lang w:val="en-GB"/>
        </w:rPr>
        <w:t>Indicator for Component 1</w:t>
      </w:r>
      <w:r>
        <w:rPr>
          <w:lang w:val="en-GB"/>
        </w:rPr>
        <w:t xml:space="preserve">: </w:t>
      </w:r>
      <w:r w:rsidRPr="00B63332">
        <w:rPr>
          <w:lang w:val="en-GB"/>
        </w:rPr>
        <w:t>Volume of contaminated soil and sediment contained and remediated</w:t>
      </w:r>
      <w:r>
        <w:rPr>
          <w:lang w:val="en-GB"/>
        </w:rPr>
        <w:t xml:space="preserve">. </w:t>
      </w:r>
      <w:r w:rsidRPr="00B63332">
        <w:rPr>
          <w:lang w:val="en-GB"/>
        </w:rPr>
        <w:t xml:space="preserve">As a result of the GEF-project and leveraged funds / activities, all contaminated soil at concentrations greater than 1,000ppt and sediment at concentrations greater than 150ppt will have been treated adequately and residual contamination safely land-filled, and thereby 1,736 g I-TEQ dioxin release will be avoided: at Bien Hoa by the end of 2010; at </w:t>
      </w:r>
      <w:proofErr w:type="spellStart"/>
      <w:r w:rsidRPr="00B63332">
        <w:rPr>
          <w:lang w:val="en-GB"/>
        </w:rPr>
        <w:t>Da</w:t>
      </w:r>
      <w:proofErr w:type="spellEnd"/>
      <w:r w:rsidRPr="00B63332">
        <w:rPr>
          <w:lang w:val="en-GB"/>
        </w:rPr>
        <w:t xml:space="preserve"> Nang by the end of 2012; and at Phu Cat by the end of 2011.</w:t>
      </w:r>
      <w:r w:rsidR="00DB340F">
        <w:rPr>
          <w:lang w:val="en-GB"/>
        </w:rPr>
        <w:t xml:space="preserve"> </w:t>
      </w:r>
    </w:p>
    <w:p w:rsidR="00B63332" w:rsidRPr="00365E0F" w:rsidRDefault="00365E0F" w:rsidP="00070F1B">
      <w:pPr>
        <w:jc w:val="both"/>
        <w:rPr>
          <w:i/>
          <w:lang w:val="en-GB"/>
        </w:rPr>
      </w:pPr>
      <w:r>
        <w:rPr>
          <w:lang w:val="en-GB"/>
        </w:rPr>
        <w:t xml:space="preserve">This very ambitious </w:t>
      </w:r>
      <w:r w:rsidRPr="00B63332">
        <w:rPr>
          <w:lang w:val="en-GB"/>
        </w:rPr>
        <w:t xml:space="preserve">indicator </w:t>
      </w:r>
      <w:r>
        <w:rPr>
          <w:lang w:val="en-GB"/>
        </w:rPr>
        <w:t xml:space="preserve">was partially </w:t>
      </w:r>
      <w:r w:rsidRPr="00B63332">
        <w:rPr>
          <w:lang w:val="en-GB"/>
        </w:rPr>
        <w:t xml:space="preserve">revised at </w:t>
      </w:r>
      <w:r>
        <w:rPr>
          <w:lang w:val="en-GB"/>
        </w:rPr>
        <w:t xml:space="preserve">project </w:t>
      </w:r>
      <w:r w:rsidRPr="00B63332">
        <w:rPr>
          <w:lang w:val="en-GB"/>
        </w:rPr>
        <w:t>inception</w:t>
      </w:r>
      <w:r>
        <w:rPr>
          <w:lang w:val="en-GB"/>
        </w:rPr>
        <w:t xml:space="preserve"> as following: "</w:t>
      </w:r>
      <w:r w:rsidR="00696A5E" w:rsidRPr="00696A5E">
        <w:rPr>
          <w:i/>
          <w:lang w:val="en-GB"/>
        </w:rPr>
        <w:t xml:space="preserve">As a base target, an overall level of 1,700 g I-TEQ is recommended as a containment/remediation target such that this amount is eliminated as a near term ecological health threat and the amount actually eliminated (destroyed) be 1,000 g I-TEQ, all at </w:t>
      </w:r>
      <w:proofErr w:type="spellStart"/>
      <w:r w:rsidR="00696A5E" w:rsidRPr="00696A5E">
        <w:rPr>
          <w:i/>
          <w:lang w:val="en-GB"/>
        </w:rPr>
        <w:t>Da</w:t>
      </w:r>
      <w:proofErr w:type="spellEnd"/>
      <w:r w:rsidR="00696A5E" w:rsidRPr="00696A5E">
        <w:rPr>
          <w:i/>
          <w:lang w:val="en-GB"/>
        </w:rPr>
        <w:t xml:space="preserve"> Nang."</w:t>
      </w:r>
    </w:p>
    <w:p w:rsidR="00365E0F" w:rsidRDefault="00B63332" w:rsidP="00070F1B">
      <w:pPr>
        <w:jc w:val="both"/>
        <w:rPr>
          <w:lang w:val="en-GB"/>
        </w:rPr>
      </w:pPr>
      <w:r w:rsidRPr="00B63332">
        <w:rPr>
          <w:b/>
          <w:lang w:val="en-GB"/>
        </w:rPr>
        <w:t>Achievements</w:t>
      </w:r>
      <w:r w:rsidR="004240A6">
        <w:rPr>
          <w:b/>
          <w:lang w:val="en-GB"/>
        </w:rPr>
        <w:t xml:space="preserve"> for component 1</w:t>
      </w:r>
      <w:r w:rsidRPr="00B63332">
        <w:rPr>
          <w:b/>
          <w:lang w:val="en-GB"/>
        </w:rPr>
        <w:t>.</w:t>
      </w:r>
      <w:r w:rsidRPr="00B63332">
        <w:rPr>
          <w:lang w:val="en-GB"/>
        </w:rPr>
        <w:t xml:space="preserve"> At midterm</w:t>
      </w:r>
      <w:r w:rsidR="008257FA">
        <w:rPr>
          <w:lang w:val="en-GB"/>
        </w:rPr>
        <w:t xml:space="preserve">, the </w:t>
      </w:r>
      <w:r w:rsidRPr="00B63332">
        <w:rPr>
          <w:lang w:val="en-GB"/>
        </w:rPr>
        <w:t xml:space="preserve">containment at Bien Hoa </w:t>
      </w:r>
      <w:r w:rsidR="008257FA">
        <w:rPr>
          <w:lang w:val="en-GB"/>
        </w:rPr>
        <w:t xml:space="preserve">was </w:t>
      </w:r>
      <w:r w:rsidRPr="00B63332">
        <w:rPr>
          <w:lang w:val="en-GB"/>
        </w:rPr>
        <w:t xml:space="preserve">partially completed; highly contaminated PCDD/F soil </w:t>
      </w:r>
      <w:r w:rsidR="008257FA">
        <w:rPr>
          <w:lang w:val="en-GB"/>
        </w:rPr>
        <w:t xml:space="preserve">was </w:t>
      </w:r>
      <w:r w:rsidRPr="00B63332">
        <w:rPr>
          <w:lang w:val="en-GB"/>
        </w:rPr>
        <w:t xml:space="preserve">disposed in a safe landfill for temporary containment; in </w:t>
      </w:r>
      <w:proofErr w:type="spellStart"/>
      <w:r w:rsidRPr="00B63332">
        <w:rPr>
          <w:lang w:val="en-GB"/>
        </w:rPr>
        <w:t>Da</w:t>
      </w:r>
      <w:proofErr w:type="spellEnd"/>
      <w:r w:rsidRPr="00B63332">
        <w:rPr>
          <w:lang w:val="en-GB"/>
        </w:rPr>
        <w:t xml:space="preserve"> Nang a turnkey remediation project based on thermal desorption is being carried out by USAID.</w:t>
      </w:r>
      <w:r>
        <w:rPr>
          <w:lang w:val="en-GB"/>
        </w:rPr>
        <w:t xml:space="preserve"> </w:t>
      </w:r>
      <w:r w:rsidRPr="00B63332">
        <w:rPr>
          <w:lang w:val="en-GB"/>
        </w:rPr>
        <w:t xml:space="preserve">In Phu Cat, 7500 m3 of PCDD/F contaminated soil </w:t>
      </w:r>
      <w:r w:rsidR="00DB340F">
        <w:rPr>
          <w:lang w:val="en-GB"/>
        </w:rPr>
        <w:t>where stored in a safe landfill</w:t>
      </w:r>
      <w:r w:rsidRPr="00B63332">
        <w:rPr>
          <w:lang w:val="en-GB"/>
        </w:rPr>
        <w:t xml:space="preserve">. The level of contamination of the soil inside the landfill was from 600 </w:t>
      </w:r>
      <w:proofErr w:type="spellStart"/>
      <w:r w:rsidRPr="00B63332">
        <w:rPr>
          <w:lang w:val="en-GB"/>
        </w:rPr>
        <w:t>ppt</w:t>
      </w:r>
      <w:proofErr w:type="spellEnd"/>
      <w:r w:rsidRPr="00B63332">
        <w:rPr>
          <w:lang w:val="en-GB"/>
        </w:rPr>
        <w:t xml:space="preserve"> to around 250000 ppt.</w:t>
      </w:r>
    </w:p>
    <w:p w:rsidR="00B63332" w:rsidRDefault="00B63332" w:rsidP="00070F1B">
      <w:pPr>
        <w:jc w:val="both"/>
        <w:rPr>
          <w:lang w:val="en-GB"/>
        </w:rPr>
      </w:pPr>
      <w:r w:rsidRPr="00B63332">
        <w:rPr>
          <w:lang w:val="en-GB"/>
        </w:rPr>
        <w:t xml:space="preserve">In Bien Hoa, the infrastructures built </w:t>
      </w:r>
      <w:r w:rsidR="008257FA">
        <w:rPr>
          <w:lang w:val="en-GB"/>
        </w:rPr>
        <w:t xml:space="preserve">with project funds </w:t>
      </w:r>
      <w:r w:rsidRPr="00B63332">
        <w:rPr>
          <w:lang w:val="en-GB"/>
        </w:rPr>
        <w:t>(interim me</w:t>
      </w:r>
      <w:r w:rsidR="00DB340F">
        <w:rPr>
          <w:lang w:val="en-GB"/>
        </w:rPr>
        <w:t xml:space="preserve">asures for runoff containment) </w:t>
      </w:r>
      <w:r w:rsidRPr="00B63332">
        <w:rPr>
          <w:lang w:val="en-GB"/>
        </w:rPr>
        <w:t xml:space="preserve">concerned around 102000 m3 of soil with a contamination ranging from </w:t>
      </w:r>
      <w:r w:rsidR="000F41F0">
        <w:rPr>
          <w:lang w:val="en-GB"/>
        </w:rPr>
        <w:t xml:space="preserve">1700 </w:t>
      </w:r>
      <w:r w:rsidRPr="00B63332">
        <w:rPr>
          <w:lang w:val="en-GB"/>
        </w:rPr>
        <w:t xml:space="preserve">to around </w:t>
      </w:r>
      <w:r w:rsidR="000F41F0">
        <w:rPr>
          <w:lang w:val="en-GB"/>
        </w:rPr>
        <w:t xml:space="preserve">2780 </w:t>
      </w:r>
      <w:proofErr w:type="spellStart"/>
      <w:r w:rsidRPr="00B63332">
        <w:rPr>
          <w:lang w:val="en-GB"/>
        </w:rPr>
        <w:t>ppt</w:t>
      </w:r>
      <w:proofErr w:type="spellEnd"/>
      <w:r w:rsidRPr="00B63332">
        <w:rPr>
          <w:lang w:val="en-GB"/>
        </w:rPr>
        <w:t xml:space="preserve">,  with a peak value of 962500 </w:t>
      </w:r>
      <w:proofErr w:type="spellStart"/>
      <w:r w:rsidRPr="00B63332">
        <w:rPr>
          <w:lang w:val="en-GB"/>
        </w:rPr>
        <w:t>pptTe</w:t>
      </w:r>
      <w:proofErr w:type="spellEnd"/>
      <w:r w:rsidRPr="00B63332">
        <w:rPr>
          <w:lang w:val="en-GB"/>
        </w:rPr>
        <w:t>.</w:t>
      </w:r>
      <w:r w:rsidR="008257FA">
        <w:rPr>
          <w:lang w:val="en-GB"/>
        </w:rPr>
        <w:t xml:space="preserve"> </w:t>
      </w:r>
      <w:r w:rsidRPr="00B63332">
        <w:rPr>
          <w:lang w:val="en-GB"/>
        </w:rPr>
        <w:t xml:space="preserve">It </w:t>
      </w:r>
      <w:r w:rsidR="00365E0F">
        <w:rPr>
          <w:lang w:val="en-GB"/>
        </w:rPr>
        <w:t xml:space="preserve">may be </w:t>
      </w:r>
      <w:r w:rsidR="00365E0F" w:rsidRPr="00B63332">
        <w:rPr>
          <w:lang w:val="en-GB"/>
        </w:rPr>
        <w:t xml:space="preserve"> </w:t>
      </w:r>
      <w:r w:rsidRPr="00B63332">
        <w:rPr>
          <w:lang w:val="en-GB"/>
        </w:rPr>
        <w:t xml:space="preserve">estimated that </w:t>
      </w:r>
      <w:r w:rsidR="00365E0F">
        <w:rPr>
          <w:lang w:val="en-GB"/>
        </w:rPr>
        <w:t>an amount of PCDD/F ranging from a minimum of 6</w:t>
      </w:r>
      <w:r w:rsidR="005F71B7">
        <w:rPr>
          <w:lang w:val="en-GB"/>
        </w:rPr>
        <w:t>1</w:t>
      </w:r>
      <w:r w:rsidR="00365E0F">
        <w:rPr>
          <w:lang w:val="en-GB"/>
        </w:rPr>
        <w:t xml:space="preserve">0 </w:t>
      </w:r>
      <w:r w:rsidR="00365E0F" w:rsidRPr="00B63332">
        <w:rPr>
          <w:lang w:val="en-GB"/>
        </w:rPr>
        <w:t>g I-</w:t>
      </w:r>
      <w:proofErr w:type="spellStart"/>
      <w:r w:rsidR="00365E0F" w:rsidRPr="00B63332">
        <w:rPr>
          <w:lang w:val="en-GB"/>
        </w:rPr>
        <w:t>TEq</w:t>
      </w:r>
      <w:proofErr w:type="spellEnd"/>
      <w:r w:rsidR="00365E0F">
        <w:rPr>
          <w:lang w:val="en-GB"/>
        </w:rPr>
        <w:t xml:space="preserve"> to a maximum of  around 4000 </w:t>
      </w:r>
      <w:r w:rsidRPr="00B63332">
        <w:rPr>
          <w:lang w:val="en-GB"/>
        </w:rPr>
        <w:t>g I-</w:t>
      </w:r>
      <w:proofErr w:type="spellStart"/>
      <w:r w:rsidRPr="00B63332">
        <w:rPr>
          <w:lang w:val="en-GB"/>
        </w:rPr>
        <w:t>TEq</w:t>
      </w:r>
      <w:proofErr w:type="spellEnd"/>
      <w:r w:rsidRPr="00B63332">
        <w:rPr>
          <w:lang w:val="en-GB"/>
        </w:rPr>
        <w:t xml:space="preserve"> have been contained by the interim measures in Bien Hoa and Phu Cat,</w:t>
      </w:r>
      <w:r w:rsidR="00365E0F">
        <w:rPr>
          <w:lang w:val="en-GB"/>
        </w:rPr>
        <w:t xml:space="preserve"> although no information on the containment effectiveness in Bien Hoa is available. T</w:t>
      </w:r>
      <w:r w:rsidRPr="00B63332">
        <w:rPr>
          <w:lang w:val="en-GB"/>
        </w:rPr>
        <w:t xml:space="preserve">he amount of PCDD/F destroyed in </w:t>
      </w:r>
      <w:proofErr w:type="spellStart"/>
      <w:r w:rsidRPr="00B63332">
        <w:rPr>
          <w:lang w:val="en-GB"/>
        </w:rPr>
        <w:t>Da</w:t>
      </w:r>
      <w:proofErr w:type="spellEnd"/>
      <w:r w:rsidRPr="00B63332">
        <w:rPr>
          <w:lang w:val="en-GB"/>
        </w:rPr>
        <w:t xml:space="preserve"> Nang cannot be quantified yet as the remediation is still ongoing and data are not available yet. The exposure to PCDD/F was reduced for around 120,000 persons living nearby the Bien Hoa airbase and 47,000 living in the surrounding of the Phu Cat airbase.</w:t>
      </w:r>
    </w:p>
    <w:p w:rsidR="004240A6" w:rsidRDefault="004240A6" w:rsidP="00070F1B">
      <w:pPr>
        <w:jc w:val="both"/>
        <w:rPr>
          <w:lang w:val="en-GB"/>
        </w:rPr>
      </w:pPr>
      <w:r w:rsidRPr="004240A6">
        <w:rPr>
          <w:b/>
          <w:lang w:val="en-GB"/>
        </w:rPr>
        <w:t>Component 2.</w:t>
      </w:r>
      <w:r>
        <w:rPr>
          <w:lang w:val="en-GB"/>
        </w:rPr>
        <w:t xml:space="preserve"> </w:t>
      </w:r>
      <w:r w:rsidRPr="004240A6">
        <w:rPr>
          <w:lang w:val="en-GB"/>
        </w:rPr>
        <w:t xml:space="preserve">Land use </w:t>
      </w:r>
      <w:r w:rsidR="00DB340F">
        <w:rPr>
          <w:lang w:val="en-GB"/>
        </w:rPr>
        <w:t xml:space="preserve">on and </w:t>
      </w:r>
      <w:r w:rsidRPr="004240A6">
        <w:rPr>
          <w:lang w:val="en-GB"/>
        </w:rPr>
        <w:t>around hotspots eliminates risks and contri</w:t>
      </w:r>
      <w:r>
        <w:rPr>
          <w:lang w:val="en-GB"/>
        </w:rPr>
        <w:t>butes to environmental recovery</w:t>
      </w:r>
    </w:p>
    <w:p w:rsidR="004240A6" w:rsidRDefault="004240A6" w:rsidP="00070F1B">
      <w:pPr>
        <w:jc w:val="both"/>
        <w:rPr>
          <w:lang w:val="en-GB"/>
        </w:rPr>
      </w:pPr>
      <w:r w:rsidRPr="004240A6">
        <w:rPr>
          <w:b/>
          <w:lang w:val="en-GB"/>
        </w:rPr>
        <w:t>Indicator for component 2.</w:t>
      </w:r>
      <w:r>
        <w:rPr>
          <w:lang w:val="en-GB"/>
        </w:rPr>
        <w:t xml:space="preserve"> </w:t>
      </w:r>
      <w:r w:rsidRPr="004240A6">
        <w:rPr>
          <w:lang w:val="en-GB"/>
        </w:rPr>
        <w:t>Existence of action plan for each hotspot</w:t>
      </w:r>
      <w:r>
        <w:rPr>
          <w:lang w:val="en-GB"/>
        </w:rPr>
        <w:t xml:space="preserve">. </w:t>
      </w:r>
      <w:r w:rsidRPr="004240A6">
        <w:rPr>
          <w:lang w:val="en-GB"/>
        </w:rPr>
        <w:t xml:space="preserve">By the end of the project, appropriate land uses have been introduced for at least 10ha at Bien Hoa; 8 ha </w:t>
      </w:r>
      <w:r>
        <w:rPr>
          <w:lang w:val="en-GB"/>
        </w:rPr>
        <w:t xml:space="preserve">at </w:t>
      </w:r>
      <w:proofErr w:type="spellStart"/>
      <w:r>
        <w:rPr>
          <w:lang w:val="en-GB"/>
        </w:rPr>
        <w:t>Da</w:t>
      </w:r>
      <w:proofErr w:type="spellEnd"/>
      <w:r>
        <w:rPr>
          <w:lang w:val="en-GB"/>
        </w:rPr>
        <w:t xml:space="preserve"> Nang, and 4ha at Phu Cat </w:t>
      </w:r>
    </w:p>
    <w:p w:rsidR="004240A6" w:rsidRDefault="004240A6" w:rsidP="00070F1B">
      <w:pPr>
        <w:jc w:val="both"/>
        <w:rPr>
          <w:lang w:val="en-GB"/>
        </w:rPr>
      </w:pPr>
      <w:r w:rsidRPr="004240A6">
        <w:rPr>
          <w:b/>
          <w:lang w:val="en-GB"/>
        </w:rPr>
        <w:t>Achievement for component 2.</w:t>
      </w:r>
      <w:r>
        <w:rPr>
          <w:lang w:val="en-GB"/>
        </w:rPr>
        <w:t xml:space="preserve"> </w:t>
      </w:r>
      <w:r w:rsidRPr="004240A6">
        <w:rPr>
          <w:lang w:val="en-GB"/>
        </w:rPr>
        <w:t xml:space="preserve">This outcome (outputs 2.1 and 2.2) has </w:t>
      </w:r>
      <w:r>
        <w:rPr>
          <w:lang w:val="en-GB"/>
        </w:rPr>
        <w:t xml:space="preserve">been partially </w:t>
      </w:r>
      <w:r w:rsidRPr="004240A6">
        <w:rPr>
          <w:lang w:val="en-GB"/>
        </w:rPr>
        <w:t xml:space="preserve">achieved as the overall responsibility of the management of military areas falls under the MOD. </w:t>
      </w:r>
      <w:r w:rsidR="00D974BD">
        <w:rPr>
          <w:lang w:val="en-GB"/>
        </w:rPr>
        <w:t xml:space="preserve">Office 33 and MONRE </w:t>
      </w:r>
      <w:r w:rsidRPr="004240A6">
        <w:rPr>
          <w:lang w:val="en-GB"/>
        </w:rPr>
        <w:t>ha</w:t>
      </w:r>
      <w:r w:rsidR="00D974BD">
        <w:rPr>
          <w:lang w:val="en-GB"/>
        </w:rPr>
        <w:t xml:space="preserve">d limited </w:t>
      </w:r>
      <w:r w:rsidRPr="004240A6">
        <w:rPr>
          <w:lang w:val="en-GB"/>
        </w:rPr>
        <w:t xml:space="preserve">power to decide on land use of the three sites. </w:t>
      </w:r>
      <w:r w:rsidR="000F41F0">
        <w:rPr>
          <w:lang w:val="en-GB"/>
        </w:rPr>
        <w:t>A</w:t>
      </w:r>
      <w:r w:rsidRPr="004240A6">
        <w:rPr>
          <w:lang w:val="en-GB"/>
        </w:rPr>
        <w:t xml:space="preserve">fter </w:t>
      </w:r>
      <w:r w:rsidR="00070F1B">
        <w:rPr>
          <w:lang w:val="en-GB"/>
        </w:rPr>
        <w:t>mid-term</w:t>
      </w:r>
      <w:r w:rsidRPr="004240A6">
        <w:rPr>
          <w:lang w:val="en-GB"/>
        </w:rPr>
        <w:t xml:space="preserve">, </w:t>
      </w:r>
      <w:r w:rsidR="000F41F0">
        <w:rPr>
          <w:lang w:val="en-GB"/>
        </w:rPr>
        <w:t>two</w:t>
      </w:r>
      <w:r w:rsidR="000F41F0" w:rsidRPr="004240A6">
        <w:rPr>
          <w:lang w:val="en-GB"/>
        </w:rPr>
        <w:t xml:space="preserve"> </w:t>
      </w:r>
      <w:r w:rsidRPr="004240A6">
        <w:rPr>
          <w:lang w:val="en-GB"/>
        </w:rPr>
        <w:t>workshop</w:t>
      </w:r>
      <w:r w:rsidR="000F41F0">
        <w:rPr>
          <w:lang w:val="en-GB"/>
        </w:rPr>
        <w:t>s</w:t>
      </w:r>
      <w:r w:rsidRPr="004240A6">
        <w:rPr>
          <w:lang w:val="en-GB"/>
        </w:rPr>
        <w:t xml:space="preserve"> </w:t>
      </w:r>
      <w:r w:rsidR="000F41F0">
        <w:rPr>
          <w:lang w:val="en-GB"/>
        </w:rPr>
        <w:t xml:space="preserve">(One in Hanoi on July 2014 and one in Bien Hoa in Oct. 2014) </w:t>
      </w:r>
      <w:r w:rsidR="000F41F0" w:rsidRPr="004240A6">
        <w:rPr>
          <w:lang w:val="en-GB"/>
        </w:rPr>
        <w:t xml:space="preserve">on land use </w:t>
      </w:r>
      <w:r w:rsidRPr="004240A6">
        <w:rPr>
          <w:lang w:val="en-GB"/>
        </w:rPr>
        <w:t>of the contaminated sites was held with the purpose to share views on the issue.</w:t>
      </w:r>
      <w:r>
        <w:rPr>
          <w:lang w:val="en-GB"/>
        </w:rPr>
        <w:t xml:space="preserve"> After implementing containment infrastructures in Bien Hoa and Phu Cat, these were handed over to </w:t>
      </w:r>
      <w:r w:rsidR="00070F1B">
        <w:rPr>
          <w:lang w:val="en-GB"/>
        </w:rPr>
        <w:t>MOD, which</w:t>
      </w:r>
      <w:r>
        <w:rPr>
          <w:lang w:val="en-GB"/>
        </w:rPr>
        <w:t xml:space="preserve"> is now coordinating the Environmental Assessment for Bien Hoa. </w:t>
      </w:r>
      <w:proofErr w:type="spellStart"/>
      <w:r>
        <w:rPr>
          <w:lang w:val="en-GB"/>
        </w:rPr>
        <w:t>Da</w:t>
      </w:r>
      <w:proofErr w:type="spellEnd"/>
      <w:r>
        <w:rPr>
          <w:lang w:val="en-GB"/>
        </w:rPr>
        <w:t xml:space="preserve"> Nang was handed over to MOD at the beginning of the project as the remediation activity for that site was implemented by USAID under MOD coordination. </w:t>
      </w:r>
    </w:p>
    <w:p w:rsidR="00400942" w:rsidRDefault="00400942" w:rsidP="00070F1B">
      <w:pPr>
        <w:jc w:val="both"/>
        <w:rPr>
          <w:lang w:val="en-GB"/>
        </w:rPr>
      </w:pPr>
      <w:r w:rsidRPr="00400942">
        <w:rPr>
          <w:b/>
          <w:lang w:val="en-GB"/>
        </w:rPr>
        <w:t>Component 3.</w:t>
      </w:r>
      <w:r>
        <w:rPr>
          <w:lang w:val="en-GB"/>
        </w:rPr>
        <w:t xml:space="preserve"> </w:t>
      </w:r>
      <w:r w:rsidRPr="00400942">
        <w:rPr>
          <w:lang w:val="en-GB"/>
        </w:rPr>
        <w:t>National regulations and institutional capacities strengthened</w:t>
      </w:r>
    </w:p>
    <w:p w:rsidR="00400942" w:rsidRDefault="00400942" w:rsidP="00070F1B">
      <w:pPr>
        <w:jc w:val="both"/>
        <w:rPr>
          <w:lang w:val="en-GB"/>
        </w:rPr>
      </w:pPr>
      <w:r w:rsidRPr="00400942">
        <w:rPr>
          <w:b/>
          <w:lang w:val="en-GB"/>
        </w:rPr>
        <w:t>Indicator for component 3:</w:t>
      </w:r>
      <w:r>
        <w:rPr>
          <w:lang w:val="en-GB"/>
        </w:rPr>
        <w:t xml:space="preserve"> </w:t>
      </w:r>
      <w:r w:rsidRPr="00400942">
        <w:rPr>
          <w:lang w:val="en-GB"/>
        </w:rPr>
        <w:t>Assessment of capacity among government officials</w:t>
      </w:r>
      <w:r>
        <w:rPr>
          <w:lang w:val="en-GB"/>
        </w:rPr>
        <w:t xml:space="preserve">: </w:t>
      </w:r>
      <w:r w:rsidRPr="00400942">
        <w:rPr>
          <w:lang w:val="en-GB"/>
        </w:rPr>
        <w:t>By the end of the project, at least 70% of officials have received training or awareness raising on dioxin and less than 5% of officials are unable to access information on policies and laws related to dioxin</w:t>
      </w:r>
      <w:r>
        <w:rPr>
          <w:lang w:val="en-GB"/>
        </w:rPr>
        <w:t xml:space="preserve"> </w:t>
      </w:r>
      <w:r w:rsidRPr="00400942">
        <w:rPr>
          <w:lang w:val="en-GB"/>
        </w:rPr>
        <w:t>Assessment of c</w:t>
      </w:r>
      <w:r>
        <w:rPr>
          <w:lang w:val="en-GB"/>
        </w:rPr>
        <w:t xml:space="preserve">apacity among local </w:t>
      </w:r>
      <w:r>
        <w:rPr>
          <w:lang w:val="en-GB"/>
        </w:rPr>
        <w:lastRenderedPageBreak/>
        <w:t xml:space="preserve">communities. </w:t>
      </w:r>
      <w:r w:rsidRPr="00400942">
        <w:rPr>
          <w:lang w:val="en-GB"/>
        </w:rPr>
        <w:t>By the end of the project, less than 15% of respondents are unable to name agencies responsible for management of contaminated areas</w:t>
      </w:r>
      <w:r w:rsidRPr="00400942">
        <w:rPr>
          <w:lang w:val="en-GB"/>
        </w:rPr>
        <w:tab/>
      </w:r>
    </w:p>
    <w:p w:rsidR="00D74C53" w:rsidRDefault="00400942" w:rsidP="00070F1B">
      <w:pPr>
        <w:jc w:val="both"/>
        <w:rPr>
          <w:lang w:val="en-GB"/>
        </w:rPr>
      </w:pPr>
      <w:r w:rsidRPr="00400942">
        <w:rPr>
          <w:b/>
          <w:lang w:val="en-GB"/>
        </w:rPr>
        <w:t>Achievements for component 3</w:t>
      </w:r>
      <w:r>
        <w:rPr>
          <w:lang w:val="en-GB"/>
        </w:rPr>
        <w:t xml:space="preserve">. </w:t>
      </w:r>
      <w:r w:rsidRPr="00400942">
        <w:rPr>
          <w:lang w:val="en-GB"/>
        </w:rPr>
        <w:t>Standard on PCDD/F contaminated soil were implemented.</w:t>
      </w:r>
      <w:r>
        <w:rPr>
          <w:lang w:val="en-GB"/>
        </w:rPr>
        <w:t xml:space="preserve"> </w:t>
      </w:r>
      <w:r w:rsidRPr="00400942">
        <w:rPr>
          <w:lang w:val="en-GB"/>
        </w:rPr>
        <w:t xml:space="preserve">Standard </w:t>
      </w:r>
      <w:r w:rsidR="007258CE">
        <w:rPr>
          <w:lang w:val="en-GB"/>
        </w:rPr>
        <w:t>threshold</w:t>
      </w:r>
      <w:r w:rsidR="000F41F0" w:rsidRPr="00400942">
        <w:rPr>
          <w:lang w:val="en-GB"/>
        </w:rPr>
        <w:t xml:space="preserve"> </w:t>
      </w:r>
      <w:r w:rsidRPr="00400942">
        <w:rPr>
          <w:lang w:val="en-GB"/>
        </w:rPr>
        <w:t>for Industrial emission are under approval</w:t>
      </w:r>
      <w:r>
        <w:rPr>
          <w:lang w:val="en-GB"/>
        </w:rPr>
        <w:t xml:space="preserve">. </w:t>
      </w:r>
      <w:r w:rsidR="005F71B7">
        <w:rPr>
          <w:lang w:val="en-GB"/>
        </w:rPr>
        <w:t>A substantial number of trainings for officials and various stakeholder was carried out</w:t>
      </w:r>
      <w:r w:rsidR="00697CA8">
        <w:rPr>
          <w:lang w:val="en-GB"/>
        </w:rPr>
        <w:t xml:space="preserve"> (see Annex I)</w:t>
      </w:r>
      <w:r>
        <w:rPr>
          <w:lang w:val="en-GB"/>
        </w:rPr>
        <w:t xml:space="preserve">. </w:t>
      </w:r>
      <w:r w:rsidR="00D74C53" w:rsidRPr="00D74C53">
        <w:rPr>
          <w:lang w:val="en-GB"/>
        </w:rPr>
        <w:t>At the baseline, 44% of local people in or near areas affected by dioxin do not know any agency undertaking treatment activities in the hotspots or surrounding area. For local awareness raising, the achievement is limited as by the end of the project, a survey in three communes reported 66.4% of residents in BH area 1 knowing about the communication activity of the project in general and  57.5% of residents in the surveyed area could name agencies responsible for management of contaminated areas.</w:t>
      </w:r>
    </w:p>
    <w:p w:rsidR="00E74E79" w:rsidRDefault="003A3A07" w:rsidP="00070F1B">
      <w:pPr>
        <w:jc w:val="both"/>
        <w:rPr>
          <w:lang w:val="en-GB"/>
        </w:rPr>
      </w:pPr>
      <w:r>
        <w:rPr>
          <w:lang w:val="en-GB"/>
        </w:rPr>
        <w:t xml:space="preserve"> </w:t>
      </w:r>
    </w:p>
    <w:p w:rsidR="00E74E79" w:rsidRPr="00803824" w:rsidRDefault="00E74E79" w:rsidP="00E74E79">
      <w:pPr>
        <w:pStyle w:val="Heading1"/>
        <w:rPr>
          <w:spacing w:val="0"/>
          <w:sz w:val="20"/>
          <w:szCs w:val="20"/>
          <w:lang w:bidi="ar-SA"/>
        </w:rPr>
      </w:pPr>
      <w:bookmarkStart w:id="7" w:name="_Toc407572393"/>
      <w:bookmarkStart w:id="8" w:name="_Toc417120260"/>
      <w:r w:rsidRPr="00803824">
        <w:rPr>
          <w:lang w:val="en-GB"/>
        </w:rPr>
        <w:lastRenderedPageBreak/>
        <w:t>Summary of conclusions, recommendations and lessons</w:t>
      </w:r>
      <w:bookmarkEnd w:id="7"/>
      <w:bookmarkEnd w:id="8"/>
    </w:p>
    <w:p w:rsidR="00E74E79" w:rsidRDefault="00070F1B" w:rsidP="00E74E79">
      <w:pPr>
        <w:pStyle w:val="Heading2"/>
      </w:pPr>
      <w:bookmarkStart w:id="9" w:name="_Toc407572394"/>
      <w:bookmarkStart w:id="10" w:name="_Toc417120261"/>
      <w:r>
        <w:t xml:space="preserve">PCDD/F destroyed </w:t>
      </w:r>
      <w:r w:rsidR="00E74E79">
        <w:t>or contained:</w:t>
      </w:r>
      <w:bookmarkEnd w:id="9"/>
      <w:bookmarkEnd w:id="10"/>
      <w:r w:rsidR="00E74E79">
        <w:t xml:space="preserve"> </w:t>
      </w:r>
    </w:p>
    <w:p w:rsidR="00E74E79" w:rsidRDefault="00E74E79" w:rsidP="00A971D6">
      <w:pPr>
        <w:jc w:val="both"/>
        <w:rPr>
          <w:i/>
          <w:lang w:val="en-GB"/>
        </w:rPr>
      </w:pPr>
      <w:r>
        <w:rPr>
          <w:b/>
          <w:lang w:val="en-GB"/>
        </w:rPr>
        <w:t xml:space="preserve">PCDD/F destruction </w:t>
      </w:r>
      <w:r w:rsidRPr="00785EF0">
        <w:rPr>
          <w:b/>
          <w:lang w:val="en-GB"/>
        </w:rPr>
        <w:t>targets</w:t>
      </w:r>
      <w:r>
        <w:rPr>
          <w:b/>
          <w:lang w:val="en-GB"/>
        </w:rPr>
        <w:t xml:space="preserve"> and indicators</w:t>
      </w:r>
      <w:r w:rsidRPr="00785EF0">
        <w:rPr>
          <w:b/>
          <w:lang w:val="en-GB"/>
        </w:rPr>
        <w:t>.</w:t>
      </w:r>
      <w:r>
        <w:rPr>
          <w:lang w:val="en-GB"/>
        </w:rPr>
        <w:t xml:space="preserve"> In the original project document, it was established as a target for component 1 that </w:t>
      </w:r>
      <w:r w:rsidRPr="00A20C7B">
        <w:rPr>
          <w:i/>
          <w:lang w:val="en-GB"/>
        </w:rPr>
        <w:t xml:space="preserve">"As a result of the GEF-project and leveraged funds / activities, all contaminated soil at concentrations greater than 1,000ppt and sediment at concentrations greater than 150ppt  will have been treated adequately and residual contamination safely land-filled, and thereby 1,736 g I-TEQ dioxin release will be avoided: at Bien Hoa by the end of 2010; at </w:t>
      </w:r>
      <w:proofErr w:type="spellStart"/>
      <w:r w:rsidRPr="00A20C7B">
        <w:rPr>
          <w:i/>
          <w:lang w:val="en-GB"/>
        </w:rPr>
        <w:t>Da</w:t>
      </w:r>
      <w:proofErr w:type="spellEnd"/>
      <w:r w:rsidRPr="00A20C7B">
        <w:rPr>
          <w:i/>
          <w:lang w:val="en-GB"/>
        </w:rPr>
        <w:t xml:space="preserve"> Nang by the end of 2012; and at Phu Cat by the end of 2011."</w:t>
      </w:r>
    </w:p>
    <w:p w:rsidR="00E74E79" w:rsidRDefault="00E74E79" w:rsidP="00070F1B">
      <w:pPr>
        <w:jc w:val="both"/>
        <w:rPr>
          <w:i/>
          <w:lang w:val="en-GB"/>
        </w:rPr>
      </w:pPr>
      <w:r w:rsidRPr="00785EF0">
        <w:rPr>
          <w:lang w:val="en-GB"/>
        </w:rPr>
        <w:t>A</w:t>
      </w:r>
      <w:r>
        <w:rPr>
          <w:lang w:val="en-GB"/>
        </w:rPr>
        <w:t xml:space="preserve">t inception report, however this target was modified as following: </w:t>
      </w:r>
      <w:r w:rsidRPr="00785EF0">
        <w:rPr>
          <w:i/>
          <w:lang w:val="en-GB"/>
        </w:rPr>
        <w:t xml:space="preserve">"As a base target, an overall level of 1,700 g I-TEQ is recommended as a containment/remediation target such that this amount is eliminated as a near term ecological health threat and the amount actually eliminated (destroyed) be 1,000 g I-TEQ, all at </w:t>
      </w:r>
      <w:proofErr w:type="spellStart"/>
      <w:r w:rsidRPr="00785EF0">
        <w:rPr>
          <w:i/>
          <w:lang w:val="en-GB"/>
        </w:rPr>
        <w:t>Da</w:t>
      </w:r>
      <w:proofErr w:type="spellEnd"/>
      <w:r w:rsidRPr="00785EF0">
        <w:rPr>
          <w:i/>
          <w:lang w:val="en-GB"/>
        </w:rPr>
        <w:t xml:space="preserve"> Nang."</w:t>
      </w:r>
    </w:p>
    <w:p w:rsidR="00E74E79" w:rsidRPr="00785EF0" w:rsidRDefault="00E74E79" w:rsidP="00070F1B">
      <w:pPr>
        <w:jc w:val="both"/>
        <w:rPr>
          <w:lang w:val="en-GB"/>
        </w:rPr>
      </w:pPr>
      <w:r w:rsidRPr="00785EF0">
        <w:rPr>
          <w:lang w:val="en-GB"/>
        </w:rPr>
        <w:t>Bas</w:t>
      </w:r>
      <w:r>
        <w:rPr>
          <w:lang w:val="en-GB"/>
        </w:rPr>
        <w:t>ed on this refined target, it is understood that out of the 1,700 g I-TEQ to be destroyed or contained, a target of 1,000</w:t>
      </w:r>
      <w:r w:rsidR="007B663F">
        <w:rPr>
          <w:lang w:val="en-GB"/>
        </w:rPr>
        <w:t xml:space="preserve"> g I-TEQ</w:t>
      </w:r>
      <w:r>
        <w:rPr>
          <w:lang w:val="en-GB"/>
        </w:rPr>
        <w:t xml:space="preserve"> need to be actually eliminated by the ISTD destruction technology implemented in </w:t>
      </w:r>
      <w:proofErr w:type="spellStart"/>
      <w:r>
        <w:rPr>
          <w:lang w:val="en-GB"/>
        </w:rPr>
        <w:t>Da</w:t>
      </w:r>
      <w:proofErr w:type="spellEnd"/>
      <w:r>
        <w:rPr>
          <w:lang w:val="en-GB"/>
        </w:rPr>
        <w:t xml:space="preserve"> Nang, and the rema</w:t>
      </w:r>
      <w:r w:rsidR="007B663F">
        <w:rPr>
          <w:lang w:val="en-GB"/>
        </w:rPr>
        <w:t>ining 700 g I-</w:t>
      </w:r>
      <w:proofErr w:type="spellStart"/>
      <w:r w:rsidR="00A32555">
        <w:rPr>
          <w:lang w:val="en-GB"/>
        </w:rPr>
        <w:t>TEq</w:t>
      </w:r>
      <w:proofErr w:type="spellEnd"/>
      <w:r>
        <w:rPr>
          <w:lang w:val="en-GB"/>
        </w:rPr>
        <w:t xml:space="preserve"> would be either destroyed or contained</w:t>
      </w:r>
      <w:r w:rsidR="000F41F0">
        <w:rPr>
          <w:lang w:val="en-GB"/>
        </w:rPr>
        <w:t xml:space="preserve"> in Bien Hoa and Phu Cat</w:t>
      </w:r>
    </w:p>
    <w:p w:rsidR="00E74E79" w:rsidRDefault="00E74E79" w:rsidP="00070F1B">
      <w:pPr>
        <w:jc w:val="both"/>
        <w:rPr>
          <w:lang w:val="en-GB"/>
        </w:rPr>
      </w:pPr>
      <w:r w:rsidRPr="00785EF0">
        <w:rPr>
          <w:b/>
          <w:lang w:val="en-GB"/>
        </w:rPr>
        <w:t>Achievement.</w:t>
      </w:r>
      <w:r>
        <w:rPr>
          <w:lang w:val="en-GB"/>
        </w:rPr>
        <w:t xml:space="preserve"> The project was successful in building infrastructures for containing the release of PCDD/F from </w:t>
      </w:r>
      <w:r w:rsidR="00697CA8">
        <w:rPr>
          <w:lang w:val="en-GB"/>
        </w:rPr>
        <w:t xml:space="preserve">two </w:t>
      </w:r>
      <w:r>
        <w:rPr>
          <w:lang w:val="en-GB"/>
        </w:rPr>
        <w:t>hotspots (Phu Cat</w:t>
      </w:r>
      <w:r w:rsidR="00697CA8">
        <w:rPr>
          <w:lang w:val="en-GB"/>
        </w:rPr>
        <w:t xml:space="preserve"> and </w:t>
      </w:r>
      <w:r>
        <w:rPr>
          <w:lang w:val="en-GB"/>
        </w:rPr>
        <w:t>Bien Hoa</w:t>
      </w:r>
      <w:r w:rsidR="00697CA8">
        <w:rPr>
          <w:lang w:val="en-GB"/>
        </w:rPr>
        <w:t>)</w:t>
      </w:r>
      <w:r>
        <w:rPr>
          <w:lang w:val="en-GB"/>
        </w:rPr>
        <w:t xml:space="preserve"> to the environment, by means of the following actions: </w:t>
      </w:r>
    </w:p>
    <w:p w:rsidR="00E74E79" w:rsidRDefault="00E74E79" w:rsidP="00070F1B">
      <w:pPr>
        <w:pStyle w:val="ListParagraph"/>
        <w:numPr>
          <w:ilvl w:val="0"/>
          <w:numId w:val="12"/>
        </w:numPr>
        <w:jc w:val="both"/>
        <w:rPr>
          <w:lang w:val="en-GB"/>
        </w:rPr>
      </w:pPr>
      <w:r>
        <w:rPr>
          <w:lang w:val="en-GB"/>
        </w:rPr>
        <w:t xml:space="preserve">Construction  of an hydraulic barrier to prevent transport of PCDD/F contaminated soil and sediment by surface runoff following heavy rains events in Bien Hoa (completed in </w:t>
      </w:r>
      <w:r w:rsidR="000F41F0">
        <w:rPr>
          <w:lang w:val="en-GB"/>
        </w:rPr>
        <w:t xml:space="preserve">February </w:t>
      </w:r>
      <w:r w:rsidR="00745E01">
        <w:rPr>
          <w:lang w:val="en-GB"/>
        </w:rPr>
        <w:t xml:space="preserve">Feb 2014 </w:t>
      </w:r>
      <w:r>
        <w:rPr>
          <w:lang w:val="en-GB"/>
        </w:rPr>
        <w:t xml:space="preserve">after project </w:t>
      </w:r>
      <w:r w:rsidR="00070F1B">
        <w:rPr>
          <w:lang w:val="en-GB"/>
        </w:rPr>
        <w:t>mid-term</w:t>
      </w:r>
      <w:r>
        <w:rPr>
          <w:lang w:val="en-GB"/>
        </w:rPr>
        <w:t xml:space="preserve"> evaluation)</w:t>
      </w:r>
    </w:p>
    <w:p w:rsidR="00E74E79" w:rsidRDefault="00E74E79" w:rsidP="00070F1B">
      <w:pPr>
        <w:pStyle w:val="ListParagraph"/>
        <w:numPr>
          <w:ilvl w:val="0"/>
          <w:numId w:val="12"/>
        </w:numPr>
        <w:jc w:val="both"/>
        <w:rPr>
          <w:lang w:val="en-GB"/>
        </w:rPr>
      </w:pPr>
      <w:r w:rsidRPr="00015E8A">
        <w:rPr>
          <w:lang w:val="en-GB"/>
        </w:rPr>
        <w:t>Establishment of a safe landfills containing around 7500 m</w:t>
      </w:r>
      <w:r w:rsidRPr="00015E8A">
        <w:rPr>
          <w:vertAlign w:val="superscript"/>
          <w:lang w:val="en-GB"/>
        </w:rPr>
        <w:t>3</w:t>
      </w:r>
      <w:r w:rsidRPr="00015E8A">
        <w:rPr>
          <w:lang w:val="en-GB"/>
        </w:rPr>
        <w:t xml:space="preserve">) of highly PCDD/F contaminated soil excavated from contaminated areas of the Phu Cat air </w:t>
      </w:r>
      <w:proofErr w:type="spellStart"/>
      <w:r w:rsidRPr="00015E8A">
        <w:rPr>
          <w:lang w:val="en-GB"/>
        </w:rPr>
        <w:t>b</w:t>
      </w:r>
      <w:r w:rsidR="004766E7">
        <w:rPr>
          <w:lang w:val="en-GB"/>
        </w:rPr>
        <w:t>of</w:t>
      </w:r>
      <w:proofErr w:type="spellEnd"/>
      <w:r w:rsidR="004766E7">
        <w:rPr>
          <w:lang w:val="en-GB"/>
        </w:rPr>
        <w:t xml:space="preserve"> </w:t>
      </w:r>
      <w:proofErr w:type="spellStart"/>
      <w:r w:rsidR="004766E7">
        <w:rPr>
          <w:lang w:val="en-GB"/>
        </w:rPr>
        <w:t>P</w:t>
      </w:r>
      <w:r w:rsidRPr="00015E8A">
        <w:rPr>
          <w:lang w:val="en-GB"/>
        </w:rPr>
        <w:t>ase</w:t>
      </w:r>
      <w:proofErr w:type="spellEnd"/>
      <w:r>
        <w:rPr>
          <w:lang w:val="en-GB"/>
        </w:rPr>
        <w:t xml:space="preserve"> (completed in 2012, before project </w:t>
      </w:r>
      <w:r w:rsidR="00070F1B">
        <w:rPr>
          <w:lang w:val="en-GB"/>
        </w:rPr>
        <w:t>mid-term</w:t>
      </w:r>
      <w:r>
        <w:rPr>
          <w:lang w:val="en-GB"/>
        </w:rPr>
        <w:t xml:space="preserve"> evaluation)</w:t>
      </w:r>
      <w:r w:rsidRPr="00015E8A">
        <w:rPr>
          <w:lang w:val="en-GB"/>
        </w:rPr>
        <w:t xml:space="preserve">; </w:t>
      </w:r>
    </w:p>
    <w:p w:rsidR="00E52B30" w:rsidRDefault="00697CA8" w:rsidP="00070F1B">
      <w:pPr>
        <w:jc w:val="both"/>
        <w:rPr>
          <w:lang w:val="en-GB"/>
        </w:rPr>
      </w:pPr>
      <w:r>
        <w:rPr>
          <w:lang w:val="en-GB"/>
        </w:rPr>
        <w:t xml:space="preserve">The activities in </w:t>
      </w:r>
      <w:proofErr w:type="spellStart"/>
      <w:r w:rsidR="00696A5E">
        <w:rPr>
          <w:lang w:val="en-GB"/>
        </w:rPr>
        <w:t>Da</w:t>
      </w:r>
      <w:proofErr w:type="spellEnd"/>
      <w:r w:rsidR="00696A5E">
        <w:rPr>
          <w:lang w:val="en-GB"/>
        </w:rPr>
        <w:t xml:space="preserve"> Nang</w:t>
      </w:r>
      <w:r>
        <w:rPr>
          <w:lang w:val="en-GB"/>
        </w:rPr>
        <w:t>, implemented by USAID, was since the second year of project implementation,</w:t>
      </w:r>
      <w:r w:rsidRPr="00697CA8">
        <w:rPr>
          <w:lang w:val="en-GB"/>
        </w:rPr>
        <w:t xml:space="preserve"> being undertaken independently with USAID and MOD resources under a bilateral US-Vietnam cooperation, mostl</w:t>
      </w:r>
      <w:r>
        <w:rPr>
          <w:lang w:val="en-GB"/>
        </w:rPr>
        <w:t xml:space="preserve">y under the coordination of MOD. In </w:t>
      </w:r>
      <w:proofErr w:type="spellStart"/>
      <w:r>
        <w:rPr>
          <w:lang w:val="en-GB"/>
        </w:rPr>
        <w:t>Danang</w:t>
      </w:r>
      <w:proofErr w:type="spellEnd"/>
      <w:r>
        <w:rPr>
          <w:lang w:val="en-GB"/>
        </w:rPr>
        <w:t xml:space="preserve"> </w:t>
      </w:r>
      <w:r w:rsidR="00696A5E">
        <w:rPr>
          <w:lang w:val="en-GB"/>
        </w:rPr>
        <w:t>a large amount of PCDD/F contaminated soil by means of on site thermal destruction</w:t>
      </w:r>
      <w:r>
        <w:rPr>
          <w:lang w:val="en-GB"/>
        </w:rPr>
        <w:t xml:space="preserve"> </w:t>
      </w:r>
      <w:r w:rsidRPr="00697CA8">
        <w:rPr>
          <w:lang w:val="en-GB"/>
        </w:rPr>
        <w:t>is being remediating</w:t>
      </w:r>
      <w:r w:rsidR="00696A5E">
        <w:rPr>
          <w:lang w:val="en-GB"/>
        </w:rPr>
        <w:t xml:space="preserve">. </w:t>
      </w:r>
    </w:p>
    <w:p w:rsidR="004766E7" w:rsidRDefault="004766E7" w:rsidP="00070F1B">
      <w:pPr>
        <w:jc w:val="both"/>
        <w:rPr>
          <w:lang w:val="en-GB"/>
        </w:rPr>
      </w:pPr>
      <w:r>
        <w:rPr>
          <w:lang w:val="en-GB"/>
        </w:rPr>
        <w:t xml:space="preserve">Except for one report </w:t>
      </w:r>
      <w:sdt>
        <w:sdtPr>
          <w:rPr>
            <w:lang w:val="en-GB"/>
          </w:rPr>
          <w:id w:val="41437862"/>
          <w:citation/>
        </w:sdtPr>
        <w:sdtContent>
          <w:r w:rsidR="00021B43">
            <w:rPr>
              <w:lang w:val="en-GB"/>
            </w:rPr>
            <w:fldChar w:fldCharType="begin"/>
          </w:r>
          <w:r w:rsidR="00696A5E" w:rsidRPr="00696A5E">
            <w:rPr>
              <w:lang w:val="en-GB"/>
            </w:rPr>
            <w:instrText xml:space="preserve"> CITATION Tho15 \l 1040  </w:instrText>
          </w:r>
          <w:r w:rsidR="00021B43">
            <w:rPr>
              <w:lang w:val="en-GB"/>
            </w:rPr>
            <w:fldChar w:fldCharType="separate"/>
          </w:r>
          <w:r w:rsidR="00D211C2" w:rsidRPr="00D211C2">
            <w:rPr>
              <w:noProof/>
              <w:lang w:val="en-GB"/>
            </w:rPr>
            <w:t>(3)</w:t>
          </w:r>
          <w:r w:rsidR="00021B43">
            <w:rPr>
              <w:lang w:val="en-GB"/>
            </w:rPr>
            <w:fldChar w:fldCharType="end"/>
          </w:r>
        </w:sdtContent>
      </w:sdt>
      <w:r>
        <w:rPr>
          <w:lang w:val="en-GB"/>
        </w:rPr>
        <w:t xml:space="preserve"> containing </w:t>
      </w:r>
      <w:r w:rsidR="00697CA8">
        <w:rPr>
          <w:lang w:val="en-GB"/>
        </w:rPr>
        <w:t xml:space="preserve">preliminary </w:t>
      </w:r>
      <w:r>
        <w:rPr>
          <w:lang w:val="en-GB"/>
        </w:rPr>
        <w:t>estimates</w:t>
      </w:r>
      <w:r w:rsidR="00063E29">
        <w:rPr>
          <w:lang w:val="en-GB"/>
        </w:rPr>
        <w:t xml:space="preserve"> </w:t>
      </w:r>
      <w:r w:rsidR="00551E7A">
        <w:rPr>
          <w:lang w:val="en-GB"/>
        </w:rPr>
        <w:t xml:space="preserve">based on </w:t>
      </w:r>
      <w:r w:rsidR="00063E29">
        <w:rPr>
          <w:lang w:val="en-GB"/>
        </w:rPr>
        <w:t>data pertaining to the undisclosed Hatfield- USAID database</w:t>
      </w:r>
      <w:r>
        <w:rPr>
          <w:lang w:val="en-GB"/>
        </w:rPr>
        <w:t xml:space="preserve">, there were no attempts to monitor or assess the effectiveness of containment or destruction activities. </w:t>
      </w:r>
    </w:p>
    <w:p w:rsidR="004766E7" w:rsidRDefault="004766E7" w:rsidP="00A971D6">
      <w:pPr>
        <w:jc w:val="both"/>
        <w:rPr>
          <w:lang w:val="en-GB"/>
        </w:rPr>
      </w:pPr>
      <w:r>
        <w:rPr>
          <w:lang w:val="en-GB"/>
        </w:rPr>
        <w:t xml:space="preserve">Under the evaluation, a simple formula to assess the potential amount of PCB contained or destroyed was </w:t>
      </w:r>
      <w:r w:rsidR="00551E7A">
        <w:rPr>
          <w:lang w:val="en-GB"/>
        </w:rPr>
        <w:t xml:space="preserve">therefore </w:t>
      </w:r>
      <w:r>
        <w:rPr>
          <w:lang w:val="en-GB"/>
        </w:rPr>
        <w:t xml:space="preserve">used, as following: </w:t>
      </w:r>
    </w:p>
    <w:p w:rsidR="00E52B30" w:rsidRDefault="00551E7A">
      <w:pPr>
        <w:jc w:val="center"/>
        <w:rPr>
          <w:lang w:val="en-GB"/>
        </w:rPr>
      </w:pPr>
      <w:r>
        <w:rPr>
          <w:lang w:val="en-GB"/>
        </w:rPr>
        <w:t>D</w:t>
      </w:r>
      <w:r w:rsidR="004766E7">
        <w:rPr>
          <w:lang w:val="en-GB"/>
        </w:rPr>
        <w:t xml:space="preserve">  = C x Q x E</w:t>
      </w:r>
    </w:p>
    <w:p w:rsidR="004766E7" w:rsidRDefault="004766E7" w:rsidP="00A971D6">
      <w:pPr>
        <w:jc w:val="both"/>
        <w:rPr>
          <w:lang w:val="en-GB"/>
        </w:rPr>
      </w:pPr>
      <w:r>
        <w:rPr>
          <w:lang w:val="en-GB"/>
        </w:rPr>
        <w:t xml:space="preserve">Where: </w:t>
      </w:r>
    </w:p>
    <w:p w:rsidR="00E52B30" w:rsidRDefault="00551E7A">
      <w:pPr>
        <w:pStyle w:val="ListParagraph"/>
        <w:numPr>
          <w:ilvl w:val="0"/>
          <w:numId w:val="10"/>
        </w:numPr>
        <w:rPr>
          <w:lang w:val="en-GB"/>
        </w:rPr>
      </w:pPr>
      <w:r>
        <w:rPr>
          <w:lang w:val="en-GB"/>
        </w:rPr>
        <w:t>D</w:t>
      </w:r>
      <w:r w:rsidR="00F46E2A">
        <w:rPr>
          <w:lang w:val="en-GB"/>
        </w:rPr>
        <w:t xml:space="preserve"> is the amount of PCDD/F contained or destroyed </w:t>
      </w:r>
    </w:p>
    <w:p w:rsidR="00E52B30" w:rsidRDefault="00F46E2A">
      <w:pPr>
        <w:pStyle w:val="ListParagraph"/>
        <w:numPr>
          <w:ilvl w:val="0"/>
          <w:numId w:val="10"/>
        </w:numPr>
        <w:rPr>
          <w:lang w:val="en-GB"/>
        </w:rPr>
      </w:pPr>
      <w:r>
        <w:rPr>
          <w:lang w:val="en-GB"/>
        </w:rPr>
        <w:t xml:space="preserve">C is the average concentration of PCDD/F in the soil treated or contained; </w:t>
      </w:r>
    </w:p>
    <w:p w:rsidR="00E52B30" w:rsidRDefault="00F46E2A">
      <w:pPr>
        <w:pStyle w:val="ListParagraph"/>
        <w:numPr>
          <w:ilvl w:val="0"/>
          <w:numId w:val="10"/>
        </w:numPr>
        <w:rPr>
          <w:lang w:val="en-GB"/>
        </w:rPr>
      </w:pPr>
      <w:r>
        <w:rPr>
          <w:lang w:val="en-GB"/>
        </w:rPr>
        <w:t xml:space="preserve">Q is the estimated amount of soil treated / contained; </w:t>
      </w:r>
    </w:p>
    <w:p w:rsidR="00E52B30" w:rsidRDefault="00F46E2A">
      <w:pPr>
        <w:pStyle w:val="ListParagraph"/>
        <w:numPr>
          <w:ilvl w:val="0"/>
          <w:numId w:val="10"/>
        </w:numPr>
        <w:rPr>
          <w:lang w:val="en-GB"/>
        </w:rPr>
      </w:pPr>
      <w:r>
        <w:rPr>
          <w:lang w:val="en-GB"/>
        </w:rPr>
        <w:t xml:space="preserve">E is the destruction or containment effectiveness of the specific technology (from 0 to 1, temporarily a value of 1 was adopted as maximum potential technology effectiveness) </w:t>
      </w:r>
    </w:p>
    <w:p w:rsidR="004766E7" w:rsidRDefault="007E5524" w:rsidP="00A971D6">
      <w:pPr>
        <w:jc w:val="both"/>
        <w:rPr>
          <w:lang w:val="en-GB"/>
        </w:rPr>
      </w:pPr>
      <w:r>
        <w:rPr>
          <w:lang w:val="en-GB"/>
        </w:rPr>
        <w:t>Whilst under the project in g</w:t>
      </w:r>
      <w:r w:rsidR="00F81673">
        <w:rPr>
          <w:lang w:val="en-GB"/>
        </w:rPr>
        <w:t>eneral enough monitoring data w</w:t>
      </w:r>
      <w:r>
        <w:rPr>
          <w:lang w:val="en-GB"/>
        </w:rPr>
        <w:t xml:space="preserve">ere collected </w:t>
      </w:r>
      <w:r w:rsidR="00F81673">
        <w:rPr>
          <w:lang w:val="en-GB"/>
        </w:rPr>
        <w:t xml:space="preserve">and made available </w:t>
      </w:r>
      <w:r>
        <w:rPr>
          <w:lang w:val="en-GB"/>
        </w:rPr>
        <w:t>to assess the value of the parameters C and Q,</w:t>
      </w:r>
      <w:sdt>
        <w:sdtPr>
          <w:rPr>
            <w:lang w:val="en-GB"/>
          </w:rPr>
          <w:id w:val="41437863"/>
          <w:citation/>
        </w:sdtPr>
        <w:sdtContent>
          <w:r w:rsidR="00021B43">
            <w:rPr>
              <w:lang w:val="en-GB"/>
            </w:rPr>
            <w:fldChar w:fldCharType="begin"/>
          </w:r>
          <w:r w:rsidR="00696A5E" w:rsidRPr="00696A5E">
            <w:rPr>
              <w:lang w:val="en-GB"/>
            </w:rPr>
            <w:instrText xml:space="preserve"> CITATION Vie11 \l 1040 </w:instrText>
          </w:r>
          <w:r w:rsidR="00021B43">
            <w:rPr>
              <w:lang w:val="en-GB"/>
            </w:rPr>
            <w:fldChar w:fldCharType="separate"/>
          </w:r>
          <w:r w:rsidR="00D211C2">
            <w:rPr>
              <w:noProof/>
              <w:lang w:val="en-GB"/>
            </w:rPr>
            <w:t xml:space="preserve"> </w:t>
          </w:r>
          <w:r w:rsidR="00D211C2" w:rsidRPr="00D211C2">
            <w:rPr>
              <w:noProof/>
              <w:lang w:val="en-GB"/>
            </w:rPr>
            <w:t>(1)</w:t>
          </w:r>
          <w:r w:rsidR="00021B43">
            <w:rPr>
              <w:lang w:val="en-GB"/>
            </w:rPr>
            <w:fldChar w:fldCharType="end"/>
          </w:r>
        </w:sdtContent>
      </w:sdt>
      <w:r>
        <w:rPr>
          <w:lang w:val="en-GB"/>
        </w:rPr>
        <w:t xml:space="preserve"> </w:t>
      </w:r>
      <w:r w:rsidR="00F81673">
        <w:rPr>
          <w:lang w:val="en-GB"/>
        </w:rPr>
        <w:t xml:space="preserve">no information concerning the technology effectiveness (the parameter E) was </w:t>
      </w:r>
      <w:r w:rsidR="00551E7A">
        <w:rPr>
          <w:lang w:val="en-GB"/>
        </w:rPr>
        <w:t xml:space="preserve">indeed </w:t>
      </w:r>
      <w:r w:rsidR="00F81673">
        <w:rPr>
          <w:lang w:val="en-GB"/>
        </w:rPr>
        <w:t xml:space="preserve">available. The value of parameter E was </w:t>
      </w:r>
      <w:r w:rsidR="00551E7A">
        <w:rPr>
          <w:lang w:val="en-GB"/>
        </w:rPr>
        <w:t xml:space="preserve">therefore temporarily set at 1, which means that the </w:t>
      </w:r>
      <w:r w:rsidR="00551E7A">
        <w:rPr>
          <w:lang w:val="en-GB"/>
        </w:rPr>
        <w:lastRenderedPageBreak/>
        <w:t xml:space="preserve">implemented containment or destruction technologies are 100% effective. </w:t>
      </w:r>
      <w:r w:rsidR="00F81673">
        <w:rPr>
          <w:lang w:val="en-GB"/>
        </w:rPr>
        <w:t xml:space="preserve"> Therefore, the estimates represent currently the maximum potential amount of PCDD/F contained or destroyed achievable. </w:t>
      </w:r>
    </w:p>
    <w:p w:rsidR="00E74E79" w:rsidRDefault="00E74E79" w:rsidP="00C267BD">
      <w:pPr>
        <w:jc w:val="both"/>
        <w:rPr>
          <w:lang w:val="en-GB"/>
        </w:rPr>
      </w:pPr>
      <w:r>
        <w:rPr>
          <w:lang w:val="en-GB"/>
        </w:rPr>
        <w:t xml:space="preserve">Some </w:t>
      </w:r>
      <w:r w:rsidR="00070F1B">
        <w:rPr>
          <w:lang w:val="en-GB"/>
        </w:rPr>
        <w:t>approximate</w:t>
      </w:r>
      <w:r>
        <w:rPr>
          <w:lang w:val="en-GB"/>
        </w:rPr>
        <w:t xml:space="preserve"> </w:t>
      </w:r>
      <w:proofErr w:type="gramStart"/>
      <w:r>
        <w:rPr>
          <w:lang w:val="en-GB"/>
        </w:rPr>
        <w:t>estimations</w:t>
      </w:r>
      <w:proofErr w:type="gramEnd"/>
      <w:r w:rsidR="000E6FB8">
        <w:rPr>
          <w:lang w:val="en-GB"/>
        </w:rPr>
        <w:t xml:space="preserve"> (chapter </w:t>
      </w:r>
      <w:r w:rsidR="00021B43">
        <w:rPr>
          <w:lang w:val="en-GB"/>
        </w:rPr>
        <w:fldChar w:fldCharType="begin"/>
      </w:r>
      <w:r w:rsidR="000E6FB8">
        <w:rPr>
          <w:lang w:val="en-GB"/>
        </w:rPr>
        <w:instrText xml:space="preserve"> REF _Ref410144245 \r \h </w:instrText>
      </w:r>
      <w:r w:rsidR="00021B43">
        <w:rPr>
          <w:lang w:val="en-GB"/>
        </w:rPr>
      </w:r>
      <w:r w:rsidR="00021B43">
        <w:rPr>
          <w:lang w:val="en-GB"/>
        </w:rPr>
        <w:fldChar w:fldCharType="separate"/>
      </w:r>
      <w:r w:rsidR="002C0E6E">
        <w:rPr>
          <w:lang w:val="en-GB"/>
        </w:rPr>
        <w:t>7.3.6</w:t>
      </w:r>
      <w:r w:rsidR="00021B43">
        <w:rPr>
          <w:lang w:val="en-GB"/>
        </w:rPr>
        <w:fldChar w:fldCharType="end"/>
      </w:r>
      <w:r w:rsidR="000E6FB8">
        <w:rPr>
          <w:lang w:val="en-GB"/>
        </w:rPr>
        <w:t>)</w:t>
      </w:r>
      <w:r>
        <w:rPr>
          <w:lang w:val="en-GB"/>
        </w:rPr>
        <w:t xml:space="preserve"> on the PCDD/F release prevented were therefore attempted within the evaluation exercise </w:t>
      </w:r>
      <w:r w:rsidR="00E0480B">
        <w:rPr>
          <w:lang w:val="en-GB"/>
        </w:rPr>
        <w:t>based on</w:t>
      </w:r>
      <w:r>
        <w:rPr>
          <w:lang w:val="en-GB"/>
        </w:rPr>
        <w:t xml:space="preserve"> general information made available under the project. Based on the few information available, the following estimates </w:t>
      </w:r>
      <w:r w:rsidR="008704E7">
        <w:rPr>
          <w:lang w:val="en-GB"/>
        </w:rPr>
        <w:t>have been derived</w:t>
      </w:r>
      <w:r>
        <w:rPr>
          <w:lang w:val="en-GB"/>
        </w:rPr>
        <w:t xml:space="preserve">: </w:t>
      </w:r>
    </w:p>
    <w:p w:rsidR="000E6FB8" w:rsidRDefault="00E74E79" w:rsidP="00C267BD">
      <w:pPr>
        <w:pStyle w:val="ListParagraph"/>
        <w:numPr>
          <w:ilvl w:val="0"/>
          <w:numId w:val="11"/>
        </w:numPr>
        <w:jc w:val="both"/>
        <w:rPr>
          <w:lang w:val="en-GB"/>
        </w:rPr>
      </w:pPr>
      <w:r w:rsidRPr="00EB40C8">
        <w:rPr>
          <w:lang w:val="en-GB"/>
        </w:rPr>
        <w:t>Pacer Ivy area</w:t>
      </w:r>
      <w:r>
        <w:rPr>
          <w:lang w:val="en-GB"/>
        </w:rPr>
        <w:t xml:space="preserve"> in Bien Hoa</w:t>
      </w:r>
      <w:r w:rsidRPr="00EB40C8">
        <w:rPr>
          <w:lang w:val="en-GB"/>
        </w:rPr>
        <w:t xml:space="preserve">: the amount of PCDD/F currently being prevented to enter the environment thanks to the hydraulic barrier in Pacer Ivy </w:t>
      </w:r>
      <w:r w:rsidR="008704E7">
        <w:rPr>
          <w:lang w:val="en-GB"/>
        </w:rPr>
        <w:t xml:space="preserve">is </w:t>
      </w:r>
      <w:r w:rsidR="004C0D06">
        <w:rPr>
          <w:lang w:val="en-GB"/>
        </w:rPr>
        <w:t xml:space="preserve">a range from 215 to 3690 g </w:t>
      </w:r>
      <w:proofErr w:type="spellStart"/>
      <w:r w:rsidR="004C0D06">
        <w:rPr>
          <w:lang w:val="en-GB"/>
        </w:rPr>
        <w:t>TEq</w:t>
      </w:r>
      <w:proofErr w:type="spellEnd"/>
      <w:r w:rsidR="004C0D06">
        <w:rPr>
          <w:lang w:val="en-GB"/>
        </w:rPr>
        <w:t xml:space="preserve">, </w:t>
      </w:r>
      <w:r w:rsidR="000E6FB8">
        <w:rPr>
          <w:lang w:val="en-GB"/>
        </w:rPr>
        <w:t xml:space="preserve">to which around 8.7 </w:t>
      </w:r>
      <w:proofErr w:type="spellStart"/>
      <w:r w:rsidR="000E6FB8">
        <w:rPr>
          <w:lang w:val="en-GB"/>
        </w:rPr>
        <w:t>gTEq</w:t>
      </w:r>
      <w:proofErr w:type="spellEnd"/>
      <w:r w:rsidR="000E6FB8">
        <w:rPr>
          <w:lang w:val="en-GB"/>
        </w:rPr>
        <w:t xml:space="preserve"> of dioxin contained in </w:t>
      </w:r>
      <w:proofErr w:type="spellStart"/>
      <w:r w:rsidR="000E6FB8">
        <w:rPr>
          <w:lang w:val="en-GB"/>
        </w:rPr>
        <w:t>landfilled</w:t>
      </w:r>
      <w:proofErr w:type="spellEnd"/>
      <w:r w:rsidR="000E6FB8">
        <w:rPr>
          <w:lang w:val="en-GB"/>
        </w:rPr>
        <w:t xml:space="preserve"> contaminated soil, plus 36 </w:t>
      </w:r>
      <w:proofErr w:type="spellStart"/>
      <w:r w:rsidR="000E6FB8">
        <w:rPr>
          <w:lang w:val="en-GB"/>
        </w:rPr>
        <w:t>gTEq</w:t>
      </w:r>
      <w:proofErr w:type="spellEnd"/>
      <w:r w:rsidR="000E6FB8">
        <w:rPr>
          <w:lang w:val="en-GB"/>
        </w:rPr>
        <w:t xml:space="preserve"> in the sediment trapped in the Pacer Ivy have to be added;</w:t>
      </w:r>
    </w:p>
    <w:p w:rsidR="00E74E79" w:rsidRPr="00483AF2" w:rsidRDefault="00E74E79" w:rsidP="00C267BD">
      <w:pPr>
        <w:pStyle w:val="ListParagraph"/>
        <w:numPr>
          <w:ilvl w:val="0"/>
          <w:numId w:val="11"/>
        </w:numPr>
        <w:jc w:val="both"/>
        <w:rPr>
          <w:lang w:val="en-GB"/>
        </w:rPr>
      </w:pPr>
      <w:r w:rsidRPr="00483AF2">
        <w:rPr>
          <w:lang w:val="en-GB"/>
        </w:rPr>
        <w:t xml:space="preserve">Phu Cat landfill: around 7500 m3 of PCDD/F contaminated soil were placed in the safe landfill. </w:t>
      </w:r>
      <w:r w:rsidR="000E6FB8">
        <w:rPr>
          <w:lang w:val="en-GB"/>
        </w:rPr>
        <w:t xml:space="preserve">Based on the average contamination of </w:t>
      </w:r>
      <w:proofErr w:type="spellStart"/>
      <w:r w:rsidR="000E6FB8">
        <w:rPr>
          <w:lang w:val="en-GB"/>
        </w:rPr>
        <w:t>landfilled</w:t>
      </w:r>
      <w:proofErr w:type="spellEnd"/>
      <w:r w:rsidR="000E6FB8">
        <w:rPr>
          <w:lang w:val="en-GB"/>
        </w:rPr>
        <w:t xml:space="preserve"> </w:t>
      </w:r>
      <w:r w:rsidR="00424B15">
        <w:rPr>
          <w:lang w:val="en-GB"/>
        </w:rPr>
        <w:t xml:space="preserve">soil </w:t>
      </w:r>
      <w:r w:rsidRPr="00483AF2">
        <w:rPr>
          <w:lang w:val="en-GB"/>
        </w:rPr>
        <w:t xml:space="preserve">the amount of PCDD/F prevented to enter the environment </w:t>
      </w:r>
      <w:r w:rsidR="000E6FB8">
        <w:rPr>
          <w:lang w:val="en-GB"/>
        </w:rPr>
        <w:t xml:space="preserve">has been </w:t>
      </w:r>
      <w:r w:rsidRPr="00483AF2">
        <w:rPr>
          <w:lang w:val="en-GB"/>
        </w:rPr>
        <w:t xml:space="preserve">estimated in around </w:t>
      </w:r>
      <w:r>
        <w:rPr>
          <w:lang w:val="en-GB"/>
        </w:rPr>
        <w:t xml:space="preserve">395 </w:t>
      </w:r>
      <w:proofErr w:type="spellStart"/>
      <w:r>
        <w:rPr>
          <w:lang w:val="en-GB"/>
        </w:rPr>
        <w:t>gTE</w:t>
      </w:r>
      <w:proofErr w:type="spellEnd"/>
      <w:r>
        <w:rPr>
          <w:lang w:val="en-GB"/>
        </w:rPr>
        <w:t>.</w:t>
      </w:r>
    </w:p>
    <w:p w:rsidR="00E74E79" w:rsidRDefault="00E74E79" w:rsidP="00A971D6">
      <w:pPr>
        <w:jc w:val="both"/>
        <w:rPr>
          <w:lang w:val="en-GB"/>
        </w:rPr>
      </w:pPr>
      <w:r>
        <w:rPr>
          <w:lang w:val="en-GB"/>
        </w:rPr>
        <w:t xml:space="preserve">Therefore, summing up the average PCDD/F currently contained in Bien Hoa and Phu Cat, an overall amount </w:t>
      </w:r>
      <w:r w:rsidR="004C0D06">
        <w:rPr>
          <w:lang w:val="en-GB"/>
        </w:rPr>
        <w:t xml:space="preserve">ranging from 610 to </w:t>
      </w:r>
      <w:r w:rsidR="00D87069">
        <w:rPr>
          <w:lang w:val="en-GB"/>
        </w:rPr>
        <w:t xml:space="preserve">around </w:t>
      </w:r>
      <w:r w:rsidR="004C0D06">
        <w:rPr>
          <w:lang w:val="en-GB"/>
        </w:rPr>
        <w:t xml:space="preserve">4000 </w:t>
      </w:r>
      <w:r>
        <w:rPr>
          <w:lang w:val="en-GB"/>
        </w:rPr>
        <w:t xml:space="preserve">g I-TEQ have been contained by actions directly carried out with project funds, whether an additional unknown amount has been contained with governmental resources. Again, this is a very rough estimated based on the best data available, which need to be confirmed by a proper monitoring plan and environmental assessment to be carried out </w:t>
      </w:r>
    </w:p>
    <w:p w:rsidR="000E6FB8" w:rsidRDefault="000E6FB8" w:rsidP="00A971D6">
      <w:pPr>
        <w:jc w:val="both"/>
        <w:rPr>
          <w:lang w:val="en-GB"/>
        </w:rPr>
      </w:pPr>
      <w:r>
        <w:rPr>
          <w:lang w:val="en-GB"/>
        </w:rPr>
        <w:t xml:space="preserve">There are no available data on the initial concentration of soil currently being treated in </w:t>
      </w:r>
      <w:proofErr w:type="spellStart"/>
      <w:r>
        <w:rPr>
          <w:lang w:val="en-GB"/>
        </w:rPr>
        <w:t>Da</w:t>
      </w:r>
      <w:proofErr w:type="spellEnd"/>
      <w:r>
        <w:rPr>
          <w:lang w:val="en-GB"/>
        </w:rPr>
        <w:t xml:space="preserve"> Nang (around 44,000 m</w:t>
      </w:r>
      <w:r w:rsidRPr="000E6FB8">
        <w:rPr>
          <w:vertAlign w:val="superscript"/>
          <w:lang w:val="en-GB"/>
        </w:rPr>
        <w:t>3</w:t>
      </w:r>
      <w:r>
        <w:rPr>
          <w:lang w:val="en-GB"/>
        </w:rPr>
        <w:t>), therefore it is not possible to estimate the destruction of dioxin for that site.</w:t>
      </w:r>
      <w:r w:rsidR="004C0D06">
        <w:rPr>
          <w:lang w:val="en-GB"/>
        </w:rPr>
        <w:t xml:space="preserve"> </w:t>
      </w:r>
      <w:r>
        <w:rPr>
          <w:lang w:val="en-GB"/>
        </w:rPr>
        <w:t xml:space="preserve">It has to be remembered that currently </w:t>
      </w:r>
      <w:r w:rsidR="00E74E79">
        <w:rPr>
          <w:lang w:val="en-GB"/>
        </w:rPr>
        <w:t xml:space="preserve">the project in </w:t>
      </w:r>
      <w:proofErr w:type="spellStart"/>
      <w:r w:rsidR="00E74E79">
        <w:rPr>
          <w:lang w:val="en-GB"/>
        </w:rPr>
        <w:t>Da</w:t>
      </w:r>
      <w:proofErr w:type="spellEnd"/>
      <w:r w:rsidR="00E74E79">
        <w:rPr>
          <w:lang w:val="en-GB"/>
        </w:rPr>
        <w:t xml:space="preserve"> Nang is being running independently by USAID under the coordination of MOD; with Office 33 only being informed of the status of the activities. </w:t>
      </w:r>
    </w:p>
    <w:p w:rsidR="00E74E79" w:rsidRDefault="004C0D06" w:rsidP="00A971D6">
      <w:pPr>
        <w:jc w:val="both"/>
        <w:rPr>
          <w:lang w:val="en-GB"/>
        </w:rPr>
      </w:pPr>
      <w:r>
        <w:rPr>
          <w:lang w:val="en-GB"/>
        </w:rPr>
        <w:t xml:space="preserve">In any case, even without considering the amount destroyed in </w:t>
      </w:r>
      <w:proofErr w:type="spellStart"/>
      <w:r>
        <w:rPr>
          <w:lang w:val="en-GB"/>
        </w:rPr>
        <w:t>Da</w:t>
      </w:r>
      <w:proofErr w:type="spellEnd"/>
      <w:r>
        <w:rPr>
          <w:lang w:val="en-GB"/>
        </w:rPr>
        <w:t xml:space="preserve"> Nang, the amount of PCDD/F </w:t>
      </w:r>
      <w:r w:rsidR="00D87069">
        <w:rPr>
          <w:lang w:val="en-GB"/>
        </w:rPr>
        <w:t xml:space="preserve">currently contained in Bien Hoa and Phu Cat </w:t>
      </w:r>
      <w:r w:rsidR="00E74E79">
        <w:rPr>
          <w:lang w:val="en-GB"/>
        </w:rPr>
        <w:t xml:space="preserve">still quite a huge amount of PCDD/F, comparable to the yearly emission of PCDD/F of a </w:t>
      </w:r>
      <w:r w:rsidR="00D87069">
        <w:rPr>
          <w:lang w:val="en-GB"/>
        </w:rPr>
        <w:t xml:space="preserve">large </w:t>
      </w:r>
      <w:r w:rsidR="00E0480B">
        <w:rPr>
          <w:lang w:val="en-GB"/>
        </w:rPr>
        <w:t xml:space="preserve">country, </w:t>
      </w:r>
      <w:r w:rsidR="00E74E79">
        <w:rPr>
          <w:lang w:val="en-GB"/>
        </w:rPr>
        <w:t xml:space="preserve">representing a very large risk for the population and the environment, and therefore requiring that the remediation / containment actions are sustained after project ends. </w:t>
      </w:r>
    </w:p>
    <w:p w:rsidR="00664B2F" w:rsidRDefault="00664B2F" w:rsidP="00664B2F">
      <w:pPr>
        <w:pStyle w:val="Heading2"/>
      </w:pPr>
      <w:bookmarkStart w:id="11" w:name="_Toc417120262"/>
      <w:r>
        <w:t>Exposure Reduction</w:t>
      </w:r>
      <w:bookmarkEnd w:id="11"/>
    </w:p>
    <w:p w:rsidR="00E74E79" w:rsidRDefault="00E74E79" w:rsidP="00A971D6">
      <w:pPr>
        <w:jc w:val="both"/>
        <w:rPr>
          <w:lang w:val="en-GB"/>
        </w:rPr>
      </w:pPr>
      <w:r>
        <w:t>Updated population estimates for the potential population at risk of dioxin exposure at Bien Hoa and Phu Cat Airbases were determined during the preparation of the "Evaluation of Dioxin Project Impact to Environment and People"</w:t>
      </w:r>
      <w:sdt>
        <w:sdtPr>
          <w:id w:val="41437864"/>
          <w:citation/>
        </w:sdtPr>
        <w:sdtContent>
          <w:r w:rsidR="00021B43">
            <w:fldChar w:fldCharType="begin"/>
          </w:r>
          <w:r w:rsidR="00696A5E" w:rsidRPr="00696A5E">
            <w:rPr>
              <w:lang w:val="en-GB"/>
            </w:rPr>
            <w:instrText xml:space="preserve"> CITATION Tho15 \l 1040 </w:instrText>
          </w:r>
          <w:r w:rsidR="00021B43">
            <w:fldChar w:fldCharType="separate"/>
          </w:r>
          <w:r w:rsidR="00D211C2">
            <w:rPr>
              <w:noProof/>
              <w:lang w:val="en-GB"/>
            </w:rPr>
            <w:t xml:space="preserve"> </w:t>
          </w:r>
          <w:r w:rsidR="00D211C2" w:rsidRPr="00D211C2">
            <w:rPr>
              <w:noProof/>
              <w:lang w:val="en-GB"/>
            </w:rPr>
            <w:t>(3)</w:t>
          </w:r>
          <w:r w:rsidR="00021B43">
            <w:fldChar w:fldCharType="end"/>
          </w:r>
        </w:sdtContent>
      </w:sdt>
      <w:r>
        <w:t xml:space="preserve">, from interviews with Ward and District leaders. Based on current estimates provided in the report, over 120,000 people residing in wards near Bien Hoa Airbase and 47,000 persons near Phu Cat Airbase are potential beneficiaries of </w:t>
      </w:r>
      <w:r w:rsidR="00E0480B">
        <w:t xml:space="preserve">the </w:t>
      </w:r>
      <w:r>
        <w:t xml:space="preserve">reduced dioxin exposure </w:t>
      </w:r>
      <w:r w:rsidR="00341CD4">
        <w:t xml:space="preserve">achieved thanks to the </w:t>
      </w:r>
      <w:r>
        <w:t xml:space="preserve">activities conducted under the Dioxin Project. </w:t>
      </w:r>
      <w:r w:rsidR="00E0480B">
        <w:t>For further reducing</w:t>
      </w:r>
      <w:r>
        <w:t xml:space="preserve"> exposure to PCDD/F of this population it is key to sustain the effort aimed at raising awareness on the food-chain related risk, and to sustain access restriction to contaminated areas. </w:t>
      </w:r>
    </w:p>
    <w:p w:rsidR="00E74E79" w:rsidRDefault="00E74E79" w:rsidP="00E74E79">
      <w:pPr>
        <w:pStyle w:val="Heading2"/>
      </w:pPr>
      <w:bookmarkStart w:id="12" w:name="_Toc407572396"/>
      <w:bookmarkStart w:id="13" w:name="_Toc417120263"/>
      <w:r>
        <w:t>Technology testing</w:t>
      </w:r>
      <w:bookmarkEnd w:id="12"/>
      <w:bookmarkEnd w:id="13"/>
    </w:p>
    <w:p w:rsidR="00E74E79" w:rsidRDefault="00E74E79" w:rsidP="00A971D6">
      <w:pPr>
        <w:jc w:val="both"/>
        <w:rPr>
          <w:lang w:val="en-GB" w:bidi="ar-SA"/>
        </w:rPr>
      </w:pPr>
      <w:r>
        <w:rPr>
          <w:lang w:val="en-GB" w:bidi="ar-SA"/>
        </w:rPr>
        <w:t xml:space="preserve">As already pointed out at </w:t>
      </w:r>
      <w:r w:rsidR="00070F1B">
        <w:rPr>
          <w:lang w:val="en-GB" w:bidi="ar-SA"/>
        </w:rPr>
        <w:t>mid-term</w:t>
      </w:r>
      <w:r>
        <w:rPr>
          <w:lang w:val="en-GB" w:bidi="ar-SA"/>
        </w:rPr>
        <w:t>, one of the result of the project was the testing of te</w:t>
      </w:r>
      <w:r w:rsidR="00E0480B">
        <w:rPr>
          <w:lang w:val="en-GB" w:bidi="ar-SA"/>
        </w:rPr>
        <w:t xml:space="preserve">chnologies for the destruction / treatment of PCDD/F </w:t>
      </w:r>
      <w:r>
        <w:rPr>
          <w:lang w:val="en-GB" w:bidi="ar-SA"/>
        </w:rPr>
        <w:t xml:space="preserve">contaminated soil. </w:t>
      </w:r>
    </w:p>
    <w:p w:rsidR="00664B2F" w:rsidRDefault="000E6FB8" w:rsidP="00E74E79">
      <w:pPr>
        <w:jc w:val="both"/>
      </w:pPr>
      <w:r>
        <w:t xml:space="preserve">Despite few </w:t>
      </w:r>
      <w:r w:rsidR="00664B2F">
        <w:t xml:space="preserve">uncertainties in the effectiveness of the tested technology in reaching the cleanup target when the contamination level is high, </w:t>
      </w:r>
      <w:r w:rsidR="00B1458C">
        <w:t>t</w:t>
      </w:r>
      <w:r w:rsidR="00E74E79">
        <w:t xml:space="preserve">he project, by demonstrating a PCDD/F destruction technology and establishing containment infrastructures and safe landfills, contributed significantly to the knowledge and the increased </w:t>
      </w:r>
      <w:r w:rsidR="00E74E79">
        <w:lastRenderedPageBreak/>
        <w:t xml:space="preserve">technological capacity of the relevant stakeholders for problem analysis and remediation of dioxin contamination. </w:t>
      </w:r>
    </w:p>
    <w:p w:rsidR="00D801E7" w:rsidRDefault="00E74E79" w:rsidP="00664B2F">
      <w:pPr>
        <w:jc w:val="both"/>
      </w:pPr>
      <w:r>
        <w:t xml:space="preserve">As a result of </w:t>
      </w:r>
      <w:r w:rsidR="00E0480B">
        <w:t xml:space="preserve">the </w:t>
      </w:r>
      <w:r w:rsidR="00070F1B">
        <w:t>mid-term</w:t>
      </w:r>
      <w:r>
        <w:t xml:space="preserve"> evaluation, it was recommended to </w:t>
      </w:r>
      <w:r w:rsidRPr="00D016C0">
        <w:rPr>
          <w:i/>
        </w:rPr>
        <w:t xml:space="preserve">"carry out additional tests aimed at a better understanding of the mass balance of the </w:t>
      </w:r>
      <w:proofErr w:type="spellStart"/>
      <w:r w:rsidRPr="00D016C0">
        <w:rPr>
          <w:i/>
        </w:rPr>
        <w:t>mechano</w:t>
      </w:r>
      <w:proofErr w:type="spellEnd"/>
      <w:r w:rsidRPr="00D016C0">
        <w:rPr>
          <w:i/>
        </w:rPr>
        <w:t>-chemical process and at verifying the effective capability of the technology to remediate high contaminated soil should be carried out under this GEF project"</w:t>
      </w:r>
      <w:r>
        <w:t xml:space="preserve">. These additional demonstration have been started at </w:t>
      </w:r>
      <w:r w:rsidR="00D801E7">
        <w:t>laboratory scale (biodegradation</w:t>
      </w:r>
      <w:r w:rsidR="001F1C34">
        <w:t xml:space="preserve"> by HPC </w:t>
      </w:r>
      <w:proofErr w:type="spellStart"/>
      <w:r w:rsidR="001F1C34">
        <w:t>Envirotech</w:t>
      </w:r>
      <w:proofErr w:type="spellEnd"/>
      <w:sdt>
        <w:sdtPr>
          <w:id w:val="22559927"/>
          <w:citation/>
        </w:sdtPr>
        <w:sdtContent>
          <w:r w:rsidR="00021B43">
            <w:fldChar w:fldCharType="begin"/>
          </w:r>
          <w:r w:rsidR="00696A5E" w:rsidRPr="00696A5E">
            <w:rPr>
              <w:lang w:val="en-GB"/>
            </w:rPr>
            <w:instrText xml:space="preserve"> CITATION HPC15 \l 1040 </w:instrText>
          </w:r>
          <w:r w:rsidR="00021B43">
            <w:fldChar w:fldCharType="separate"/>
          </w:r>
          <w:r w:rsidR="00D211C2">
            <w:rPr>
              <w:noProof/>
              <w:lang w:val="en-GB"/>
            </w:rPr>
            <w:t xml:space="preserve"> </w:t>
          </w:r>
          <w:r w:rsidR="00D211C2" w:rsidRPr="00D211C2">
            <w:rPr>
              <w:noProof/>
              <w:lang w:val="en-GB"/>
            </w:rPr>
            <w:t>(4)</w:t>
          </w:r>
          <w:r w:rsidR="00021B43">
            <w:fldChar w:fldCharType="end"/>
          </w:r>
        </w:sdtContent>
      </w:sdt>
      <w:r w:rsidR="00D801E7">
        <w:t>), full scale (thermal desorption</w:t>
      </w:r>
      <w:r w:rsidR="00B1458C">
        <w:t xml:space="preserve"> by </w:t>
      </w:r>
      <w:proofErr w:type="spellStart"/>
      <w:r w:rsidR="00B1458C">
        <w:t>Thermodyne</w:t>
      </w:r>
      <w:proofErr w:type="spellEnd"/>
      <w:sdt>
        <w:sdtPr>
          <w:id w:val="22559926"/>
          <w:citation/>
        </w:sdtPr>
        <w:sdtContent>
          <w:r w:rsidR="00021B43">
            <w:fldChar w:fldCharType="begin"/>
          </w:r>
          <w:r w:rsidR="00696A5E" w:rsidRPr="00696A5E">
            <w:rPr>
              <w:lang w:val="en-GB"/>
            </w:rPr>
            <w:instrText xml:space="preserve"> CITATION The15 \l 1040 </w:instrText>
          </w:r>
          <w:r w:rsidR="00021B43">
            <w:fldChar w:fldCharType="separate"/>
          </w:r>
          <w:r w:rsidR="00D211C2">
            <w:rPr>
              <w:noProof/>
              <w:lang w:val="en-GB"/>
            </w:rPr>
            <w:t xml:space="preserve"> </w:t>
          </w:r>
          <w:r w:rsidR="00D211C2" w:rsidRPr="00D211C2">
            <w:rPr>
              <w:noProof/>
              <w:lang w:val="en-GB"/>
            </w:rPr>
            <w:t>(5)</w:t>
          </w:r>
          <w:r w:rsidR="00021B43">
            <w:fldChar w:fldCharType="end"/>
          </w:r>
        </w:sdtContent>
      </w:sdt>
      <w:r w:rsidR="00D801E7">
        <w:t>) and semi-practical scale (</w:t>
      </w:r>
      <w:proofErr w:type="spellStart"/>
      <w:r w:rsidR="00B1458C">
        <w:t>Mechano</w:t>
      </w:r>
      <w:proofErr w:type="spellEnd"/>
      <w:r w:rsidR="00B1458C">
        <w:t xml:space="preserve">-chemical destruction by </w:t>
      </w:r>
      <w:r w:rsidR="00D801E7">
        <w:t>EDL</w:t>
      </w:r>
      <w:sdt>
        <w:sdtPr>
          <w:id w:val="22559924"/>
          <w:citation/>
        </w:sdtPr>
        <w:sdtContent>
          <w:r w:rsidR="00021B43">
            <w:fldChar w:fldCharType="begin"/>
          </w:r>
          <w:r w:rsidR="00696A5E" w:rsidRPr="00696A5E">
            <w:rPr>
              <w:lang w:val="en-GB"/>
            </w:rPr>
            <w:instrText xml:space="preserve"> CITATION EDL15 \l 1040 </w:instrText>
          </w:r>
          <w:r w:rsidR="00021B43">
            <w:fldChar w:fldCharType="separate"/>
          </w:r>
          <w:r w:rsidR="00D211C2">
            <w:rPr>
              <w:noProof/>
              <w:lang w:val="en-GB"/>
            </w:rPr>
            <w:t xml:space="preserve"> </w:t>
          </w:r>
          <w:r w:rsidR="00D211C2" w:rsidRPr="00D211C2">
            <w:rPr>
              <w:noProof/>
              <w:lang w:val="en-GB"/>
            </w:rPr>
            <w:t>(6)</w:t>
          </w:r>
          <w:r w:rsidR="00021B43">
            <w:fldChar w:fldCharType="end"/>
          </w:r>
        </w:sdtContent>
      </w:sdt>
      <w:r w:rsidR="00D801E7">
        <w:t xml:space="preserve">). </w:t>
      </w:r>
    </w:p>
    <w:p w:rsidR="00D801E7" w:rsidRDefault="00E0480B" w:rsidP="00664B2F">
      <w:pPr>
        <w:jc w:val="both"/>
      </w:pPr>
      <w:r>
        <w:t xml:space="preserve">The </w:t>
      </w:r>
      <w:r w:rsidR="00D801E7">
        <w:t xml:space="preserve">results of the technology testing were introduced during the workshop held in Hanoi on </w:t>
      </w:r>
      <w:r w:rsidR="002F3667">
        <w:t>March 18-19 2015</w:t>
      </w:r>
      <w:sdt>
        <w:sdtPr>
          <w:id w:val="41437866"/>
          <w:citation/>
        </w:sdtPr>
        <w:sdtContent>
          <w:r w:rsidR="00021B43">
            <w:fldChar w:fldCharType="begin"/>
          </w:r>
          <w:r w:rsidR="00696A5E" w:rsidRPr="00696A5E">
            <w:rPr>
              <w:lang w:val="en-GB"/>
            </w:rPr>
            <w:instrText xml:space="preserve"> CITATION Vie14 \l 1040 </w:instrText>
          </w:r>
          <w:r w:rsidR="00021B43">
            <w:fldChar w:fldCharType="separate"/>
          </w:r>
          <w:r w:rsidR="00D211C2">
            <w:rPr>
              <w:noProof/>
              <w:lang w:val="en-GB"/>
            </w:rPr>
            <w:t xml:space="preserve"> </w:t>
          </w:r>
          <w:r w:rsidR="00D211C2" w:rsidRPr="00D211C2">
            <w:rPr>
              <w:noProof/>
              <w:lang w:val="en-GB"/>
            </w:rPr>
            <w:t>(7)</w:t>
          </w:r>
          <w:r w:rsidR="00021B43">
            <w:fldChar w:fldCharType="end"/>
          </w:r>
        </w:sdtContent>
      </w:sdt>
      <w:r w:rsidR="002F3667">
        <w:t xml:space="preserve"> </w:t>
      </w:r>
    </w:p>
    <w:p w:rsidR="00E52B30" w:rsidRDefault="00D801E7" w:rsidP="00A971D6">
      <w:pPr>
        <w:jc w:val="both"/>
      </w:pPr>
      <w:r>
        <w:t xml:space="preserve">Based on the </w:t>
      </w:r>
      <w:r w:rsidR="002F3667">
        <w:t xml:space="preserve">technology </w:t>
      </w:r>
      <w:r>
        <w:t xml:space="preserve">report drafted by the international and national </w:t>
      </w:r>
      <w:r w:rsidR="002F3667">
        <w:t xml:space="preserve">independent </w:t>
      </w:r>
      <w:r>
        <w:t>expert</w:t>
      </w:r>
      <w:r w:rsidR="002F3667">
        <w:t>s</w:t>
      </w:r>
      <w:r>
        <w:t xml:space="preserve"> </w:t>
      </w:r>
      <w:sdt>
        <w:sdtPr>
          <w:id w:val="41437867"/>
          <w:citation/>
        </w:sdtPr>
        <w:sdtContent>
          <w:r w:rsidR="00021B43">
            <w:fldChar w:fldCharType="begin"/>
          </w:r>
          <w:r w:rsidR="00696A5E" w:rsidRPr="00696A5E">
            <w:rPr>
              <w:lang w:val="en-GB"/>
            </w:rPr>
            <w:instrText xml:space="preserve"> CITATION Ric15 \l 1040 </w:instrText>
          </w:r>
          <w:r w:rsidR="00021B43">
            <w:fldChar w:fldCharType="separate"/>
          </w:r>
          <w:r w:rsidR="00D211C2" w:rsidRPr="00D211C2">
            <w:rPr>
              <w:noProof/>
              <w:lang w:val="en-GB"/>
            </w:rPr>
            <w:t>(8)</w:t>
          </w:r>
          <w:r w:rsidR="00021B43">
            <w:fldChar w:fldCharType="end"/>
          </w:r>
        </w:sdtContent>
      </w:sdt>
      <w:r>
        <w:t xml:space="preserve"> there is quite a </w:t>
      </w:r>
      <w:r w:rsidR="002F3667">
        <w:t xml:space="preserve">consensus that the </w:t>
      </w:r>
      <w:proofErr w:type="spellStart"/>
      <w:r w:rsidR="00F82163">
        <w:t>mechano</w:t>
      </w:r>
      <w:proofErr w:type="spellEnd"/>
      <w:r w:rsidR="00F82163">
        <w:t>-chemical</w:t>
      </w:r>
      <w:r w:rsidR="002F3667">
        <w:t xml:space="preserve"> and the thermal desorption may be considered as technologies </w:t>
      </w:r>
      <w:r w:rsidR="00E84905">
        <w:t xml:space="preserve">already in the commercial stage </w:t>
      </w:r>
      <w:r w:rsidR="002F3667">
        <w:t xml:space="preserve">suitable for the treatment of PCDD/F contaminated soil in Vietnam, whereas the </w:t>
      </w:r>
      <w:r w:rsidR="00F82163">
        <w:t xml:space="preserve">biodegradation technology still requires additional tests to prove its suitability. </w:t>
      </w:r>
    </w:p>
    <w:p w:rsidR="00E52B30" w:rsidRDefault="00F82163" w:rsidP="00A971D6">
      <w:pPr>
        <w:jc w:val="both"/>
      </w:pPr>
      <w:r w:rsidRPr="00F82163">
        <w:t>The demonstration at pilot, full and larg</w:t>
      </w:r>
      <w:r w:rsidR="00E0480B">
        <w:t xml:space="preserve">e scale for the remediation of </w:t>
      </w:r>
      <w:r w:rsidRPr="00F82163">
        <w:t xml:space="preserve">PCDD/F contaminated  soil is </w:t>
      </w:r>
      <w:r>
        <w:t xml:space="preserve">one of the </w:t>
      </w:r>
      <w:r w:rsidRPr="00F82163">
        <w:t xml:space="preserve">largest </w:t>
      </w:r>
      <w:r>
        <w:t>test</w:t>
      </w:r>
      <w:r w:rsidR="0023224F">
        <w:t>s</w:t>
      </w:r>
      <w:r>
        <w:t xml:space="preserve"> </w:t>
      </w:r>
      <w:r w:rsidRPr="00F82163">
        <w:t>so far carried out and has to be considered a big achievement of this project</w:t>
      </w:r>
      <w:r>
        <w:t xml:space="preserve">. This resulted in </w:t>
      </w:r>
      <w:r w:rsidR="00F40497">
        <w:t xml:space="preserve">data on </w:t>
      </w:r>
      <w:r>
        <w:t xml:space="preserve">technology </w:t>
      </w:r>
      <w:r w:rsidR="00F40497">
        <w:t xml:space="preserve">performance made available either </w:t>
      </w:r>
      <w:r w:rsidR="0023224F">
        <w:t>for Vietnam itself or for the remediation of sites contaminated by PCDD/F in other countries.</w:t>
      </w:r>
    </w:p>
    <w:p w:rsidR="007258CE" w:rsidRDefault="00E74E79">
      <w:pPr>
        <w:pStyle w:val="Heading2"/>
      </w:pPr>
      <w:bookmarkStart w:id="14" w:name="_Toc407572397"/>
      <w:bookmarkStart w:id="15" w:name="_Ref410065623"/>
      <w:bookmarkStart w:id="16" w:name="_Toc417120264"/>
      <w:r>
        <w:t xml:space="preserve">Achievements after </w:t>
      </w:r>
      <w:r w:rsidR="00070F1B">
        <w:t>mid-term</w:t>
      </w:r>
      <w:r>
        <w:t xml:space="preserve"> and fulfilment of MTE recommendations</w:t>
      </w:r>
      <w:bookmarkEnd w:id="14"/>
      <w:bookmarkEnd w:id="15"/>
      <w:bookmarkEnd w:id="16"/>
    </w:p>
    <w:p w:rsidR="00E74E79" w:rsidRDefault="00E74E79" w:rsidP="00A971D6">
      <w:pPr>
        <w:jc w:val="both"/>
      </w:pPr>
      <w:r>
        <w:t xml:space="preserve">The following recommendations were put forward at </w:t>
      </w:r>
      <w:r w:rsidR="00070F1B">
        <w:t>mid-term</w:t>
      </w:r>
      <w:r>
        <w:t xml:space="preserve">: </w:t>
      </w:r>
    </w:p>
    <w:p w:rsidR="00642459" w:rsidRDefault="00642459" w:rsidP="00A971D6">
      <w:pPr>
        <w:jc w:val="both"/>
      </w:pPr>
    </w:p>
    <w:tbl>
      <w:tblPr>
        <w:tblStyle w:val="TableGrid"/>
        <w:tblW w:w="0" w:type="auto"/>
        <w:tblLook w:val="04A0"/>
      </w:tblPr>
      <w:tblGrid>
        <w:gridCol w:w="2122"/>
        <w:gridCol w:w="7628"/>
      </w:tblGrid>
      <w:tr w:rsidR="00257C47" w:rsidTr="00257C47">
        <w:tc>
          <w:tcPr>
            <w:tcW w:w="2122" w:type="dxa"/>
          </w:tcPr>
          <w:p w:rsidR="00257C47" w:rsidRPr="00E66702" w:rsidRDefault="00257C47" w:rsidP="00257C47">
            <w:pPr>
              <w:rPr>
                <w:b/>
              </w:rPr>
            </w:pPr>
            <w:r>
              <w:rPr>
                <w:b/>
              </w:rPr>
              <w:t>Recommendation brought at MTE</w:t>
            </w:r>
          </w:p>
        </w:tc>
        <w:tc>
          <w:tcPr>
            <w:tcW w:w="7628" w:type="dxa"/>
          </w:tcPr>
          <w:p w:rsidR="00257C47" w:rsidRPr="00E66702" w:rsidRDefault="00257C47" w:rsidP="00257C47">
            <w:r>
              <w:t>Status of compliance</w:t>
            </w:r>
          </w:p>
        </w:tc>
      </w:tr>
      <w:tr w:rsidR="007B663F" w:rsidTr="00257C47">
        <w:tc>
          <w:tcPr>
            <w:tcW w:w="2122" w:type="dxa"/>
          </w:tcPr>
          <w:p w:rsidR="007B663F" w:rsidRDefault="007B663F" w:rsidP="00257C47">
            <w:r w:rsidRPr="00E66702">
              <w:rPr>
                <w:b/>
              </w:rPr>
              <w:t>Timely Implementation of a monitoring plan for both Phu Cat and Bien Hoa to check and measure the effectiveness of the containment infrastructures and for the early identification of any residual risk.</w:t>
            </w:r>
          </w:p>
        </w:tc>
        <w:tc>
          <w:tcPr>
            <w:tcW w:w="7628" w:type="dxa"/>
          </w:tcPr>
          <w:p w:rsidR="007B663F" w:rsidRDefault="007B663F" w:rsidP="00257C47">
            <w:r w:rsidRPr="00E66702">
              <w:t>This recommendation has only partially fulfilled.</w:t>
            </w:r>
            <w:r w:rsidRPr="007B663F">
              <w:rPr>
                <w:b/>
              </w:rPr>
              <w:t xml:space="preserve"> </w:t>
            </w:r>
            <w:r>
              <w:t xml:space="preserve">The Czech Republic funded sampling equipment and infrastructures and developed a sampling plan for both the airbases. However, based on the available data and interviews carried out, it seems that, a monitoring plan is not implemented yet and most of the sampling equipment is still unused. The issue is that, whilst the project cooperates with MONRE, the equipment provided by the Czech Republic was eventually handed over to MOD, which is in charge of monitoring the hotspots, and which - based on interviews carried out in November 2014 in Bien Hoa - may have budgetary issues for implementing the monitoring plan. </w:t>
            </w:r>
          </w:p>
          <w:p w:rsidR="007B663F" w:rsidRDefault="007B663F" w:rsidP="00257C47">
            <w:r>
              <w:t xml:space="preserve">It has however to be mentioned that on Jan 2015, data was hand over to Dong </w:t>
            </w:r>
            <w:proofErr w:type="spellStart"/>
            <w:r>
              <w:t>Nai</w:t>
            </w:r>
            <w:proofErr w:type="spellEnd"/>
            <w:r>
              <w:t xml:space="preserve"> Province/Dong </w:t>
            </w:r>
            <w:proofErr w:type="spellStart"/>
            <w:r>
              <w:t>Nai</w:t>
            </w:r>
            <w:proofErr w:type="spellEnd"/>
            <w:r>
              <w:t xml:space="preserve"> DONRE for continuing monitor the area located outside of airbase since 2015. Provincial budget for external monitoring was allocated.</w:t>
            </w:r>
            <w:r w:rsidR="00D74C53" w:rsidRPr="00D74C53">
              <w:t xml:space="preserve"> for 2010 </w:t>
            </w:r>
            <w:r w:rsidR="00D74C53">
              <w:t>–</w:t>
            </w:r>
            <w:r w:rsidR="00D74C53" w:rsidRPr="00D74C53">
              <w:t xml:space="preserve"> 2015</w:t>
            </w:r>
            <w:r w:rsidR="00D74C53">
              <w:t xml:space="preserve"> </w:t>
            </w:r>
            <w:r w:rsidR="00D74C53" w:rsidRPr="00D74C53">
              <w:t xml:space="preserve">following the Provincial Decision No. 1565/QĐ-UBND on the approval </w:t>
            </w:r>
            <w:proofErr w:type="spellStart"/>
            <w:r w:rsidR="00D74C53" w:rsidRPr="00D74C53">
              <w:t>ofthe</w:t>
            </w:r>
            <w:proofErr w:type="spellEnd"/>
            <w:r w:rsidR="00D74C53" w:rsidRPr="00D74C53">
              <w:t xml:space="preserve"> monitoring plan for Bien Hoa and the surrounding area dated June 21st 2010 and likely to be continued in the next term.  </w:t>
            </w:r>
            <w:r>
              <w:t xml:space="preserve"> </w:t>
            </w:r>
          </w:p>
          <w:p w:rsidR="007B663F" w:rsidRDefault="007B663F" w:rsidP="00257C47">
            <w:r>
              <w:t xml:space="preserve">USAID has recently started the environmental assessment in Bien Hoa, including monitoring activity </w:t>
            </w:r>
            <w:sdt>
              <w:sdtPr>
                <w:id w:val="41437868"/>
                <w:citation/>
              </w:sdtPr>
              <w:sdtContent>
                <w:r w:rsidR="00021B43">
                  <w:fldChar w:fldCharType="begin"/>
                </w:r>
                <w:r w:rsidRPr="007B663F">
                  <w:rPr>
                    <w:lang w:val="en-GB"/>
                  </w:rPr>
                  <w:instrText xml:space="preserve"> CITATION USA14 \l 1040 </w:instrText>
                </w:r>
                <w:r w:rsidR="00021B43">
                  <w:fldChar w:fldCharType="separate"/>
                </w:r>
                <w:r w:rsidRPr="007B663F">
                  <w:rPr>
                    <w:noProof/>
                    <w:lang w:val="en-GB"/>
                  </w:rPr>
                  <w:t>(9)</w:t>
                </w:r>
                <w:r w:rsidR="00021B43">
                  <w:fldChar w:fldCharType="end"/>
                </w:r>
              </w:sdtContent>
            </w:sdt>
            <w:r>
              <w:t xml:space="preserve">. Hopefully, handover of operation from the project to the bilateral activity funded by USAID will ensure the proper transmission of information deriving from the monitoring carried out until now. </w:t>
            </w:r>
          </w:p>
          <w:p w:rsidR="007B663F" w:rsidRDefault="007B663F" w:rsidP="00257C47"/>
        </w:tc>
      </w:tr>
      <w:tr w:rsidR="007B663F" w:rsidTr="00257C47">
        <w:tc>
          <w:tcPr>
            <w:tcW w:w="2122" w:type="dxa"/>
          </w:tcPr>
          <w:p w:rsidR="007B663F" w:rsidRPr="00E66702" w:rsidRDefault="007B663F" w:rsidP="00257C47">
            <w:pPr>
              <w:rPr>
                <w:b/>
              </w:rPr>
            </w:pPr>
            <w:r w:rsidRPr="00416C9B">
              <w:rPr>
                <w:b/>
              </w:rPr>
              <w:lastRenderedPageBreak/>
              <w:t>Extension of technology demonstration.</w:t>
            </w:r>
          </w:p>
        </w:tc>
        <w:tc>
          <w:tcPr>
            <w:tcW w:w="7628" w:type="dxa"/>
          </w:tcPr>
          <w:p w:rsidR="007B663F" w:rsidRPr="00E66702" w:rsidRDefault="007B663F" w:rsidP="00257C47">
            <w:r>
              <w:t xml:space="preserve">This activity has been completed, resulting in extensive testing of three technologies, the </w:t>
            </w:r>
            <w:proofErr w:type="spellStart"/>
            <w:r>
              <w:t>Mechano</w:t>
            </w:r>
            <w:proofErr w:type="spellEnd"/>
            <w:r>
              <w:t xml:space="preserve"> Chemical Destruction </w:t>
            </w:r>
            <w:sdt>
              <w:sdtPr>
                <w:id w:val="41437869"/>
                <w:citation/>
              </w:sdtPr>
              <w:sdtContent>
                <w:r w:rsidR="00021B43">
                  <w:fldChar w:fldCharType="begin"/>
                </w:r>
                <w:r w:rsidRPr="00696A5E">
                  <w:rPr>
                    <w:lang w:val="en-GB"/>
                  </w:rPr>
                  <w:instrText xml:space="preserve"> CITATION EDL15 \l 1040 </w:instrText>
                </w:r>
                <w:r w:rsidR="00021B43">
                  <w:fldChar w:fldCharType="separate"/>
                </w:r>
                <w:r w:rsidRPr="00D211C2">
                  <w:rPr>
                    <w:noProof/>
                    <w:lang w:val="en-GB"/>
                  </w:rPr>
                  <w:t>(6)</w:t>
                </w:r>
                <w:r w:rsidR="00021B43">
                  <w:fldChar w:fldCharType="end"/>
                </w:r>
              </w:sdtContent>
            </w:sdt>
            <w:r>
              <w:t xml:space="preserve">, the batch thermal desorption </w:t>
            </w:r>
            <w:sdt>
              <w:sdtPr>
                <w:id w:val="41437870"/>
                <w:citation/>
              </w:sdtPr>
              <w:sdtContent>
                <w:r w:rsidR="00021B43">
                  <w:fldChar w:fldCharType="begin"/>
                </w:r>
                <w:r w:rsidRPr="00696A5E">
                  <w:rPr>
                    <w:lang w:val="en-GB"/>
                  </w:rPr>
                  <w:instrText xml:space="preserve"> CITATION The15 \l 1040 </w:instrText>
                </w:r>
                <w:r w:rsidR="00021B43">
                  <w:fldChar w:fldCharType="separate"/>
                </w:r>
                <w:r w:rsidRPr="00D211C2">
                  <w:rPr>
                    <w:noProof/>
                    <w:lang w:val="en-GB"/>
                  </w:rPr>
                  <w:t>(5)</w:t>
                </w:r>
                <w:r w:rsidR="00021B43">
                  <w:fldChar w:fldCharType="end"/>
                </w:r>
              </w:sdtContent>
            </w:sdt>
            <w:r>
              <w:t xml:space="preserve">  and the chemical-biological destruction </w:t>
            </w:r>
            <w:sdt>
              <w:sdtPr>
                <w:id w:val="41437871"/>
                <w:citation/>
              </w:sdtPr>
              <w:sdtContent>
                <w:r w:rsidR="00021B43">
                  <w:fldChar w:fldCharType="begin"/>
                </w:r>
                <w:r w:rsidRPr="00696A5E">
                  <w:rPr>
                    <w:lang w:val="en-GB"/>
                  </w:rPr>
                  <w:instrText xml:space="preserve"> CITATION HPC15 \l 1040 </w:instrText>
                </w:r>
                <w:r w:rsidR="00021B43">
                  <w:fldChar w:fldCharType="separate"/>
                </w:r>
                <w:r w:rsidRPr="00D211C2">
                  <w:rPr>
                    <w:noProof/>
                    <w:lang w:val="en-GB"/>
                  </w:rPr>
                  <w:t>(4)</w:t>
                </w:r>
                <w:r w:rsidR="00021B43">
                  <w:fldChar w:fldCharType="end"/>
                </w:r>
              </w:sdtContent>
            </w:sdt>
            <w:r>
              <w:t xml:space="preserve">.This </w:t>
            </w:r>
            <w:r w:rsidRPr="00F82163">
              <w:t xml:space="preserve">has to be considered </w:t>
            </w:r>
            <w:r>
              <w:t>one of the biggest</w:t>
            </w:r>
            <w:r w:rsidRPr="00F82163">
              <w:t xml:space="preserve"> achievement of </w:t>
            </w:r>
            <w:r>
              <w:t xml:space="preserve">the </w:t>
            </w:r>
            <w:r w:rsidRPr="00F82163">
              <w:t>project</w:t>
            </w:r>
            <w:r>
              <w:t>. The technology testing activity resulted in data on technology performance made available either for Vietnam itself or for the remediation of sites contaminated by PCDD/F in other countries.</w:t>
            </w:r>
          </w:p>
        </w:tc>
      </w:tr>
      <w:tr w:rsidR="007B663F" w:rsidTr="00257C47">
        <w:tc>
          <w:tcPr>
            <w:tcW w:w="2122" w:type="dxa"/>
          </w:tcPr>
          <w:p w:rsidR="007B663F" w:rsidRPr="00416C9B" w:rsidRDefault="007B663F" w:rsidP="00257C47">
            <w:pPr>
              <w:rPr>
                <w:b/>
              </w:rPr>
            </w:pPr>
            <w:r w:rsidRPr="00416C9B">
              <w:rPr>
                <w:b/>
              </w:rPr>
              <w:t>Securing necessary funds for the completion of containment measures in Bien Hoa as necessary</w:t>
            </w:r>
          </w:p>
        </w:tc>
        <w:tc>
          <w:tcPr>
            <w:tcW w:w="7628" w:type="dxa"/>
          </w:tcPr>
          <w:p w:rsidR="007B663F" w:rsidRDefault="007B663F" w:rsidP="00257C47">
            <w:r>
              <w:t xml:space="preserve">The containment infrastructures in Bien Hoa were completed, therefore this recommendation has been accomplished. As a further recommendation it has to be considered that one of the biggest benefit of the project (the amount of dioxin contained in Bien Hoa and Phu Cat) represents also an outstanding environmental risk if continuation of activities is not ensured after project closure, The amount of dioxin contained by the hydraulic infrastructure and in Phu Cat is absolutely relevant (calculated as a lower-bound estimate in around 610 </w:t>
            </w:r>
            <w:proofErr w:type="spellStart"/>
            <w:r>
              <w:t>gTEq</w:t>
            </w:r>
            <w:proofErr w:type="spellEnd"/>
            <w:r>
              <w:t xml:space="preserve">) therefore, if from one side this represent a significant benefit in term of risk reduction, from the other side it is crucial to establish a maintenance and monitoring plan for the infrastructure in Bien Hoa and to implement the existing monitoring plan exists for the Phu-Cat landfill. This is the main sustainability concern for the whole project after closure. As of now, </w:t>
            </w:r>
            <w:proofErr w:type="spellStart"/>
            <w:r>
              <w:t>GoV</w:t>
            </w:r>
            <w:proofErr w:type="spellEnd"/>
            <w:r w:rsidRPr="00E249E2">
              <w:t xml:space="preserve"> budget for </w:t>
            </w:r>
            <w:r>
              <w:t xml:space="preserve">the </w:t>
            </w:r>
            <w:r w:rsidRPr="00E249E2">
              <w:t xml:space="preserve">monitoring </w:t>
            </w:r>
            <w:r>
              <w:t xml:space="preserve">starting from 2015 outside the airbase </w:t>
            </w:r>
            <w:r w:rsidRPr="00E249E2">
              <w:t xml:space="preserve">by Dong </w:t>
            </w:r>
            <w:proofErr w:type="spellStart"/>
            <w:r w:rsidRPr="00E249E2">
              <w:t>Nai</w:t>
            </w:r>
            <w:proofErr w:type="spellEnd"/>
            <w:r w:rsidRPr="00E249E2">
              <w:t xml:space="preserve">  DONRE </w:t>
            </w:r>
            <w:r>
              <w:t xml:space="preserve">is </w:t>
            </w:r>
            <w:r w:rsidRPr="00E249E2">
              <w:t xml:space="preserve">confirmed, </w:t>
            </w:r>
            <w:r>
              <w:t xml:space="preserve">whereas no information </w:t>
            </w:r>
            <w:r w:rsidRPr="00E249E2">
              <w:t xml:space="preserve">for </w:t>
            </w:r>
            <w:r>
              <w:t xml:space="preserve">monitoring and maintenance of the containment infrastructures </w:t>
            </w:r>
            <w:r w:rsidRPr="00E249E2">
              <w:t xml:space="preserve">inside Bien Hoa airbase </w:t>
            </w:r>
            <w:r>
              <w:t xml:space="preserve">was provided </w:t>
            </w:r>
            <w:r w:rsidRPr="00E249E2">
              <w:t>by MOD</w:t>
            </w:r>
            <w:r>
              <w:t>.</w:t>
            </w:r>
          </w:p>
        </w:tc>
      </w:tr>
      <w:tr w:rsidR="007B663F" w:rsidTr="00257C47">
        <w:tc>
          <w:tcPr>
            <w:tcW w:w="2122" w:type="dxa"/>
          </w:tcPr>
          <w:p w:rsidR="007B663F" w:rsidRPr="00416C9B" w:rsidRDefault="007B663F" w:rsidP="00257C47">
            <w:pPr>
              <w:rPr>
                <w:b/>
              </w:rPr>
            </w:pPr>
            <w:r w:rsidRPr="00DA3E75">
              <w:rPr>
                <w:b/>
                <w:lang w:val="en-GB" w:bidi="ar-SA"/>
              </w:rPr>
              <w:t xml:space="preserve">Report, by means of an approach as much as possible quantitative, project achievement particularly highlighting PCDD/F </w:t>
            </w:r>
            <w:r>
              <w:rPr>
                <w:b/>
                <w:lang w:val="en-GB" w:bidi="ar-SA"/>
              </w:rPr>
              <w:t>source reduction and the associated benefit for the human health and the environment.</w:t>
            </w:r>
          </w:p>
        </w:tc>
        <w:tc>
          <w:tcPr>
            <w:tcW w:w="7628" w:type="dxa"/>
          </w:tcPr>
          <w:p w:rsidR="007B663F" w:rsidRPr="007B663F" w:rsidRDefault="007B663F" w:rsidP="00257C47">
            <w:pPr>
              <w:rPr>
                <w:b/>
                <w:lang w:val="en-GB" w:bidi="ar-SA"/>
              </w:rPr>
            </w:pPr>
            <w:r w:rsidRPr="007B663F">
              <w:rPr>
                <w:lang w:val="en-GB" w:bidi="ar-SA"/>
              </w:rPr>
              <w:t xml:space="preserve">The report has been completed by Hatfield consultants. The report contain limited quantitative information related to PCDD/F source reduction - indeed the information provided is mostly based on undisclosed monitoring data stored in the Hatfield - USAID database. </w:t>
            </w:r>
          </w:p>
        </w:tc>
      </w:tr>
      <w:tr w:rsidR="007B663F" w:rsidTr="00257C47">
        <w:tc>
          <w:tcPr>
            <w:tcW w:w="2122" w:type="dxa"/>
          </w:tcPr>
          <w:p w:rsidR="007B663F" w:rsidRPr="00DA3E75" w:rsidRDefault="007B663F" w:rsidP="00257C47">
            <w:pPr>
              <w:rPr>
                <w:b/>
                <w:lang w:val="en-GB" w:bidi="ar-SA"/>
              </w:rPr>
            </w:pPr>
            <w:r w:rsidRPr="00416C9B">
              <w:rPr>
                <w:b/>
                <w:lang w:val="en-GB"/>
              </w:rPr>
              <w:t>Guidance document on the me</w:t>
            </w:r>
            <w:r w:rsidRPr="00642459">
              <w:rPr>
                <w:b/>
                <w:lang w:val="en-GB"/>
              </w:rPr>
              <w:t>thodology for testing and procuring remediation technologies</w:t>
            </w:r>
            <w:r w:rsidRPr="00642459">
              <w:rPr>
                <w:b/>
              </w:rPr>
              <w:t>, to be compliant with the Stockholm Convention and the country environmental legislation</w:t>
            </w:r>
          </w:p>
        </w:tc>
        <w:tc>
          <w:tcPr>
            <w:tcW w:w="7628" w:type="dxa"/>
          </w:tcPr>
          <w:p w:rsidR="007B663F" w:rsidRDefault="00642459" w:rsidP="00257C47">
            <w:r>
              <w:t>The draft guidance document has been completed.</w:t>
            </w:r>
          </w:p>
        </w:tc>
      </w:tr>
      <w:tr w:rsidR="00642459" w:rsidTr="00752ABE">
        <w:tc>
          <w:tcPr>
            <w:tcW w:w="2122" w:type="dxa"/>
            <w:shd w:val="clear" w:color="auto" w:fill="auto"/>
          </w:tcPr>
          <w:p w:rsidR="00642459" w:rsidRPr="00416C9B" w:rsidRDefault="00642459" w:rsidP="00257C47">
            <w:pPr>
              <w:rPr>
                <w:b/>
                <w:lang w:val="en-GB"/>
              </w:rPr>
            </w:pPr>
            <w:r w:rsidRPr="00752ABE">
              <w:rPr>
                <w:lang w:val="en-GB"/>
              </w:rPr>
              <w:t xml:space="preserve">While the available timeframe is short (16 months), the communication plan with 67 activities seemed rather ambitious. The </w:t>
            </w:r>
            <w:r w:rsidRPr="00752ABE">
              <w:rPr>
                <w:lang w:val="en-GB"/>
              </w:rPr>
              <w:lastRenderedPageBreak/>
              <w:t xml:space="preserve">project should consider strategic activities for implementation, with proper attention on activities targeting local communities. </w:t>
            </w:r>
          </w:p>
        </w:tc>
        <w:tc>
          <w:tcPr>
            <w:tcW w:w="7628" w:type="dxa"/>
            <w:shd w:val="clear" w:color="auto" w:fill="auto"/>
          </w:tcPr>
          <w:p w:rsidR="00642459" w:rsidRDefault="00752ABE" w:rsidP="00541ABC">
            <w:r w:rsidRPr="00752ABE">
              <w:lastRenderedPageBreak/>
              <w:t>Communication ac</w:t>
            </w:r>
            <w:r w:rsidR="00541ABC">
              <w:t>tivities were implemented with</w:t>
            </w:r>
            <w:r w:rsidRPr="00752ABE">
              <w:t xml:space="preserve"> a narrow budget, focusing in the popul</w:t>
            </w:r>
            <w:r w:rsidR="00541ABC">
              <w:t xml:space="preserve">ation in Bien Hoa only. While </w:t>
            </w:r>
            <w:r w:rsidRPr="00752ABE">
              <w:t>more than 90% of the survey</w:t>
            </w:r>
            <w:r w:rsidR="00541ABC">
              <w:t>ed</w:t>
            </w:r>
            <w:r w:rsidRPr="00752ABE">
              <w:t xml:space="preserve"> population reported a general understanding about the harmful impact of dioxin, the understanding on remedies for local population (including prevention of harmful exposure, policy for contaminated populations and governmental agencies in charge of the issue) </w:t>
            </w:r>
            <w:r w:rsidR="00541ABC">
              <w:t xml:space="preserve">varied. In Bien Hoa, were </w:t>
            </w:r>
            <w:r w:rsidRPr="00752ABE">
              <w:t>hig</w:t>
            </w:r>
            <w:r w:rsidR="00541ABC">
              <w:t>her communication frequency was ensured</w:t>
            </w:r>
            <w:r w:rsidRPr="00752ABE">
              <w:t>, about 90% of the survey</w:t>
            </w:r>
            <w:r w:rsidR="00541ABC">
              <w:t>ed</w:t>
            </w:r>
            <w:r w:rsidRPr="00752ABE">
              <w:t xml:space="preserve"> population showed awareness on </w:t>
            </w:r>
            <w:r w:rsidRPr="00752ABE">
              <w:lastRenderedPageBreak/>
              <w:t xml:space="preserve">prevention measures, 80-75% knew about relevant policies, and 30 – 45% </w:t>
            </w:r>
            <w:r w:rsidR="00541ABC">
              <w:t xml:space="preserve">was </w:t>
            </w:r>
            <w:r w:rsidRPr="00752ABE">
              <w:t xml:space="preserve">not aware of the agency in charge of the issues. In Binh Dinh </w:t>
            </w:r>
            <w:r w:rsidR="00541ABC">
              <w:t xml:space="preserve">where </w:t>
            </w:r>
            <w:r w:rsidRPr="00752ABE">
              <w:t xml:space="preserve">communication </w:t>
            </w:r>
            <w:r w:rsidR="00541ABC" w:rsidRPr="00752ABE">
              <w:t>activities</w:t>
            </w:r>
            <w:r w:rsidR="00541ABC">
              <w:t xml:space="preserve"> were limited</w:t>
            </w:r>
            <w:r w:rsidRPr="00752ABE">
              <w:t xml:space="preserve">, the level of unawareness among surveyed population was rather high: more than 90% did not know about prevention, 50% </w:t>
            </w:r>
            <w:r w:rsidR="00541ABC">
              <w:t xml:space="preserve">was </w:t>
            </w:r>
            <w:r w:rsidRPr="00752ABE">
              <w:t xml:space="preserve">not aware of relevant policies for </w:t>
            </w:r>
            <w:r w:rsidR="00541ABC">
              <w:t>people affected</w:t>
            </w:r>
            <w:r w:rsidRPr="00752ABE">
              <w:t>, and more than 90% did not aware about the agency in charge of dioxin remediation.</w:t>
            </w:r>
          </w:p>
        </w:tc>
      </w:tr>
    </w:tbl>
    <w:p w:rsidR="00803824" w:rsidRDefault="00803824" w:rsidP="00803824">
      <w:pPr>
        <w:pStyle w:val="Heading1"/>
      </w:pPr>
      <w:bookmarkStart w:id="17" w:name="_Toc417120265"/>
      <w:r>
        <w:lastRenderedPageBreak/>
        <w:t>Acronyms and abbreviation</w:t>
      </w:r>
      <w:bookmarkEnd w:id="17"/>
    </w:p>
    <w:p w:rsidR="00803824" w:rsidRDefault="00803824" w:rsidP="00A971D6">
      <w:pPr>
        <w:jc w:val="both"/>
      </w:pPr>
    </w:p>
    <w:tbl>
      <w:tblPr>
        <w:tblW w:w="9652" w:type="dxa"/>
        <w:tblInd w:w="57" w:type="dxa"/>
        <w:tblCellMar>
          <w:left w:w="70" w:type="dxa"/>
          <w:right w:w="70" w:type="dxa"/>
        </w:tblCellMar>
        <w:tblLook w:val="04A0"/>
      </w:tblPr>
      <w:tblGrid>
        <w:gridCol w:w="1573"/>
        <w:gridCol w:w="8079"/>
      </w:tblGrid>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CO</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en-GB" w:eastAsia="it-IT" w:bidi="ar-SA"/>
              </w:rPr>
              <w:t>Country Office</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DOH</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en-GB" w:eastAsia="it-IT" w:bidi="ar-SA"/>
              </w:rPr>
              <w:t>Department of Health</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DONRE</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en-GB" w:eastAsia="it-IT" w:bidi="ar-SA"/>
              </w:rPr>
            </w:pPr>
            <w:r w:rsidRPr="00F950FD">
              <w:rPr>
                <w:rFonts w:eastAsia="Times New Roman"/>
                <w:color w:val="000000"/>
                <w:lang w:val="en-GB" w:eastAsia="it-IT" w:bidi="ar-SA"/>
              </w:rPr>
              <w:t>Department of Natural Resources and Environment</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GEF</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Global Environmental Facility</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I-</w:t>
            </w:r>
            <w:proofErr w:type="spellStart"/>
            <w:r w:rsidRPr="00F950FD">
              <w:rPr>
                <w:rFonts w:eastAsia="Times New Roman"/>
                <w:color w:val="000000"/>
                <w:lang w:eastAsia="it-IT" w:bidi="ar-SA"/>
              </w:rPr>
              <w:t>TEq</w:t>
            </w:r>
            <w:proofErr w:type="spellEnd"/>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International Toxic Equivalent</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M &amp; E</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en-GB" w:eastAsia="it-IT" w:bidi="ar-SA"/>
              </w:rPr>
              <w:t>Monitoring and Evaluation</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MOD</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en-GB" w:eastAsia="it-IT" w:bidi="ar-SA"/>
              </w:rPr>
              <w:t>Ministry of Defence</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MONRE</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en-GB" w:eastAsia="it-IT" w:bidi="ar-SA"/>
              </w:rPr>
            </w:pPr>
            <w:r w:rsidRPr="00F950FD">
              <w:rPr>
                <w:rFonts w:eastAsia="Times New Roman"/>
                <w:color w:val="000000"/>
                <w:lang w:val="en-GB" w:eastAsia="it-IT" w:bidi="ar-SA"/>
              </w:rPr>
              <w:t>Ministry of Natural Resource and Environment</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Pr>
                <w:rFonts w:eastAsia="Times New Roman"/>
                <w:color w:val="000000"/>
                <w:lang w:val="it-IT" w:eastAsia="it-IT" w:bidi="ar-SA"/>
              </w:rPr>
              <w:t>MTE</w:t>
            </w:r>
          </w:p>
        </w:tc>
        <w:tc>
          <w:tcPr>
            <w:tcW w:w="8079" w:type="dxa"/>
            <w:shd w:val="clear" w:color="auto" w:fill="auto"/>
            <w:hideMark/>
          </w:tcPr>
          <w:p w:rsidR="00F950FD" w:rsidRPr="00F950FD" w:rsidRDefault="00070F1B" w:rsidP="00A971D6">
            <w:pPr>
              <w:autoSpaceDE/>
              <w:autoSpaceDN/>
              <w:adjustRightInd/>
              <w:spacing w:before="0" w:after="0" w:line="240" w:lineRule="auto"/>
              <w:jc w:val="both"/>
              <w:rPr>
                <w:rFonts w:eastAsia="Times New Roman"/>
                <w:color w:val="000000"/>
                <w:lang w:val="en-GB" w:eastAsia="it-IT" w:bidi="ar-SA"/>
              </w:rPr>
            </w:pPr>
            <w:r>
              <w:rPr>
                <w:rFonts w:eastAsia="Times New Roman"/>
                <w:color w:val="000000"/>
                <w:lang w:val="en-GB" w:eastAsia="it-IT" w:bidi="ar-SA"/>
              </w:rPr>
              <w:t>Mid-term</w:t>
            </w:r>
            <w:r w:rsidR="00F950FD">
              <w:rPr>
                <w:rFonts w:eastAsia="Times New Roman"/>
                <w:color w:val="000000"/>
                <w:lang w:val="en-GB" w:eastAsia="it-IT" w:bidi="ar-SA"/>
              </w:rPr>
              <w:t xml:space="preserve"> </w:t>
            </w:r>
            <w:proofErr w:type="spellStart"/>
            <w:r w:rsidR="00F950FD">
              <w:rPr>
                <w:rFonts w:eastAsia="Times New Roman"/>
                <w:color w:val="000000"/>
                <w:lang w:val="en-GB" w:eastAsia="it-IT" w:bidi="ar-SA"/>
              </w:rPr>
              <w:t>Evaluatio</w:t>
            </w:r>
            <w:proofErr w:type="spellEnd"/>
          </w:p>
        </w:tc>
      </w:tr>
      <w:tr w:rsidR="00F950FD" w:rsidRPr="007B663F"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PCDD/F</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Polichloro Dibenzio para Dioxins and Furans</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eastAsia="it-IT" w:bidi="ar-SA"/>
              </w:rPr>
            </w:pPr>
            <w:r>
              <w:rPr>
                <w:rFonts w:eastAsia="Times New Roman"/>
                <w:color w:val="000000"/>
                <w:lang w:eastAsia="it-IT" w:bidi="ar-SA"/>
              </w:rPr>
              <w:t>PMU</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eastAsia="it-IT" w:bidi="ar-SA"/>
              </w:rPr>
            </w:pPr>
            <w:r>
              <w:rPr>
                <w:rFonts w:eastAsia="Times New Roman"/>
                <w:color w:val="000000"/>
                <w:lang w:eastAsia="it-IT" w:bidi="ar-SA"/>
              </w:rPr>
              <w:t>Project Management Unit</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POPs</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Persistent Organic Pollutants</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TCDD</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proofErr w:type="spellStart"/>
            <w:r w:rsidRPr="00F950FD">
              <w:rPr>
                <w:rFonts w:eastAsia="Times New Roman"/>
                <w:color w:val="000000"/>
                <w:lang w:eastAsia="it-IT" w:bidi="ar-SA"/>
              </w:rPr>
              <w:t>Tetrachloro</w:t>
            </w:r>
            <w:proofErr w:type="spellEnd"/>
            <w:r w:rsidRPr="00F950FD">
              <w:rPr>
                <w:rFonts w:eastAsia="Times New Roman"/>
                <w:color w:val="000000"/>
                <w:lang w:eastAsia="it-IT" w:bidi="ar-SA"/>
              </w:rPr>
              <w:t xml:space="preserve"> </w:t>
            </w:r>
            <w:proofErr w:type="spellStart"/>
            <w:r w:rsidRPr="00F950FD">
              <w:rPr>
                <w:rFonts w:eastAsia="Times New Roman"/>
                <w:color w:val="000000"/>
                <w:lang w:eastAsia="it-IT" w:bidi="ar-SA"/>
              </w:rPr>
              <w:t>Dibenzo</w:t>
            </w:r>
            <w:proofErr w:type="spellEnd"/>
            <w:r w:rsidRPr="00F950FD">
              <w:rPr>
                <w:rFonts w:eastAsia="Times New Roman"/>
                <w:color w:val="000000"/>
                <w:lang w:eastAsia="it-IT" w:bidi="ar-SA"/>
              </w:rPr>
              <w:t xml:space="preserve"> </w:t>
            </w:r>
            <w:proofErr w:type="spellStart"/>
            <w:r w:rsidRPr="00F950FD">
              <w:rPr>
                <w:rFonts w:eastAsia="Times New Roman"/>
                <w:color w:val="000000"/>
                <w:lang w:eastAsia="it-IT" w:bidi="ar-SA"/>
              </w:rPr>
              <w:t>para</w:t>
            </w:r>
            <w:proofErr w:type="spellEnd"/>
            <w:r w:rsidRPr="00F950FD">
              <w:rPr>
                <w:rFonts w:eastAsia="Times New Roman"/>
                <w:color w:val="000000"/>
                <w:lang w:eastAsia="it-IT" w:bidi="ar-SA"/>
              </w:rPr>
              <w:t xml:space="preserve"> Dioxin</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TOR</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en-GB" w:eastAsia="it-IT" w:bidi="ar-SA"/>
              </w:rPr>
              <w:t>Term of Reference</w:t>
            </w:r>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UNDP</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eastAsia="it-IT" w:bidi="ar-SA"/>
              </w:rPr>
              <w:t xml:space="preserve">United Nations Development </w:t>
            </w:r>
            <w:proofErr w:type="spellStart"/>
            <w:r w:rsidRPr="00F950FD">
              <w:rPr>
                <w:rFonts w:eastAsia="Times New Roman"/>
                <w:color w:val="000000"/>
                <w:lang w:eastAsia="it-IT" w:bidi="ar-SA"/>
              </w:rPr>
              <w:t>Programme</w:t>
            </w:r>
            <w:proofErr w:type="spellEnd"/>
          </w:p>
        </w:tc>
      </w:tr>
      <w:tr w:rsidR="00F950FD" w:rsidRPr="00F950FD" w:rsidTr="008418D1">
        <w:trPr>
          <w:trHeight w:val="315"/>
        </w:trPr>
        <w:tc>
          <w:tcPr>
            <w:tcW w:w="1573"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it-IT" w:eastAsia="it-IT" w:bidi="ar-SA"/>
              </w:rPr>
            </w:pPr>
            <w:r w:rsidRPr="00F950FD">
              <w:rPr>
                <w:rFonts w:eastAsia="Times New Roman"/>
                <w:color w:val="000000"/>
                <w:lang w:val="it-IT" w:eastAsia="it-IT" w:bidi="ar-SA"/>
              </w:rPr>
              <w:t>US EPA</w:t>
            </w:r>
          </w:p>
        </w:tc>
        <w:tc>
          <w:tcPr>
            <w:tcW w:w="8079" w:type="dxa"/>
            <w:shd w:val="clear" w:color="auto" w:fill="auto"/>
            <w:hideMark/>
          </w:tcPr>
          <w:p w:rsidR="00F950FD" w:rsidRPr="00F950FD" w:rsidRDefault="00F950FD" w:rsidP="00A971D6">
            <w:pPr>
              <w:autoSpaceDE/>
              <w:autoSpaceDN/>
              <w:adjustRightInd/>
              <w:spacing w:before="0" w:after="0" w:line="240" w:lineRule="auto"/>
              <w:jc w:val="both"/>
              <w:rPr>
                <w:rFonts w:eastAsia="Times New Roman"/>
                <w:color w:val="000000"/>
                <w:lang w:val="en-GB" w:eastAsia="it-IT" w:bidi="ar-SA"/>
              </w:rPr>
            </w:pPr>
            <w:r w:rsidRPr="00F950FD">
              <w:rPr>
                <w:rFonts w:eastAsia="Times New Roman"/>
                <w:color w:val="000000"/>
                <w:lang w:val="en-GB" w:eastAsia="it-IT" w:bidi="ar-SA"/>
              </w:rPr>
              <w:t>United States Environmental Protection Agency</w:t>
            </w:r>
          </w:p>
        </w:tc>
      </w:tr>
    </w:tbl>
    <w:p w:rsidR="00290DF0" w:rsidRDefault="00290DF0" w:rsidP="00290DF0">
      <w:pPr>
        <w:pStyle w:val="ListParagraph"/>
        <w:ind w:left="1440"/>
      </w:pPr>
    </w:p>
    <w:p w:rsidR="00104048" w:rsidRDefault="00104048" w:rsidP="00A971D6">
      <w:pPr>
        <w:autoSpaceDE/>
        <w:autoSpaceDN/>
        <w:adjustRightInd/>
        <w:spacing w:before="200" w:after="200"/>
        <w:jc w:val="both"/>
        <w:rPr>
          <w:lang w:val="en-GB"/>
        </w:rPr>
      </w:pPr>
      <w:r>
        <w:rPr>
          <w:lang w:val="en-GB"/>
        </w:rPr>
        <w:br w:type="page"/>
      </w:r>
    </w:p>
    <w:p w:rsidR="00BA3CCB" w:rsidRPr="00BA3CCB" w:rsidRDefault="00BA3CCB" w:rsidP="00BA3CCB">
      <w:pPr>
        <w:pStyle w:val="Heading1"/>
      </w:pPr>
      <w:bookmarkStart w:id="18" w:name="_Toc417120281"/>
      <w:r w:rsidRPr="00BA3CCB">
        <w:lastRenderedPageBreak/>
        <w:t>Conclusions, Recommendations &amp; Lessons</w:t>
      </w:r>
      <w:bookmarkEnd w:id="18"/>
    </w:p>
    <w:p w:rsidR="007E7867" w:rsidRDefault="007E7867" w:rsidP="007E7867">
      <w:pPr>
        <w:pStyle w:val="Heading2"/>
      </w:pPr>
      <w:bookmarkStart w:id="19" w:name="_Toc417120282"/>
      <w:r w:rsidRPr="00BA3CCB">
        <w:t>Actions to follow up or reinforce initial benefits from the project</w:t>
      </w:r>
      <w:bookmarkEnd w:id="19"/>
    </w:p>
    <w:p w:rsidR="00714B95" w:rsidRDefault="00714B95" w:rsidP="00714B95">
      <w:pPr>
        <w:pStyle w:val="Heading3"/>
      </w:pPr>
      <w:r>
        <w:t>Actions aimed at ensuring susta</w:t>
      </w:r>
      <w:r w:rsidR="007E7867">
        <w:t xml:space="preserve">inability of project </w:t>
      </w:r>
      <w:r w:rsidR="00D24D63">
        <w:t>infrastructures and monitoring</w:t>
      </w:r>
      <w:r w:rsidR="007E7867">
        <w:t>.</w:t>
      </w:r>
    </w:p>
    <w:p w:rsidR="007E7867" w:rsidRDefault="007E7867" w:rsidP="00A971D6">
      <w:pPr>
        <w:jc w:val="both"/>
        <w:rPr>
          <w:lang w:val="en-GB" w:bidi="ar-SA"/>
        </w:rPr>
      </w:pPr>
      <w:r>
        <w:rPr>
          <w:lang w:val="en-GB" w:bidi="ar-SA"/>
        </w:rPr>
        <w:t>Based on the outcomes of site visit and interviews, there are some risks for the sustainability and continuation of project benefits which should be properly addressed. As the project is completed, these recommendation</w:t>
      </w:r>
      <w:r w:rsidR="00A00C5E">
        <w:rPr>
          <w:lang w:val="en-GB" w:bidi="ar-SA"/>
        </w:rPr>
        <w:t>s</w:t>
      </w:r>
      <w:r>
        <w:rPr>
          <w:lang w:val="en-GB" w:bidi="ar-SA"/>
        </w:rPr>
        <w:t xml:space="preserve"> are intended for the handing over step of </w:t>
      </w:r>
      <w:r w:rsidR="00A00C5E">
        <w:rPr>
          <w:lang w:val="en-GB" w:bidi="ar-SA"/>
        </w:rPr>
        <w:t xml:space="preserve">the </w:t>
      </w:r>
      <w:r>
        <w:rPr>
          <w:lang w:val="en-GB" w:bidi="ar-SA"/>
        </w:rPr>
        <w:t xml:space="preserve">project to the government of Vietnam, and / or future partners </w:t>
      </w:r>
    </w:p>
    <w:p w:rsidR="007E7867" w:rsidRDefault="007E7867" w:rsidP="00A971D6">
      <w:pPr>
        <w:jc w:val="both"/>
        <w:rPr>
          <w:lang w:val="en-GB" w:bidi="ar-SA"/>
        </w:rPr>
      </w:pPr>
      <w:r>
        <w:rPr>
          <w:lang w:val="en-GB" w:bidi="ar-SA"/>
        </w:rPr>
        <w:t xml:space="preserve">First of all, there is the need to ensure the maintenance of infrastructures </w:t>
      </w:r>
      <w:r w:rsidR="00A00C5E">
        <w:rPr>
          <w:lang w:val="en-GB" w:bidi="ar-SA"/>
        </w:rPr>
        <w:t xml:space="preserve">for </w:t>
      </w:r>
      <w:r w:rsidR="007619B5">
        <w:rPr>
          <w:lang w:val="en-GB" w:bidi="ar-SA"/>
        </w:rPr>
        <w:t xml:space="preserve">the containment of dioxin contamination. Although the containment measures implemented by the project are temporary, the time necessary for a complete decontamination of the site may be long: therefore proper </w:t>
      </w:r>
      <w:r w:rsidR="00E77FCE">
        <w:rPr>
          <w:lang w:val="en-GB" w:bidi="ar-SA"/>
        </w:rPr>
        <w:t xml:space="preserve">efforts </w:t>
      </w:r>
      <w:r w:rsidR="00A00C5E">
        <w:rPr>
          <w:lang w:val="en-GB" w:bidi="ar-SA"/>
        </w:rPr>
        <w:t xml:space="preserve">to </w:t>
      </w:r>
      <w:r w:rsidR="007619B5">
        <w:rPr>
          <w:lang w:val="en-GB" w:bidi="ar-SA"/>
        </w:rPr>
        <w:t>ensur</w:t>
      </w:r>
      <w:r w:rsidR="00A00C5E">
        <w:rPr>
          <w:lang w:val="en-GB" w:bidi="ar-SA"/>
        </w:rPr>
        <w:t>e</w:t>
      </w:r>
      <w:r w:rsidR="007619B5">
        <w:rPr>
          <w:lang w:val="en-GB" w:bidi="ar-SA"/>
        </w:rPr>
        <w:t xml:space="preserve"> the functionality of these </w:t>
      </w:r>
      <w:r w:rsidR="001A67BE">
        <w:rPr>
          <w:lang w:val="en-GB" w:bidi="ar-SA"/>
        </w:rPr>
        <w:t>infrastructures are</w:t>
      </w:r>
      <w:r w:rsidR="00A00C5E">
        <w:rPr>
          <w:lang w:val="en-GB" w:bidi="ar-SA"/>
        </w:rPr>
        <w:t xml:space="preserve"> a key requirements for </w:t>
      </w:r>
      <w:r w:rsidR="00E77FCE">
        <w:rPr>
          <w:lang w:val="en-GB" w:bidi="ar-SA"/>
        </w:rPr>
        <w:t xml:space="preserve">securing </w:t>
      </w:r>
      <w:r w:rsidR="00A00C5E">
        <w:rPr>
          <w:lang w:val="en-GB" w:bidi="ar-SA"/>
        </w:rPr>
        <w:t>the continuation of project benefits.</w:t>
      </w:r>
    </w:p>
    <w:p w:rsidR="00A00C5E" w:rsidRDefault="00A00C5E" w:rsidP="00A971D6">
      <w:pPr>
        <w:jc w:val="both"/>
        <w:rPr>
          <w:lang w:val="en-GB" w:bidi="ar-SA"/>
        </w:rPr>
      </w:pPr>
      <w:r>
        <w:rPr>
          <w:lang w:val="en-GB" w:bidi="ar-SA"/>
        </w:rPr>
        <w:t xml:space="preserve">In Bien Hoa the containment infrastructures are mostly hydraulic infrastructures aimed at preventing rainfall runoff water from flowing through the most contaminates area (the Pacer Ivy are), and small dams and catchments aimed at facilitating the settling of contaminated sediment whilst allowing water - purified from the sediment - to leave the area. The main risk for </w:t>
      </w:r>
      <w:r w:rsidR="001C186D">
        <w:rPr>
          <w:lang w:val="en-GB" w:bidi="ar-SA"/>
        </w:rPr>
        <w:t>this infrastructure</w:t>
      </w:r>
      <w:r>
        <w:rPr>
          <w:lang w:val="en-GB" w:bidi="ar-SA"/>
        </w:rPr>
        <w:t xml:space="preserve"> is </w:t>
      </w:r>
      <w:r w:rsidR="001C186D">
        <w:rPr>
          <w:lang w:val="en-GB" w:bidi="ar-SA"/>
        </w:rPr>
        <w:t xml:space="preserve">the </w:t>
      </w:r>
      <w:r>
        <w:rPr>
          <w:lang w:val="en-GB" w:bidi="ar-SA"/>
        </w:rPr>
        <w:t xml:space="preserve">clogging of the channels due to deposition transportation of branches, leaves and bushes, and the gradual filling of the catchment basins due to the solid transport with water runoff. The channels should be cleaned after each rainfall period - at least 3 or 4 times per years; the level of sedimentation in the catchments should instead be measured regularly, and once a certain level is reached, the bottom sediment should be dragged out, measured for the content of PCDD/F, and stored - </w:t>
      </w:r>
      <w:proofErr w:type="spellStart"/>
      <w:r>
        <w:rPr>
          <w:lang w:val="en-GB" w:bidi="ar-SA"/>
        </w:rPr>
        <w:t>landfilled</w:t>
      </w:r>
      <w:proofErr w:type="spellEnd"/>
      <w:r>
        <w:rPr>
          <w:lang w:val="en-GB" w:bidi="ar-SA"/>
        </w:rPr>
        <w:t xml:space="preserve">. </w:t>
      </w:r>
    </w:p>
    <w:p w:rsidR="00A00C5E" w:rsidRDefault="00A00C5E" w:rsidP="00A971D6">
      <w:pPr>
        <w:jc w:val="both"/>
        <w:rPr>
          <w:lang w:val="en-GB" w:bidi="ar-SA"/>
        </w:rPr>
      </w:pPr>
      <w:r>
        <w:rPr>
          <w:lang w:val="en-GB" w:bidi="ar-SA"/>
        </w:rPr>
        <w:t xml:space="preserve">In Phu Cat, as the landfills is equipped with a  system for sampling the </w:t>
      </w:r>
      <w:r w:rsidR="00771BD5">
        <w:rPr>
          <w:rFonts w:ascii="Microsoft Sans Serif" w:hAnsi="Microsoft Sans Serif" w:cs="Microsoft Sans Serif"/>
          <w:color w:val="000000"/>
          <w:lang w:val="zh-CN" w:bidi="ar-SA"/>
        </w:rPr>
        <w:t>leakage</w:t>
      </w:r>
      <w:r>
        <w:rPr>
          <w:lang w:val="en-GB" w:bidi="ar-SA"/>
        </w:rPr>
        <w:t xml:space="preserve">, periodical sampling </w:t>
      </w:r>
      <w:r w:rsidR="008A6254">
        <w:rPr>
          <w:lang w:val="en-GB" w:bidi="ar-SA"/>
        </w:rPr>
        <w:t xml:space="preserve">and analysis </w:t>
      </w:r>
      <w:r>
        <w:rPr>
          <w:lang w:val="en-GB" w:bidi="ar-SA"/>
        </w:rPr>
        <w:t xml:space="preserve">of the </w:t>
      </w:r>
      <w:r w:rsidR="00771BD5">
        <w:rPr>
          <w:rFonts w:ascii="Microsoft Sans Serif" w:hAnsi="Microsoft Sans Serif" w:cs="Microsoft Sans Serif"/>
          <w:color w:val="000000"/>
          <w:lang w:val="zh-CN" w:bidi="ar-SA"/>
        </w:rPr>
        <w:t>leakage</w:t>
      </w:r>
      <w:r>
        <w:rPr>
          <w:lang w:val="en-GB" w:bidi="ar-SA"/>
        </w:rPr>
        <w:t xml:space="preserve"> </w:t>
      </w:r>
      <w:r w:rsidR="008A6254">
        <w:rPr>
          <w:lang w:val="en-GB" w:bidi="ar-SA"/>
        </w:rPr>
        <w:t xml:space="preserve">should be carried out. An increase in the </w:t>
      </w:r>
      <w:r w:rsidR="009D2867">
        <w:rPr>
          <w:lang w:val="en-GB" w:bidi="ar-SA"/>
        </w:rPr>
        <w:t xml:space="preserve">dioxin level of the </w:t>
      </w:r>
      <w:r w:rsidR="00771BD5">
        <w:rPr>
          <w:rFonts w:ascii="Microsoft Sans Serif" w:hAnsi="Microsoft Sans Serif" w:cs="Microsoft Sans Serif"/>
          <w:color w:val="000000"/>
          <w:lang w:val="zh-CN" w:bidi="ar-SA"/>
        </w:rPr>
        <w:t>leakage</w:t>
      </w:r>
      <w:r w:rsidR="008A6254">
        <w:rPr>
          <w:lang w:val="en-GB" w:bidi="ar-SA"/>
        </w:rPr>
        <w:t xml:space="preserve"> </w:t>
      </w:r>
      <w:r w:rsidR="00771BD5">
        <w:rPr>
          <w:lang w:val="en-GB" w:bidi="ar-SA"/>
        </w:rPr>
        <w:t xml:space="preserve">(if any) </w:t>
      </w:r>
      <w:r w:rsidR="009D2867">
        <w:rPr>
          <w:lang w:val="en-GB" w:bidi="ar-SA"/>
        </w:rPr>
        <w:t xml:space="preserve">should be interpreted as a symptom of breaking of one or more of the landfill impermeable layer, and in this case, confirmatory </w:t>
      </w:r>
      <w:r w:rsidR="001A67BE">
        <w:rPr>
          <w:lang w:val="en-GB" w:bidi="ar-SA"/>
        </w:rPr>
        <w:t>analysis and</w:t>
      </w:r>
      <w:r w:rsidR="009D2867">
        <w:rPr>
          <w:lang w:val="en-GB" w:bidi="ar-SA"/>
        </w:rPr>
        <w:t xml:space="preserve"> an emergency plan should be conducted. The sampling of the </w:t>
      </w:r>
      <w:r w:rsidR="00771BD5">
        <w:rPr>
          <w:rFonts w:ascii="Microsoft Sans Serif" w:hAnsi="Microsoft Sans Serif" w:cs="Microsoft Sans Serif"/>
          <w:color w:val="000000"/>
          <w:lang w:val="zh-CN" w:bidi="ar-SA"/>
        </w:rPr>
        <w:t>leakage</w:t>
      </w:r>
      <w:r w:rsidR="00771BD5">
        <w:rPr>
          <w:rFonts w:ascii="Microsoft Sans Serif" w:hAnsi="Microsoft Sans Serif" w:cs="Microsoft Sans Serif"/>
          <w:color w:val="000000"/>
          <w:lang w:bidi="ar-SA"/>
        </w:rPr>
        <w:t xml:space="preserve"> </w:t>
      </w:r>
      <w:r w:rsidR="009D2867">
        <w:rPr>
          <w:lang w:val="en-GB" w:bidi="ar-SA"/>
        </w:rPr>
        <w:t xml:space="preserve">is the most immediate measure for checking the integrity of the landfill: due to the extremely low mobility of PCDDF in soil, PCDD concentration in groundwater could build up very slowly after a breaking in the landfill and therefore, although necessary, it is not the most effective way to monitor landfill integrity. </w:t>
      </w:r>
    </w:p>
    <w:p w:rsidR="009D2867" w:rsidRDefault="009D2867" w:rsidP="00A971D6">
      <w:pPr>
        <w:jc w:val="both"/>
        <w:rPr>
          <w:lang w:val="en-GB" w:bidi="ar-SA"/>
        </w:rPr>
      </w:pPr>
      <w:r>
        <w:rPr>
          <w:lang w:val="en-GB" w:bidi="ar-SA"/>
        </w:rPr>
        <w:t xml:space="preserve">Based on interviews, it seems that there </w:t>
      </w:r>
      <w:r w:rsidR="007F457F">
        <w:rPr>
          <w:lang w:val="en-GB" w:bidi="ar-SA"/>
        </w:rPr>
        <w:t xml:space="preserve">may </w:t>
      </w:r>
      <w:r>
        <w:rPr>
          <w:lang w:val="en-GB" w:bidi="ar-SA"/>
        </w:rPr>
        <w:t xml:space="preserve">be a discontinuity on </w:t>
      </w:r>
      <w:r w:rsidR="00D24D63">
        <w:rPr>
          <w:lang w:val="en-GB" w:bidi="ar-SA"/>
        </w:rPr>
        <w:t xml:space="preserve">environmental </w:t>
      </w:r>
      <w:r>
        <w:rPr>
          <w:lang w:val="en-GB" w:bidi="ar-SA"/>
        </w:rPr>
        <w:t xml:space="preserve">sampling and analysis activity, due mainly to management issues and </w:t>
      </w:r>
      <w:r w:rsidR="00D24D63">
        <w:rPr>
          <w:lang w:val="en-GB" w:bidi="ar-SA"/>
        </w:rPr>
        <w:t>limitation of funds</w:t>
      </w:r>
      <w:r w:rsidR="00771BD5">
        <w:rPr>
          <w:lang w:val="en-GB" w:bidi="ar-SA"/>
        </w:rPr>
        <w:t xml:space="preserve">. </w:t>
      </w:r>
      <w:r w:rsidR="00D24D63">
        <w:rPr>
          <w:lang w:val="en-GB" w:bidi="ar-SA"/>
        </w:rPr>
        <w:t xml:space="preserve">This shortcoming should be addressed by the definition of new monitoring plan and the establishing of </w:t>
      </w:r>
      <w:r w:rsidR="001A67BE">
        <w:rPr>
          <w:lang w:val="en-GB" w:bidi="ar-SA"/>
        </w:rPr>
        <w:t>new partnerships</w:t>
      </w:r>
      <w:r w:rsidR="00D24D63">
        <w:rPr>
          <w:lang w:val="en-GB" w:bidi="ar-SA"/>
        </w:rPr>
        <w:t xml:space="preserve"> if necessary.</w:t>
      </w:r>
      <w:r w:rsidR="007F457F">
        <w:rPr>
          <w:lang w:val="en-GB" w:bidi="ar-SA"/>
        </w:rPr>
        <w:t xml:space="preserve"> In this regard it should however mentioned that the DONRE of Dong </w:t>
      </w:r>
      <w:proofErr w:type="spellStart"/>
      <w:r w:rsidR="007F457F">
        <w:rPr>
          <w:lang w:val="en-GB" w:bidi="ar-SA"/>
        </w:rPr>
        <w:t>Nai</w:t>
      </w:r>
      <w:proofErr w:type="spellEnd"/>
      <w:r w:rsidR="007F457F">
        <w:rPr>
          <w:lang w:val="en-GB" w:bidi="ar-SA"/>
        </w:rPr>
        <w:t xml:space="preserve"> is implementing, starting from the year 2015, a specific activity aimed at the environmental monitoring outside the Bien Hoa airbase. If it is so, the sustainability issue only concerns monitoring inside the airbases. </w:t>
      </w:r>
    </w:p>
    <w:p w:rsidR="00D24D63" w:rsidRDefault="00D24D63" w:rsidP="005351B4">
      <w:pPr>
        <w:pStyle w:val="Heading3"/>
        <w:ind w:left="505" w:hanging="505"/>
      </w:pPr>
      <w:r>
        <w:t>Actions aimed at ensuring the correct flow of information among partners.</w:t>
      </w:r>
    </w:p>
    <w:p w:rsidR="00D24D63" w:rsidRDefault="00D24D63" w:rsidP="00A971D6">
      <w:pPr>
        <w:jc w:val="both"/>
        <w:rPr>
          <w:lang w:val="en-GB" w:bidi="ar-SA"/>
        </w:rPr>
      </w:pPr>
      <w:r>
        <w:rPr>
          <w:lang w:val="en-GB" w:bidi="ar-SA"/>
        </w:rPr>
        <w:t xml:space="preserve">One of the main project issues was the limited coordination between MONRE / Office 33 and USAID. As the Bien Hoa site is currently in the stage of handing over to USAID which will take the lead on future activities on the site, more focused effort should be dedicated to the collation and handing over of monitoring data and infrastructure design to MOD and USAID. Under the project some workshops were already held with the purpose to exchange information, however, based on the two meetings carried out by the evaluator with the USAID personnel in charge of Environmental Assessment and remediation activity, the lacking of exchanging of information emerged quite clearly. </w:t>
      </w:r>
    </w:p>
    <w:p w:rsidR="00392846" w:rsidRPr="001C186D" w:rsidRDefault="00D24D63" w:rsidP="00A971D6">
      <w:pPr>
        <w:jc w:val="both"/>
        <w:rPr>
          <w:lang w:val="en-GB" w:bidi="ar-SA"/>
        </w:rPr>
      </w:pPr>
      <w:r>
        <w:rPr>
          <w:lang w:val="en-GB" w:bidi="ar-SA"/>
        </w:rPr>
        <w:lastRenderedPageBreak/>
        <w:t>Similarly, based on interviews with local stakeholders,</w:t>
      </w:r>
      <w:r w:rsidR="00392846">
        <w:rPr>
          <w:lang w:val="en-GB" w:bidi="ar-SA"/>
        </w:rPr>
        <w:t xml:space="preserve"> emerged clearly that the information on the implementation of activities at </w:t>
      </w:r>
      <w:proofErr w:type="spellStart"/>
      <w:r w:rsidR="00392846">
        <w:rPr>
          <w:lang w:val="en-GB" w:bidi="ar-SA"/>
        </w:rPr>
        <w:t>Da</w:t>
      </w:r>
      <w:proofErr w:type="spellEnd"/>
      <w:r w:rsidR="00392846">
        <w:rPr>
          <w:lang w:val="en-GB" w:bidi="ar-SA"/>
        </w:rPr>
        <w:t xml:space="preserve"> Nang are insufficient. The USAID website on the </w:t>
      </w:r>
      <w:proofErr w:type="spellStart"/>
      <w:r w:rsidR="00392846">
        <w:rPr>
          <w:lang w:val="en-GB" w:bidi="ar-SA"/>
        </w:rPr>
        <w:t>Danang</w:t>
      </w:r>
      <w:proofErr w:type="spellEnd"/>
      <w:r w:rsidR="00392846">
        <w:rPr>
          <w:lang w:val="en-GB" w:bidi="ar-SA"/>
        </w:rPr>
        <w:t xml:space="preserve"> project provide very basic summaries on the activities being carried out, without any information on the monitoring data, dioxin level of the contaminated soil, Although is understandable that this kind of information need to be consolidated before its release, nevertheless the evaluator consider the level of information provided under the website not sufficient f</w:t>
      </w:r>
      <w:r w:rsidR="00392846" w:rsidRPr="001C186D">
        <w:rPr>
          <w:lang w:val="en-GB" w:bidi="ar-SA"/>
        </w:rPr>
        <w:t xml:space="preserve">or communicating the remediation status and its benefits. </w:t>
      </w:r>
    </w:p>
    <w:p w:rsidR="005041BA" w:rsidRDefault="00696A5E" w:rsidP="00A971D6">
      <w:pPr>
        <w:jc w:val="both"/>
      </w:pPr>
      <w:r w:rsidRPr="001C186D">
        <w:rPr>
          <w:lang w:val="en-GB" w:bidi="ar-SA"/>
        </w:rPr>
        <w:t xml:space="preserve">In addition, a specific </w:t>
      </w:r>
      <w:r w:rsidR="007F457F" w:rsidRPr="001C186D">
        <w:rPr>
          <w:lang w:val="en-GB" w:bidi="ar-SA"/>
        </w:rPr>
        <w:t xml:space="preserve">action </w:t>
      </w:r>
      <w:r w:rsidRPr="001C186D">
        <w:rPr>
          <w:lang w:val="en-GB" w:bidi="ar-SA"/>
        </w:rPr>
        <w:t xml:space="preserve">should be </w:t>
      </w:r>
      <w:r w:rsidR="001A67BE" w:rsidRPr="001C186D">
        <w:rPr>
          <w:lang w:val="en-GB" w:bidi="ar-SA"/>
        </w:rPr>
        <w:t>undertaken</w:t>
      </w:r>
      <w:r w:rsidR="007F457F" w:rsidRPr="001C186D">
        <w:rPr>
          <w:lang w:val="en-GB" w:bidi="ar-SA"/>
        </w:rPr>
        <w:t xml:space="preserve"> </w:t>
      </w:r>
      <w:r w:rsidRPr="001C186D">
        <w:rPr>
          <w:lang w:val="en-GB" w:bidi="ar-SA"/>
        </w:rPr>
        <w:t xml:space="preserve">by </w:t>
      </w:r>
      <w:proofErr w:type="spellStart"/>
      <w:r w:rsidRPr="001C186D">
        <w:rPr>
          <w:lang w:val="en-GB" w:bidi="ar-SA"/>
        </w:rPr>
        <w:t>GoV</w:t>
      </w:r>
      <w:proofErr w:type="spellEnd"/>
      <w:r w:rsidRPr="001C186D">
        <w:rPr>
          <w:lang w:val="en-GB" w:bidi="ar-SA"/>
        </w:rPr>
        <w:t xml:space="preserve"> to </w:t>
      </w:r>
      <w:r w:rsidR="007F457F" w:rsidRPr="001C186D">
        <w:rPr>
          <w:lang w:val="en-GB" w:bidi="ar-SA"/>
        </w:rPr>
        <w:t xml:space="preserve">ensure that the issues reported by the </w:t>
      </w:r>
      <w:r w:rsidRPr="001C186D">
        <w:rPr>
          <w:lang w:val="en-GB" w:bidi="ar-SA"/>
        </w:rPr>
        <w:t>Czech government</w:t>
      </w:r>
      <w:r w:rsidR="007F457F" w:rsidRPr="001C186D">
        <w:rPr>
          <w:lang w:val="en-GB" w:bidi="ar-SA"/>
        </w:rPr>
        <w:t xml:space="preserve"> on the implementation of the monitoring plan are solved, and the sustainability of monitoring plans e</w:t>
      </w:r>
      <w:r w:rsidR="007F457F">
        <w:rPr>
          <w:lang w:val="en-GB" w:bidi="ar-SA"/>
        </w:rPr>
        <w:t xml:space="preserve">nsured. </w:t>
      </w:r>
    </w:p>
    <w:tbl>
      <w:tblPr>
        <w:tblStyle w:val="TableGrid"/>
        <w:tblW w:w="0" w:type="auto"/>
        <w:tblLook w:val="04A0"/>
      </w:tblPr>
      <w:tblGrid>
        <w:gridCol w:w="9778"/>
      </w:tblGrid>
      <w:tr w:rsidR="00B404A7" w:rsidTr="00B404A7">
        <w:tc>
          <w:tcPr>
            <w:tcW w:w="9778" w:type="dxa"/>
          </w:tcPr>
          <w:p w:rsidR="00B404A7" w:rsidRDefault="00591FD6" w:rsidP="00B404A7">
            <w:pPr>
              <w:jc w:val="center"/>
            </w:pPr>
            <w:r>
              <w:rPr>
                <w:noProof/>
                <w:lang w:bidi="ar-SA"/>
              </w:rPr>
              <w:drawing>
                <wp:inline distT="0" distB="0" distL="0" distR="0">
                  <wp:extent cx="5760000" cy="3241824"/>
                  <wp:effectExtent l="19050" t="0" r="0" b="0"/>
                  <wp:docPr id="17" name="Immagine 17" descr="E:\Pictures\Camera Roll\WP_20141110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ictures\Camera Roll\WP_20141110_029.jpg"/>
                          <pic:cNvPicPr>
                            <a:picLocks noChangeAspect="1" noChangeArrowheads="1"/>
                          </pic:cNvPicPr>
                        </pic:nvPicPr>
                        <pic:blipFill>
                          <a:blip r:embed="rId12" cstate="email"/>
                          <a:srcRect/>
                          <a:stretch>
                            <a:fillRect/>
                          </a:stretch>
                        </pic:blipFill>
                        <pic:spPr bwMode="auto">
                          <a:xfrm>
                            <a:off x="0" y="0"/>
                            <a:ext cx="5760000" cy="3241824"/>
                          </a:xfrm>
                          <a:prstGeom prst="rect">
                            <a:avLst/>
                          </a:prstGeom>
                          <a:noFill/>
                          <a:ln w="9525">
                            <a:noFill/>
                            <a:miter lim="800000"/>
                            <a:headEnd/>
                            <a:tailEnd/>
                          </a:ln>
                        </pic:spPr>
                      </pic:pic>
                    </a:graphicData>
                  </a:graphic>
                </wp:inline>
              </w:drawing>
            </w:r>
          </w:p>
        </w:tc>
      </w:tr>
      <w:tr w:rsidR="00B404A7" w:rsidTr="00B404A7">
        <w:tc>
          <w:tcPr>
            <w:tcW w:w="9778" w:type="dxa"/>
          </w:tcPr>
          <w:p w:rsidR="00B404A7" w:rsidRDefault="00B404A7" w:rsidP="00B404A7">
            <w:pPr>
              <w:jc w:val="center"/>
            </w:pPr>
            <w:r>
              <w:rPr>
                <w:noProof/>
                <w:lang w:bidi="ar-SA"/>
              </w:rPr>
              <w:drawing>
                <wp:inline distT="0" distB="0" distL="0" distR="0">
                  <wp:extent cx="5760000" cy="3278026"/>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email"/>
                          <a:srcRect/>
                          <a:stretch>
                            <a:fillRect/>
                          </a:stretch>
                        </pic:blipFill>
                        <pic:spPr bwMode="auto">
                          <a:xfrm>
                            <a:off x="0" y="0"/>
                            <a:ext cx="5760000" cy="3278026"/>
                          </a:xfrm>
                          <a:prstGeom prst="rect">
                            <a:avLst/>
                          </a:prstGeom>
                          <a:noFill/>
                          <a:ln w="9525">
                            <a:noFill/>
                            <a:miter lim="800000"/>
                            <a:headEnd/>
                            <a:tailEnd/>
                          </a:ln>
                        </pic:spPr>
                      </pic:pic>
                    </a:graphicData>
                  </a:graphic>
                </wp:inline>
              </w:drawing>
            </w:r>
          </w:p>
        </w:tc>
      </w:tr>
      <w:tr w:rsidR="00B404A7" w:rsidTr="00B404A7">
        <w:tc>
          <w:tcPr>
            <w:tcW w:w="9778" w:type="dxa"/>
          </w:tcPr>
          <w:p w:rsidR="00B404A7" w:rsidRDefault="004D4535" w:rsidP="00A971D6">
            <w:pPr>
              <w:pStyle w:val="Caption"/>
              <w:jc w:val="both"/>
            </w:pPr>
            <w:r>
              <w:lastRenderedPageBreak/>
              <w:t xml:space="preserve">Figure </w:t>
            </w:r>
            <w:r w:rsidR="00021B43">
              <w:fldChar w:fldCharType="begin"/>
            </w:r>
            <w:r w:rsidR="00233B51">
              <w:instrText xml:space="preserve"> SEQ Figure \* ARABIC </w:instrText>
            </w:r>
            <w:r w:rsidR="00021B43">
              <w:fldChar w:fldCharType="separate"/>
            </w:r>
            <w:r w:rsidR="002C0E6E">
              <w:rPr>
                <w:noProof/>
              </w:rPr>
              <w:t>6</w:t>
            </w:r>
            <w:r w:rsidR="00021B43">
              <w:rPr>
                <w:noProof/>
              </w:rPr>
              <w:fldChar w:fldCharType="end"/>
            </w:r>
            <w:r>
              <w:t>: One of the monitoring wells provided by the Czech Republic cooperation and its position (Nov. 10, 2014)</w:t>
            </w:r>
          </w:p>
        </w:tc>
      </w:tr>
    </w:tbl>
    <w:p w:rsidR="00B404A7" w:rsidRDefault="00B404A7" w:rsidP="00A971D6">
      <w:pPr>
        <w:jc w:val="both"/>
      </w:pPr>
    </w:p>
    <w:p w:rsidR="00BA3CCB" w:rsidRDefault="00BA3CCB" w:rsidP="00BA3CCB">
      <w:pPr>
        <w:pStyle w:val="Heading2"/>
      </w:pPr>
      <w:bookmarkStart w:id="20" w:name="_Toc417120283"/>
      <w:r w:rsidRPr="00BA3CCB">
        <w:t>Best and worst practices in addressing issues relating to relevance, performance and success</w:t>
      </w:r>
      <w:bookmarkEnd w:id="20"/>
    </w:p>
    <w:p w:rsidR="00162BD0" w:rsidRPr="00AA482A" w:rsidRDefault="00162BD0" w:rsidP="00A971D6">
      <w:pPr>
        <w:jc w:val="both"/>
        <w:rPr>
          <w:i/>
        </w:rPr>
      </w:pPr>
      <w:r w:rsidRPr="00AA482A">
        <w:t xml:space="preserve">Again, it has to </w:t>
      </w:r>
      <w:r w:rsidR="001A67BE" w:rsidRPr="00AA482A">
        <w:t>point</w:t>
      </w:r>
      <w:r w:rsidRPr="00AA482A">
        <w:t xml:space="preserve"> out that addressing dioxin contamination is indubitably one of the most </w:t>
      </w:r>
      <w:r w:rsidR="00946A72" w:rsidRPr="00AA482A">
        <w:t xml:space="preserve">demanding </w:t>
      </w:r>
      <w:r w:rsidR="004B3B0D" w:rsidRPr="00AA482A">
        <w:t>activities</w:t>
      </w:r>
      <w:r w:rsidRPr="00AA482A">
        <w:t xml:space="preserve"> from the point of view of environmental engineering. Worldwide, there are very few cases were dioxin contaminated </w:t>
      </w:r>
      <w:r w:rsidR="001A67BE" w:rsidRPr="00AA482A">
        <w:t>soil has</w:t>
      </w:r>
      <w:r w:rsidRPr="00AA482A">
        <w:t xml:space="preserve"> been effectively decontaminated, and in the large majority of cases the only viabl</w:t>
      </w:r>
      <w:r w:rsidR="004B3B0D">
        <w:t xml:space="preserve">e solution has been </w:t>
      </w:r>
      <w:proofErr w:type="spellStart"/>
      <w:r w:rsidR="004B3B0D">
        <w:t>landfilled</w:t>
      </w:r>
      <w:proofErr w:type="spellEnd"/>
      <w:r w:rsidR="00226653" w:rsidRPr="00AA482A">
        <w:t xml:space="preserve">: see for instance the case of </w:t>
      </w:r>
      <w:proofErr w:type="spellStart"/>
      <w:r w:rsidR="00226653" w:rsidRPr="00AA482A">
        <w:t>Seveso</w:t>
      </w:r>
      <w:proofErr w:type="spellEnd"/>
      <w:r w:rsidR="00226653" w:rsidRPr="00AA482A">
        <w:t>.</w:t>
      </w:r>
      <w:r w:rsidRPr="00AA482A">
        <w:t xml:space="preserve"> As pointed out by US EPA, </w:t>
      </w:r>
      <w:r w:rsidR="001A67BE" w:rsidRPr="00AA482A">
        <w:rPr>
          <w:i/>
        </w:rPr>
        <w:t>“Remediation</w:t>
      </w:r>
      <w:r w:rsidRPr="00AA482A">
        <w:rPr>
          <w:i/>
        </w:rPr>
        <w:t xml:space="preserve"> technologies for the cleanup of dioxin-contaminated soils and sediments are still being developed, and many of the accepted techniques rely on thermal destruction, though physical, </w:t>
      </w:r>
      <w:r w:rsidR="001A67BE" w:rsidRPr="00AA482A">
        <w:rPr>
          <w:i/>
        </w:rPr>
        <w:t>chemical</w:t>
      </w:r>
      <w:r w:rsidRPr="00AA482A">
        <w:rPr>
          <w:i/>
        </w:rPr>
        <w:t xml:space="preserve"> and biological technologies show promise." (http://clu-in.org/contaminantfocus/default.focus/sec/dioxins/cat/overview/</w:t>
      </w:r>
      <w:r w:rsidR="00946A72" w:rsidRPr="00AA482A">
        <w:rPr>
          <w:i/>
        </w:rPr>
        <w:t xml:space="preserve"> </w:t>
      </w:r>
      <w:r w:rsidR="004B3B0D" w:rsidRPr="00AA482A">
        <w:rPr>
          <w:i/>
        </w:rPr>
        <w:t>last</w:t>
      </w:r>
      <w:r w:rsidRPr="00AA482A">
        <w:rPr>
          <w:i/>
        </w:rPr>
        <w:t xml:space="preserve"> updated on Friday, August 1, 2014</w:t>
      </w:r>
      <w:r w:rsidR="00946A72" w:rsidRPr="00AA482A">
        <w:rPr>
          <w:i/>
        </w:rPr>
        <w:t xml:space="preserve">). </w:t>
      </w:r>
      <w:r w:rsidR="004B3B0D" w:rsidRPr="00AA482A">
        <w:rPr>
          <w:i/>
        </w:rPr>
        <w:t>The</w:t>
      </w:r>
    </w:p>
    <w:p w:rsidR="00946A72" w:rsidRDefault="00946A72" w:rsidP="00A971D6">
      <w:pPr>
        <w:jc w:val="both"/>
      </w:pPr>
      <w:r w:rsidRPr="00AA482A">
        <w:t>If we couple this difficulty with the fact that the three hotspot</w:t>
      </w:r>
      <w:r w:rsidR="004B3B0D">
        <w:t>s</w:t>
      </w:r>
      <w:r w:rsidRPr="00AA482A">
        <w:t xml:space="preserve"> in Vietnam are by far the largest and heaviest sites contaminated by dioxin in the world, we can easily understand how huge </w:t>
      </w:r>
      <w:r w:rsidR="00226653" w:rsidRPr="00AA482A">
        <w:t xml:space="preserve">has been </w:t>
      </w:r>
      <w:r w:rsidRPr="00AA482A">
        <w:t>the challenge.</w:t>
      </w:r>
    </w:p>
    <w:p w:rsidR="00946A72" w:rsidRDefault="00946A72" w:rsidP="00A971D6">
      <w:pPr>
        <w:jc w:val="both"/>
      </w:pPr>
      <w:r>
        <w:t xml:space="preserve">The project should be therefore evaluated in the light of this challenge. It is evident that the project is unique and brought a number of global and local environmental benefits: </w:t>
      </w:r>
    </w:p>
    <w:p w:rsidR="00946A72" w:rsidRDefault="00226653" w:rsidP="00E177FD">
      <w:pPr>
        <w:pStyle w:val="ListParagraph"/>
        <w:numPr>
          <w:ilvl w:val="0"/>
          <w:numId w:val="27"/>
        </w:numPr>
      </w:pPr>
      <w:r>
        <w:t>T</w:t>
      </w:r>
      <w:r w:rsidR="00946A72">
        <w:t xml:space="preserve">he spreading of PCDD/F to the environment </w:t>
      </w:r>
      <w:r w:rsidR="008F186A">
        <w:t xml:space="preserve">from the Bien Hoa and Phu Cat sites </w:t>
      </w:r>
      <w:r w:rsidR="00946A72">
        <w:t>was minimized</w:t>
      </w:r>
      <w:r w:rsidR="000065E5">
        <w:t xml:space="preserve"> and the </w:t>
      </w:r>
      <w:proofErr w:type="spellStart"/>
      <w:r w:rsidR="000065E5">
        <w:t>Da</w:t>
      </w:r>
      <w:proofErr w:type="spellEnd"/>
      <w:r w:rsidR="000065E5">
        <w:t xml:space="preserve"> Nang site is currently under remediation by the USAID project</w:t>
      </w:r>
      <w:r w:rsidR="00946A72">
        <w:t>. The amount of dioxin contained in the two hotspot of Bien Hoa and Phu Cat has been conservatively estimated</w:t>
      </w:r>
      <w:r w:rsidR="004B3B0D">
        <w:t>, based</w:t>
      </w:r>
      <w:r w:rsidR="00946A72">
        <w:t xml:space="preserve"> on the available soil monitoring </w:t>
      </w:r>
      <w:r w:rsidR="004B3B0D">
        <w:t>data around</w:t>
      </w:r>
      <w:r w:rsidR="00946A72">
        <w:t xml:space="preserve"> 620gTEq against the 730 estimated at the beginning of the project. This is an enormous amount of Dioxin, which is comparable to overall yearly emission in the atmosphere of a mid-size country.</w:t>
      </w:r>
      <w:r w:rsidR="00EF0893">
        <w:t xml:space="preserve"> In addition, although the remediation activity in </w:t>
      </w:r>
      <w:proofErr w:type="spellStart"/>
      <w:r w:rsidR="00EF0893">
        <w:t>Da</w:t>
      </w:r>
      <w:proofErr w:type="spellEnd"/>
      <w:r w:rsidR="00EF0893">
        <w:t xml:space="preserve"> Nang is not any more part of the project (being carried out independently by USAID under MOD coordination), in </w:t>
      </w:r>
      <w:proofErr w:type="spellStart"/>
      <w:r w:rsidR="00EF0893">
        <w:t>Da</w:t>
      </w:r>
      <w:proofErr w:type="spellEnd"/>
      <w:r w:rsidR="00EF0893">
        <w:t xml:space="preserve"> Nang 44000 m</w:t>
      </w:r>
      <w:r w:rsidR="00EF0893" w:rsidRPr="00EF0893">
        <w:rPr>
          <w:vertAlign w:val="superscript"/>
        </w:rPr>
        <w:t>3</w:t>
      </w:r>
      <w:r w:rsidR="00EF0893">
        <w:t xml:space="preserve"> of contaminated soil are currently under treatment. </w:t>
      </w:r>
    </w:p>
    <w:p w:rsidR="00226653" w:rsidRPr="00475D7B" w:rsidRDefault="00226653" w:rsidP="00A971D6">
      <w:pPr>
        <w:pStyle w:val="ListParagraph"/>
        <w:numPr>
          <w:ilvl w:val="0"/>
          <w:numId w:val="27"/>
        </w:numPr>
        <w:jc w:val="both"/>
      </w:pPr>
      <w:r>
        <w:t xml:space="preserve">As already pointed out at </w:t>
      </w:r>
      <w:r w:rsidR="00070F1B">
        <w:t>mid-term</w:t>
      </w:r>
      <w:r>
        <w:t xml:space="preserve">, the project, which PMU was </w:t>
      </w:r>
      <w:r w:rsidRPr="00475D7B">
        <w:t xml:space="preserve">established at the Office 33,was effective in collecting and systematizing the documentation generated by the governments and international donors in the preceding years, and to the expand the database of environmental monitoring. </w:t>
      </w:r>
      <w:r w:rsidR="00696A5E" w:rsidRPr="00475D7B">
        <w:t xml:space="preserve">By providing technical and financial support to the Office 33 the project </w:t>
      </w:r>
      <w:r w:rsidR="001C186D">
        <w:t>acte</w:t>
      </w:r>
      <w:r w:rsidR="00251128" w:rsidRPr="00475D7B">
        <w:t xml:space="preserve">d as </w:t>
      </w:r>
      <w:r w:rsidR="00696A5E" w:rsidRPr="00475D7B">
        <w:t xml:space="preserve">“catalyst” of the site characterization and cleanup efforts being carried out by the government and the international donors. This is well acknowledged in a report drafted by USAID (2), which </w:t>
      </w:r>
      <w:r w:rsidR="001C186D" w:rsidRPr="00475D7B">
        <w:t>stated</w:t>
      </w:r>
      <w:r w:rsidR="00696A5E" w:rsidRPr="00475D7B">
        <w:t xml:space="preserve"> </w:t>
      </w:r>
      <w:r w:rsidR="00696A5E" w:rsidRPr="00475D7B">
        <w:rPr>
          <w:i/>
        </w:rPr>
        <w:t>“UNDP's program also provides for an overarching umbrella framework that facilitates donor coordination among those working on environmental remediation of dioxin in Vietnam.”</w:t>
      </w:r>
    </w:p>
    <w:p w:rsidR="00235653" w:rsidRPr="00235653" w:rsidRDefault="00235653" w:rsidP="00A971D6">
      <w:pPr>
        <w:pStyle w:val="ListParagraph"/>
        <w:numPr>
          <w:ilvl w:val="0"/>
          <w:numId w:val="27"/>
        </w:numPr>
        <w:jc w:val="both"/>
      </w:pPr>
      <w:r w:rsidRPr="00475D7B">
        <w:t>Although did not solve all the uncertainties related to the effectiv</w:t>
      </w:r>
      <w:r>
        <w:t xml:space="preserve">eness of the treatment, the technology testing of the </w:t>
      </w:r>
      <w:r w:rsidR="00251128">
        <w:t>three technologies (</w:t>
      </w:r>
      <w:proofErr w:type="spellStart"/>
      <w:r w:rsidR="00251128">
        <w:t>mechano</w:t>
      </w:r>
      <w:proofErr w:type="spellEnd"/>
      <w:r w:rsidR="00251128">
        <w:t xml:space="preserve">-chemical destruction, thermal desorption and bioremediation) </w:t>
      </w:r>
      <w:r>
        <w:t>carried out with the project technical and financial support represent</w:t>
      </w:r>
      <w:r w:rsidR="00251128">
        <w:t>s</w:t>
      </w:r>
      <w:r>
        <w:t xml:space="preserve"> a reference for the treatment of soil contaminated by dioxin and other POPs which expanded the available choices of disposal technologies for future treatment of POPs contaminated soil. </w:t>
      </w:r>
    </w:p>
    <w:p w:rsidR="00235653" w:rsidRDefault="00235653" w:rsidP="00A971D6">
      <w:pPr>
        <w:pStyle w:val="ListParagraph"/>
        <w:numPr>
          <w:ilvl w:val="0"/>
          <w:numId w:val="27"/>
        </w:numPr>
        <w:jc w:val="both"/>
      </w:pPr>
      <w:r w:rsidRPr="00235653">
        <w:t xml:space="preserve">Under </w:t>
      </w:r>
      <w:r>
        <w:t xml:space="preserve">the project, important national and international initiatives for the exchange of know-how on the management of dioxin contaminated soil have been established. </w:t>
      </w:r>
      <w:r w:rsidR="0008176D">
        <w:t xml:space="preserve"> See for instance the "</w:t>
      </w:r>
      <w:r w:rsidR="0008176D" w:rsidRPr="0008176D">
        <w:t>International Workshop on “Dioxin/POPs Pollution Assessment and Remediation in Viet Nam</w:t>
      </w:r>
      <w:r w:rsidR="0008176D">
        <w:t xml:space="preserve">" and the </w:t>
      </w:r>
      <w:r w:rsidR="000042BE">
        <w:t>newsletters "Environmental Remediation of Dioxin Contaminated Hotspots in Vietnam"</w:t>
      </w:r>
      <w:r w:rsidR="00866457">
        <w:t>.</w:t>
      </w:r>
    </w:p>
    <w:p w:rsidR="00866457" w:rsidRPr="00235653" w:rsidRDefault="00866457" w:rsidP="00866457">
      <w:pPr>
        <w:pStyle w:val="ListParagraph"/>
        <w:numPr>
          <w:ilvl w:val="0"/>
          <w:numId w:val="27"/>
        </w:numPr>
        <w:jc w:val="both"/>
      </w:pPr>
      <w:r w:rsidRPr="00866457">
        <w:t>While international communications were made highly relevant and comprehensive, the need from the local population on continuous communication about their situation and risk reduction should be further addressed, using materials, tools and good practices produced by the project</w:t>
      </w:r>
      <w:r>
        <w:t>.</w:t>
      </w:r>
    </w:p>
    <w:p w:rsidR="00226653" w:rsidRDefault="00EF0893" w:rsidP="00A971D6">
      <w:pPr>
        <w:jc w:val="both"/>
      </w:pPr>
      <w:r>
        <w:lastRenderedPageBreak/>
        <w:t xml:space="preserve">Obviously, </w:t>
      </w:r>
      <w:r w:rsidR="00796EE8">
        <w:t xml:space="preserve">due to the complexity of the project, </w:t>
      </w:r>
      <w:r>
        <w:t>there were difficulties and shortcomings, which however must be considered minor compared to the benefit achieved</w:t>
      </w:r>
      <w:r w:rsidR="00796EE8">
        <w:t xml:space="preserve"> so far</w:t>
      </w:r>
      <w:r>
        <w:t xml:space="preserve">: </w:t>
      </w:r>
    </w:p>
    <w:p w:rsidR="000042BE" w:rsidRDefault="000042BE" w:rsidP="00A971D6">
      <w:pPr>
        <w:pStyle w:val="ListParagraph"/>
        <w:numPr>
          <w:ilvl w:val="0"/>
          <w:numId w:val="28"/>
        </w:numPr>
        <w:jc w:val="both"/>
      </w:pPr>
      <w:r>
        <w:t xml:space="preserve">Interviews carried out in the course of the terminal evaluation confirmed some of the difficulties in communication, mostly between local institution and central institutions; coordination between MOD and MONRE especially on the side of land use of the hotspot after remediation (partially solved with </w:t>
      </w:r>
      <w:r w:rsidR="00E87BA9">
        <w:t>two joint</w:t>
      </w:r>
      <w:r>
        <w:t xml:space="preserve"> conference</w:t>
      </w:r>
      <w:r w:rsidR="00251128">
        <w:t>s</w:t>
      </w:r>
      <w:r>
        <w:t xml:space="preserve"> on land use); information of some of the exposed population group, and specifically of the troops inside the airbase concerning their level of exposure.</w:t>
      </w:r>
      <w:r w:rsidR="00796EE8">
        <w:t xml:space="preserve"> Although not anymore under the project responsibility, the level of de</w:t>
      </w:r>
      <w:r w:rsidR="001C186D">
        <w:t>tail of information released by</w:t>
      </w:r>
      <w:r w:rsidR="00796EE8">
        <w:t xml:space="preserve"> the </w:t>
      </w:r>
      <w:proofErr w:type="spellStart"/>
      <w:r w:rsidR="00796EE8">
        <w:t>Da</w:t>
      </w:r>
      <w:proofErr w:type="spellEnd"/>
      <w:r w:rsidR="00796EE8">
        <w:t xml:space="preserve"> Nang remediation activity is </w:t>
      </w:r>
      <w:r w:rsidR="00EE423D">
        <w:t>insufficient</w:t>
      </w:r>
      <w:r w:rsidR="00796EE8">
        <w:t xml:space="preserve">. </w:t>
      </w:r>
    </w:p>
    <w:p w:rsidR="000042BE" w:rsidRDefault="000042BE" w:rsidP="00A971D6">
      <w:pPr>
        <w:pStyle w:val="ListParagraph"/>
        <w:numPr>
          <w:ilvl w:val="0"/>
          <w:numId w:val="28"/>
        </w:numPr>
        <w:jc w:val="both"/>
      </w:pPr>
      <w:r>
        <w:t xml:space="preserve">Surprisingly, an objective risk-assessment approach for the before and after quantification of risk was not envisaged in the project design and not seriously attempted during project implementation. </w:t>
      </w:r>
      <w:r w:rsidR="00EE423D">
        <w:t>Even because of the limited scope of the TOR, t</w:t>
      </w:r>
      <w:r>
        <w:t xml:space="preserve">he study assigned to an external consultant to carry out to a project impact evaluation </w:t>
      </w:r>
      <w:r w:rsidR="00865DCA">
        <w:t xml:space="preserve">resulted in </w:t>
      </w:r>
      <w:r>
        <w:t xml:space="preserve">interviews and </w:t>
      </w:r>
      <w:r w:rsidR="00796EE8">
        <w:t xml:space="preserve">further collection of </w:t>
      </w:r>
      <w:r>
        <w:t xml:space="preserve">existing data and did not provide </w:t>
      </w:r>
      <w:r w:rsidR="00796EE8">
        <w:t xml:space="preserve">quantitative </w:t>
      </w:r>
      <w:r>
        <w:t xml:space="preserve">information on the project impact. </w:t>
      </w:r>
    </w:p>
    <w:p w:rsidR="000042BE" w:rsidRDefault="000042BE" w:rsidP="00A971D6">
      <w:pPr>
        <w:pStyle w:val="ListParagraph"/>
        <w:numPr>
          <w:ilvl w:val="0"/>
          <w:numId w:val="28"/>
        </w:numPr>
        <w:jc w:val="both"/>
      </w:pPr>
      <w:r>
        <w:t>The project seems to have lost</w:t>
      </w:r>
      <w:r w:rsidR="00C956DC">
        <w:t xml:space="preserve"> some</w:t>
      </w:r>
      <w:r>
        <w:t xml:space="preserve"> momentum in the second stage of implementation, after </w:t>
      </w:r>
      <w:r w:rsidR="00070F1B">
        <w:t>mid-term</w:t>
      </w:r>
      <w:r>
        <w:t>.</w:t>
      </w:r>
      <w:r w:rsidR="00C956DC">
        <w:t xml:space="preserve"> Some activities like the completion of testing of cleanup technologies, monitoring, </w:t>
      </w:r>
      <w:r w:rsidR="00427D79">
        <w:t>and drafting</w:t>
      </w:r>
      <w:r w:rsidR="00C956DC">
        <w:t xml:space="preserve"> of guidance documents were still under completion when the terminal evaluation started.</w:t>
      </w:r>
      <w:r w:rsidR="00866457">
        <w:t xml:space="preserve"> Partially this can be attributed to a progressive shifting of the team’s effort toward new activities, whilst the approaching of the project toward its closure stage was requiring an increasing level of effort on both on the administrative and technical side. </w:t>
      </w:r>
    </w:p>
    <w:p w:rsidR="00796EE8" w:rsidRDefault="00EE423D" w:rsidP="00A971D6">
      <w:pPr>
        <w:pStyle w:val="ListParagraph"/>
        <w:numPr>
          <w:ilvl w:val="0"/>
          <w:numId w:val="28"/>
        </w:numPr>
        <w:jc w:val="both"/>
      </w:pPr>
      <w:r>
        <w:t xml:space="preserve">As already pointed out in this document, the lacking of a sound maintenance and monitoring plan for the hydraulic infrastructures in Bien Hoa and the landfill in Phu Cat </w:t>
      </w:r>
      <w:r w:rsidR="00C956DC">
        <w:t>represent</w:t>
      </w:r>
      <w:r>
        <w:t xml:space="preserve"> </w:t>
      </w:r>
      <w:r w:rsidR="00C956DC">
        <w:t xml:space="preserve">the highest risk </w:t>
      </w:r>
      <w:r>
        <w:t>to be addressed with the effort of all the project stakeholders</w:t>
      </w:r>
      <w:r w:rsidR="00C956DC">
        <w:t xml:space="preserve"> and the institutions which will be in charge of these sites after project closure.</w:t>
      </w:r>
    </w:p>
    <w:p w:rsidR="00796EE8" w:rsidRDefault="00796EE8" w:rsidP="00796EE8">
      <w:pPr>
        <w:pStyle w:val="Heading2"/>
      </w:pPr>
      <w:bookmarkStart w:id="21" w:name="_Toc417120284"/>
      <w:r w:rsidRPr="00BA3CCB">
        <w:t>Proposals for future directions underlining main objectives</w:t>
      </w:r>
      <w:bookmarkEnd w:id="21"/>
    </w:p>
    <w:p w:rsidR="008704E7" w:rsidRDefault="00712ED9" w:rsidP="00A971D6">
      <w:pPr>
        <w:jc w:val="both"/>
      </w:pPr>
      <w:r>
        <w:t xml:space="preserve">The project should be considered as successfully concluded, and the shortcomings identified, some of which </w:t>
      </w:r>
      <w:r w:rsidR="00BC1BA7">
        <w:t xml:space="preserve">indeed not attributable to the project itself, could be easily resolved with </w:t>
      </w:r>
      <w:r w:rsidR="00746E10">
        <w:t xml:space="preserve">limited additional effort to be sustained by the beneficiaries. </w:t>
      </w:r>
      <w:r w:rsidR="00BC1BA7">
        <w:t xml:space="preserve"> </w:t>
      </w:r>
    </w:p>
    <w:p w:rsidR="00B56116" w:rsidRDefault="00BC1BA7" w:rsidP="00A971D6">
      <w:pPr>
        <w:jc w:val="both"/>
      </w:pPr>
      <w:r>
        <w:t xml:space="preserve">One of the </w:t>
      </w:r>
      <w:r w:rsidR="004B3B0D">
        <w:t>aspects</w:t>
      </w:r>
      <w:r>
        <w:t xml:space="preserve"> that should be considered for future activities in the field of POPs, emerging as one of the lesson from this project, is to establish a </w:t>
      </w:r>
      <w:r w:rsidRPr="00A279E7">
        <w:rPr>
          <w:i/>
        </w:rPr>
        <w:t>sound risk-based approach for the management of contaminated sites</w:t>
      </w:r>
      <w:r w:rsidRPr="00A279E7">
        <w:t>.</w:t>
      </w:r>
      <w:r>
        <w:t xml:space="preserve"> Risk based remediation is indeed the only approach which can help the </w:t>
      </w:r>
      <w:r w:rsidR="00B56116">
        <w:t xml:space="preserve">quantification of cleanup target, design of cleanup activities, assessing its effectiveness, and identifying additional countermeasures.  Other scientific tools - like epidemiological surveys - can only assess the residual risk "ex-post", when is too late. </w:t>
      </w:r>
    </w:p>
    <w:p w:rsidR="005041BA" w:rsidRDefault="00BC1BA7" w:rsidP="00A971D6">
      <w:pPr>
        <w:jc w:val="both"/>
      </w:pPr>
      <w:r>
        <w:t xml:space="preserve">This has been one of the outcome the GEF/UNDP project </w:t>
      </w:r>
      <w:r w:rsidR="004B3B0D">
        <w:t>“Building</w:t>
      </w:r>
      <w:r w:rsidRPr="00BC1BA7">
        <w:t xml:space="preserve"> Capacity to Eliminate POPs Pesticides Stockpiles</w:t>
      </w:r>
      <w:r>
        <w:t xml:space="preserve">" and is one of the core parts of the recently endorsed GEF/UNDP project "Vietnam POPS and Sound Harmful Chemicals Management Project". Considering that the issue of contaminated sites in Vietnam is very serious, </w:t>
      </w:r>
      <w:r w:rsidRPr="00A279E7">
        <w:rPr>
          <w:i/>
        </w:rPr>
        <w:t xml:space="preserve">the implementation of a risk based approach, integrated with monitoring activities, </w:t>
      </w:r>
      <w:r w:rsidR="004B3B0D" w:rsidRPr="00A279E7">
        <w:rPr>
          <w:i/>
        </w:rPr>
        <w:t>and should</w:t>
      </w:r>
      <w:r w:rsidRPr="00A279E7">
        <w:rPr>
          <w:i/>
        </w:rPr>
        <w:t xml:space="preserve"> be properly streamlined in the national regulation, official guidance, and demonstration</w:t>
      </w:r>
      <w:r>
        <w:t xml:space="preserve">. It is likely and indeed should be advisable that further support is provided to the country on this area. </w:t>
      </w:r>
    </w:p>
    <w:p w:rsidR="00BC1BA7" w:rsidRPr="008F205D" w:rsidRDefault="008F205D" w:rsidP="00A971D6">
      <w:pPr>
        <w:jc w:val="both"/>
      </w:pPr>
      <w:r>
        <w:t xml:space="preserve">A second aspect concerns the cleanup technology issue. Beside the gigantic needs of the cleanup of dioxin hotspots, there are in Vietnam hundreds of small sites contaminated by POPs or other chemicals that would benefit from the </w:t>
      </w:r>
      <w:r w:rsidRPr="009851CB">
        <w:rPr>
          <w:i/>
        </w:rPr>
        <w:t>existence of medium/small scale cleanup facilities</w:t>
      </w:r>
      <w:r>
        <w:t xml:space="preserve">. There are consolidated technologies (like the </w:t>
      </w:r>
      <w:r w:rsidRPr="009851CB">
        <w:rPr>
          <w:i/>
        </w:rPr>
        <w:t>indirect thermal desorption</w:t>
      </w:r>
      <w:r>
        <w:t xml:space="preserve">) which proved effective in cleaning up soil contaminated by PCBs (see for instance the GEF/WB project "China PCB Management and Disposal Demonstration project"), PCDD/F, pesticides, hydrocarbons. </w:t>
      </w:r>
      <w:r w:rsidRPr="004B02AA">
        <w:rPr>
          <w:rFonts w:eastAsia="Times New Roman"/>
          <w:highlight w:val="yellow"/>
        </w:rPr>
        <w:t>Even the MCD technology may appear promising for soil con</w:t>
      </w:r>
      <w:r w:rsidR="00871056">
        <w:rPr>
          <w:rFonts w:eastAsia="Times New Roman"/>
          <w:highlight w:val="yellow"/>
        </w:rPr>
        <w:t>taminated by PCDD/F at a level </w:t>
      </w:r>
      <w:r w:rsidRPr="004B02AA">
        <w:rPr>
          <w:rFonts w:eastAsia="Times New Roman"/>
          <w:highlight w:val="yellow"/>
        </w:rPr>
        <w:t xml:space="preserve">&lt;30,000 </w:t>
      </w:r>
      <w:proofErr w:type="spellStart"/>
      <w:r w:rsidRPr="004B02AA">
        <w:rPr>
          <w:rFonts w:eastAsia="Times New Roman"/>
          <w:highlight w:val="yellow"/>
        </w:rPr>
        <w:t>ppt</w:t>
      </w:r>
      <w:proofErr w:type="spellEnd"/>
      <w:r w:rsidRPr="004B02AA">
        <w:rPr>
          <w:rFonts w:eastAsia="Times New Roman"/>
          <w:highlight w:val="yellow"/>
        </w:rPr>
        <w:t xml:space="preserve"> TEQ provided that it is improved in term of air pollution control system and that it is integrated with sanitary landfills where the treated soil, which after treatment may still contain PCDD/F in the </w:t>
      </w:r>
      <w:r w:rsidRPr="004B02AA">
        <w:rPr>
          <w:rFonts w:eastAsia="Times New Roman"/>
          <w:highlight w:val="yellow"/>
        </w:rPr>
        <w:lastRenderedPageBreak/>
        <w:t xml:space="preserve">range of 100-1000 </w:t>
      </w:r>
      <w:proofErr w:type="spellStart"/>
      <w:r w:rsidRPr="004B02AA">
        <w:rPr>
          <w:rFonts w:eastAsia="Times New Roman"/>
          <w:highlight w:val="yellow"/>
        </w:rPr>
        <w:t>ppt</w:t>
      </w:r>
      <w:proofErr w:type="spellEnd"/>
      <w:r w:rsidRPr="004B02AA">
        <w:rPr>
          <w:rFonts w:eastAsia="Times New Roman"/>
          <w:highlight w:val="yellow"/>
        </w:rPr>
        <w:t xml:space="preserve"> </w:t>
      </w:r>
      <w:proofErr w:type="spellStart"/>
      <w:r w:rsidRPr="004B02AA">
        <w:rPr>
          <w:rFonts w:eastAsia="Times New Roman"/>
          <w:highlight w:val="yellow"/>
        </w:rPr>
        <w:t>TeQ</w:t>
      </w:r>
      <w:proofErr w:type="spellEnd"/>
      <w:r w:rsidRPr="004B02AA">
        <w:rPr>
          <w:rFonts w:eastAsia="Times New Roman"/>
          <w:highlight w:val="yellow"/>
        </w:rPr>
        <w:t xml:space="preserve">, will be contained. The limitation of the technology to 30,000 </w:t>
      </w:r>
      <w:proofErr w:type="spellStart"/>
      <w:r w:rsidRPr="004B02AA">
        <w:rPr>
          <w:rFonts w:eastAsia="Times New Roman"/>
          <w:highlight w:val="yellow"/>
        </w:rPr>
        <w:t>ppt</w:t>
      </w:r>
      <w:proofErr w:type="spellEnd"/>
      <w:r w:rsidRPr="004B02AA">
        <w:rPr>
          <w:rFonts w:eastAsia="Times New Roman"/>
          <w:highlight w:val="yellow"/>
        </w:rPr>
        <w:t xml:space="preserve"> TEQ, as confirmed by the vendor itself,   makes that technology less suitable for other chlorinated POPs like PCBs considering that - assuming an equivalent level of chlorination -  PCB contaminated soil need to be treated with a destruction technology only when their concentration exceed 50,000,000 ppt. (50 </w:t>
      </w:r>
      <w:proofErr w:type="spellStart"/>
      <w:r w:rsidRPr="004B02AA">
        <w:rPr>
          <w:rFonts w:eastAsia="Times New Roman"/>
          <w:highlight w:val="yellow"/>
        </w:rPr>
        <w:t>ppm</w:t>
      </w:r>
      <w:proofErr w:type="spellEnd"/>
      <w:r w:rsidRPr="004B02AA">
        <w:rPr>
          <w:rFonts w:eastAsia="Times New Roman"/>
          <w:highlight w:val="yellow"/>
        </w:rPr>
        <w:t>)."</w:t>
      </w:r>
      <w:r w:rsidRPr="004B02AA">
        <w:rPr>
          <w:highlight w:val="yellow"/>
        </w:rPr>
        <w:t xml:space="preserve"> I</w:t>
      </w:r>
      <w:r w:rsidR="00B56116" w:rsidRPr="004B02AA">
        <w:rPr>
          <w:highlight w:val="yellow"/>
        </w:rPr>
        <w:t>t seems</w:t>
      </w:r>
      <w:r w:rsidR="00B56116">
        <w:t xml:space="preserve"> tha</w:t>
      </w:r>
      <w:r w:rsidR="00194EC8">
        <w:t>t</w:t>
      </w:r>
      <w:r w:rsidR="00B56116">
        <w:t xml:space="preserve"> in Vietnam a </w:t>
      </w:r>
      <w:r w:rsidR="00B56116" w:rsidRPr="009851CB">
        <w:rPr>
          <w:i/>
        </w:rPr>
        <w:t>domestic capacity for site cleanup</w:t>
      </w:r>
      <w:r w:rsidR="00B56116">
        <w:t xml:space="preserve"> has not yet been established. </w:t>
      </w:r>
      <w:r w:rsidR="00746E10">
        <w:t xml:space="preserve">The establishment of </w:t>
      </w:r>
      <w:r w:rsidR="00746E10" w:rsidRPr="009851CB">
        <w:rPr>
          <w:i/>
        </w:rPr>
        <w:t xml:space="preserve">medium/small scale cleanup facilities based on consolidated technologies in Vietnam could be very beneficial for the country, and could represent an outstanding development opportunity. </w:t>
      </w:r>
    </w:p>
    <w:p w:rsidR="00746E10" w:rsidRDefault="00746E10" w:rsidP="00A971D6">
      <w:pPr>
        <w:jc w:val="both"/>
      </w:pPr>
      <w:r>
        <w:t xml:space="preserve">A third aspect that should be strengthened is </w:t>
      </w:r>
      <w:r w:rsidR="007D20D5">
        <w:t xml:space="preserve">environmental </w:t>
      </w:r>
      <w:r>
        <w:t>monitoring</w:t>
      </w:r>
      <w:r w:rsidR="007D20D5">
        <w:t xml:space="preserve">, and more specifically, </w:t>
      </w:r>
      <w:r w:rsidR="00E77FCE">
        <w:t xml:space="preserve">the capacity to properly design and carry out </w:t>
      </w:r>
      <w:r w:rsidR="00E77FCE">
        <w:rPr>
          <w:i/>
        </w:rPr>
        <w:t xml:space="preserve">sampling plans </w:t>
      </w:r>
      <w:r w:rsidR="007D20D5" w:rsidRPr="00E77FCE">
        <w:t>.</w:t>
      </w:r>
      <w:r w:rsidR="00E77FCE">
        <w:t xml:space="preserve">aimed at characterizing the level of contamination of various environmental </w:t>
      </w:r>
      <w:r w:rsidR="007D20D5" w:rsidRPr="00E77FCE">
        <w:t xml:space="preserve"> </w:t>
      </w:r>
      <w:r w:rsidR="00E77FCE">
        <w:t xml:space="preserve">media and the release of dioxin in the environment. </w:t>
      </w:r>
      <w:r w:rsidRPr="00E77FCE">
        <w:t xml:space="preserve"> </w:t>
      </w:r>
      <w:r>
        <w:t>Thank to the joint effort</w:t>
      </w:r>
      <w:r w:rsidR="007D20D5">
        <w:t>s</w:t>
      </w:r>
      <w:r>
        <w:t xml:space="preserve"> of the government of Vie</w:t>
      </w:r>
      <w:r w:rsidR="001C186D">
        <w:t xml:space="preserve">tnam and its partners like the </w:t>
      </w:r>
      <w:r w:rsidR="007D20D5">
        <w:t xml:space="preserve">bilateral donors mentioned in this document, </w:t>
      </w:r>
      <w:r>
        <w:t xml:space="preserve">there are now in Vietnam a number of laboratories which are equipped with up to date instrumentation for carrying out analysis of PCDD/F contaminated media (soil, plants, biota, </w:t>
      </w:r>
      <w:r w:rsidR="004B3B0D">
        <w:t>and air</w:t>
      </w:r>
      <w:r>
        <w:t xml:space="preserve">). However one of the project </w:t>
      </w:r>
      <w:r w:rsidR="004B3B0D">
        <w:t>lessons</w:t>
      </w:r>
      <w:r>
        <w:t xml:space="preserve"> was that the analytical capacity is not properly integrated with a sound environmental sampling capacity. </w:t>
      </w:r>
      <w:r w:rsidR="007D20D5">
        <w:t xml:space="preserve">Environmental sampling indeed is very often the true bottleneck in any successful environmental monitoring and should be properly implemented to </w:t>
      </w:r>
      <w:proofErr w:type="spellStart"/>
      <w:r w:rsidR="007D20D5">
        <w:t>i</w:t>
      </w:r>
      <w:proofErr w:type="spellEnd"/>
      <w:r w:rsidR="007D20D5">
        <w:t xml:space="preserve">. minimize sampling error and variability, ii. </w:t>
      </w:r>
      <w:r w:rsidR="004B3B0D">
        <w:t>Ensure</w:t>
      </w:r>
      <w:r w:rsidR="007D20D5">
        <w:t xml:space="preserve"> sampling significance, and iii. </w:t>
      </w:r>
      <w:r w:rsidR="004B3B0D">
        <w:t>Minimize</w:t>
      </w:r>
      <w:r w:rsidR="007D20D5">
        <w:t xml:space="preserve"> laboratory effort by the use of "smart" sampling strategies. This is a further area of development under which additional efforts would be very beneficial to ensure that a domestic capacity can be timely deployed when needed, considering also its key role in case of emergency response. </w:t>
      </w:r>
    </w:p>
    <w:p w:rsidR="00726BE1" w:rsidRDefault="007D20D5" w:rsidP="00A971D6">
      <w:pPr>
        <w:jc w:val="both"/>
      </w:pPr>
      <w:r>
        <w:t>Last but not least</w:t>
      </w:r>
      <w:r w:rsidRPr="009851CB">
        <w:rPr>
          <w:i/>
        </w:rPr>
        <w:t xml:space="preserve">, the communication of environmental </w:t>
      </w:r>
      <w:r w:rsidR="008061B1" w:rsidRPr="009851CB">
        <w:rPr>
          <w:i/>
        </w:rPr>
        <w:t>monitoring data</w:t>
      </w:r>
      <w:r w:rsidR="008061B1">
        <w:t xml:space="preserve"> needs also to be strengthened</w:t>
      </w:r>
      <w:r>
        <w:t xml:space="preserve">. Monitoring and communication goes </w:t>
      </w:r>
      <w:r w:rsidR="00BB5BDE">
        <w:t>obviously hand in hand, as in the end the population is the key beneficiary of any monitoring activity. Nevertheless, the proper communication of environmental data is a sensitive issue and need to be properly designed, prepared, and undertaken. Environmental data should be communicated in a way which is comprehensible, useful, and timely</w:t>
      </w:r>
      <w:r w:rsidR="008061B1">
        <w:t>, and which is target - specific.</w:t>
      </w:r>
      <w:r w:rsidR="00BB5BDE">
        <w:t xml:space="preserve"> Unnecessar</w:t>
      </w:r>
      <w:r w:rsidR="008061B1">
        <w:t>ily</w:t>
      </w:r>
      <w:r w:rsidR="00BB5BDE">
        <w:t xml:space="preserve"> alarming </w:t>
      </w:r>
      <w:r w:rsidR="008061B1">
        <w:t xml:space="preserve">communication </w:t>
      </w:r>
      <w:r w:rsidR="00BB5BDE">
        <w:t xml:space="preserve">should be avoided, however </w:t>
      </w:r>
      <w:r w:rsidR="008061B1">
        <w:t>any time a risk is identified it should be timely communicated together with the explanation related to all the necessary countermeasures to be adopted. This is for sure an additional area under which further</w:t>
      </w:r>
      <w:r w:rsidR="00E2276F">
        <w:t xml:space="preserve"> efforts need to be carried out. </w:t>
      </w:r>
      <w:r w:rsidR="008061B1">
        <w:t xml:space="preserve"> </w:t>
      </w:r>
    </w:p>
    <w:p w:rsidR="00726BE1" w:rsidRDefault="00726BE1" w:rsidP="00FB2AA0">
      <w:pPr>
        <w:pStyle w:val="Heading2"/>
        <w:ind w:left="720" w:hanging="720"/>
      </w:pPr>
      <w:r>
        <w:br w:type="page"/>
      </w:r>
    </w:p>
    <w:sectPr w:rsidR="00726BE1" w:rsidSect="00FB2AA0">
      <w:footerReference w:type="default" r:id="rId14"/>
      <w:pgSz w:w="12240" w:h="15840"/>
      <w:pgMar w:top="1400" w:right="1180" w:bottom="280" w:left="1300" w:header="576"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39" w:rsidRDefault="00E67139" w:rsidP="00D82AE5">
      <w:pPr>
        <w:spacing w:before="0" w:line="240" w:lineRule="auto"/>
      </w:pPr>
      <w:r>
        <w:separator/>
      </w:r>
    </w:p>
  </w:endnote>
  <w:endnote w:type="continuationSeparator" w:id="0">
    <w:p w:rsidR="00E67139" w:rsidRDefault="00E67139" w:rsidP="00D82AE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n-ea">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75"/>
      <w:docPartObj>
        <w:docPartGallery w:val="Page Numbers (Bottom of Page)"/>
        <w:docPartUnique/>
      </w:docPartObj>
    </w:sdtPr>
    <w:sdtContent>
      <w:p w:rsidR="00871056" w:rsidRDefault="00021B43">
        <w:pPr>
          <w:pStyle w:val="Footer"/>
          <w:jc w:val="right"/>
        </w:pPr>
        <w:fldSimple w:instr=" PAGE   \* MERGEFORMAT ">
          <w:r w:rsidR="00FB2AA0">
            <w:rPr>
              <w:noProof/>
            </w:rPr>
            <w:t>2</w:t>
          </w:r>
        </w:fldSimple>
      </w:p>
    </w:sdtContent>
  </w:sdt>
  <w:p w:rsidR="00871056" w:rsidRDefault="00871056" w:rsidP="00A971D6">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39" w:rsidRDefault="00E67139" w:rsidP="00D82AE5">
      <w:pPr>
        <w:spacing w:before="0" w:line="240" w:lineRule="auto"/>
      </w:pPr>
      <w:r>
        <w:separator/>
      </w:r>
    </w:p>
  </w:footnote>
  <w:footnote w:type="continuationSeparator" w:id="0">
    <w:p w:rsidR="00E67139" w:rsidRDefault="00E67139" w:rsidP="00D82AE5">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7EB"/>
    <w:multiLevelType w:val="hybridMultilevel"/>
    <w:tmpl w:val="B2DC3BF0"/>
    <w:lvl w:ilvl="0" w:tplc="0809000F">
      <w:start w:val="1"/>
      <w:numFmt w:val="decimal"/>
      <w:lvlText w:val="%1."/>
      <w:lvlJc w:val="left"/>
      <w:pPr>
        <w:ind w:left="360" w:hanging="360"/>
      </w:pPr>
    </w:lvl>
    <w:lvl w:ilvl="1" w:tplc="097EAC24">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9039F6"/>
    <w:multiLevelType w:val="hybridMultilevel"/>
    <w:tmpl w:val="AE709E6C"/>
    <w:lvl w:ilvl="0" w:tplc="46E643FA">
      <w:start w:val="1"/>
      <w:numFmt w:val="decimal"/>
      <w:lvlText w:val="%1."/>
      <w:lvlJc w:val="left"/>
      <w:pPr>
        <w:ind w:left="849" w:hanging="332"/>
      </w:pPr>
      <w:rPr>
        <w:rFonts w:ascii="Calibri" w:eastAsia="Calibri" w:hAnsi="Calibri" w:hint="default"/>
        <w:spacing w:val="-1"/>
        <w:w w:val="99"/>
        <w:sz w:val="20"/>
        <w:szCs w:val="20"/>
      </w:rPr>
    </w:lvl>
    <w:lvl w:ilvl="1" w:tplc="1FD6C43A">
      <w:start w:val="1"/>
      <w:numFmt w:val="bullet"/>
      <w:lvlText w:val="•"/>
      <w:lvlJc w:val="left"/>
      <w:pPr>
        <w:ind w:left="1724" w:hanging="332"/>
      </w:pPr>
      <w:rPr>
        <w:rFonts w:hint="default"/>
      </w:rPr>
    </w:lvl>
    <w:lvl w:ilvl="2" w:tplc="6ED8BDF6">
      <w:start w:val="1"/>
      <w:numFmt w:val="bullet"/>
      <w:lvlText w:val="•"/>
      <w:lvlJc w:val="left"/>
      <w:pPr>
        <w:ind w:left="2608" w:hanging="332"/>
      </w:pPr>
      <w:rPr>
        <w:rFonts w:hint="default"/>
      </w:rPr>
    </w:lvl>
    <w:lvl w:ilvl="3" w:tplc="33244650">
      <w:start w:val="1"/>
      <w:numFmt w:val="bullet"/>
      <w:lvlText w:val="•"/>
      <w:lvlJc w:val="left"/>
      <w:pPr>
        <w:ind w:left="3492" w:hanging="332"/>
      </w:pPr>
      <w:rPr>
        <w:rFonts w:hint="default"/>
      </w:rPr>
    </w:lvl>
    <w:lvl w:ilvl="4" w:tplc="FBC4485A">
      <w:start w:val="1"/>
      <w:numFmt w:val="bullet"/>
      <w:lvlText w:val="•"/>
      <w:lvlJc w:val="left"/>
      <w:pPr>
        <w:ind w:left="4376" w:hanging="332"/>
      </w:pPr>
      <w:rPr>
        <w:rFonts w:hint="default"/>
      </w:rPr>
    </w:lvl>
    <w:lvl w:ilvl="5" w:tplc="3C9690FA">
      <w:start w:val="1"/>
      <w:numFmt w:val="bullet"/>
      <w:lvlText w:val="•"/>
      <w:lvlJc w:val="left"/>
      <w:pPr>
        <w:ind w:left="5260" w:hanging="332"/>
      </w:pPr>
      <w:rPr>
        <w:rFonts w:hint="default"/>
      </w:rPr>
    </w:lvl>
    <w:lvl w:ilvl="6" w:tplc="6616F002">
      <w:start w:val="1"/>
      <w:numFmt w:val="bullet"/>
      <w:lvlText w:val="•"/>
      <w:lvlJc w:val="left"/>
      <w:pPr>
        <w:ind w:left="6144" w:hanging="332"/>
      </w:pPr>
      <w:rPr>
        <w:rFonts w:hint="default"/>
      </w:rPr>
    </w:lvl>
    <w:lvl w:ilvl="7" w:tplc="05DADE74">
      <w:start w:val="1"/>
      <w:numFmt w:val="bullet"/>
      <w:lvlText w:val="•"/>
      <w:lvlJc w:val="left"/>
      <w:pPr>
        <w:ind w:left="7028" w:hanging="332"/>
      </w:pPr>
      <w:rPr>
        <w:rFonts w:hint="default"/>
      </w:rPr>
    </w:lvl>
    <w:lvl w:ilvl="8" w:tplc="AED244A6">
      <w:start w:val="1"/>
      <w:numFmt w:val="bullet"/>
      <w:lvlText w:val="•"/>
      <w:lvlJc w:val="left"/>
      <w:pPr>
        <w:ind w:left="7912" w:hanging="332"/>
      </w:pPr>
      <w:rPr>
        <w:rFonts w:hint="default"/>
      </w:rPr>
    </w:lvl>
  </w:abstractNum>
  <w:abstractNum w:abstractNumId="2">
    <w:nsid w:val="0E2145FE"/>
    <w:multiLevelType w:val="hybridMultilevel"/>
    <w:tmpl w:val="DB201C12"/>
    <w:lvl w:ilvl="0" w:tplc="65BEC4B0">
      <w:start w:val="1"/>
      <w:numFmt w:val="bullet"/>
      <w:lvlText w:val=""/>
      <w:lvlJc w:val="left"/>
      <w:pPr>
        <w:ind w:left="940" w:hanging="360"/>
      </w:pPr>
      <w:rPr>
        <w:rFonts w:ascii="Symbol" w:eastAsia="Symbol" w:hAnsi="Symbol" w:hint="default"/>
        <w:w w:val="100"/>
        <w:sz w:val="22"/>
        <w:szCs w:val="22"/>
      </w:rPr>
    </w:lvl>
    <w:lvl w:ilvl="1" w:tplc="2D404C46">
      <w:start w:val="1"/>
      <w:numFmt w:val="bullet"/>
      <w:lvlText w:val="•"/>
      <w:lvlJc w:val="left"/>
      <w:pPr>
        <w:ind w:left="1830" w:hanging="360"/>
      </w:pPr>
      <w:rPr>
        <w:rFonts w:hint="default"/>
      </w:rPr>
    </w:lvl>
    <w:lvl w:ilvl="2" w:tplc="7D30420A">
      <w:start w:val="1"/>
      <w:numFmt w:val="bullet"/>
      <w:lvlText w:val="•"/>
      <w:lvlJc w:val="left"/>
      <w:pPr>
        <w:ind w:left="2720" w:hanging="360"/>
      </w:pPr>
      <w:rPr>
        <w:rFonts w:hint="default"/>
      </w:rPr>
    </w:lvl>
    <w:lvl w:ilvl="3" w:tplc="CA0A8212">
      <w:start w:val="1"/>
      <w:numFmt w:val="bullet"/>
      <w:lvlText w:val="•"/>
      <w:lvlJc w:val="left"/>
      <w:pPr>
        <w:ind w:left="3610" w:hanging="360"/>
      </w:pPr>
      <w:rPr>
        <w:rFonts w:hint="default"/>
      </w:rPr>
    </w:lvl>
    <w:lvl w:ilvl="4" w:tplc="4C6ADCF2">
      <w:start w:val="1"/>
      <w:numFmt w:val="bullet"/>
      <w:lvlText w:val="•"/>
      <w:lvlJc w:val="left"/>
      <w:pPr>
        <w:ind w:left="4500" w:hanging="360"/>
      </w:pPr>
      <w:rPr>
        <w:rFonts w:hint="default"/>
      </w:rPr>
    </w:lvl>
    <w:lvl w:ilvl="5" w:tplc="CA64EDE0">
      <w:start w:val="1"/>
      <w:numFmt w:val="bullet"/>
      <w:lvlText w:val="•"/>
      <w:lvlJc w:val="left"/>
      <w:pPr>
        <w:ind w:left="5390" w:hanging="360"/>
      </w:pPr>
      <w:rPr>
        <w:rFonts w:hint="default"/>
      </w:rPr>
    </w:lvl>
    <w:lvl w:ilvl="6" w:tplc="416296D6">
      <w:start w:val="1"/>
      <w:numFmt w:val="bullet"/>
      <w:lvlText w:val="•"/>
      <w:lvlJc w:val="left"/>
      <w:pPr>
        <w:ind w:left="6280" w:hanging="360"/>
      </w:pPr>
      <w:rPr>
        <w:rFonts w:hint="default"/>
      </w:rPr>
    </w:lvl>
    <w:lvl w:ilvl="7" w:tplc="28BAEA44">
      <w:start w:val="1"/>
      <w:numFmt w:val="bullet"/>
      <w:lvlText w:val="•"/>
      <w:lvlJc w:val="left"/>
      <w:pPr>
        <w:ind w:left="7170" w:hanging="360"/>
      </w:pPr>
      <w:rPr>
        <w:rFonts w:hint="default"/>
      </w:rPr>
    </w:lvl>
    <w:lvl w:ilvl="8" w:tplc="BC941526">
      <w:start w:val="1"/>
      <w:numFmt w:val="bullet"/>
      <w:lvlText w:val="•"/>
      <w:lvlJc w:val="left"/>
      <w:pPr>
        <w:ind w:left="8060" w:hanging="360"/>
      </w:pPr>
      <w:rPr>
        <w:rFonts w:hint="default"/>
      </w:rPr>
    </w:lvl>
  </w:abstractNum>
  <w:abstractNum w:abstractNumId="3">
    <w:nsid w:val="0E405C8B"/>
    <w:multiLevelType w:val="hybridMultilevel"/>
    <w:tmpl w:val="1C3A4B2E"/>
    <w:lvl w:ilvl="0" w:tplc="7DC0CFC8">
      <w:start w:val="1"/>
      <w:numFmt w:val="decimal"/>
      <w:lvlText w:val="%1."/>
      <w:lvlJc w:val="left"/>
      <w:pPr>
        <w:ind w:left="820" w:hanging="360"/>
      </w:pPr>
      <w:rPr>
        <w:rFonts w:ascii="Calibri" w:eastAsia="Calibri" w:hAnsi="Calibri" w:hint="default"/>
        <w:w w:val="100"/>
        <w:sz w:val="22"/>
        <w:szCs w:val="22"/>
      </w:rPr>
    </w:lvl>
    <w:lvl w:ilvl="1" w:tplc="D520C7F6">
      <w:start w:val="1"/>
      <w:numFmt w:val="bullet"/>
      <w:lvlText w:val=""/>
      <w:lvlJc w:val="left"/>
      <w:pPr>
        <w:ind w:left="1540" w:hanging="360"/>
      </w:pPr>
      <w:rPr>
        <w:rFonts w:ascii="Symbol" w:eastAsia="Symbol" w:hAnsi="Symbol" w:hint="default"/>
        <w:w w:val="100"/>
        <w:sz w:val="22"/>
        <w:szCs w:val="22"/>
      </w:rPr>
    </w:lvl>
    <w:lvl w:ilvl="2" w:tplc="B994DB4C">
      <w:start w:val="1"/>
      <w:numFmt w:val="bullet"/>
      <w:lvlText w:val="•"/>
      <w:lvlJc w:val="left"/>
      <w:pPr>
        <w:ind w:left="2446" w:hanging="360"/>
      </w:pPr>
      <w:rPr>
        <w:rFonts w:hint="default"/>
      </w:rPr>
    </w:lvl>
    <w:lvl w:ilvl="3" w:tplc="70841656">
      <w:start w:val="1"/>
      <w:numFmt w:val="bullet"/>
      <w:lvlText w:val="•"/>
      <w:lvlJc w:val="left"/>
      <w:pPr>
        <w:ind w:left="3353" w:hanging="360"/>
      </w:pPr>
      <w:rPr>
        <w:rFonts w:hint="default"/>
      </w:rPr>
    </w:lvl>
    <w:lvl w:ilvl="4" w:tplc="5262E556">
      <w:start w:val="1"/>
      <w:numFmt w:val="bullet"/>
      <w:lvlText w:val="•"/>
      <w:lvlJc w:val="left"/>
      <w:pPr>
        <w:ind w:left="4260" w:hanging="360"/>
      </w:pPr>
      <w:rPr>
        <w:rFonts w:hint="default"/>
      </w:rPr>
    </w:lvl>
    <w:lvl w:ilvl="5" w:tplc="CB9495C4">
      <w:start w:val="1"/>
      <w:numFmt w:val="bullet"/>
      <w:lvlText w:val="•"/>
      <w:lvlJc w:val="left"/>
      <w:pPr>
        <w:ind w:left="5166" w:hanging="360"/>
      </w:pPr>
      <w:rPr>
        <w:rFonts w:hint="default"/>
      </w:rPr>
    </w:lvl>
    <w:lvl w:ilvl="6" w:tplc="0226B0C0">
      <w:start w:val="1"/>
      <w:numFmt w:val="bullet"/>
      <w:lvlText w:val="•"/>
      <w:lvlJc w:val="left"/>
      <w:pPr>
        <w:ind w:left="6073" w:hanging="360"/>
      </w:pPr>
      <w:rPr>
        <w:rFonts w:hint="default"/>
      </w:rPr>
    </w:lvl>
    <w:lvl w:ilvl="7" w:tplc="5A6C62DA">
      <w:start w:val="1"/>
      <w:numFmt w:val="bullet"/>
      <w:lvlText w:val="•"/>
      <w:lvlJc w:val="left"/>
      <w:pPr>
        <w:ind w:left="6980" w:hanging="360"/>
      </w:pPr>
      <w:rPr>
        <w:rFonts w:hint="default"/>
      </w:rPr>
    </w:lvl>
    <w:lvl w:ilvl="8" w:tplc="BA5C0C26">
      <w:start w:val="1"/>
      <w:numFmt w:val="bullet"/>
      <w:lvlText w:val="•"/>
      <w:lvlJc w:val="left"/>
      <w:pPr>
        <w:ind w:left="7886" w:hanging="360"/>
      </w:pPr>
      <w:rPr>
        <w:rFonts w:hint="default"/>
      </w:rPr>
    </w:lvl>
  </w:abstractNum>
  <w:abstractNum w:abstractNumId="4">
    <w:nsid w:val="11C85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705311"/>
    <w:multiLevelType w:val="hybridMultilevel"/>
    <w:tmpl w:val="FEE2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708D0"/>
    <w:multiLevelType w:val="hybridMultilevel"/>
    <w:tmpl w:val="A6966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D54C9A"/>
    <w:multiLevelType w:val="hybridMultilevel"/>
    <w:tmpl w:val="96EC7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F135D0"/>
    <w:multiLevelType w:val="hybridMultilevel"/>
    <w:tmpl w:val="56B8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436B1"/>
    <w:multiLevelType w:val="hybridMultilevel"/>
    <w:tmpl w:val="EA7AD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9642E7B"/>
    <w:multiLevelType w:val="hybridMultilevel"/>
    <w:tmpl w:val="BF92BEF0"/>
    <w:lvl w:ilvl="0" w:tplc="2FC8777E">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9CC2406"/>
    <w:multiLevelType w:val="multilevel"/>
    <w:tmpl w:val="B260B7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FB0985"/>
    <w:multiLevelType w:val="hybridMultilevel"/>
    <w:tmpl w:val="9264B21A"/>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2E09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880BEB"/>
    <w:multiLevelType w:val="hybridMultilevel"/>
    <w:tmpl w:val="B45A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3458F"/>
    <w:multiLevelType w:val="hybridMultilevel"/>
    <w:tmpl w:val="A5764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BD46F7"/>
    <w:multiLevelType w:val="hybridMultilevel"/>
    <w:tmpl w:val="717E7536"/>
    <w:lvl w:ilvl="0" w:tplc="2CF4D2B4">
      <w:start w:val="1"/>
      <w:numFmt w:val="decimal"/>
      <w:lvlText w:val="%1."/>
      <w:lvlJc w:val="left"/>
      <w:pPr>
        <w:ind w:left="820" w:hanging="360"/>
      </w:pPr>
      <w:rPr>
        <w:rFonts w:ascii="Calibri" w:eastAsia="Calibri" w:hAnsi="Calibri" w:hint="default"/>
        <w:w w:val="100"/>
        <w:sz w:val="22"/>
        <w:szCs w:val="22"/>
      </w:rPr>
    </w:lvl>
    <w:lvl w:ilvl="1" w:tplc="F042C568">
      <w:start w:val="1"/>
      <w:numFmt w:val="bullet"/>
      <w:lvlText w:val="•"/>
      <w:lvlJc w:val="left"/>
      <w:pPr>
        <w:ind w:left="1708" w:hanging="360"/>
      </w:pPr>
      <w:rPr>
        <w:rFonts w:hint="default"/>
      </w:rPr>
    </w:lvl>
    <w:lvl w:ilvl="2" w:tplc="BD5C1C10">
      <w:start w:val="1"/>
      <w:numFmt w:val="bullet"/>
      <w:lvlText w:val="•"/>
      <w:lvlJc w:val="left"/>
      <w:pPr>
        <w:ind w:left="2596" w:hanging="360"/>
      </w:pPr>
      <w:rPr>
        <w:rFonts w:hint="default"/>
      </w:rPr>
    </w:lvl>
    <w:lvl w:ilvl="3" w:tplc="D71035AC">
      <w:start w:val="1"/>
      <w:numFmt w:val="bullet"/>
      <w:lvlText w:val="•"/>
      <w:lvlJc w:val="left"/>
      <w:pPr>
        <w:ind w:left="3484" w:hanging="360"/>
      </w:pPr>
      <w:rPr>
        <w:rFonts w:hint="default"/>
      </w:rPr>
    </w:lvl>
    <w:lvl w:ilvl="4" w:tplc="5518E45E">
      <w:start w:val="1"/>
      <w:numFmt w:val="bullet"/>
      <w:lvlText w:val="•"/>
      <w:lvlJc w:val="left"/>
      <w:pPr>
        <w:ind w:left="4372" w:hanging="360"/>
      </w:pPr>
      <w:rPr>
        <w:rFonts w:hint="default"/>
      </w:rPr>
    </w:lvl>
    <w:lvl w:ilvl="5" w:tplc="66203F66">
      <w:start w:val="1"/>
      <w:numFmt w:val="bullet"/>
      <w:lvlText w:val="•"/>
      <w:lvlJc w:val="left"/>
      <w:pPr>
        <w:ind w:left="5260" w:hanging="360"/>
      </w:pPr>
      <w:rPr>
        <w:rFonts w:hint="default"/>
      </w:rPr>
    </w:lvl>
    <w:lvl w:ilvl="6" w:tplc="ADFE7652">
      <w:start w:val="1"/>
      <w:numFmt w:val="bullet"/>
      <w:lvlText w:val="•"/>
      <w:lvlJc w:val="left"/>
      <w:pPr>
        <w:ind w:left="6148" w:hanging="360"/>
      </w:pPr>
      <w:rPr>
        <w:rFonts w:hint="default"/>
      </w:rPr>
    </w:lvl>
    <w:lvl w:ilvl="7" w:tplc="C144BF4A">
      <w:start w:val="1"/>
      <w:numFmt w:val="bullet"/>
      <w:lvlText w:val="•"/>
      <w:lvlJc w:val="left"/>
      <w:pPr>
        <w:ind w:left="7036" w:hanging="360"/>
      </w:pPr>
      <w:rPr>
        <w:rFonts w:hint="default"/>
      </w:rPr>
    </w:lvl>
    <w:lvl w:ilvl="8" w:tplc="0F0EE838">
      <w:start w:val="1"/>
      <w:numFmt w:val="bullet"/>
      <w:lvlText w:val="•"/>
      <w:lvlJc w:val="left"/>
      <w:pPr>
        <w:ind w:left="7924" w:hanging="360"/>
      </w:pPr>
      <w:rPr>
        <w:rFonts w:hint="default"/>
      </w:rPr>
    </w:lvl>
  </w:abstractNum>
  <w:abstractNum w:abstractNumId="17">
    <w:nsid w:val="3B030FD4"/>
    <w:multiLevelType w:val="singleLevel"/>
    <w:tmpl w:val="944232C8"/>
    <w:lvl w:ilvl="0">
      <w:start w:val="1"/>
      <w:numFmt w:val="bullet"/>
      <w:pStyle w:val="ListBullet"/>
      <w:lvlText w:val=""/>
      <w:lvlJc w:val="left"/>
      <w:pPr>
        <w:tabs>
          <w:tab w:val="num" w:pos="720"/>
        </w:tabs>
        <w:ind w:left="648" w:hanging="288"/>
      </w:pPr>
      <w:rPr>
        <w:rFonts w:ascii="Symbol" w:hAnsi="Symbol" w:hint="default"/>
        <w:b w:val="0"/>
        <w:i w:val="0"/>
        <w:sz w:val="20"/>
      </w:rPr>
    </w:lvl>
  </w:abstractNum>
  <w:abstractNum w:abstractNumId="18">
    <w:nsid w:val="3E6C7027"/>
    <w:multiLevelType w:val="hybridMultilevel"/>
    <w:tmpl w:val="D158D4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2748FF"/>
    <w:multiLevelType w:val="hybridMultilevel"/>
    <w:tmpl w:val="5D061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296DAA"/>
    <w:multiLevelType w:val="hybridMultilevel"/>
    <w:tmpl w:val="ABF68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3F972D0"/>
    <w:multiLevelType w:val="hybridMultilevel"/>
    <w:tmpl w:val="E69A6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7D3028"/>
    <w:multiLevelType w:val="hybridMultilevel"/>
    <w:tmpl w:val="476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2929FD"/>
    <w:multiLevelType w:val="hybridMultilevel"/>
    <w:tmpl w:val="089C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5302AD"/>
    <w:multiLevelType w:val="hybridMultilevel"/>
    <w:tmpl w:val="91CEFA6A"/>
    <w:lvl w:ilvl="0" w:tplc="37ECA180">
      <w:start w:val="1"/>
      <w:numFmt w:val="bullet"/>
      <w:lvlText w:val=""/>
      <w:lvlJc w:val="left"/>
      <w:pPr>
        <w:ind w:left="820" w:hanging="360"/>
      </w:pPr>
      <w:rPr>
        <w:rFonts w:ascii="Symbol" w:eastAsia="Symbol" w:hAnsi="Symbol" w:hint="default"/>
        <w:w w:val="100"/>
        <w:sz w:val="22"/>
        <w:szCs w:val="22"/>
      </w:rPr>
    </w:lvl>
    <w:lvl w:ilvl="1" w:tplc="542EE282">
      <w:start w:val="1"/>
      <w:numFmt w:val="bullet"/>
      <w:lvlText w:val="o"/>
      <w:lvlJc w:val="left"/>
      <w:pPr>
        <w:ind w:left="1540" w:hanging="360"/>
      </w:pPr>
      <w:rPr>
        <w:rFonts w:ascii="Courier New" w:eastAsia="Courier New" w:hAnsi="Courier New" w:hint="default"/>
        <w:w w:val="100"/>
        <w:sz w:val="22"/>
        <w:szCs w:val="22"/>
      </w:rPr>
    </w:lvl>
    <w:lvl w:ilvl="2" w:tplc="3FC03E52">
      <w:start w:val="1"/>
      <w:numFmt w:val="bullet"/>
      <w:lvlText w:val="•"/>
      <w:lvlJc w:val="left"/>
      <w:pPr>
        <w:ind w:left="2444" w:hanging="360"/>
      </w:pPr>
      <w:rPr>
        <w:rFonts w:hint="default"/>
      </w:rPr>
    </w:lvl>
    <w:lvl w:ilvl="3" w:tplc="1D9099CC">
      <w:start w:val="1"/>
      <w:numFmt w:val="bullet"/>
      <w:lvlText w:val="•"/>
      <w:lvlJc w:val="left"/>
      <w:pPr>
        <w:ind w:left="3348" w:hanging="360"/>
      </w:pPr>
      <w:rPr>
        <w:rFonts w:hint="default"/>
      </w:rPr>
    </w:lvl>
    <w:lvl w:ilvl="4" w:tplc="C7BE44E2">
      <w:start w:val="1"/>
      <w:numFmt w:val="bullet"/>
      <w:lvlText w:val="•"/>
      <w:lvlJc w:val="left"/>
      <w:pPr>
        <w:ind w:left="4253" w:hanging="360"/>
      </w:pPr>
      <w:rPr>
        <w:rFonts w:hint="default"/>
      </w:rPr>
    </w:lvl>
    <w:lvl w:ilvl="5" w:tplc="1F3225D0">
      <w:start w:val="1"/>
      <w:numFmt w:val="bullet"/>
      <w:lvlText w:val="•"/>
      <w:lvlJc w:val="left"/>
      <w:pPr>
        <w:ind w:left="5157" w:hanging="360"/>
      </w:pPr>
      <w:rPr>
        <w:rFonts w:hint="default"/>
      </w:rPr>
    </w:lvl>
    <w:lvl w:ilvl="6" w:tplc="E4869064">
      <w:start w:val="1"/>
      <w:numFmt w:val="bullet"/>
      <w:lvlText w:val="•"/>
      <w:lvlJc w:val="left"/>
      <w:pPr>
        <w:ind w:left="6062" w:hanging="360"/>
      </w:pPr>
      <w:rPr>
        <w:rFonts w:hint="default"/>
      </w:rPr>
    </w:lvl>
    <w:lvl w:ilvl="7" w:tplc="C052A362">
      <w:start w:val="1"/>
      <w:numFmt w:val="bullet"/>
      <w:lvlText w:val="•"/>
      <w:lvlJc w:val="left"/>
      <w:pPr>
        <w:ind w:left="6966" w:hanging="360"/>
      </w:pPr>
      <w:rPr>
        <w:rFonts w:hint="default"/>
      </w:rPr>
    </w:lvl>
    <w:lvl w:ilvl="8" w:tplc="6C78B234">
      <w:start w:val="1"/>
      <w:numFmt w:val="bullet"/>
      <w:lvlText w:val="•"/>
      <w:lvlJc w:val="left"/>
      <w:pPr>
        <w:ind w:left="7871" w:hanging="360"/>
      </w:pPr>
      <w:rPr>
        <w:rFonts w:hint="default"/>
      </w:rPr>
    </w:lvl>
  </w:abstractNum>
  <w:abstractNum w:abstractNumId="25">
    <w:nsid w:val="556710D0"/>
    <w:multiLevelType w:val="hybridMultilevel"/>
    <w:tmpl w:val="54304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282A8C"/>
    <w:multiLevelType w:val="hybridMultilevel"/>
    <w:tmpl w:val="2BD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C02ED"/>
    <w:multiLevelType w:val="hybridMultilevel"/>
    <w:tmpl w:val="B744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3B2CFD"/>
    <w:multiLevelType w:val="hybridMultilevel"/>
    <w:tmpl w:val="407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493B42"/>
    <w:multiLevelType w:val="hybridMultilevel"/>
    <w:tmpl w:val="B2DC3BF0"/>
    <w:lvl w:ilvl="0" w:tplc="0809000F">
      <w:start w:val="1"/>
      <w:numFmt w:val="decimal"/>
      <w:lvlText w:val="%1."/>
      <w:lvlJc w:val="left"/>
      <w:pPr>
        <w:ind w:left="360" w:hanging="360"/>
      </w:pPr>
    </w:lvl>
    <w:lvl w:ilvl="1" w:tplc="097EAC24">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854228A"/>
    <w:multiLevelType w:val="hybridMultilevel"/>
    <w:tmpl w:val="68EA4852"/>
    <w:lvl w:ilvl="0" w:tplc="F2A65436">
      <w:start w:val="1"/>
      <w:numFmt w:val="bullet"/>
      <w:lvlText w:val=""/>
      <w:lvlJc w:val="left"/>
      <w:pPr>
        <w:ind w:left="940" w:hanging="360"/>
      </w:pPr>
      <w:rPr>
        <w:rFonts w:ascii="Symbol" w:eastAsia="Symbol" w:hAnsi="Symbol" w:hint="default"/>
        <w:w w:val="100"/>
        <w:sz w:val="22"/>
        <w:szCs w:val="22"/>
      </w:rPr>
    </w:lvl>
    <w:lvl w:ilvl="1" w:tplc="F294C0B2">
      <w:start w:val="1"/>
      <w:numFmt w:val="bullet"/>
      <w:lvlText w:val="•"/>
      <w:lvlJc w:val="left"/>
      <w:pPr>
        <w:ind w:left="1838" w:hanging="360"/>
      </w:pPr>
      <w:rPr>
        <w:rFonts w:hint="default"/>
      </w:rPr>
    </w:lvl>
    <w:lvl w:ilvl="2" w:tplc="EEF83D60">
      <w:start w:val="1"/>
      <w:numFmt w:val="bullet"/>
      <w:lvlText w:val="•"/>
      <w:lvlJc w:val="left"/>
      <w:pPr>
        <w:ind w:left="2736" w:hanging="360"/>
      </w:pPr>
      <w:rPr>
        <w:rFonts w:hint="default"/>
      </w:rPr>
    </w:lvl>
    <w:lvl w:ilvl="3" w:tplc="099614D8">
      <w:start w:val="1"/>
      <w:numFmt w:val="bullet"/>
      <w:lvlText w:val="•"/>
      <w:lvlJc w:val="left"/>
      <w:pPr>
        <w:ind w:left="3634" w:hanging="360"/>
      </w:pPr>
      <w:rPr>
        <w:rFonts w:hint="default"/>
      </w:rPr>
    </w:lvl>
    <w:lvl w:ilvl="4" w:tplc="2070A984">
      <w:start w:val="1"/>
      <w:numFmt w:val="bullet"/>
      <w:lvlText w:val="•"/>
      <w:lvlJc w:val="left"/>
      <w:pPr>
        <w:ind w:left="4532" w:hanging="360"/>
      </w:pPr>
      <w:rPr>
        <w:rFonts w:hint="default"/>
      </w:rPr>
    </w:lvl>
    <w:lvl w:ilvl="5" w:tplc="BE6269A6">
      <w:start w:val="1"/>
      <w:numFmt w:val="bullet"/>
      <w:lvlText w:val="•"/>
      <w:lvlJc w:val="left"/>
      <w:pPr>
        <w:ind w:left="5430" w:hanging="360"/>
      </w:pPr>
      <w:rPr>
        <w:rFonts w:hint="default"/>
      </w:rPr>
    </w:lvl>
    <w:lvl w:ilvl="6" w:tplc="8004966E">
      <w:start w:val="1"/>
      <w:numFmt w:val="bullet"/>
      <w:lvlText w:val="•"/>
      <w:lvlJc w:val="left"/>
      <w:pPr>
        <w:ind w:left="6328" w:hanging="360"/>
      </w:pPr>
      <w:rPr>
        <w:rFonts w:hint="default"/>
      </w:rPr>
    </w:lvl>
    <w:lvl w:ilvl="7" w:tplc="82BA949E">
      <w:start w:val="1"/>
      <w:numFmt w:val="bullet"/>
      <w:lvlText w:val="•"/>
      <w:lvlJc w:val="left"/>
      <w:pPr>
        <w:ind w:left="7226" w:hanging="360"/>
      </w:pPr>
      <w:rPr>
        <w:rFonts w:hint="default"/>
      </w:rPr>
    </w:lvl>
    <w:lvl w:ilvl="8" w:tplc="E5489FAC">
      <w:start w:val="1"/>
      <w:numFmt w:val="bullet"/>
      <w:lvlText w:val="•"/>
      <w:lvlJc w:val="left"/>
      <w:pPr>
        <w:ind w:left="8124" w:hanging="360"/>
      </w:pPr>
      <w:rPr>
        <w:rFonts w:hint="default"/>
      </w:rPr>
    </w:lvl>
  </w:abstractNum>
  <w:abstractNum w:abstractNumId="31">
    <w:nsid w:val="69F110BA"/>
    <w:multiLevelType w:val="hybridMultilevel"/>
    <w:tmpl w:val="48C89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502208"/>
    <w:multiLevelType w:val="hybridMultilevel"/>
    <w:tmpl w:val="A1B05730"/>
    <w:lvl w:ilvl="0" w:tplc="0809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CA71BB7"/>
    <w:multiLevelType w:val="hybridMultilevel"/>
    <w:tmpl w:val="D904EF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F2742D"/>
    <w:multiLevelType w:val="hybridMultilevel"/>
    <w:tmpl w:val="4836C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966168"/>
    <w:multiLevelType w:val="hybridMultilevel"/>
    <w:tmpl w:val="393A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13"/>
  </w:num>
  <w:num w:numId="5">
    <w:abstractNumId w:val="5"/>
  </w:num>
  <w:num w:numId="6">
    <w:abstractNumId w:val="14"/>
  </w:num>
  <w:num w:numId="7">
    <w:abstractNumId w:val="8"/>
  </w:num>
  <w:num w:numId="8">
    <w:abstractNumId w:val="20"/>
  </w:num>
  <w:num w:numId="9">
    <w:abstractNumId w:val="22"/>
  </w:num>
  <w:num w:numId="10">
    <w:abstractNumId w:val="31"/>
  </w:num>
  <w:num w:numId="11">
    <w:abstractNumId w:val="34"/>
  </w:num>
  <w:num w:numId="12">
    <w:abstractNumId w:val="12"/>
  </w:num>
  <w:num w:numId="13">
    <w:abstractNumId w:val="7"/>
  </w:num>
  <w:num w:numId="14">
    <w:abstractNumId w:val="19"/>
  </w:num>
  <w:num w:numId="15">
    <w:abstractNumId w:val="6"/>
  </w:num>
  <w:num w:numId="16">
    <w:abstractNumId w:val="33"/>
  </w:num>
  <w:num w:numId="17">
    <w:abstractNumId w:val="9"/>
  </w:num>
  <w:num w:numId="18">
    <w:abstractNumId w:val="27"/>
  </w:num>
  <w:num w:numId="19">
    <w:abstractNumId w:val="18"/>
  </w:num>
  <w:num w:numId="20">
    <w:abstractNumId w:val="4"/>
  </w:num>
  <w:num w:numId="21">
    <w:abstractNumId w:val="15"/>
  </w:num>
  <w:num w:numId="22">
    <w:abstractNumId w:val="21"/>
  </w:num>
  <w:num w:numId="23">
    <w:abstractNumId w:val="35"/>
  </w:num>
  <w:num w:numId="24">
    <w:abstractNumId w:val="23"/>
  </w:num>
  <w:num w:numId="25">
    <w:abstractNumId w:val="2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2"/>
  </w:num>
  <w:num w:numId="29">
    <w:abstractNumId w:val="26"/>
  </w:num>
  <w:num w:numId="30">
    <w:abstractNumId w:val="25"/>
  </w:num>
  <w:num w:numId="31">
    <w:abstractNumId w:val="10"/>
  </w:num>
  <w:num w:numId="32">
    <w:abstractNumId w:val="30"/>
  </w:num>
  <w:num w:numId="33">
    <w:abstractNumId w:val="2"/>
  </w:num>
  <w:num w:numId="34">
    <w:abstractNumId w:val="24"/>
  </w:num>
  <w:num w:numId="35">
    <w:abstractNumId w:val="1"/>
  </w:num>
  <w:num w:numId="36">
    <w:abstractNumId w:val="3"/>
  </w:num>
  <w:num w:numId="37">
    <w:abstractNumId w:val="16"/>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drawingGridHorizontalSpacing w:val="10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CB1986"/>
    <w:rsid w:val="000001D2"/>
    <w:rsid w:val="0000028C"/>
    <w:rsid w:val="0000112A"/>
    <w:rsid w:val="000016F9"/>
    <w:rsid w:val="000026B7"/>
    <w:rsid w:val="0000273D"/>
    <w:rsid w:val="00003633"/>
    <w:rsid w:val="000036D1"/>
    <w:rsid w:val="000037F5"/>
    <w:rsid w:val="000042BE"/>
    <w:rsid w:val="00005FBD"/>
    <w:rsid w:val="000065E5"/>
    <w:rsid w:val="00006863"/>
    <w:rsid w:val="00006B6B"/>
    <w:rsid w:val="0000704A"/>
    <w:rsid w:val="000070CF"/>
    <w:rsid w:val="00007E7A"/>
    <w:rsid w:val="0001054A"/>
    <w:rsid w:val="00010A0B"/>
    <w:rsid w:val="00010A59"/>
    <w:rsid w:val="00010D0C"/>
    <w:rsid w:val="00010E8B"/>
    <w:rsid w:val="000111EA"/>
    <w:rsid w:val="000123C6"/>
    <w:rsid w:val="00012E88"/>
    <w:rsid w:val="00013992"/>
    <w:rsid w:val="00013DAB"/>
    <w:rsid w:val="00013F4B"/>
    <w:rsid w:val="0001435D"/>
    <w:rsid w:val="00014942"/>
    <w:rsid w:val="00014A59"/>
    <w:rsid w:val="0001550D"/>
    <w:rsid w:val="00015CF7"/>
    <w:rsid w:val="00015E8A"/>
    <w:rsid w:val="00015EBB"/>
    <w:rsid w:val="0001602D"/>
    <w:rsid w:val="000164B7"/>
    <w:rsid w:val="00016A17"/>
    <w:rsid w:val="00017057"/>
    <w:rsid w:val="000170F1"/>
    <w:rsid w:val="0001761D"/>
    <w:rsid w:val="00021B43"/>
    <w:rsid w:val="000222E2"/>
    <w:rsid w:val="00022B45"/>
    <w:rsid w:val="00022B7D"/>
    <w:rsid w:val="0002436D"/>
    <w:rsid w:val="0002460A"/>
    <w:rsid w:val="00024A8B"/>
    <w:rsid w:val="00024AAA"/>
    <w:rsid w:val="00024B6A"/>
    <w:rsid w:val="00024D26"/>
    <w:rsid w:val="00024D95"/>
    <w:rsid w:val="00024F9B"/>
    <w:rsid w:val="000250F9"/>
    <w:rsid w:val="00025DD1"/>
    <w:rsid w:val="00026034"/>
    <w:rsid w:val="00026FE5"/>
    <w:rsid w:val="000276D2"/>
    <w:rsid w:val="0003027A"/>
    <w:rsid w:val="00030E4E"/>
    <w:rsid w:val="00031796"/>
    <w:rsid w:val="000325E8"/>
    <w:rsid w:val="00032824"/>
    <w:rsid w:val="000329CD"/>
    <w:rsid w:val="00033743"/>
    <w:rsid w:val="0003460E"/>
    <w:rsid w:val="00035389"/>
    <w:rsid w:val="00035C54"/>
    <w:rsid w:val="0003666E"/>
    <w:rsid w:val="000367D3"/>
    <w:rsid w:val="00036C04"/>
    <w:rsid w:val="00036DDE"/>
    <w:rsid w:val="00036FAF"/>
    <w:rsid w:val="00036FDD"/>
    <w:rsid w:val="00037366"/>
    <w:rsid w:val="0003744E"/>
    <w:rsid w:val="000403D2"/>
    <w:rsid w:val="00041415"/>
    <w:rsid w:val="00042AC9"/>
    <w:rsid w:val="00042B07"/>
    <w:rsid w:val="00043187"/>
    <w:rsid w:val="000432F2"/>
    <w:rsid w:val="000439A5"/>
    <w:rsid w:val="00043CDF"/>
    <w:rsid w:val="00044115"/>
    <w:rsid w:val="00044840"/>
    <w:rsid w:val="00045580"/>
    <w:rsid w:val="0004588A"/>
    <w:rsid w:val="00045AD3"/>
    <w:rsid w:val="00046543"/>
    <w:rsid w:val="00046C68"/>
    <w:rsid w:val="00047085"/>
    <w:rsid w:val="00047543"/>
    <w:rsid w:val="000479FA"/>
    <w:rsid w:val="00047AF0"/>
    <w:rsid w:val="0005063E"/>
    <w:rsid w:val="000509D0"/>
    <w:rsid w:val="00051228"/>
    <w:rsid w:val="000536C3"/>
    <w:rsid w:val="0005417A"/>
    <w:rsid w:val="000541FB"/>
    <w:rsid w:val="000550E5"/>
    <w:rsid w:val="00055524"/>
    <w:rsid w:val="000558F7"/>
    <w:rsid w:val="00056094"/>
    <w:rsid w:val="00056271"/>
    <w:rsid w:val="00057479"/>
    <w:rsid w:val="0005751E"/>
    <w:rsid w:val="00057ACA"/>
    <w:rsid w:val="0006083B"/>
    <w:rsid w:val="00062090"/>
    <w:rsid w:val="000638D8"/>
    <w:rsid w:val="00063E29"/>
    <w:rsid w:val="00063FAF"/>
    <w:rsid w:val="00064597"/>
    <w:rsid w:val="000646FD"/>
    <w:rsid w:val="00064F59"/>
    <w:rsid w:val="00065DF7"/>
    <w:rsid w:val="0006622C"/>
    <w:rsid w:val="00067B38"/>
    <w:rsid w:val="00067E76"/>
    <w:rsid w:val="00070056"/>
    <w:rsid w:val="000703CD"/>
    <w:rsid w:val="000703DA"/>
    <w:rsid w:val="00070F1B"/>
    <w:rsid w:val="000713CE"/>
    <w:rsid w:val="00071813"/>
    <w:rsid w:val="00071C7F"/>
    <w:rsid w:val="00072552"/>
    <w:rsid w:val="0007483F"/>
    <w:rsid w:val="00075F42"/>
    <w:rsid w:val="000765F5"/>
    <w:rsid w:val="00077BDD"/>
    <w:rsid w:val="000807C4"/>
    <w:rsid w:val="00080C48"/>
    <w:rsid w:val="00080E95"/>
    <w:rsid w:val="0008176D"/>
    <w:rsid w:val="00081F49"/>
    <w:rsid w:val="00082D86"/>
    <w:rsid w:val="00083B18"/>
    <w:rsid w:val="00084414"/>
    <w:rsid w:val="000847DC"/>
    <w:rsid w:val="00084A48"/>
    <w:rsid w:val="00085709"/>
    <w:rsid w:val="00085CC9"/>
    <w:rsid w:val="0008658D"/>
    <w:rsid w:val="00086A33"/>
    <w:rsid w:val="00086C85"/>
    <w:rsid w:val="00086DE5"/>
    <w:rsid w:val="00090022"/>
    <w:rsid w:val="00090176"/>
    <w:rsid w:val="00090243"/>
    <w:rsid w:val="0009154B"/>
    <w:rsid w:val="00091A3A"/>
    <w:rsid w:val="00092439"/>
    <w:rsid w:val="00093B08"/>
    <w:rsid w:val="00094158"/>
    <w:rsid w:val="0009453F"/>
    <w:rsid w:val="000947A5"/>
    <w:rsid w:val="000948A7"/>
    <w:rsid w:val="000951B1"/>
    <w:rsid w:val="0009581C"/>
    <w:rsid w:val="00096233"/>
    <w:rsid w:val="000966DD"/>
    <w:rsid w:val="00096F8C"/>
    <w:rsid w:val="000977A9"/>
    <w:rsid w:val="00097991"/>
    <w:rsid w:val="00097D53"/>
    <w:rsid w:val="000A061E"/>
    <w:rsid w:val="000A06BC"/>
    <w:rsid w:val="000A0A26"/>
    <w:rsid w:val="000A199B"/>
    <w:rsid w:val="000A2B53"/>
    <w:rsid w:val="000A341F"/>
    <w:rsid w:val="000A4669"/>
    <w:rsid w:val="000A5546"/>
    <w:rsid w:val="000A594B"/>
    <w:rsid w:val="000A5CA1"/>
    <w:rsid w:val="000A65C7"/>
    <w:rsid w:val="000A6DAF"/>
    <w:rsid w:val="000B004B"/>
    <w:rsid w:val="000B09D1"/>
    <w:rsid w:val="000B0D58"/>
    <w:rsid w:val="000B144E"/>
    <w:rsid w:val="000B1BC2"/>
    <w:rsid w:val="000B1BD6"/>
    <w:rsid w:val="000B2164"/>
    <w:rsid w:val="000B22FC"/>
    <w:rsid w:val="000B42E0"/>
    <w:rsid w:val="000B43AC"/>
    <w:rsid w:val="000B4496"/>
    <w:rsid w:val="000B4F77"/>
    <w:rsid w:val="000B6114"/>
    <w:rsid w:val="000B6195"/>
    <w:rsid w:val="000B7179"/>
    <w:rsid w:val="000B719C"/>
    <w:rsid w:val="000B7714"/>
    <w:rsid w:val="000B7DAB"/>
    <w:rsid w:val="000C082D"/>
    <w:rsid w:val="000C0C5B"/>
    <w:rsid w:val="000C0DAE"/>
    <w:rsid w:val="000C0EB2"/>
    <w:rsid w:val="000C10DC"/>
    <w:rsid w:val="000C189B"/>
    <w:rsid w:val="000C215E"/>
    <w:rsid w:val="000C253D"/>
    <w:rsid w:val="000C26BE"/>
    <w:rsid w:val="000C2CE1"/>
    <w:rsid w:val="000C2F6D"/>
    <w:rsid w:val="000C3CB9"/>
    <w:rsid w:val="000C3F24"/>
    <w:rsid w:val="000C417D"/>
    <w:rsid w:val="000C4346"/>
    <w:rsid w:val="000C57AF"/>
    <w:rsid w:val="000C5895"/>
    <w:rsid w:val="000C6639"/>
    <w:rsid w:val="000C6B4E"/>
    <w:rsid w:val="000C6DEB"/>
    <w:rsid w:val="000C6E68"/>
    <w:rsid w:val="000C6FAC"/>
    <w:rsid w:val="000C7AB0"/>
    <w:rsid w:val="000D04B9"/>
    <w:rsid w:val="000D24AF"/>
    <w:rsid w:val="000D2ADB"/>
    <w:rsid w:val="000D31BD"/>
    <w:rsid w:val="000D3313"/>
    <w:rsid w:val="000D41E9"/>
    <w:rsid w:val="000D455A"/>
    <w:rsid w:val="000D4CA0"/>
    <w:rsid w:val="000D57F8"/>
    <w:rsid w:val="000D6524"/>
    <w:rsid w:val="000D6683"/>
    <w:rsid w:val="000D6DF5"/>
    <w:rsid w:val="000D750E"/>
    <w:rsid w:val="000D7DE3"/>
    <w:rsid w:val="000D7E78"/>
    <w:rsid w:val="000E0691"/>
    <w:rsid w:val="000E239F"/>
    <w:rsid w:val="000E24A5"/>
    <w:rsid w:val="000E3034"/>
    <w:rsid w:val="000E3368"/>
    <w:rsid w:val="000E3A76"/>
    <w:rsid w:val="000E45EE"/>
    <w:rsid w:val="000E4F0E"/>
    <w:rsid w:val="000E4FF3"/>
    <w:rsid w:val="000E5220"/>
    <w:rsid w:val="000E6170"/>
    <w:rsid w:val="000E685A"/>
    <w:rsid w:val="000E6FB8"/>
    <w:rsid w:val="000E7650"/>
    <w:rsid w:val="000E78FF"/>
    <w:rsid w:val="000E7C3D"/>
    <w:rsid w:val="000E7EC5"/>
    <w:rsid w:val="000F0C7B"/>
    <w:rsid w:val="000F118D"/>
    <w:rsid w:val="000F1E5D"/>
    <w:rsid w:val="000F218D"/>
    <w:rsid w:val="000F22E5"/>
    <w:rsid w:val="000F23FE"/>
    <w:rsid w:val="000F3842"/>
    <w:rsid w:val="000F3F38"/>
    <w:rsid w:val="000F41F0"/>
    <w:rsid w:val="000F4611"/>
    <w:rsid w:val="000F46EE"/>
    <w:rsid w:val="000F4F0B"/>
    <w:rsid w:val="000F5F0E"/>
    <w:rsid w:val="000F61AF"/>
    <w:rsid w:val="000F6BBD"/>
    <w:rsid w:val="00100093"/>
    <w:rsid w:val="0010042C"/>
    <w:rsid w:val="00100CFB"/>
    <w:rsid w:val="00100E18"/>
    <w:rsid w:val="00100EDB"/>
    <w:rsid w:val="001016B8"/>
    <w:rsid w:val="00101D60"/>
    <w:rsid w:val="001020C1"/>
    <w:rsid w:val="00103231"/>
    <w:rsid w:val="00103AF3"/>
    <w:rsid w:val="00104048"/>
    <w:rsid w:val="00104165"/>
    <w:rsid w:val="001047F6"/>
    <w:rsid w:val="00104E80"/>
    <w:rsid w:val="00106146"/>
    <w:rsid w:val="0010707F"/>
    <w:rsid w:val="00107CEE"/>
    <w:rsid w:val="0011000A"/>
    <w:rsid w:val="00110731"/>
    <w:rsid w:val="001115C9"/>
    <w:rsid w:val="001119F9"/>
    <w:rsid w:val="00111EB2"/>
    <w:rsid w:val="00112205"/>
    <w:rsid w:val="00113672"/>
    <w:rsid w:val="00114D66"/>
    <w:rsid w:val="00115659"/>
    <w:rsid w:val="00116186"/>
    <w:rsid w:val="00116A4E"/>
    <w:rsid w:val="00116C09"/>
    <w:rsid w:val="00116DA3"/>
    <w:rsid w:val="00116FEC"/>
    <w:rsid w:val="00117566"/>
    <w:rsid w:val="001177DD"/>
    <w:rsid w:val="00117EFC"/>
    <w:rsid w:val="00117F71"/>
    <w:rsid w:val="001204EB"/>
    <w:rsid w:val="0012070E"/>
    <w:rsid w:val="001209A2"/>
    <w:rsid w:val="00121176"/>
    <w:rsid w:val="00121363"/>
    <w:rsid w:val="00121B4A"/>
    <w:rsid w:val="00121DC2"/>
    <w:rsid w:val="00123D1B"/>
    <w:rsid w:val="00123E69"/>
    <w:rsid w:val="0012442A"/>
    <w:rsid w:val="0012445B"/>
    <w:rsid w:val="00124800"/>
    <w:rsid w:val="00124E73"/>
    <w:rsid w:val="00125307"/>
    <w:rsid w:val="00125AC3"/>
    <w:rsid w:val="00125CE7"/>
    <w:rsid w:val="0012647C"/>
    <w:rsid w:val="001264A8"/>
    <w:rsid w:val="00126EA9"/>
    <w:rsid w:val="0013068B"/>
    <w:rsid w:val="00130912"/>
    <w:rsid w:val="00131496"/>
    <w:rsid w:val="00131815"/>
    <w:rsid w:val="00131A5C"/>
    <w:rsid w:val="0013219A"/>
    <w:rsid w:val="00132CFC"/>
    <w:rsid w:val="0013301E"/>
    <w:rsid w:val="00133178"/>
    <w:rsid w:val="0013321D"/>
    <w:rsid w:val="001338A0"/>
    <w:rsid w:val="00133903"/>
    <w:rsid w:val="00134032"/>
    <w:rsid w:val="0013405D"/>
    <w:rsid w:val="0013429A"/>
    <w:rsid w:val="00135184"/>
    <w:rsid w:val="001356C5"/>
    <w:rsid w:val="00135C5A"/>
    <w:rsid w:val="00135DC7"/>
    <w:rsid w:val="001360C1"/>
    <w:rsid w:val="00136615"/>
    <w:rsid w:val="001371A7"/>
    <w:rsid w:val="0014034B"/>
    <w:rsid w:val="001403AB"/>
    <w:rsid w:val="00141672"/>
    <w:rsid w:val="00141B01"/>
    <w:rsid w:val="00141F8F"/>
    <w:rsid w:val="001439A6"/>
    <w:rsid w:val="00143BBB"/>
    <w:rsid w:val="001450B3"/>
    <w:rsid w:val="001457CC"/>
    <w:rsid w:val="00145D71"/>
    <w:rsid w:val="00145F1B"/>
    <w:rsid w:val="001473BD"/>
    <w:rsid w:val="00147A08"/>
    <w:rsid w:val="001501D9"/>
    <w:rsid w:val="00150AB9"/>
    <w:rsid w:val="00151905"/>
    <w:rsid w:val="001527A4"/>
    <w:rsid w:val="001529E6"/>
    <w:rsid w:val="0015367B"/>
    <w:rsid w:val="00154893"/>
    <w:rsid w:val="00154A4E"/>
    <w:rsid w:val="00154ED9"/>
    <w:rsid w:val="00156CAB"/>
    <w:rsid w:val="0015702D"/>
    <w:rsid w:val="001571DA"/>
    <w:rsid w:val="00157B4F"/>
    <w:rsid w:val="0016079F"/>
    <w:rsid w:val="00162BD0"/>
    <w:rsid w:val="00162EC1"/>
    <w:rsid w:val="0016328F"/>
    <w:rsid w:val="001638A2"/>
    <w:rsid w:val="00163938"/>
    <w:rsid w:val="001642F8"/>
    <w:rsid w:val="0016451B"/>
    <w:rsid w:val="00165508"/>
    <w:rsid w:val="00165B4A"/>
    <w:rsid w:val="00167B0B"/>
    <w:rsid w:val="00167BAD"/>
    <w:rsid w:val="00170631"/>
    <w:rsid w:val="00171B80"/>
    <w:rsid w:val="00172822"/>
    <w:rsid w:val="00172BBF"/>
    <w:rsid w:val="001748AB"/>
    <w:rsid w:val="0017493C"/>
    <w:rsid w:val="00174D6D"/>
    <w:rsid w:val="001752E7"/>
    <w:rsid w:val="00175778"/>
    <w:rsid w:val="0017579C"/>
    <w:rsid w:val="00175EE5"/>
    <w:rsid w:val="001761F9"/>
    <w:rsid w:val="0017630B"/>
    <w:rsid w:val="00176739"/>
    <w:rsid w:val="0017698A"/>
    <w:rsid w:val="00176D19"/>
    <w:rsid w:val="00177445"/>
    <w:rsid w:val="001778B0"/>
    <w:rsid w:val="00177930"/>
    <w:rsid w:val="00177A09"/>
    <w:rsid w:val="00180B63"/>
    <w:rsid w:val="001810EE"/>
    <w:rsid w:val="001811CD"/>
    <w:rsid w:val="00181310"/>
    <w:rsid w:val="00181798"/>
    <w:rsid w:val="0018182E"/>
    <w:rsid w:val="00181AD6"/>
    <w:rsid w:val="00182AEA"/>
    <w:rsid w:val="00182CD1"/>
    <w:rsid w:val="001832C7"/>
    <w:rsid w:val="001833AF"/>
    <w:rsid w:val="0018345C"/>
    <w:rsid w:val="00184675"/>
    <w:rsid w:val="00184EF5"/>
    <w:rsid w:val="00184F9E"/>
    <w:rsid w:val="001853AF"/>
    <w:rsid w:val="00185ED2"/>
    <w:rsid w:val="001860E1"/>
    <w:rsid w:val="0018691C"/>
    <w:rsid w:val="00186EEF"/>
    <w:rsid w:val="001875F3"/>
    <w:rsid w:val="00187E99"/>
    <w:rsid w:val="001909D5"/>
    <w:rsid w:val="001914E0"/>
    <w:rsid w:val="0019167B"/>
    <w:rsid w:val="00192B55"/>
    <w:rsid w:val="00192F86"/>
    <w:rsid w:val="0019390D"/>
    <w:rsid w:val="00194EC8"/>
    <w:rsid w:val="00195401"/>
    <w:rsid w:val="00195861"/>
    <w:rsid w:val="00196DF2"/>
    <w:rsid w:val="00196E8D"/>
    <w:rsid w:val="00197355"/>
    <w:rsid w:val="001975B3"/>
    <w:rsid w:val="00197A86"/>
    <w:rsid w:val="00197F6C"/>
    <w:rsid w:val="001A1046"/>
    <w:rsid w:val="001A1521"/>
    <w:rsid w:val="001A156B"/>
    <w:rsid w:val="001A191E"/>
    <w:rsid w:val="001A1C3C"/>
    <w:rsid w:val="001A22F2"/>
    <w:rsid w:val="001A2872"/>
    <w:rsid w:val="001A2FFB"/>
    <w:rsid w:val="001A398B"/>
    <w:rsid w:val="001A3F15"/>
    <w:rsid w:val="001A4A54"/>
    <w:rsid w:val="001A5B1C"/>
    <w:rsid w:val="001A5B93"/>
    <w:rsid w:val="001A67BE"/>
    <w:rsid w:val="001A7BC5"/>
    <w:rsid w:val="001A7BF0"/>
    <w:rsid w:val="001B015D"/>
    <w:rsid w:val="001B0EA0"/>
    <w:rsid w:val="001B11FD"/>
    <w:rsid w:val="001B1A6C"/>
    <w:rsid w:val="001B1BF5"/>
    <w:rsid w:val="001B2B75"/>
    <w:rsid w:val="001B32B7"/>
    <w:rsid w:val="001B3D9A"/>
    <w:rsid w:val="001B4409"/>
    <w:rsid w:val="001B4879"/>
    <w:rsid w:val="001B5374"/>
    <w:rsid w:val="001B56E3"/>
    <w:rsid w:val="001B57A7"/>
    <w:rsid w:val="001B6DDD"/>
    <w:rsid w:val="001C0697"/>
    <w:rsid w:val="001C0CB1"/>
    <w:rsid w:val="001C0D64"/>
    <w:rsid w:val="001C0FDA"/>
    <w:rsid w:val="001C15A7"/>
    <w:rsid w:val="001C170B"/>
    <w:rsid w:val="001C186D"/>
    <w:rsid w:val="001C1A98"/>
    <w:rsid w:val="001C3273"/>
    <w:rsid w:val="001C38FA"/>
    <w:rsid w:val="001C4819"/>
    <w:rsid w:val="001C4E24"/>
    <w:rsid w:val="001C5798"/>
    <w:rsid w:val="001C6998"/>
    <w:rsid w:val="001C6DA0"/>
    <w:rsid w:val="001C6ECB"/>
    <w:rsid w:val="001C70F2"/>
    <w:rsid w:val="001C77C5"/>
    <w:rsid w:val="001C7BDD"/>
    <w:rsid w:val="001C7CBB"/>
    <w:rsid w:val="001D0D76"/>
    <w:rsid w:val="001D10EA"/>
    <w:rsid w:val="001D151A"/>
    <w:rsid w:val="001D1C9A"/>
    <w:rsid w:val="001D1E4F"/>
    <w:rsid w:val="001D24AF"/>
    <w:rsid w:val="001D28FF"/>
    <w:rsid w:val="001D2E52"/>
    <w:rsid w:val="001D4BD4"/>
    <w:rsid w:val="001D53D3"/>
    <w:rsid w:val="001D5444"/>
    <w:rsid w:val="001D62AF"/>
    <w:rsid w:val="001D631E"/>
    <w:rsid w:val="001D6F47"/>
    <w:rsid w:val="001D75C0"/>
    <w:rsid w:val="001E0C75"/>
    <w:rsid w:val="001E245E"/>
    <w:rsid w:val="001E2BAE"/>
    <w:rsid w:val="001E3523"/>
    <w:rsid w:val="001E3D70"/>
    <w:rsid w:val="001E4BBD"/>
    <w:rsid w:val="001E4E92"/>
    <w:rsid w:val="001E5173"/>
    <w:rsid w:val="001E5B0B"/>
    <w:rsid w:val="001E5D9D"/>
    <w:rsid w:val="001E6753"/>
    <w:rsid w:val="001E6D5C"/>
    <w:rsid w:val="001E70C6"/>
    <w:rsid w:val="001E72EA"/>
    <w:rsid w:val="001F0045"/>
    <w:rsid w:val="001F00B9"/>
    <w:rsid w:val="001F04C3"/>
    <w:rsid w:val="001F0A10"/>
    <w:rsid w:val="001F0B79"/>
    <w:rsid w:val="001F1C34"/>
    <w:rsid w:val="001F1C91"/>
    <w:rsid w:val="001F338A"/>
    <w:rsid w:val="001F39FD"/>
    <w:rsid w:val="001F4365"/>
    <w:rsid w:val="001F4987"/>
    <w:rsid w:val="001F4F7E"/>
    <w:rsid w:val="001F53D0"/>
    <w:rsid w:val="001F6897"/>
    <w:rsid w:val="001F6D5D"/>
    <w:rsid w:val="001F716B"/>
    <w:rsid w:val="00200014"/>
    <w:rsid w:val="00200386"/>
    <w:rsid w:val="00200687"/>
    <w:rsid w:val="0020090A"/>
    <w:rsid w:val="00200D84"/>
    <w:rsid w:val="002036CF"/>
    <w:rsid w:val="00203710"/>
    <w:rsid w:val="00204707"/>
    <w:rsid w:val="00204839"/>
    <w:rsid w:val="00204BA6"/>
    <w:rsid w:val="00204DFA"/>
    <w:rsid w:val="002050AB"/>
    <w:rsid w:val="00205CF7"/>
    <w:rsid w:val="00206373"/>
    <w:rsid w:val="00206A3F"/>
    <w:rsid w:val="00206AA0"/>
    <w:rsid w:val="00206B2F"/>
    <w:rsid w:val="00206CED"/>
    <w:rsid w:val="0020798B"/>
    <w:rsid w:val="00207CDA"/>
    <w:rsid w:val="00210400"/>
    <w:rsid w:val="00211130"/>
    <w:rsid w:val="00211414"/>
    <w:rsid w:val="00213135"/>
    <w:rsid w:val="00213E5F"/>
    <w:rsid w:val="00213FC9"/>
    <w:rsid w:val="002142DD"/>
    <w:rsid w:val="00214366"/>
    <w:rsid w:val="00215227"/>
    <w:rsid w:val="00215713"/>
    <w:rsid w:val="002158D5"/>
    <w:rsid w:val="00217E0D"/>
    <w:rsid w:val="0022015F"/>
    <w:rsid w:val="002203BD"/>
    <w:rsid w:val="00220FB8"/>
    <w:rsid w:val="0022296A"/>
    <w:rsid w:val="00223CF5"/>
    <w:rsid w:val="00225DA8"/>
    <w:rsid w:val="00226355"/>
    <w:rsid w:val="00226653"/>
    <w:rsid w:val="0022689D"/>
    <w:rsid w:val="00226BBF"/>
    <w:rsid w:val="002271E6"/>
    <w:rsid w:val="00227F37"/>
    <w:rsid w:val="00230349"/>
    <w:rsid w:val="0023097A"/>
    <w:rsid w:val="00230B38"/>
    <w:rsid w:val="002321E7"/>
    <w:rsid w:val="0023224F"/>
    <w:rsid w:val="002324F3"/>
    <w:rsid w:val="00233A1A"/>
    <w:rsid w:val="00233B51"/>
    <w:rsid w:val="00233DB9"/>
    <w:rsid w:val="002341DF"/>
    <w:rsid w:val="00235653"/>
    <w:rsid w:val="002364A5"/>
    <w:rsid w:val="00236868"/>
    <w:rsid w:val="002369A8"/>
    <w:rsid w:val="00240082"/>
    <w:rsid w:val="002402E5"/>
    <w:rsid w:val="00240958"/>
    <w:rsid w:val="002425C5"/>
    <w:rsid w:val="00242F11"/>
    <w:rsid w:val="0024338B"/>
    <w:rsid w:val="00243792"/>
    <w:rsid w:val="00245AD1"/>
    <w:rsid w:val="00245C39"/>
    <w:rsid w:val="002465C4"/>
    <w:rsid w:val="0024697C"/>
    <w:rsid w:val="00246BA0"/>
    <w:rsid w:val="0024794E"/>
    <w:rsid w:val="00247C0D"/>
    <w:rsid w:val="00250215"/>
    <w:rsid w:val="00250E09"/>
    <w:rsid w:val="00251128"/>
    <w:rsid w:val="002513EF"/>
    <w:rsid w:val="00251902"/>
    <w:rsid w:val="00253171"/>
    <w:rsid w:val="0025317C"/>
    <w:rsid w:val="002533C8"/>
    <w:rsid w:val="002537CD"/>
    <w:rsid w:val="00253F1F"/>
    <w:rsid w:val="0025423B"/>
    <w:rsid w:val="00254B96"/>
    <w:rsid w:val="00254BA8"/>
    <w:rsid w:val="00255039"/>
    <w:rsid w:val="00255E02"/>
    <w:rsid w:val="002560E6"/>
    <w:rsid w:val="0025648E"/>
    <w:rsid w:val="00256E96"/>
    <w:rsid w:val="002577A4"/>
    <w:rsid w:val="00257A75"/>
    <w:rsid w:val="00257BB1"/>
    <w:rsid w:val="00257C47"/>
    <w:rsid w:val="0026079B"/>
    <w:rsid w:val="00260878"/>
    <w:rsid w:val="00260B7D"/>
    <w:rsid w:val="0026137D"/>
    <w:rsid w:val="002624E1"/>
    <w:rsid w:val="00262C3A"/>
    <w:rsid w:val="00263624"/>
    <w:rsid w:val="00263BBC"/>
    <w:rsid w:val="00264E11"/>
    <w:rsid w:val="00265899"/>
    <w:rsid w:val="00265A53"/>
    <w:rsid w:val="00265C8F"/>
    <w:rsid w:val="00265E7A"/>
    <w:rsid w:val="00265F54"/>
    <w:rsid w:val="002661A1"/>
    <w:rsid w:val="00266288"/>
    <w:rsid w:val="002666F4"/>
    <w:rsid w:val="00266958"/>
    <w:rsid w:val="00266E65"/>
    <w:rsid w:val="00267382"/>
    <w:rsid w:val="00267726"/>
    <w:rsid w:val="002706D3"/>
    <w:rsid w:val="00271696"/>
    <w:rsid w:val="002721BF"/>
    <w:rsid w:val="00272815"/>
    <w:rsid w:val="00272822"/>
    <w:rsid w:val="00272B1F"/>
    <w:rsid w:val="002731AB"/>
    <w:rsid w:val="00273C24"/>
    <w:rsid w:val="00273D11"/>
    <w:rsid w:val="00273DC7"/>
    <w:rsid w:val="00274382"/>
    <w:rsid w:val="0027576C"/>
    <w:rsid w:val="00275A66"/>
    <w:rsid w:val="00276649"/>
    <w:rsid w:val="00276B7B"/>
    <w:rsid w:val="0027701F"/>
    <w:rsid w:val="00277797"/>
    <w:rsid w:val="00277FB1"/>
    <w:rsid w:val="002800D0"/>
    <w:rsid w:val="00280A2A"/>
    <w:rsid w:val="00280DF9"/>
    <w:rsid w:val="00280F3B"/>
    <w:rsid w:val="00281590"/>
    <w:rsid w:val="0028173E"/>
    <w:rsid w:val="0028237D"/>
    <w:rsid w:val="00282447"/>
    <w:rsid w:val="00283039"/>
    <w:rsid w:val="002833A3"/>
    <w:rsid w:val="002838FB"/>
    <w:rsid w:val="0028395E"/>
    <w:rsid w:val="002847D7"/>
    <w:rsid w:val="00284B15"/>
    <w:rsid w:val="00285188"/>
    <w:rsid w:val="00285DBE"/>
    <w:rsid w:val="00286D81"/>
    <w:rsid w:val="00287074"/>
    <w:rsid w:val="002874A4"/>
    <w:rsid w:val="00287CF2"/>
    <w:rsid w:val="002902BF"/>
    <w:rsid w:val="00290AB6"/>
    <w:rsid w:val="00290DF0"/>
    <w:rsid w:val="00290F79"/>
    <w:rsid w:val="0029125A"/>
    <w:rsid w:val="00291270"/>
    <w:rsid w:val="0029160D"/>
    <w:rsid w:val="00292252"/>
    <w:rsid w:val="0029260F"/>
    <w:rsid w:val="002928F1"/>
    <w:rsid w:val="00293081"/>
    <w:rsid w:val="0029399C"/>
    <w:rsid w:val="00293EF7"/>
    <w:rsid w:val="002941FB"/>
    <w:rsid w:val="00294828"/>
    <w:rsid w:val="002956F1"/>
    <w:rsid w:val="00296413"/>
    <w:rsid w:val="0029647A"/>
    <w:rsid w:val="0029740F"/>
    <w:rsid w:val="0029752D"/>
    <w:rsid w:val="0029769A"/>
    <w:rsid w:val="00297AE2"/>
    <w:rsid w:val="002A0455"/>
    <w:rsid w:val="002A07B9"/>
    <w:rsid w:val="002A1538"/>
    <w:rsid w:val="002A1AAA"/>
    <w:rsid w:val="002A20CD"/>
    <w:rsid w:val="002A25BA"/>
    <w:rsid w:val="002A2F4A"/>
    <w:rsid w:val="002A306C"/>
    <w:rsid w:val="002A36D5"/>
    <w:rsid w:val="002A3A03"/>
    <w:rsid w:val="002A3E32"/>
    <w:rsid w:val="002A423C"/>
    <w:rsid w:val="002A4DC4"/>
    <w:rsid w:val="002A56DD"/>
    <w:rsid w:val="002A65DD"/>
    <w:rsid w:val="002A6C76"/>
    <w:rsid w:val="002A6D5B"/>
    <w:rsid w:val="002A6DA9"/>
    <w:rsid w:val="002A76E1"/>
    <w:rsid w:val="002A774D"/>
    <w:rsid w:val="002A794A"/>
    <w:rsid w:val="002A7D3A"/>
    <w:rsid w:val="002A7E24"/>
    <w:rsid w:val="002B0715"/>
    <w:rsid w:val="002B0870"/>
    <w:rsid w:val="002B1BEE"/>
    <w:rsid w:val="002B307A"/>
    <w:rsid w:val="002B4D60"/>
    <w:rsid w:val="002B4ED4"/>
    <w:rsid w:val="002B554A"/>
    <w:rsid w:val="002B62CB"/>
    <w:rsid w:val="002B64EE"/>
    <w:rsid w:val="002B65E6"/>
    <w:rsid w:val="002B660A"/>
    <w:rsid w:val="002C07F1"/>
    <w:rsid w:val="002C08AD"/>
    <w:rsid w:val="002C0ABD"/>
    <w:rsid w:val="002C0AF6"/>
    <w:rsid w:val="002C0DFC"/>
    <w:rsid w:val="002C0E6E"/>
    <w:rsid w:val="002C13F5"/>
    <w:rsid w:val="002C19F9"/>
    <w:rsid w:val="002C2526"/>
    <w:rsid w:val="002C2960"/>
    <w:rsid w:val="002C2AAE"/>
    <w:rsid w:val="002C2AF0"/>
    <w:rsid w:val="002C3F70"/>
    <w:rsid w:val="002C4E94"/>
    <w:rsid w:val="002C54E1"/>
    <w:rsid w:val="002C5ADF"/>
    <w:rsid w:val="002C5D20"/>
    <w:rsid w:val="002C611F"/>
    <w:rsid w:val="002C61FE"/>
    <w:rsid w:val="002C635F"/>
    <w:rsid w:val="002C7551"/>
    <w:rsid w:val="002C7C54"/>
    <w:rsid w:val="002C7CDA"/>
    <w:rsid w:val="002C7EE3"/>
    <w:rsid w:val="002D0A75"/>
    <w:rsid w:val="002D1202"/>
    <w:rsid w:val="002D1621"/>
    <w:rsid w:val="002D1F98"/>
    <w:rsid w:val="002D3249"/>
    <w:rsid w:val="002D33FE"/>
    <w:rsid w:val="002D3555"/>
    <w:rsid w:val="002D38E1"/>
    <w:rsid w:val="002D5598"/>
    <w:rsid w:val="002D5B5E"/>
    <w:rsid w:val="002D5F7B"/>
    <w:rsid w:val="002D676A"/>
    <w:rsid w:val="002D6B14"/>
    <w:rsid w:val="002D75A3"/>
    <w:rsid w:val="002E0064"/>
    <w:rsid w:val="002E010F"/>
    <w:rsid w:val="002E1221"/>
    <w:rsid w:val="002E1595"/>
    <w:rsid w:val="002E1976"/>
    <w:rsid w:val="002E209B"/>
    <w:rsid w:val="002E21E3"/>
    <w:rsid w:val="002E23DB"/>
    <w:rsid w:val="002E38C0"/>
    <w:rsid w:val="002E39DA"/>
    <w:rsid w:val="002E3E8C"/>
    <w:rsid w:val="002E509A"/>
    <w:rsid w:val="002E5C95"/>
    <w:rsid w:val="002E5D64"/>
    <w:rsid w:val="002E5F3F"/>
    <w:rsid w:val="002E64AC"/>
    <w:rsid w:val="002F0281"/>
    <w:rsid w:val="002F0405"/>
    <w:rsid w:val="002F094E"/>
    <w:rsid w:val="002F1148"/>
    <w:rsid w:val="002F142F"/>
    <w:rsid w:val="002F16DE"/>
    <w:rsid w:val="002F240D"/>
    <w:rsid w:val="002F3667"/>
    <w:rsid w:val="002F3861"/>
    <w:rsid w:val="002F3B9A"/>
    <w:rsid w:val="002F3BEA"/>
    <w:rsid w:val="002F5394"/>
    <w:rsid w:val="002F5A83"/>
    <w:rsid w:val="002F644D"/>
    <w:rsid w:val="002F73FA"/>
    <w:rsid w:val="002F7532"/>
    <w:rsid w:val="002F75E7"/>
    <w:rsid w:val="002F79A8"/>
    <w:rsid w:val="0030062F"/>
    <w:rsid w:val="00301415"/>
    <w:rsid w:val="003024F5"/>
    <w:rsid w:val="003025A1"/>
    <w:rsid w:val="00302CB1"/>
    <w:rsid w:val="00304020"/>
    <w:rsid w:val="00304397"/>
    <w:rsid w:val="00305AB6"/>
    <w:rsid w:val="003064AC"/>
    <w:rsid w:val="003066F5"/>
    <w:rsid w:val="003067C0"/>
    <w:rsid w:val="00307128"/>
    <w:rsid w:val="003072FD"/>
    <w:rsid w:val="003074D6"/>
    <w:rsid w:val="00307BD7"/>
    <w:rsid w:val="00310C1D"/>
    <w:rsid w:val="00310DF3"/>
    <w:rsid w:val="00312A83"/>
    <w:rsid w:val="00312D45"/>
    <w:rsid w:val="00313232"/>
    <w:rsid w:val="0031349B"/>
    <w:rsid w:val="00314A5F"/>
    <w:rsid w:val="00314A9D"/>
    <w:rsid w:val="00314C7C"/>
    <w:rsid w:val="003152B7"/>
    <w:rsid w:val="003152D1"/>
    <w:rsid w:val="00315C37"/>
    <w:rsid w:val="00316AAF"/>
    <w:rsid w:val="0031743E"/>
    <w:rsid w:val="00317E88"/>
    <w:rsid w:val="00317FCB"/>
    <w:rsid w:val="00320A95"/>
    <w:rsid w:val="00320C35"/>
    <w:rsid w:val="003215F2"/>
    <w:rsid w:val="0032186F"/>
    <w:rsid w:val="003220D2"/>
    <w:rsid w:val="00322415"/>
    <w:rsid w:val="00322719"/>
    <w:rsid w:val="0032336F"/>
    <w:rsid w:val="003237E9"/>
    <w:rsid w:val="00323824"/>
    <w:rsid w:val="003239CF"/>
    <w:rsid w:val="00325E41"/>
    <w:rsid w:val="0032615B"/>
    <w:rsid w:val="0032736E"/>
    <w:rsid w:val="0032779E"/>
    <w:rsid w:val="0032788F"/>
    <w:rsid w:val="003300E2"/>
    <w:rsid w:val="003303FB"/>
    <w:rsid w:val="003304BF"/>
    <w:rsid w:val="003306B6"/>
    <w:rsid w:val="00330794"/>
    <w:rsid w:val="003314F0"/>
    <w:rsid w:val="00331AE4"/>
    <w:rsid w:val="00333063"/>
    <w:rsid w:val="00333373"/>
    <w:rsid w:val="00333422"/>
    <w:rsid w:val="00334E9C"/>
    <w:rsid w:val="003350A7"/>
    <w:rsid w:val="00335842"/>
    <w:rsid w:val="00336560"/>
    <w:rsid w:val="0033675F"/>
    <w:rsid w:val="00336908"/>
    <w:rsid w:val="00336C38"/>
    <w:rsid w:val="00336F4A"/>
    <w:rsid w:val="00337625"/>
    <w:rsid w:val="00341627"/>
    <w:rsid w:val="00341BB4"/>
    <w:rsid w:val="00341CD4"/>
    <w:rsid w:val="003425EA"/>
    <w:rsid w:val="00342946"/>
    <w:rsid w:val="00342E10"/>
    <w:rsid w:val="00342E33"/>
    <w:rsid w:val="0034443C"/>
    <w:rsid w:val="003458BB"/>
    <w:rsid w:val="00345BC5"/>
    <w:rsid w:val="00346389"/>
    <w:rsid w:val="00346870"/>
    <w:rsid w:val="00347310"/>
    <w:rsid w:val="00347691"/>
    <w:rsid w:val="00347E9D"/>
    <w:rsid w:val="00350707"/>
    <w:rsid w:val="00350E6F"/>
    <w:rsid w:val="00350ED3"/>
    <w:rsid w:val="00351843"/>
    <w:rsid w:val="00352915"/>
    <w:rsid w:val="00352A58"/>
    <w:rsid w:val="0035301B"/>
    <w:rsid w:val="00354784"/>
    <w:rsid w:val="003555BD"/>
    <w:rsid w:val="00356E76"/>
    <w:rsid w:val="003576B6"/>
    <w:rsid w:val="00357741"/>
    <w:rsid w:val="00357C4B"/>
    <w:rsid w:val="00360167"/>
    <w:rsid w:val="0036016C"/>
    <w:rsid w:val="003602E5"/>
    <w:rsid w:val="003603CE"/>
    <w:rsid w:val="00361945"/>
    <w:rsid w:val="00362525"/>
    <w:rsid w:val="00363C29"/>
    <w:rsid w:val="003640D9"/>
    <w:rsid w:val="00364983"/>
    <w:rsid w:val="003656E1"/>
    <w:rsid w:val="00365E0F"/>
    <w:rsid w:val="00365EE5"/>
    <w:rsid w:val="0036661D"/>
    <w:rsid w:val="003667A4"/>
    <w:rsid w:val="00366BA8"/>
    <w:rsid w:val="00366E3C"/>
    <w:rsid w:val="00366E57"/>
    <w:rsid w:val="003713B8"/>
    <w:rsid w:val="003723B4"/>
    <w:rsid w:val="00372FA3"/>
    <w:rsid w:val="003734AA"/>
    <w:rsid w:val="00373B51"/>
    <w:rsid w:val="00373B65"/>
    <w:rsid w:val="0037448A"/>
    <w:rsid w:val="0037496B"/>
    <w:rsid w:val="0037566F"/>
    <w:rsid w:val="00375D61"/>
    <w:rsid w:val="00375F75"/>
    <w:rsid w:val="00376262"/>
    <w:rsid w:val="00380512"/>
    <w:rsid w:val="00380617"/>
    <w:rsid w:val="0038151F"/>
    <w:rsid w:val="00381929"/>
    <w:rsid w:val="00381A93"/>
    <w:rsid w:val="00381D3D"/>
    <w:rsid w:val="00381F95"/>
    <w:rsid w:val="00381FF0"/>
    <w:rsid w:val="003821CE"/>
    <w:rsid w:val="00382328"/>
    <w:rsid w:val="003826F8"/>
    <w:rsid w:val="00383A20"/>
    <w:rsid w:val="00383BA6"/>
    <w:rsid w:val="003845B8"/>
    <w:rsid w:val="0038470A"/>
    <w:rsid w:val="003849C2"/>
    <w:rsid w:val="00384DDF"/>
    <w:rsid w:val="00384F04"/>
    <w:rsid w:val="00385733"/>
    <w:rsid w:val="00385D41"/>
    <w:rsid w:val="00386B9F"/>
    <w:rsid w:val="00386DF1"/>
    <w:rsid w:val="00387743"/>
    <w:rsid w:val="00387C0C"/>
    <w:rsid w:val="00390B2E"/>
    <w:rsid w:val="00390E10"/>
    <w:rsid w:val="00391E30"/>
    <w:rsid w:val="003921E6"/>
    <w:rsid w:val="003927C7"/>
    <w:rsid w:val="00392846"/>
    <w:rsid w:val="003928EC"/>
    <w:rsid w:val="0039303C"/>
    <w:rsid w:val="0039366E"/>
    <w:rsid w:val="00393755"/>
    <w:rsid w:val="00393DDA"/>
    <w:rsid w:val="003940A8"/>
    <w:rsid w:val="00395893"/>
    <w:rsid w:val="00395BE3"/>
    <w:rsid w:val="0039678E"/>
    <w:rsid w:val="00396E06"/>
    <w:rsid w:val="003972B5"/>
    <w:rsid w:val="003975A4"/>
    <w:rsid w:val="003A0058"/>
    <w:rsid w:val="003A0635"/>
    <w:rsid w:val="003A079A"/>
    <w:rsid w:val="003A0B1F"/>
    <w:rsid w:val="003A0CA9"/>
    <w:rsid w:val="003A2046"/>
    <w:rsid w:val="003A2311"/>
    <w:rsid w:val="003A24CE"/>
    <w:rsid w:val="003A2DA9"/>
    <w:rsid w:val="003A3A07"/>
    <w:rsid w:val="003A3F30"/>
    <w:rsid w:val="003A494A"/>
    <w:rsid w:val="003A51B5"/>
    <w:rsid w:val="003A5AE7"/>
    <w:rsid w:val="003A6EF2"/>
    <w:rsid w:val="003A7711"/>
    <w:rsid w:val="003A784A"/>
    <w:rsid w:val="003A7EA2"/>
    <w:rsid w:val="003B0074"/>
    <w:rsid w:val="003B129C"/>
    <w:rsid w:val="003B24B3"/>
    <w:rsid w:val="003B253F"/>
    <w:rsid w:val="003B28EC"/>
    <w:rsid w:val="003B2E44"/>
    <w:rsid w:val="003B36A1"/>
    <w:rsid w:val="003B4366"/>
    <w:rsid w:val="003B4939"/>
    <w:rsid w:val="003B4D7C"/>
    <w:rsid w:val="003B539D"/>
    <w:rsid w:val="003B587A"/>
    <w:rsid w:val="003B681D"/>
    <w:rsid w:val="003B6834"/>
    <w:rsid w:val="003B7961"/>
    <w:rsid w:val="003B7E95"/>
    <w:rsid w:val="003C00C0"/>
    <w:rsid w:val="003C0901"/>
    <w:rsid w:val="003C112B"/>
    <w:rsid w:val="003C15B7"/>
    <w:rsid w:val="003C1BA0"/>
    <w:rsid w:val="003C20E2"/>
    <w:rsid w:val="003C225E"/>
    <w:rsid w:val="003C2948"/>
    <w:rsid w:val="003C2F92"/>
    <w:rsid w:val="003C3DB7"/>
    <w:rsid w:val="003C4C85"/>
    <w:rsid w:val="003C5470"/>
    <w:rsid w:val="003C5543"/>
    <w:rsid w:val="003C59B3"/>
    <w:rsid w:val="003C5A5F"/>
    <w:rsid w:val="003C5E9D"/>
    <w:rsid w:val="003C70C3"/>
    <w:rsid w:val="003C7429"/>
    <w:rsid w:val="003C7B1A"/>
    <w:rsid w:val="003C7B44"/>
    <w:rsid w:val="003D2413"/>
    <w:rsid w:val="003D2564"/>
    <w:rsid w:val="003D2B41"/>
    <w:rsid w:val="003D2DD5"/>
    <w:rsid w:val="003D4358"/>
    <w:rsid w:val="003D4977"/>
    <w:rsid w:val="003D504B"/>
    <w:rsid w:val="003D55C8"/>
    <w:rsid w:val="003D59D1"/>
    <w:rsid w:val="003D73C6"/>
    <w:rsid w:val="003D781B"/>
    <w:rsid w:val="003D7ECE"/>
    <w:rsid w:val="003E01BA"/>
    <w:rsid w:val="003E0979"/>
    <w:rsid w:val="003E0A0D"/>
    <w:rsid w:val="003E0B73"/>
    <w:rsid w:val="003E0B94"/>
    <w:rsid w:val="003E1139"/>
    <w:rsid w:val="003E24F8"/>
    <w:rsid w:val="003E258A"/>
    <w:rsid w:val="003E2964"/>
    <w:rsid w:val="003E2B6D"/>
    <w:rsid w:val="003E33D7"/>
    <w:rsid w:val="003E3DB8"/>
    <w:rsid w:val="003E3ED4"/>
    <w:rsid w:val="003E40C3"/>
    <w:rsid w:val="003E40CF"/>
    <w:rsid w:val="003E578E"/>
    <w:rsid w:val="003E58DE"/>
    <w:rsid w:val="003E59B1"/>
    <w:rsid w:val="003F05F8"/>
    <w:rsid w:val="003F0C6D"/>
    <w:rsid w:val="003F11BA"/>
    <w:rsid w:val="003F11FE"/>
    <w:rsid w:val="003F1B15"/>
    <w:rsid w:val="003F246C"/>
    <w:rsid w:val="003F3422"/>
    <w:rsid w:val="003F41BC"/>
    <w:rsid w:val="003F4EE7"/>
    <w:rsid w:val="003F60B2"/>
    <w:rsid w:val="003F64C4"/>
    <w:rsid w:val="003F6B80"/>
    <w:rsid w:val="003F77AA"/>
    <w:rsid w:val="003F7881"/>
    <w:rsid w:val="003F7F0C"/>
    <w:rsid w:val="00400942"/>
    <w:rsid w:val="00401FEC"/>
    <w:rsid w:val="004030DD"/>
    <w:rsid w:val="004034F5"/>
    <w:rsid w:val="004035D9"/>
    <w:rsid w:val="0040430E"/>
    <w:rsid w:val="0040637B"/>
    <w:rsid w:val="00406890"/>
    <w:rsid w:val="00407CE2"/>
    <w:rsid w:val="00407D89"/>
    <w:rsid w:val="00410E37"/>
    <w:rsid w:val="00411629"/>
    <w:rsid w:val="004119FA"/>
    <w:rsid w:val="00411BE2"/>
    <w:rsid w:val="004126CA"/>
    <w:rsid w:val="00412737"/>
    <w:rsid w:val="00412D33"/>
    <w:rsid w:val="00412F69"/>
    <w:rsid w:val="00412FE8"/>
    <w:rsid w:val="00413220"/>
    <w:rsid w:val="00413283"/>
    <w:rsid w:val="0041392A"/>
    <w:rsid w:val="00413E99"/>
    <w:rsid w:val="004140B0"/>
    <w:rsid w:val="004150C4"/>
    <w:rsid w:val="00415309"/>
    <w:rsid w:val="00416525"/>
    <w:rsid w:val="0041785D"/>
    <w:rsid w:val="0042134A"/>
    <w:rsid w:val="0042177A"/>
    <w:rsid w:val="00421B6B"/>
    <w:rsid w:val="004221E9"/>
    <w:rsid w:val="00423390"/>
    <w:rsid w:val="00423D5D"/>
    <w:rsid w:val="004240A6"/>
    <w:rsid w:val="00424212"/>
    <w:rsid w:val="00424352"/>
    <w:rsid w:val="00424B15"/>
    <w:rsid w:val="00424D49"/>
    <w:rsid w:val="004255B6"/>
    <w:rsid w:val="00425ADE"/>
    <w:rsid w:val="00425AFE"/>
    <w:rsid w:val="00425B6A"/>
    <w:rsid w:val="00425CE9"/>
    <w:rsid w:val="0042622E"/>
    <w:rsid w:val="00427046"/>
    <w:rsid w:val="0042786A"/>
    <w:rsid w:val="00427D79"/>
    <w:rsid w:val="00430028"/>
    <w:rsid w:val="00430970"/>
    <w:rsid w:val="004309DB"/>
    <w:rsid w:val="0043143B"/>
    <w:rsid w:val="004325B8"/>
    <w:rsid w:val="0043373A"/>
    <w:rsid w:val="00433DC0"/>
    <w:rsid w:val="004343C7"/>
    <w:rsid w:val="00436091"/>
    <w:rsid w:val="004366CC"/>
    <w:rsid w:val="00436719"/>
    <w:rsid w:val="00436DB1"/>
    <w:rsid w:val="0043714E"/>
    <w:rsid w:val="004373D1"/>
    <w:rsid w:val="0044019C"/>
    <w:rsid w:val="004402EF"/>
    <w:rsid w:val="00440722"/>
    <w:rsid w:val="00440A83"/>
    <w:rsid w:val="00440AF1"/>
    <w:rsid w:val="00440C0E"/>
    <w:rsid w:val="00440E27"/>
    <w:rsid w:val="00441D1B"/>
    <w:rsid w:val="00442F95"/>
    <w:rsid w:val="00443A9B"/>
    <w:rsid w:val="00443B36"/>
    <w:rsid w:val="00444076"/>
    <w:rsid w:val="004442EB"/>
    <w:rsid w:val="00444491"/>
    <w:rsid w:val="0044499C"/>
    <w:rsid w:val="00444BDA"/>
    <w:rsid w:val="0044527F"/>
    <w:rsid w:val="00445BE3"/>
    <w:rsid w:val="00446AB1"/>
    <w:rsid w:val="00446D78"/>
    <w:rsid w:val="0044739E"/>
    <w:rsid w:val="00450594"/>
    <w:rsid w:val="00450EAD"/>
    <w:rsid w:val="0045145E"/>
    <w:rsid w:val="00451537"/>
    <w:rsid w:val="00451CA0"/>
    <w:rsid w:val="0045273F"/>
    <w:rsid w:val="0045404D"/>
    <w:rsid w:val="0045476F"/>
    <w:rsid w:val="00454CDF"/>
    <w:rsid w:val="00454F0D"/>
    <w:rsid w:val="004550A7"/>
    <w:rsid w:val="004553C0"/>
    <w:rsid w:val="00456456"/>
    <w:rsid w:val="00456A3F"/>
    <w:rsid w:val="00456E7F"/>
    <w:rsid w:val="00457287"/>
    <w:rsid w:val="00460EEB"/>
    <w:rsid w:val="004611E1"/>
    <w:rsid w:val="00461DC1"/>
    <w:rsid w:val="00463A82"/>
    <w:rsid w:val="00463EF7"/>
    <w:rsid w:val="004640C8"/>
    <w:rsid w:val="00464C8A"/>
    <w:rsid w:val="00466881"/>
    <w:rsid w:val="00467B1B"/>
    <w:rsid w:val="00467D11"/>
    <w:rsid w:val="00470797"/>
    <w:rsid w:val="004708B6"/>
    <w:rsid w:val="00470C43"/>
    <w:rsid w:val="004712FC"/>
    <w:rsid w:val="00471A35"/>
    <w:rsid w:val="00471C28"/>
    <w:rsid w:val="004721BA"/>
    <w:rsid w:val="0047273A"/>
    <w:rsid w:val="0047380B"/>
    <w:rsid w:val="00473825"/>
    <w:rsid w:val="004739E2"/>
    <w:rsid w:val="00473A4B"/>
    <w:rsid w:val="00474313"/>
    <w:rsid w:val="00474B4F"/>
    <w:rsid w:val="004750F6"/>
    <w:rsid w:val="004752CB"/>
    <w:rsid w:val="00475B65"/>
    <w:rsid w:val="00475D7B"/>
    <w:rsid w:val="004763F1"/>
    <w:rsid w:val="004766E7"/>
    <w:rsid w:val="0048013E"/>
    <w:rsid w:val="00480348"/>
    <w:rsid w:val="00480829"/>
    <w:rsid w:val="00481F36"/>
    <w:rsid w:val="00482241"/>
    <w:rsid w:val="00482E11"/>
    <w:rsid w:val="00483400"/>
    <w:rsid w:val="00483582"/>
    <w:rsid w:val="004836D5"/>
    <w:rsid w:val="0048386F"/>
    <w:rsid w:val="0048396F"/>
    <w:rsid w:val="00483AC0"/>
    <w:rsid w:val="00483AEB"/>
    <w:rsid w:val="00483B6B"/>
    <w:rsid w:val="004847DC"/>
    <w:rsid w:val="0048501E"/>
    <w:rsid w:val="004850C2"/>
    <w:rsid w:val="0048540A"/>
    <w:rsid w:val="0048556D"/>
    <w:rsid w:val="00485596"/>
    <w:rsid w:val="004856FB"/>
    <w:rsid w:val="004858AE"/>
    <w:rsid w:val="004858D9"/>
    <w:rsid w:val="00485C28"/>
    <w:rsid w:val="00485D70"/>
    <w:rsid w:val="00485E7D"/>
    <w:rsid w:val="004864C7"/>
    <w:rsid w:val="0048663D"/>
    <w:rsid w:val="0048670F"/>
    <w:rsid w:val="0048698C"/>
    <w:rsid w:val="00486A42"/>
    <w:rsid w:val="00486C5F"/>
    <w:rsid w:val="00487DE1"/>
    <w:rsid w:val="00487EB1"/>
    <w:rsid w:val="0049073D"/>
    <w:rsid w:val="00490C0A"/>
    <w:rsid w:val="00490D57"/>
    <w:rsid w:val="00491520"/>
    <w:rsid w:val="004915EC"/>
    <w:rsid w:val="00491AA8"/>
    <w:rsid w:val="0049257E"/>
    <w:rsid w:val="00492B30"/>
    <w:rsid w:val="00493329"/>
    <w:rsid w:val="0049343C"/>
    <w:rsid w:val="0049371C"/>
    <w:rsid w:val="0049389D"/>
    <w:rsid w:val="00493B88"/>
    <w:rsid w:val="00493D43"/>
    <w:rsid w:val="00494187"/>
    <w:rsid w:val="004944C8"/>
    <w:rsid w:val="00494645"/>
    <w:rsid w:val="00494778"/>
    <w:rsid w:val="00495540"/>
    <w:rsid w:val="00495995"/>
    <w:rsid w:val="00496B47"/>
    <w:rsid w:val="00496BCC"/>
    <w:rsid w:val="00496D8D"/>
    <w:rsid w:val="004971E4"/>
    <w:rsid w:val="004A03FF"/>
    <w:rsid w:val="004A06EE"/>
    <w:rsid w:val="004A121F"/>
    <w:rsid w:val="004A1D78"/>
    <w:rsid w:val="004A2938"/>
    <w:rsid w:val="004A36D9"/>
    <w:rsid w:val="004A4914"/>
    <w:rsid w:val="004A64EC"/>
    <w:rsid w:val="004A6C23"/>
    <w:rsid w:val="004A70AD"/>
    <w:rsid w:val="004A7330"/>
    <w:rsid w:val="004A7376"/>
    <w:rsid w:val="004B02AA"/>
    <w:rsid w:val="004B13BA"/>
    <w:rsid w:val="004B1527"/>
    <w:rsid w:val="004B1E8C"/>
    <w:rsid w:val="004B3893"/>
    <w:rsid w:val="004B3B0D"/>
    <w:rsid w:val="004B3E43"/>
    <w:rsid w:val="004B43FE"/>
    <w:rsid w:val="004B4CB8"/>
    <w:rsid w:val="004B61E6"/>
    <w:rsid w:val="004B7142"/>
    <w:rsid w:val="004B76E0"/>
    <w:rsid w:val="004B7AB2"/>
    <w:rsid w:val="004B7D21"/>
    <w:rsid w:val="004B7EB9"/>
    <w:rsid w:val="004C003D"/>
    <w:rsid w:val="004C01C1"/>
    <w:rsid w:val="004C0279"/>
    <w:rsid w:val="004C03EA"/>
    <w:rsid w:val="004C0D06"/>
    <w:rsid w:val="004C1089"/>
    <w:rsid w:val="004C175D"/>
    <w:rsid w:val="004C1D29"/>
    <w:rsid w:val="004C1E05"/>
    <w:rsid w:val="004C1EFA"/>
    <w:rsid w:val="004C22D5"/>
    <w:rsid w:val="004C480D"/>
    <w:rsid w:val="004C49B5"/>
    <w:rsid w:val="004C4D2A"/>
    <w:rsid w:val="004C5213"/>
    <w:rsid w:val="004C52E8"/>
    <w:rsid w:val="004C54CC"/>
    <w:rsid w:val="004C56B4"/>
    <w:rsid w:val="004C5DF5"/>
    <w:rsid w:val="004C6772"/>
    <w:rsid w:val="004C6A3F"/>
    <w:rsid w:val="004D0387"/>
    <w:rsid w:val="004D140C"/>
    <w:rsid w:val="004D1D11"/>
    <w:rsid w:val="004D1DEC"/>
    <w:rsid w:val="004D35E8"/>
    <w:rsid w:val="004D36BE"/>
    <w:rsid w:val="004D3A09"/>
    <w:rsid w:val="004D4535"/>
    <w:rsid w:val="004D4665"/>
    <w:rsid w:val="004D46EF"/>
    <w:rsid w:val="004D4DD6"/>
    <w:rsid w:val="004D61F7"/>
    <w:rsid w:val="004D65DC"/>
    <w:rsid w:val="004D6626"/>
    <w:rsid w:val="004D692D"/>
    <w:rsid w:val="004D69C9"/>
    <w:rsid w:val="004D7A48"/>
    <w:rsid w:val="004E0275"/>
    <w:rsid w:val="004E0387"/>
    <w:rsid w:val="004E06C9"/>
    <w:rsid w:val="004E1650"/>
    <w:rsid w:val="004E1E19"/>
    <w:rsid w:val="004E1FA4"/>
    <w:rsid w:val="004E3ECA"/>
    <w:rsid w:val="004E4229"/>
    <w:rsid w:val="004E44A0"/>
    <w:rsid w:val="004E460B"/>
    <w:rsid w:val="004E4D4F"/>
    <w:rsid w:val="004E4E54"/>
    <w:rsid w:val="004E59D0"/>
    <w:rsid w:val="004E5AC4"/>
    <w:rsid w:val="004E5C67"/>
    <w:rsid w:val="004E61E2"/>
    <w:rsid w:val="004E6EC0"/>
    <w:rsid w:val="004E7C93"/>
    <w:rsid w:val="004F00A1"/>
    <w:rsid w:val="004F0337"/>
    <w:rsid w:val="004F099D"/>
    <w:rsid w:val="004F0BCF"/>
    <w:rsid w:val="004F0F59"/>
    <w:rsid w:val="004F1292"/>
    <w:rsid w:val="004F15C0"/>
    <w:rsid w:val="004F23F7"/>
    <w:rsid w:val="004F434D"/>
    <w:rsid w:val="004F43F5"/>
    <w:rsid w:val="004F57B0"/>
    <w:rsid w:val="004F5FEE"/>
    <w:rsid w:val="004F6BE1"/>
    <w:rsid w:val="004F6CFE"/>
    <w:rsid w:val="004F779A"/>
    <w:rsid w:val="00500501"/>
    <w:rsid w:val="00501D28"/>
    <w:rsid w:val="00502BC4"/>
    <w:rsid w:val="00503711"/>
    <w:rsid w:val="005041BA"/>
    <w:rsid w:val="00504803"/>
    <w:rsid w:val="00504BDF"/>
    <w:rsid w:val="00505B7D"/>
    <w:rsid w:val="005064CF"/>
    <w:rsid w:val="0050670C"/>
    <w:rsid w:val="00506BB9"/>
    <w:rsid w:val="00506D80"/>
    <w:rsid w:val="005070D7"/>
    <w:rsid w:val="005108EB"/>
    <w:rsid w:val="00510B34"/>
    <w:rsid w:val="0051178B"/>
    <w:rsid w:val="00512125"/>
    <w:rsid w:val="00513869"/>
    <w:rsid w:val="00513963"/>
    <w:rsid w:val="00513CF1"/>
    <w:rsid w:val="005143E0"/>
    <w:rsid w:val="0051447D"/>
    <w:rsid w:val="00514AF7"/>
    <w:rsid w:val="00514C4A"/>
    <w:rsid w:val="00515046"/>
    <w:rsid w:val="005156F5"/>
    <w:rsid w:val="00516025"/>
    <w:rsid w:val="00516110"/>
    <w:rsid w:val="00517689"/>
    <w:rsid w:val="005176CA"/>
    <w:rsid w:val="005205F4"/>
    <w:rsid w:val="00520CD9"/>
    <w:rsid w:val="00520DC8"/>
    <w:rsid w:val="00521D7C"/>
    <w:rsid w:val="005221E4"/>
    <w:rsid w:val="00522B05"/>
    <w:rsid w:val="00522EB3"/>
    <w:rsid w:val="00524C1C"/>
    <w:rsid w:val="005256B4"/>
    <w:rsid w:val="00525B87"/>
    <w:rsid w:val="00526049"/>
    <w:rsid w:val="00526548"/>
    <w:rsid w:val="0052658A"/>
    <w:rsid w:val="005268F8"/>
    <w:rsid w:val="00526ACE"/>
    <w:rsid w:val="00526EEA"/>
    <w:rsid w:val="00526EFE"/>
    <w:rsid w:val="0052712E"/>
    <w:rsid w:val="005302B6"/>
    <w:rsid w:val="005302E9"/>
    <w:rsid w:val="00530C60"/>
    <w:rsid w:val="00531AC9"/>
    <w:rsid w:val="00532225"/>
    <w:rsid w:val="00532591"/>
    <w:rsid w:val="005334FA"/>
    <w:rsid w:val="005341E1"/>
    <w:rsid w:val="005351B4"/>
    <w:rsid w:val="00535356"/>
    <w:rsid w:val="0053570C"/>
    <w:rsid w:val="00535C56"/>
    <w:rsid w:val="00535D82"/>
    <w:rsid w:val="00535F3C"/>
    <w:rsid w:val="00536072"/>
    <w:rsid w:val="005361DD"/>
    <w:rsid w:val="00536B1C"/>
    <w:rsid w:val="00536D20"/>
    <w:rsid w:val="00536E28"/>
    <w:rsid w:val="0053733A"/>
    <w:rsid w:val="00540753"/>
    <w:rsid w:val="00541ABC"/>
    <w:rsid w:val="00542282"/>
    <w:rsid w:val="0054371D"/>
    <w:rsid w:val="00543FEB"/>
    <w:rsid w:val="005441F9"/>
    <w:rsid w:val="00544B11"/>
    <w:rsid w:val="00545C4D"/>
    <w:rsid w:val="00546083"/>
    <w:rsid w:val="00546170"/>
    <w:rsid w:val="00546681"/>
    <w:rsid w:val="005469DA"/>
    <w:rsid w:val="0054757D"/>
    <w:rsid w:val="00550F68"/>
    <w:rsid w:val="005513D1"/>
    <w:rsid w:val="00551E7A"/>
    <w:rsid w:val="005533E7"/>
    <w:rsid w:val="005539E3"/>
    <w:rsid w:val="00553C65"/>
    <w:rsid w:val="00554170"/>
    <w:rsid w:val="00554246"/>
    <w:rsid w:val="005547A1"/>
    <w:rsid w:val="0055536B"/>
    <w:rsid w:val="00555502"/>
    <w:rsid w:val="00555E76"/>
    <w:rsid w:val="00555EEE"/>
    <w:rsid w:val="005562C6"/>
    <w:rsid w:val="005567F8"/>
    <w:rsid w:val="00556940"/>
    <w:rsid w:val="00557334"/>
    <w:rsid w:val="005609A3"/>
    <w:rsid w:val="00560ABA"/>
    <w:rsid w:val="00560E3C"/>
    <w:rsid w:val="00561400"/>
    <w:rsid w:val="005617AE"/>
    <w:rsid w:val="005618FC"/>
    <w:rsid w:val="00561C92"/>
    <w:rsid w:val="0056284E"/>
    <w:rsid w:val="005631F9"/>
    <w:rsid w:val="005633BD"/>
    <w:rsid w:val="005638A0"/>
    <w:rsid w:val="0056411B"/>
    <w:rsid w:val="00564CAC"/>
    <w:rsid w:val="00564DEE"/>
    <w:rsid w:val="00565865"/>
    <w:rsid w:val="00565CC4"/>
    <w:rsid w:val="00565F31"/>
    <w:rsid w:val="00567C85"/>
    <w:rsid w:val="00567E30"/>
    <w:rsid w:val="00570323"/>
    <w:rsid w:val="00570437"/>
    <w:rsid w:val="0057059F"/>
    <w:rsid w:val="00570908"/>
    <w:rsid w:val="00570BBE"/>
    <w:rsid w:val="005719E2"/>
    <w:rsid w:val="00571CF2"/>
    <w:rsid w:val="0057233B"/>
    <w:rsid w:val="0057239D"/>
    <w:rsid w:val="0057250B"/>
    <w:rsid w:val="0057306E"/>
    <w:rsid w:val="0057355A"/>
    <w:rsid w:val="005741D5"/>
    <w:rsid w:val="00574388"/>
    <w:rsid w:val="005744FB"/>
    <w:rsid w:val="0057472B"/>
    <w:rsid w:val="00574D9F"/>
    <w:rsid w:val="0057589E"/>
    <w:rsid w:val="005758A0"/>
    <w:rsid w:val="00576196"/>
    <w:rsid w:val="00576346"/>
    <w:rsid w:val="005765E5"/>
    <w:rsid w:val="00576B34"/>
    <w:rsid w:val="00576CE4"/>
    <w:rsid w:val="00576FE5"/>
    <w:rsid w:val="00577A44"/>
    <w:rsid w:val="00577D0C"/>
    <w:rsid w:val="005802B4"/>
    <w:rsid w:val="0058176E"/>
    <w:rsid w:val="00583087"/>
    <w:rsid w:val="005834D3"/>
    <w:rsid w:val="005852DA"/>
    <w:rsid w:val="0058534B"/>
    <w:rsid w:val="0058549A"/>
    <w:rsid w:val="00585939"/>
    <w:rsid w:val="00586170"/>
    <w:rsid w:val="0058636C"/>
    <w:rsid w:val="005875EE"/>
    <w:rsid w:val="00587A41"/>
    <w:rsid w:val="00587AA9"/>
    <w:rsid w:val="005903A4"/>
    <w:rsid w:val="00591AA2"/>
    <w:rsid w:val="00591E49"/>
    <w:rsid w:val="00591FD6"/>
    <w:rsid w:val="005934C3"/>
    <w:rsid w:val="00593860"/>
    <w:rsid w:val="005938C4"/>
    <w:rsid w:val="00594037"/>
    <w:rsid w:val="005943CA"/>
    <w:rsid w:val="00594575"/>
    <w:rsid w:val="00594858"/>
    <w:rsid w:val="005949F7"/>
    <w:rsid w:val="00594A83"/>
    <w:rsid w:val="00594ACC"/>
    <w:rsid w:val="00594E9C"/>
    <w:rsid w:val="00595EA2"/>
    <w:rsid w:val="00597408"/>
    <w:rsid w:val="005A00BE"/>
    <w:rsid w:val="005A0487"/>
    <w:rsid w:val="005A0538"/>
    <w:rsid w:val="005A0A85"/>
    <w:rsid w:val="005A1888"/>
    <w:rsid w:val="005A19F1"/>
    <w:rsid w:val="005A1A47"/>
    <w:rsid w:val="005A1E35"/>
    <w:rsid w:val="005A24EA"/>
    <w:rsid w:val="005A374E"/>
    <w:rsid w:val="005A3D58"/>
    <w:rsid w:val="005A4110"/>
    <w:rsid w:val="005A4176"/>
    <w:rsid w:val="005A5A60"/>
    <w:rsid w:val="005A5D5E"/>
    <w:rsid w:val="005A5EC1"/>
    <w:rsid w:val="005A5F36"/>
    <w:rsid w:val="005A5F87"/>
    <w:rsid w:val="005A6E01"/>
    <w:rsid w:val="005A75A2"/>
    <w:rsid w:val="005A77BC"/>
    <w:rsid w:val="005A7CAD"/>
    <w:rsid w:val="005B024F"/>
    <w:rsid w:val="005B02E0"/>
    <w:rsid w:val="005B075F"/>
    <w:rsid w:val="005B0ACB"/>
    <w:rsid w:val="005B1465"/>
    <w:rsid w:val="005B169C"/>
    <w:rsid w:val="005B2AFE"/>
    <w:rsid w:val="005B2B1A"/>
    <w:rsid w:val="005B2D29"/>
    <w:rsid w:val="005B2DCD"/>
    <w:rsid w:val="005B3D2C"/>
    <w:rsid w:val="005B4A6C"/>
    <w:rsid w:val="005B5440"/>
    <w:rsid w:val="005B56B7"/>
    <w:rsid w:val="005B5A23"/>
    <w:rsid w:val="005B5C92"/>
    <w:rsid w:val="005B5CB7"/>
    <w:rsid w:val="005B6049"/>
    <w:rsid w:val="005B675C"/>
    <w:rsid w:val="005B6EA5"/>
    <w:rsid w:val="005C0367"/>
    <w:rsid w:val="005C1ABF"/>
    <w:rsid w:val="005C268E"/>
    <w:rsid w:val="005C2C3A"/>
    <w:rsid w:val="005C33F0"/>
    <w:rsid w:val="005C39BF"/>
    <w:rsid w:val="005C4019"/>
    <w:rsid w:val="005C4361"/>
    <w:rsid w:val="005C63B4"/>
    <w:rsid w:val="005C6E4D"/>
    <w:rsid w:val="005C764B"/>
    <w:rsid w:val="005C7854"/>
    <w:rsid w:val="005C7CAF"/>
    <w:rsid w:val="005D034B"/>
    <w:rsid w:val="005D0902"/>
    <w:rsid w:val="005D0A55"/>
    <w:rsid w:val="005D0C2F"/>
    <w:rsid w:val="005D1610"/>
    <w:rsid w:val="005D26F2"/>
    <w:rsid w:val="005D2ED1"/>
    <w:rsid w:val="005D3187"/>
    <w:rsid w:val="005D34EF"/>
    <w:rsid w:val="005D43F5"/>
    <w:rsid w:val="005D5028"/>
    <w:rsid w:val="005D5176"/>
    <w:rsid w:val="005D53A6"/>
    <w:rsid w:val="005D60E9"/>
    <w:rsid w:val="005D648E"/>
    <w:rsid w:val="005D714E"/>
    <w:rsid w:val="005D71B7"/>
    <w:rsid w:val="005D77FF"/>
    <w:rsid w:val="005E0C87"/>
    <w:rsid w:val="005E1735"/>
    <w:rsid w:val="005E1B0B"/>
    <w:rsid w:val="005E1EE3"/>
    <w:rsid w:val="005E1F8E"/>
    <w:rsid w:val="005E2460"/>
    <w:rsid w:val="005E2854"/>
    <w:rsid w:val="005E36E5"/>
    <w:rsid w:val="005E3A9D"/>
    <w:rsid w:val="005E435A"/>
    <w:rsid w:val="005E4AAB"/>
    <w:rsid w:val="005E4DB5"/>
    <w:rsid w:val="005E58C5"/>
    <w:rsid w:val="005E6357"/>
    <w:rsid w:val="005E6CDD"/>
    <w:rsid w:val="005E74C5"/>
    <w:rsid w:val="005E75F6"/>
    <w:rsid w:val="005E7C8E"/>
    <w:rsid w:val="005E7E28"/>
    <w:rsid w:val="005F120F"/>
    <w:rsid w:val="005F21CD"/>
    <w:rsid w:val="005F2232"/>
    <w:rsid w:val="005F26B7"/>
    <w:rsid w:val="005F3456"/>
    <w:rsid w:val="005F3B5B"/>
    <w:rsid w:val="005F4ADF"/>
    <w:rsid w:val="005F5EA4"/>
    <w:rsid w:val="005F6E82"/>
    <w:rsid w:val="005F71B7"/>
    <w:rsid w:val="005F760E"/>
    <w:rsid w:val="005F7ADA"/>
    <w:rsid w:val="005F7D51"/>
    <w:rsid w:val="00600D98"/>
    <w:rsid w:val="00600DC1"/>
    <w:rsid w:val="0060103F"/>
    <w:rsid w:val="00601200"/>
    <w:rsid w:val="00601CBA"/>
    <w:rsid w:val="00601FC5"/>
    <w:rsid w:val="006024D5"/>
    <w:rsid w:val="00603869"/>
    <w:rsid w:val="00603DE6"/>
    <w:rsid w:val="00603E88"/>
    <w:rsid w:val="0060453A"/>
    <w:rsid w:val="00604A3C"/>
    <w:rsid w:val="00604DA1"/>
    <w:rsid w:val="00605A1B"/>
    <w:rsid w:val="00606B2E"/>
    <w:rsid w:val="00606BE1"/>
    <w:rsid w:val="00607575"/>
    <w:rsid w:val="00607BA4"/>
    <w:rsid w:val="00611345"/>
    <w:rsid w:val="0061136A"/>
    <w:rsid w:val="006116DD"/>
    <w:rsid w:val="006118BA"/>
    <w:rsid w:val="00611D2D"/>
    <w:rsid w:val="006138A2"/>
    <w:rsid w:val="006138D2"/>
    <w:rsid w:val="006152D0"/>
    <w:rsid w:val="00615A3C"/>
    <w:rsid w:val="0061651B"/>
    <w:rsid w:val="00620221"/>
    <w:rsid w:val="00622D2D"/>
    <w:rsid w:val="00623050"/>
    <w:rsid w:val="00625AB1"/>
    <w:rsid w:val="006260B3"/>
    <w:rsid w:val="006271C9"/>
    <w:rsid w:val="00627208"/>
    <w:rsid w:val="0062720A"/>
    <w:rsid w:val="00630677"/>
    <w:rsid w:val="00630B89"/>
    <w:rsid w:val="006321A9"/>
    <w:rsid w:val="00633437"/>
    <w:rsid w:val="006337C8"/>
    <w:rsid w:val="00633D0C"/>
    <w:rsid w:val="006344A3"/>
    <w:rsid w:val="0063603A"/>
    <w:rsid w:val="00636A74"/>
    <w:rsid w:val="00636EB2"/>
    <w:rsid w:val="006374BD"/>
    <w:rsid w:val="006407FD"/>
    <w:rsid w:val="00640B23"/>
    <w:rsid w:val="00640B97"/>
    <w:rsid w:val="00641A49"/>
    <w:rsid w:val="0064217F"/>
    <w:rsid w:val="00642459"/>
    <w:rsid w:val="00642812"/>
    <w:rsid w:val="006428EF"/>
    <w:rsid w:val="006439E2"/>
    <w:rsid w:val="00643EAF"/>
    <w:rsid w:val="0064444B"/>
    <w:rsid w:val="00644D54"/>
    <w:rsid w:val="006453E9"/>
    <w:rsid w:val="006455D8"/>
    <w:rsid w:val="00645C91"/>
    <w:rsid w:val="00645F92"/>
    <w:rsid w:val="0064622A"/>
    <w:rsid w:val="006463C3"/>
    <w:rsid w:val="00646502"/>
    <w:rsid w:val="00647352"/>
    <w:rsid w:val="0064775E"/>
    <w:rsid w:val="00647952"/>
    <w:rsid w:val="00647B86"/>
    <w:rsid w:val="00651942"/>
    <w:rsid w:val="00651EC1"/>
    <w:rsid w:val="0065202A"/>
    <w:rsid w:val="0065294F"/>
    <w:rsid w:val="006530C9"/>
    <w:rsid w:val="006535F3"/>
    <w:rsid w:val="00653674"/>
    <w:rsid w:val="00653896"/>
    <w:rsid w:val="00654C90"/>
    <w:rsid w:val="00654ED0"/>
    <w:rsid w:val="00655415"/>
    <w:rsid w:val="00655967"/>
    <w:rsid w:val="00656190"/>
    <w:rsid w:val="006568FE"/>
    <w:rsid w:val="00656A4B"/>
    <w:rsid w:val="00656C94"/>
    <w:rsid w:val="006603C1"/>
    <w:rsid w:val="00660A4E"/>
    <w:rsid w:val="00660EF7"/>
    <w:rsid w:val="006614D9"/>
    <w:rsid w:val="006617A0"/>
    <w:rsid w:val="006626A4"/>
    <w:rsid w:val="006628D3"/>
    <w:rsid w:val="00662C2E"/>
    <w:rsid w:val="006637DB"/>
    <w:rsid w:val="00664B2F"/>
    <w:rsid w:val="00664E41"/>
    <w:rsid w:val="00665808"/>
    <w:rsid w:val="00666115"/>
    <w:rsid w:val="00670AE1"/>
    <w:rsid w:val="00670B7F"/>
    <w:rsid w:val="0067104D"/>
    <w:rsid w:val="0067126D"/>
    <w:rsid w:val="006727A2"/>
    <w:rsid w:val="00672BA9"/>
    <w:rsid w:val="006738F9"/>
    <w:rsid w:val="006739B5"/>
    <w:rsid w:val="00673CAF"/>
    <w:rsid w:val="00674424"/>
    <w:rsid w:val="006751D8"/>
    <w:rsid w:val="00675455"/>
    <w:rsid w:val="00676C61"/>
    <w:rsid w:val="00676ECE"/>
    <w:rsid w:val="0067713D"/>
    <w:rsid w:val="006801B2"/>
    <w:rsid w:val="0068058A"/>
    <w:rsid w:val="0068064C"/>
    <w:rsid w:val="00680AD1"/>
    <w:rsid w:val="00681209"/>
    <w:rsid w:val="00681BC4"/>
    <w:rsid w:val="006822B0"/>
    <w:rsid w:val="006823B0"/>
    <w:rsid w:val="006824B2"/>
    <w:rsid w:val="00682831"/>
    <w:rsid w:val="00682858"/>
    <w:rsid w:val="00682E61"/>
    <w:rsid w:val="00684257"/>
    <w:rsid w:val="006843B6"/>
    <w:rsid w:val="006843CD"/>
    <w:rsid w:val="00684EA7"/>
    <w:rsid w:val="00686797"/>
    <w:rsid w:val="00686CA8"/>
    <w:rsid w:val="00687115"/>
    <w:rsid w:val="00687367"/>
    <w:rsid w:val="00687A9D"/>
    <w:rsid w:val="00690975"/>
    <w:rsid w:val="00690B40"/>
    <w:rsid w:val="00691213"/>
    <w:rsid w:val="0069171F"/>
    <w:rsid w:val="00691EDA"/>
    <w:rsid w:val="0069209C"/>
    <w:rsid w:val="00693498"/>
    <w:rsid w:val="0069361D"/>
    <w:rsid w:val="00693674"/>
    <w:rsid w:val="00693762"/>
    <w:rsid w:val="006937B7"/>
    <w:rsid w:val="0069549C"/>
    <w:rsid w:val="0069549E"/>
    <w:rsid w:val="006969F8"/>
    <w:rsid w:val="00696A1C"/>
    <w:rsid w:val="00696A5E"/>
    <w:rsid w:val="00696EC9"/>
    <w:rsid w:val="00696FF3"/>
    <w:rsid w:val="006970C5"/>
    <w:rsid w:val="006971A5"/>
    <w:rsid w:val="00697841"/>
    <w:rsid w:val="006978DC"/>
    <w:rsid w:val="00697CA8"/>
    <w:rsid w:val="006A0994"/>
    <w:rsid w:val="006A0CF6"/>
    <w:rsid w:val="006A0F9A"/>
    <w:rsid w:val="006A1CFA"/>
    <w:rsid w:val="006A1DE6"/>
    <w:rsid w:val="006A2C90"/>
    <w:rsid w:val="006A3248"/>
    <w:rsid w:val="006A3CC2"/>
    <w:rsid w:val="006A3E88"/>
    <w:rsid w:val="006A3EFE"/>
    <w:rsid w:val="006A3F7B"/>
    <w:rsid w:val="006A513B"/>
    <w:rsid w:val="006A53DB"/>
    <w:rsid w:val="006A5877"/>
    <w:rsid w:val="006A5CD8"/>
    <w:rsid w:val="006A6500"/>
    <w:rsid w:val="006A6EF2"/>
    <w:rsid w:val="006A7560"/>
    <w:rsid w:val="006A77FF"/>
    <w:rsid w:val="006B0B32"/>
    <w:rsid w:val="006B1200"/>
    <w:rsid w:val="006B1880"/>
    <w:rsid w:val="006B27DD"/>
    <w:rsid w:val="006B2A7A"/>
    <w:rsid w:val="006B3B0C"/>
    <w:rsid w:val="006B5573"/>
    <w:rsid w:val="006B6946"/>
    <w:rsid w:val="006B6B59"/>
    <w:rsid w:val="006B6FEA"/>
    <w:rsid w:val="006B7BE9"/>
    <w:rsid w:val="006B7FF9"/>
    <w:rsid w:val="006C0658"/>
    <w:rsid w:val="006C0D64"/>
    <w:rsid w:val="006C0E4B"/>
    <w:rsid w:val="006C1336"/>
    <w:rsid w:val="006C15C5"/>
    <w:rsid w:val="006C1DA7"/>
    <w:rsid w:val="006C2029"/>
    <w:rsid w:val="006C2093"/>
    <w:rsid w:val="006C244F"/>
    <w:rsid w:val="006C2D53"/>
    <w:rsid w:val="006C3742"/>
    <w:rsid w:val="006C4962"/>
    <w:rsid w:val="006C605A"/>
    <w:rsid w:val="006C6272"/>
    <w:rsid w:val="006C7FA1"/>
    <w:rsid w:val="006D0EDF"/>
    <w:rsid w:val="006D1664"/>
    <w:rsid w:val="006D17B6"/>
    <w:rsid w:val="006D1958"/>
    <w:rsid w:val="006D2424"/>
    <w:rsid w:val="006D3493"/>
    <w:rsid w:val="006D381D"/>
    <w:rsid w:val="006D49F5"/>
    <w:rsid w:val="006D5132"/>
    <w:rsid w:val="006D5175"/>
    <w:rsid w:val="006D5486"/>
    <w:rsid w:val="006D5B34"/>
    <w:rsid w:val="006D6F36"/>
    <w:rsid w:val="006E0C30"/>
    <w:rsid w:val="006E0D63"/>
    <w:rsid w:val="006E26BD"/>
    <w:rsid w:val="006E2831"/>
    <w:rsid w:val="006E3E87"/>
    <w:rsid w:val="006E4B47"/>
    <w:rsid w:val="006E4B8C"/>
    <w:rsid w:val="006E59C5"/>
    <w:rsid w:val="006E66AA"/>
    <w:rsid w:val="006E6918"/>
    <w:rsid w:val="006E6A58"/>
    <w:rsid w:val="006E6D42"/>
    <w:rsid w:val="006E6FDA"/>
    <w:rsid w:val="006E73A7"/>
    <w:rsid w:val="006F0640"/>
    <w:rsid w:val="006F1850"/>
    <w:rsid w:val="006F1FDC"/>
    <w:rsid w:val="006F2906"/>
    <w:rsid w:val="006F2A82"/>
    <w:rsid w:val="006F3BC4"/>
    <w:rsid w:val="006F42F7"/>
    <w:rsid w:val="006F4B4E"/>
    <w:rsid w:val="006F4B8F"/>
    <w:rsid w:val="006F4E4D"/>
    <w:rsid w:val="006F58D4"/>
    <w:rsid w:val="006F5E3A"/>
    <w:rsid w:val="006F6ADD"/>
    <w:rsid w:val="006F6CA6"/>
    <w:rsid w:val="006F7705"/>
    <w:rsid w:val="006F7CF5"/>
    <w:rsid w:val="00700087"/>
    <w:rsid w:val="00700098"/>
    <w:rsid w:val="007005FB"/>
    <w:rsid w:val="00700ED1"/>
    <w:rsid w:val="007010B6"/>
    <w:rsid w:val="0070207A"/>
    <w:rsid w:val="00702209"/>
    <w:rsid w:val="0070226C"/>
    <w:rsid w:val="00703D34"/>
    <w:rsid w:val="00705E04"/>
    <w:rsid w:val="0070632A"/>
    <w:rsid w:val="007065B0"/>
    <w:rsid w:val="007071F0"/>
    <w:rsid w:val="00707D8E"/>
    <w:rsid w:val="00707F8E"/>
    <w:rsid w:val="0071010A"/>
    <w:rsid w:val="007101B4"/>
    <w:rsid w:val="00710A0A"/>
    <w:rsid w:val="00711648"/>
    <w:rsid w:val="007122A2"/>
    <w:rsid w:val="00712865"/>
    <w:rsid w:val="0071292B"/>
    <w:rsid w:val="00712ED9"/>
    <w:rsid w:val="00713272"/>
    <w:rsid w:val="00713C22"/>
    <w:rsid w:val="00714364"/>
    <w:rsid w:val="00714B95"/>
    <w:rsid w:val="00715DD7"/>
    <w:rsid w:val="00716681"/>
    <w:rsid w:val="00716CB2"/>
    <w:rsid w:val="0071737D"/>
    <w:rsid w:val="00717C4A"/>
    <w:rsid w:val="007200EF"/>
    <w:rsid w:val="00720314"/>
    <w:rsid w:val="00721216"/>
    <w:rsid w:val="007216AF"/>
    <w:rsid w:val="00721733"/>
    <w:rsid w:val="00721B66"/>
    <w:rsid w:val="0072319B"/>
    <w:rsid w:val="00723260"/>
    <w:rsid w:val="00723271"/>
    <w:rsid w:val="0072406C"/>
    <w:rsid w:val="00724082"/>
    <w:rsid w:val="00725100"/>
    <w:rsid w:val="007255BF"/>
    <w:rsid w:val="007258CE"/>
    <w:rsid w:val="00725DC8"/>
    <w:rsid w:val="007266BD"/>
    <w:rsid w:val="00726BE1"/>
    <w:rsid w:val="00727741"/>
    <w:rsid w:val="007303AC"/>
    <w:rsid w:val="00730A16"/>
    <w:rsid w:val="00731623"/>
    <w:rsid w:val="00731F8A"/>
    <w:rsid w:val="00732E48"/>
    <w:rsid w:val="00733510"/>
    <w:rsid w:val="00734892"/>
    <w:rsid w:val="00734997"/>
    <w:rsid w:val="0073555E"/>
    <w:rsid w:val="00735CC1"/>
    <w:rsid w:val="00735E0E"/>
    <w:rsid w:val="00736455"/>
    <w:rsid w:val="0073673A"/>
    <w:rsid w:val="00736E4F"/>
    <w:rsid w:val="0073753D"/>
    <w:rsid w:val="007378F9"/>
    <w:rsid w:val="00737FAD"/>
    <w:rsid w:val="007401BE"/>
    <w:rsid w:val="007401EE"/>
    <w:rsid w:val="007405E6"/>
    <w:rsid w:val="00740852"/>
    <w:rsid w:val="00740B40"/>
    <w:rsid w:val="00740FE5"/>
    <w:rsid w:val="00741CBF"/>
    <w:rsid w:val="00742010"/>
    <w:rsid w:val="007421AB"/>
    <w:rsid w:val="00742234"/>
    <w:rsid w:val="00742291"/>
    <w:rsid w:val="007424A3"/>
    <w:rsid w:val="0074453E"/>
    <w:rsid w:val="0074535E"/>
    <w:rsid w:val="00745655"/>
    <w:rsid w:val="007456C5"/>
    <w:rsid w:val="00745822"/>
    <w:rsid w:val="00745D79"/>
    <w:rsid w:val="00745E01"/>
    <w:rsid w:val="0074642C"/>
    <w:rsid w:val="00746A3D"/>
    <w:rsid w:val="00746E10"/>
    <w:rsid w:val="007470F9"/>
    <w:rsid w:val="00747209"/>
    <w:rsid w:val="00747259"/>
    <w:rsid w:val="00747486"/>
    <w:rsid w:val="007477DA"/>
    <w:rsid w:val="0074790B"/>
    <w:rsid w:val="00747A0D"/>
    <w:rsid w:val="0075012B"/>
    <w:rsid w:val="00750223"/>
    <w:rsid w:val="00750375"/>
    <w:rsid w:val="007510FE"/>
    <w:rsid w:val="00752ABE"/>
    <w:rsid w:val="00752D24"/>
    <w:rsid w:val="007536F0"/>
    <w:rsid w:val="0075378E"/>
    <w:rsid w:val="00753CAD"/>
    <w:rsid w:val="007545C9"/>
    <w:rsid w:val="007550F7"/>
    <w:rsid w:val="00755469"/>
    <w:rsid w:val="0075681E"/>
    <w:rsid w:val="00757CE1"/>
    <w:rsid w:val="00757FC8"/>
    <w:rsid w:val="00760D04"/>
    <w:rsid w:val="00761160"/>
    <w:rsid w:val="00761737"/>
    <w:rsid w:val="00761856"/>
    <w:rsid w:val="00761962"/>
    <w:rsid w:val="007619B5"/>
    <w:rsid w:val="00762278"/>
    <w:rsid w:val="0076251B"/>
    <w:rsid w:val="0076268B"/>
    <w:rsid w:val="00762EB0"/>
    <w:rsid w:val="0076353D"/>
    <w:rsid w:val="00763B1C"/>
    <w:rsid w:val="0076454C"/>
    <w:rsid w:val="007647AE"/>
    <w:rsid w:val="007659B0"/>
    <w:rsid w:val="007660E1"/>
    <w:rsid w:val="0076654B"/>
    <w:rsid w:val="00766680"/>
    <w:rsid w:val="00766AE3"/>
    <w:rsid w:val="00767BAF"/>
    <w:rsid w:val="00767DC0"/>
    <w:rsid w:val="00767F5F"/>
    <w:rsid w:val="00767F97"/>
    <w:rsid w:val="00770005"/>
    <w:rsid w:val="0077046F"/>
    <w:rsid w:val="007705F4"/>
    <w:rsid w:val="00770AB7"/>
    <w:rsid w:val="00771BD5"/>
    <w:rsid w:val="00772007"/>
    <w:rsid w:val="00773A94"/>
    <w:rsid w:val="00773FDC"/>
    <w:rsid w:val="00774412"/>
    <w:rsid w:val="00774837"/>
    <w:rsid w:val="00775527"/>
    <w:rsid w:val="00775BE5"/>
    <w:rsid w:val="0077700B"/>
    <w:rsid w:val="00777765"/>
    <w:rsid w:val="00777792"/>
    <w:rsid w:val="00777B3B"/>
    <w:rsid w:val="00777DE6"/>
    <w:rsid w:val="00777E9C"/>
    <w:rsid w:val="00781C29"/>
    <w:rsid w:val="00782A4A"/>
    <w:rsid w:val="00782FC4"/>
    <w:rsid w:val="00783B27"/>
    <w:rsid w:val="00783DE3"/>
    <w:rsid w:val="00784126"/>
    <w:rsid w:val="00784935"/>
    <w:rsid w:val="00784A19"/>
    <w:rsid w:val="00784FC9"/>
    <w:rsid w:val="00785139"/>
    <w:rsid w:val="007854EB"/>
    <w:rsid w:val="0078596A"/>
    <w:rsid w:val="00785EF0"/>
    <w:rsid w:val="007865D7"/>
    <w:rsid w:val="00787076"/>
    <w:rsid w:val="00787562"/>
    <w:rsid w:val="00790203"/>
    <w:rsid w:val="007903BA"/>
    <w:rsid w:val="007904B9"/>
    <w:rsid w:val="0079103E"/>
    <w:rsid w:val="0079159B"/>
    <w:rsid w:val="00792ADF"/>
    <w:rsid w:val="00792C95"/>
    <w:rsid w:val="00792D23"/>
    <w:rsid w:val="007932D5"/>
    <w:rsid w:val="00793D06"/>
    <w:rsid w:val="00795827"/>
    <w:rsid w:val="00796A65"/>
    <w:rsid w:val="00796EE8"/>
    <w:rsid w:val="00796F66"/>
    <w:rsid w:val="00796FCB"/>
    <w:rsid w:val="00797503"/>
    <w:rsid w:val="00797601"/>
    <w:rsid w:val="00797978"/>
    <w:rsid w:val="007979EB"/>
    <w:rsid w:val="007A0525"/>
    <w:rsid w:val="007A060E"/>
    <w:rsid w:val="007A0A22"/>
    <w:rsid w:val="007A0D5E"/>
    <w:rsid w:val="007A1358"/>
    <w:rsid w:val="007A1C4C"/>
    <w:rsid w:val="007A1DA0"/>
    <w:rsid w:val="007A2E5E"/>
    <w:rsid w:val="007A34B9"/>
    <w:rsid w:val="007A3559"/>
    <w:rsid w:val="007A515E"/>
    <w:rsid w:val="007A6A87"/>
    <w:rsid w:val="007A6AEB"/>
    <w:rsid w:val="007A6B9D"/>
    <w:rsid w:val="007A6CA6"/>
    <w:rsid w:val="007A741C"/>
    <w:rsid w:val="007A76D6"/>
    <w:rsid w:val="007B03BC"/>
    <w:rsid w:val="007B07A6"/>
    <w:rsid w:val="007B0968"/>
    <w:rsid w:val="007B0F57"/>
    <w:rsid w:val="007B126A"/>
    <w:rsid w:val="007B1D74"/>
    <w:rsid w:val="007B3214"/>
    <w:rsid w:val="007B4601"/>
    <w:rsid w:val="007B49FE"/>
    <w:rsid w:val="007B4AFA"/>
    <w:rsid w:val="007B4BB7"/>
    <w:rsid w:val="007B540A"/>
    <w:rsid w:val="007B558E"/>
    <w:rsid w:val="007B5FAF"/>
    <w:rsid w:val="007B6562"/>
    <w:rsid w:val="007B663F"/>
    <w:rsid w:val="007B6E6E"/>
    <w:rsid w:val="007B7398"/>
    <w:rsid w:val="007B7C17"/>
    <w:rsid w:val="007B7D05"/>
    <w:rsid w:val="007C07F4"/>
    <w:rsid w:val="007C15FC"/>
    <w:rsid w:val="007C1AC4"/>
    <w:rsid w:val="007C2A56"/>
    <w:rsid w:val="007C2F97"/>
    <w:rsid w:val="007C3C69"/>
    <w:rsid w:val="007C3CDE"/>
    <w:rsid w:val="007C4817"/>
    <w:rsid w:val="007C4C2E"/>
    <w:rsid w:val="007C4E0D"/>
    <w:rsid w:val="007C51CE"/>
    <w:rsid w:val="007C5491"/>
    <w:rsid w:val="007C5AB2"/>
    <w:rsid w:val="007C784B"/>
    <w:rsid w:val="007C7E71"/>
    <w:rsid w:val="007D0A76"/>
    <w:rsid w:val="007D11FD"/>
    <w:rsid w:val="007D1978"/>
    <w:rsid w:val="007D20D5"/>
    <w:rsid w:val="007D2BE6"/>
    <w:rsid w:val="007D3E40"/>
    <w:rsid w:val="007D4BE9"/>
    <w:rsid w:val="007D4E49"/>
    <w:rsid w:val="007D4F97"/>
    <w:rsid w:val="007D619F"/>
    <w:rsid w:val="007D65C8"/>
    <w:rsid w:val="007D6E49"/>
    <w:rsid w:val="007D6FA4"/>
    <w:rsid w:val="007D71B6"/>
    <w:rsid w:val="007D71D7"/>
    <w:rsid w:val="007D78C6"/>
    <w:rsid w:val="007E038F"/>
    <w:rsid w:val="007E067B"/>
    <w:rsid w:val="007E09B1"/>
    <w:rsid w:val="007E0D17"/>
    <w:rsid w:val="007E0E38"/>
    <w:rsid w:val="007E11AD"/>
    <w:rsid w:val="007E175C"/>
    <w:rsid w:val="007E18F6"/>
    <w:rsid w:val="007E1FE5"/>
    <w:rsid w:val="007E220F"/>
    <w:rsid w:val="007E2241"/>
    <w:rsid w:val="007E2587"/>
    <w:rsid w:val="007E3476"/>
    <w:rsid w:val="007E37F7"/>
    <w:rsid w:val="007E4D89"/>
    <w:rsid w:val="007E505F"/>
    <w:rsid w:val="007E51A4"/>
    <w:rsid w:val="007E534B"/>
    <w:rsid w:val="007E5490"/>
    <w:rsid w:val="007E5524"/>
    <w:rsid w:val="007E5BA0"/>
    <w:rsid w:val="007E6274"/>
    <w:rsid w:val="007E62CC"/>
    <w:rsid w:val="007E68F3"/>
    <w:rsid w:val="007E6D16"/>
    <w:rsid w:val="007E7867"/>
    <w:rsid w:val="007E79D8"/>
    <w:rsid w:val="007E7A0C"/>
    <w:rsid w:val="007E7A7D"/>
    <w:rsid w:val="007E7C92"/>
    <w:rsid w:val="007F0051"/>
    <w:rsid w:val="007F08A4"/>
    <w:rsid w:val="007F09A6"/>
    <w:rsid w:val="007F0E55"/>
    <w:rsid w:val="007F116D"/>
    <w:rsid w:val="007F196B"/>
    <w:rsid w:val="007F1A3B"/>
    <w:rsid w:val="007F221E"/>
    <w:rsid w:val="007F3514"/>
    <w:rsid w:val="007F4093"/>
    <w:rsid w:val="007F457F"/>
    <w:rsid w:val="007F50F0"/>
    <w:rsid w:val="007F530C"/>
    <w:rsid w:val="007F5381"/>
    <w:rsid w:val="007F5A57"/>
    <w:rsid w:val="007F5AA0"/>
    <w:rsid w:val="007F7C56"/>
    <w:rsid w:val="007F7C74"/>
    <w:rsid w:val="007F7EF9"/>
    <w:rsid w:val="00800574"/>
    <w:rsid w:val="00801668"/>
    <w:rsid w:val="0080222A"/>
    <w:rsid w:val="00803410"/>
    <w:rsid w:val="00803824"/>
    <w:rsid w:val="00803EB6"/>
    <w:rsid w:val="008040FA"/>
    <w:rsid w:val="0080461D"/>
    <w:rsid w:val="008047C1"/>
    <w:rsid w:val="00804CAB"/>
    <w:rsid w:val="00804CC7"/>
    <w:rsid w:val="00804EA6"/>
    <w:rsid w:val="00805D1F"/>
    <w:rsid w:val="00805F54"/>
    <w:rsid w:val="008061B1"/>
    <w:rsid w:val="008100CF"/>
    <w:rsid w:val="0081043D"/>
    <w:rsid w:val="00810A1D"/>
    <w:rsid w:val="0081124E"/>
    <w:rsid w:val="00811776"/>
    <w:rsid w:val="00813064"/>
    <w:rsid w:val="00813966"/>
    <w:rsid w:val="00813FEE"/>
    <w:rsid w:val="008147B9"/>
    <w:rsid w:val="00815995"/>
    <w:rsid w:val="008165D9"/>
    <w:rsid w:val="008179EE"/>
    <w:rsid w:val="00817B7D"/>
    <w:rsid w:val="00820DEE"/>
    <w:rsid w:val="00820E3C"/>
    <w:rsid w:val="00821077"/>
    <w:rsid w:val="0082172C"/>
    <w:rsid w:val="0082353E"/>
    <w:rsid w:val="00823A4E"/>
    <w:rsid w:val="008242DC"/>
    <w:rsid w:val="008244CC"/>
    <w:rsid w:val="008250CF"/>
    <w:rsid w:val="00825471"/>
    <w:rsid w:val="008257FA"/>
    <w:rsid w:val="00826234"/>
    <w:rsid w:val="00826EA0"/>
    <w:rsid w:val="008276AB"/>
    <w:rsid w:val="00831A71"/>
    <w:rsid w:val="00831E57"/>
    <w:rsid w:val="008325F3"/>
    <w:rsid w:val="0083289D"/>
    <w:rsid w:val="008335A1"/>
    <w:rsid w:val="00833B79"/>
    <w:rsid w:val="0083439A"/>
    <w:rsid w:val="008349DE"/>
    <w:rsid w:val="00834B44"/>
    <w:rsid w:val="008356F8"/>
    <w:rsid w:val="00835BA8"/>
    <w:rsid w:val="00835C17"/>
    <w:rsid w:val="00835E87"/>
    <w:rsid w:val="00836603"/>
    <w:rsid w:val="00836C08"/>
    <w:rsid w:val="00836D90"/>
    <w:rsid w:val="00837257"/>
    <w:rsid w:val="0084035B"/>
    <w:rsid w:val="008404F0"/>
    <w:rsid w:val="00840C16"/>
    <w:rsid w:val="00841389"/>
    <w:rsid w:val="008414C3"/>
    <w:rsid w:val="008418D1"/>
    <w:rsid w:val="00841A32"/>
    <w:rsid w:val="00841AB9"/>
    <w:rsid w:val="00841B91"/>
    <w:rsid w:val="0084258E"/>
    <w:rsid w:val="00842FCE"/>
    <w:rsid w:val="008443F8"/>
    <w:rsid w:val="00844C8F"/>
    <w:rsid w:val="00844E96"/>
    <w:rsid w:val="0084580B"/>
    <w:rsid w:val="008458E2"/>
    <w:rsid w:val="00845AF3"/>
    <w:rsid w:val="00845BEF"/>
    <w:rsid w:val="00845CBB"/>
    <w:rsid w:val="00846192"/>
    <w:rsid w:val="008469DA"/>
    <w:rsid w:val="008473E9"/>
    <w:rsid w:val="008477EE"/>
    <w:rsid w:val="00847A80"/>
    <w:rsid w:val="00847B32"/>
    <w:rsid w:val="00851225"/>
    <w:rsid w:val="00852423"/>
    <w:rsid w:val="0085362F"/>
    <w:rsid w:val="00853B3C"/>
    <w:rsid w:val="00853BEB"/>
    <w:rsid w:val="00854898"/>
    <w:rsid w:val="00854D8A"/>
    <w:rsid w:val="00855689"/>
    <w:rsid w:val="00856334"/>
    <w:rsid w:val="00856D9B"/>
    <w:rsid w:val="008574AB"/>
    <w:rsid w:val="008575C4"/>
    <w:rsid w:val="008576A0"/>
    <w:rsid w:val="00857F24"/>
    <w:rsid w:val="0086002B"/>
    <w:rsid w:val="008606A0"/>
    <w:rsid w:val="00860BD5"/>
    <w:rsid w:val="00860FA3"/>
    <w:rsid w:val="0086139A"/>
    <w:rsid w:val="008618F6"/>
    <w:rsid w:val="0086200E"/>
    <w:rsid w:val="0086240B"/>
    <w:rsid w:val="00862E2B"/>
    <w:rsid w:val="0086326D"/>
    <w:rsid w:val="008645A0"/>
    <w:rsid w:val="0086487C"/>
    <w:rsid w:val="00865089"/>
    <w:rsid w:val="00865888"/>
    <w:rsid w:val="00865DCA"/>
    <w:rsid w:val="00866259"/>
    <w:rsid w:val="00866457"/>
    <w:rsid w:val="0086666C"/>
    <w:rsid w:val="00866883"/>
    <w:rsid w:val="00866A7E"/>
    <w:rsid w:val="00866BE8"/>
    <w:rsid w:val="0086789A"/>
    <w:rsid w:val="00867A87"/>
    <w:rsid w:val="00867CAD"/>
    <w:rsid w:val="00867EFF"/>
    <w:rsid w:val="0087037E"/>
    <w:rsid w:val="008704E7"/>
    <w:rsid w:val="00870866"/>
    <w:rsid w:val="00870C37"/>
    <w:rsid w:val="00870E22"/>
    <w:rsid w:val="00871056"/>
    <w:rsid w:val="0087143D"/>
    <w:rsid w:val="00871935"/>
    <w:rsid w:val="00872FD7"/>
    <w:rsid w:val="0087352D"/>
    <w:rsid w:val="00874C8F"/>
    <w:rsid w:val="0087510B"/>
    <w:rsid w:val="0087623A"/>
    <w:rsid w:val="0087638B"/>
    <w:rsid w:val="0087659F"/>
    <w:rsid w:val="008772B7"/>
    <w:rsid w:val="008777F5"/>
    <w:rsid w:val="00877B61"/>
    <w:rsid w:val="00877E20"/>
    <w:rsid w:val="00877FBA"/>
    <w:rsid w:val="008810CD"/>
    <w:rsid w:val="00882EA3"/>
    <w:rsid w:val="0088345A"/>
    <w:rsid w:val="008839C1"/>
    <w:rsid w:val="00883BC5"/>
    <w:rsid w:val="00883CC4"/>
    <w:rsid w:val="0088479E"/>
    <w:rsid w:val="00884E99"/>
    <w:rsid w:val="00885FBD"/>
    <w:rsid w:val="008860B2"/>
    <w:rsid w:val="00886C00"/>
    <w:rsid w:val="008876A8"/>
    <w:rsid w:val="00890749"/>
    <w:rsid w:val="00890B62"/>
    <w:rsid w:val="00890D1E"/>
    <w:rsid w:val="00892DA0"/>
    <w:rsid w:val="0089417D"/>
    <w:rsid w:val="00894205"/>
    <w:rsid w:val="008943C3"/>
    <w:rsid w:val="008945F6"/>
    <w:rsid w:val="00894A28"/>
    <w:rsid w:val="00894D67"/>
    <w:rsid w:val="008952EC"/>
    <w:rsid w:val="008961BC"/>
    <w:rsid w:val="00896733"/>
    <w:rsid w:val="00896B20"/>
    <w:rsid w:val="00896B2B"/>
    <w:rsid w:val="00896F49"/>
    <w:rsid w:val="0089746C"/>
    <w:rsid w:val="008A00C4"/>
    <w:rsid w:val="008A1731"/>
    <w:rsid w:val="008A17E8"/>
    <w:rsid w:val="008A187E"/>
    <w:rsid w:val="008A19F7"/>
    <w:rsid w:val="008A22FB"/>
    <w:rsid w:val="008A306D"/>
    <w:rsid w:val="008A374F"/>
    <w:rsid w:val="008A3F63"/>
    <w:rsid w:val="008A46F1"/>
    <w:rsid w:val="008A48A2"/>
    <w:rsid w:val="008A4FBD"/>
    <w:rsid w:val="008A57D7"/>
    <w:rsid w:val="008A5B26"/>
    <w:rsid w:val="008A5F7A"/>
    <w:rsid w:val="008A6254"/>
    <w:rsid w:val="008A654A"/>
    <w:rsid w:val="008A6B1C"/>
    <w:rsid w:val="008A78F4"/>
    <w:rsid w:val="008A7E28"/>
    <w:rsid w:val="008B03FC"/>
    <w:rsid w:val="008B073A"/>
    <w:rsid w:val="008B1B56"/>
    <w:rsid w:val="008B1D5D"/>
    <w:rsid w:val="008B3EB4"/>
    <w:rsid w:val="008B448C"/>
    <w:rsid w:val="008B482A"/>
    <w:rsid w:val="008B4EC0"/>
    <w:rsid w:val="008B573E"/>
    <w:rsid w:val="008B580F"/>
    <w:rsid w:val="008B5AD1"/>
    <w:rsid w:val="008B5AE8"/>
    <w:rsid w:val="008B63C9"/>
    <w:rsid w:val="008B6C14"/>
    <w:rsid w:val="008B6E05"/>
    <w:rsid w:val="008C06DD"/>
    <w:rsid w:val="008C06E1"/>
    <w:rsid w:val="008C0D47"/>
    <w:rsid w:val="008C132E"/>
    <w:rsid w:val="008C1F6C"/>
    <w:rsid w:val="008C2222"/>
    <w:rsid w:val="008C2362"/>
    <w:rsid w:val="008C2BE8"/>
    <w:rsid w:val="008C2F15"/>
    <w:rsid w:val="008C32C0"/>
    <w:rsid w:val="008C40C4"/>
    <w:rsid w:val="008C4272"/>
    <w:rsid w:val="008C4322"/>
    <w:rsid w:val="008C4CC5"/>
    <w:rsid w:val="008C5391"/>
    <w:rsid w:val="008C6573"/>
    <w:rsid w:val="008C6875"/>
    <w:rsid w:val="008C6A47"/>
    <w:rsid w:val="008D0702"/>
    <w:rsid w:val="008D0944"/>
    <w:rsid w:val="008D1188"/>
    <w:rsid w:val="008D1708"/>
    <w:rsid w:val="008D45D8"/>
    <w:rsid w:val="008D4B95"/>
    <w:rsid w:val="008D5344"/>
    <w:rsid w:val="008D53B4"/>
    <w:rsid w:val="008D58B1"/>
    <w:rsid w:val="008D58C0"/>
    <w:rsid w:val="008D60B6"/>
    <w:rsid w:val="008D715B"/>
    <w:rsid w:val="008D7659"/>
    <w:rsid w:val="008D7C25"/>
    <w:rsid w:val="008D7E96"/>
    <w:rsid w:val="008E02B2"/>
    <w:rsid w:val="008E0FBC"/>
    <w:rsid w:val="008E1590"/>
    <w:rsid w:val="008E22E0"/>
    <w:rsid w:val="008E23E7"/>
    <w:rsid w:val="008E2902"/>
    <w:rsid w:val="008E3031"/>
    <w:rsid w:val="008E322E"/>
    <w:rsid w:val="008E385C"/>
    <w:rsid w:val="008E403C"/>
    <w:rsid w:val="008E61A0"/>
    <w:rsid w:val="008E6A10"/>
    <w:rsid w:val="008E6D91"/>
    <w:rsid w:val="008E6E9A"/>
    <w:rsid w:val="008E712B"/>
    <w:rsid w:val="008E780C"/>
    <w:rsid w:val="008F112F"/>
    <w:rsid w:val="008F186A"/>
    <w:rsid w:val="008F205D"/>
    <w:rsid w:val="008F23F2"/>
    <w:rsid w:val="008F2B2C"/>
    <w:rsid w:val="008F2BE7"/>
    <w:rsid w:val="008F3091"/>
    <w:rsid w:val="008F418D"/>
    <w:rsid w:val="008F4CAB"/>
    <w:rsid w:val="008F4DF9"/>
    <w:rsid w:val="008F5DE2"/>
    <w:rsid w:val="008F6326"/>
    <w:rsid w:val="008F647E"/>
    <w:rsid w:val="008F6566"/>
    <w:rsid w:val="008F6710"/>
    <w:rsid w:val="0090024C"/>
    <w:rsid w:val="0090059E"/>
    <w:rsid w:val="009012E4"/>
    <w:rsid w:val="00901B47"/>
    <w:rsid w:val="00902C39"/>
    <w:rsid w:val="00903F2F"/>
    <w:rsid w:val="00903F78"/>
    <w:rsid w:val="009043F1"/>
    <w:rsid w:val="00904FD1"/>
    <w:rsid w:val="00906841"/>
    <w:rsid w:val="00906972"/>
    <w:rsid w:val="00907A17"/>
    <w:rsid w:val="00910533"/>
    <w:rsid w:val="009105B8"/>
    <w:rsid w:val="00911897"/>
    <w:rsid w:val="00911B94"/>
    <w:rsid w:val="00913FB3"/>
    <w:rsid w:val="0091502E"/>
    <w:rsid w:val="0091586E"/>
    <w:rsid w:val="00915D6E"/>
    <w:rsid w:val="00915DD8"/>
    <w:rsid w:val="00915E24"/>
    <w:rsid w:val="0091663A"/>
    <w:rsid w:val="00916F98"/>
    <w:rsid w:val="00917859"/>
    <w:rsid w:val="00920681"/>
    <w:rsid w:val="0092078A"/>
    <w:rsid w:val="00921493"/>
    <w:rsid w:val="00921644"/>
    <w:rsid w:val="009219B7"/>
    <w:rsid w:val="00922351"/>
    <w:rsid w:val="00922FC9"/>
    <w:rsid w:val="0092309C"/>
    <w:rsid w:val="0092379E"/>
    <w:rsid w:val="00925437"/>
    <w:rsid w:val="00926A33"/>
    <w:rsid w:val="009278D1"/>
    <w:rsid w:val="00927AE0"/>
    <w:rsid w:val="00927B6A"/>
    <w:rsid w:val="00931174"/>
    <w:rsid w:val="009314E8"/>
    <w:rsid w:val="0093167B"/>
    <w:rsid w:val="00932687"/>
    <w:rsid w:val="00932853"/>
    <w:rsid w:val="009348F1"/>
    <w:rsid w:val="00934BB7"/>
    <w:rsid w:val="00934C63"/>
    <w:rsid w:val="00936081"/>
    <w:rsid w:val="009361C3"/>
    <w:rsid w:val="009363CB"/>
    <w:rsid w:val="00937621"/>
    <w:rsid w:val="00937961"/>
    <w:rsid w:val="00937D60"/>
    <w:rsid w:val="00940111"/>
    <w:rsid w:val="00940422"/>
    <w:rsid w:val="0094072D"/>
    <w:rsid w:val="009409B6"/>
    <w:rsid w:val="00940A37"/>
    <w:rsid w:val="00940BB2"/>
    <w:rsid w:val="00940D32"/>
    <w:rsid w:val="00940DF0"/>
    <w:rsid w:val="00941353"/>
    <w:rsid w:val="0094198B"/>
    <w:rsid w:val="00941FA5"/>
    <w:rsid w:val="00942BDD"/>
    <w:rsid w:val="009431D8"/>
    <w:rsid w:val="00943B90"/>
    <w:rsid w:val="00943C82"/>
    <w:rsid w:val="00943DB7"/>
    <w:rsid w:val="009458F8"/>
    <w:rsid w:val="00946349"/>
    <w:rsid w:val="009464F0"/>
    <w:rsid w:val="00946A72"/>
    <w:rsid w:val="00946D66"/>
    <w:rsid w:val="0094746D"/>
    <w:rsid w:val="00947B1D"/>
    <w:rsid w:val="00947F7D"/>
    <w:rsid w:val="00950CCF"/>
    <w:rsid w:val="00951796"/>
    <w:rsid w:val="00951870"/>
    <w:rsid w:val="00951A3C"/>
    <w:rsid w:val="009527B7"/>
    <w:rsid w:val="00954C0A"/>
    <w:rsid w:val="00954F5F"/>
    <w:rsid w:val="00956400"/>
    <w:rsid w:val="00956B6C"/>
    <w:rsid w:val="00960147"/>
    <w:rsid w:val="00960F0B"/>
    <w:rsid w:val="0096186D"/>
    <w:rsid w:val="00964162"/>
    <w:rsid w:val="009651B5"/>
    <w:rsid w:val="00965615"/>
    <w:rsid w:val="0096566C"/>
    <w:rsid w:val="00965A63"/>
    <w:rsid w:val="00966702"/>
    <w:rsid w:val="0096677B"/>
    <w:rsid w:val="009667A2"/>
    <w:rsid w:val="00966E8E"/>
    <w:rsid w:val="00967B11"/>
    <w:rsid w:val="00967D64"/>
    <w:rsid w:val="009702A2"/>
    <w:rsid w:val="00972A22"/>
    <w:rsid w:val="00972BFA"/>
    <w:rsid w:val="00972E82"/>
    <w:rsid w:val="00972F6E"/>
    <w:rsid w:val="009730B3"/>
    <w:rsid w:val="009736DB"/>
    <w:rsid w:val="00973AED"/>
    <w:rsid w:val="009745EB"/>
    <w:rsid w:val="0097471E"/>
    <w:rsid w:val="00974911"/>
    <w:rsid w:val="00974DC2"/>
    <w:rsid w:val="00974ECF"/>
    <w:rsid w:val="009751D7"/>
    <w:rsid w:val="00976244"/>
    <w:rsid w:val="009763B1"/>
    <w:rsid w:val="00976E42"/>
    <w:rsid w:val="0097703C"/>
    <w:rsid w:val="00977477"/>
    <w:rsid w:val="00980F40"/>
    <w:rsid w:val="00980FA5"/>
    <w:rsid w:val="009815D1"/>
    <w:rsid w:val="00981650"/>
    <w:rsid w:val="00981732"/>
    <w:rsid w:val="00981CAF"/>
    <w:rsid w:val="0098215F"/>
    <w:rsid w:val="00982D31"/>
    <w:rsid w:val="009836BD"/>
    <w:rsid w:val="00983841"/>
    <w:rsid w:val="00983947"/>
    <w:rsid w:val="00983B49"/>
    <w:rsid w:val="00984B5B"/>
    <w:rsid w:val="00984C66"/>
    <w:rsid w:val="00984F81"/>
    <w:rsid w:val="0098502E"/>
    <w:rsid w:val="009851CB"/>
    <w:rsid w:val="0098549E"/>
    <w:rsid w:val="00985C81"/>
    <w:rsid w:val="00985E09"/>
    <w:rsid w:val="00986215"/>
    <w:rsid w:val="0098764E"/>
    <w:rsid w:val="0098786E"/>
    <w:rsid w:val="00990257"/>
    <w:rsid w:val="009913F9"/>
    <w:rsid w:val="00991CEF"/>
    <w:rsid w:val="00991F53"/>
    <w:rsid w:val="0099210D"/>
    <w:rsid w:val="009926DC"/>
    <w:rsid w:val="00992A6F"/>
    <w:rsid w:val="00992EE0"/>
    <w:rsid w:val="0099305E"/>
    <w:rsid w:val="009931AF"/>
    <w:rsid w:val="0099371E"/>
    <w:rsid w:val="009949BF"/>
    <w:rsid w:val="00995632"/>
    <w:rsid w:val="00996878"/>
    <w:rsid w:val="009971F8"/>
    <w:rsid w:val="0099756A"/>
    <w:rsid w:val="009A010A"/>
    <w:rsid w:val="009A0191"/>
    <w:rsid w:val="009A0F1E"/>
    <w:rsid w:val="009A13AC"/>
    <w:rsid w:val="009A28DE"/>
    <w:rsid w:val="009A2EFB"/>
    <w:rsid w:val="009A3505"/>
    <w:rsid w:val="009A3CA1"/>
    <w:rsid w:val="009A4628"/>
    <w:rsid w:val="009A46E8"/>
    <w:rsid w:val="009A4793"/>
    <w:rsid w:val="009A4B61"/>
    <w:rsid w:val="009A4BA5"/>
    <w:rsid w:val="009A65E3"/>
    <w:rsid w:val="009B0420"/>
    <w:rsid w:val="009B0897"/>
    <w:rsid w:val="009B1A3E"/>
    <w:rsid w:val="009B216C"/>
    <w:rsid w:val="009B2280"/>
    <w:rsid w:val="009B243B"/>
    <w:rsid w:val="009B2807"/>
    <w:rsid w:val="009B30CF"/>
    <w:rsid w:val="009B389E"/>
    <w:rsid w:val="009B38B1"/>
    <w:rsid w:val="009B3F6E"/>
    <w:rsid w:val="009B4476"/>
    <w:rsid w:val="009B4C4B"/>
    <w:rsid w:val="009B5665"/>
    <w:rsid w:val="009B618C"/>
    <w:rsid w:val="009B6CAF"/>
    <w:rsid w:val="009B7CAF"/>
    <w:rsid w:val="009B7D66"/>
    <w:rsid w:val="009C16F5"/>
    <w:rsid w:val="009C1836"/>
    <w:rsid w:val="009C211E"/>
    <w:rsid w:val="009C2441"/>
    <w:rsid w:val="009C3ECC"/>
    <w:rsid w:val="009C4ABA"/>
    <w:rsid w:val="009C4E0A"/>
    <w:rsid w:val="009C5D76"/>
    <w:rsid w:val="009C5E05"/>
    <w:rsid w:val="009C620C"/>
    <w:rsid w:val="009C634F"/>
    <w:rsid w:val="009C7442"/>
    <w:rsid w:val="009C7853"/>
    <w:rsid w:val="009C7EF1"/>
    <w:rsid w:val="009D1172"/>
    <w:rsid w:val="009D1D01"/>
    <w:rsid w:val="009D1DD2"/>
    <w:rsid w:val="009D233C"/>
    <w:rsid w:val="009D2867"/>
    <w:rsid w:val="009D3506"/>
    <w:rsid w:val="009D3B66"/>
    <w:rsid w:val="009D47B1"/>
    <w:rsid w:val="009D53B7"/>
    <w:rsid w:val="009D5589"/>
    <w:rsid w:val="009D58E2"/>
    <w:rsid w:val="009D60E9"/>
    <w:rsid w:val="009D6457"/>
    <w:rsid w:val="009D6644"/>
    <w:rsid w:val="009D6C22"/>
    <w:rsid w:val="009D7096"/>
    <w:rsid w:val="009D740A"/>
    <w:rsid w:val="009D7717"/>
    <w:rsid w:val="009E0402"/>
    <w:rsid w:val="009E0D2F"/>
    <w:rsid w:val="009E1081"/>
    <w:rsid w:val="009E1E17"/>
    <w:rsid w:val="009E3A93"/>
    <w:rsid w:val="009E3B11"/>
    <w:rsid w:val="009E4B8C"/>
    <w:rsid w:val="009E4CF9"/>
    <w:rsid w:val="009E5B2D"/>
    <w:rsid w:val="009E657B"/>
    <w:rsid w:val="009E74B2"/>
    <w:rsid w:val="009E78ED"/>
    <w:rsid w:val="009F1325"/>
    <w:rsid w:val="009F141F"/>
    <w:rsid w:val="009F1F89"/>
    <w:rsid w:val="009F260D"/>
    <w:rsid w:val="009F28FC"/>
    <w:rsid w:val="009F2C1D"/>
    <w:rsid w:val="009F2FDC"/>
    <w:rsid w:val="009F3A90"/>
    <w:rsid w:val="009F3B7F"/>
    <w:rsid w:val="009F3C94"/>
    <w:rsid w:val="009F3E83"/>
    <w:rsid w:val="009F440A"/>
    <w:rsid w:val="009F4914"/>
    <w:rsid w:val="009F4C37"/>
    <w:rsid w:val="009F56B8"/>
    <w:rsid w:val="009F6897"/>
    <w:rsid w:val="009F6ECB"/>
    <w:rsid w:val="009F7A81"/>
    <w:rsid w:val="00A00C5E"/>
    <w:rsid w:val="00A014B5"/>
    <w:rsid w:val="00A02181"/>
    <w:rsid w:val="00A02726"/>
    <w:rsid w:val="00A02AD5"/>
    <w:rsid w:val="00A02E2F"/>
    <w:rsid w:val="00A03033"/>
    <w:rsid w:val="00A03DAD"/>
    <w:rsid w:val="00A04DAC"/>
    <w:rsid w:val="00A04ECD"/>
    <w:rsid w:val="00A051F5"/>
    <w:rsid w:val="00A06238"/>
    <w:rsid w:val="00A065B0"/>
    <w:rsid w:val="00A102E9"/>
    <w:rsid w:val="00A1286F"/>
    <w:rsid w:val="00A13257"/>
    <w:rsid w:val="00A13354"/>
    <w:rsid w:val="00A14074"/>
    <w:rsid w:val="00A14B2C"/>
    <w:rsid w:val="00A14D6A"/>
    <w:rsid w:val="00A1516F"/>
    <w:rsid w:val="00A16259"/>
    <w:rsid w:val="00A168C8"/>
    <w:rsid w:val="00A16A73"/>
    <w:rsid w:val="00A16BEF"/>
    <w:rsid w:val="00A176F7"/>
    <w:rsid w:val="00A17AB0"/>
    <w:rsid w:val="00A200D1"/>
    <w:rsid w:val="00A20650"/>
    <w:rsid w:val="00A20C7B"/>
    <w:rsid w:val="00A20E0E"/>
    <w:rsid w:val="00A21A11"/>
    <w:rsid w:val="00A21BF4"/>
    <w:rsid w:val="00A22198"/>
    <w:rsid w:val="00A224B1"/>
    <w:rsid w:val="00A22BCD"/>
    <w:rsid w:val="00A23421"/>
    <w:rsid w:val="00A239A5"/>
    <w:rsid w:val="00A23B8B"/>
    <w:rsid w:val="00A23E6F"/>
    <w:rsid w:val="00A24324"/>
    <w:rsid w:val="00A249C2"/>
    <w:rsid w:val="00A25630"/>
    <w:rsid w:val="00A25F11"/>
    <w:rsid w:val="00A268EE"/>
    <w:rsid w:val="00A26FC8"/>
    <w:rsid w:val="00A274A2"/>
    <w:rsid w:val="00A279E7"/>
    <w:rsid w:val="00A30439"/>
    <w:rsid w:val="00A30840"/>
    <w:rsid w:val="00A3199B"/>
    <w:rsid w:val="00A31A2A"/>
    <w:rsid w:val="00A324B4"/>
    <w:rsid w:val="00A32555"/>
    <w:rsid w:val="00A32A5D"/>
    <w:rsid w:val="00A333C0"/>
    <w:rsid w:val="00A338B6"/>
    <w:rsid w:val="00A33FF1"/>
    <w:rsid w:val="00A34475"/>
    <w:rsid w:val="00A3458B"/>
    <w:rsid w:val="00A3497F"/>
    <w:rsid w:val="00A35926"/>
    <w:rsid w:val="00A35B23"/>
    <w:rsid w:val="00A35CF7"/>
    <w:rsid w:val="00A35F59"/>
    <w:rsid w:val="00A363D7"/>
    <w:rsid w:val="00A36F13"/>
    <w:rsid w:val="00A3777A"/>
    <w:rsid w:val="00A378E4"/>
    <w:rsid w:val="00A379D1"/>
    <w:rsid w:val="00A37A46"/>
    <w:rsid w:val="00A409A1"/>
    <w:rsid w:val="00A41F97"/>
    <w:rsid w:val="00A4229F"/>
    <w:rsid w:val="00A4256A"/>
    <w:rsid w:val="00A43C74"/>
    <w:rsid w:val="00A45576"/>
    <w:rsid w:val="00A470A6"/>
    <w:rsid w:val="00A470FD"/>
    <w:rsid w:val="00A51B2B"/>
    <w:rsid w:val="00A51D9F"/>
    <w:rsid w:val="00A51F5B"/>
    <w:rsid w:val="00A5205B"/>
    <w:rsid w:val="00A521E1"/>
    <w:rsid w:val="00A52874"/>
    <w:rsid w:val="00A52E4E"/>
    <w:rsid w:val="00A532B0"/>
    <w:rsid w:val="00A53617"/>
    <w:rsid w:val="00A53CD8"/>
    <w:rsid w:val="00A53DE0"/>
    <w:rsid w:val="00A53E13"/>
    <w:rsid w:val="00A54741"/>
    <w:rsid w:val="00A54CA3"/>
    <w:rsid w:val="00A55310"/>
    <w:rsid w:val="00A5603F"/>
    <w:rsid w:val="00A56282"/>
    <w:rsid w:val="00A56C0B"/>
    <w:rsid w:val="00A56E18"/>
    <w:rsid w:val="00A5739E"/>
    <w:rsid w:val="00A577CE"/>
    <w:rsid w:val="00A57C42"/>
    <w:rsid w:val="00A61663"/>
    <w:rsid w:val="00A61757"/>
    <w:rsid w:val="00A618BC"/>
    <w:rsid w:val="00A619BF"/>
    <w:rsid w:val="00A62289"/>
    <w:rsid w:val="00A62570"/>
    <w:rsid w:val="00A630C1"/>
    <w:rsid w:val="00A63AA2"/>
    <w:rsid w:val="00A641B2"/>
    <w:rsid w:val="00A64207"/>
    <w:rsid w:val="00A65509"/>
    <w:rsid w:val="00A65763"/>
    <w:rsid w:val="00A65F40"/>
    <w:rsid w:val="00A66AF2"/>
    <w:rsid w:val="00A67363"/>
    <w:rsid w:val="00A67DEA"/>
    <w:rsid w:val="00A70CFA"/>
    <w:rsid w:val="00A71364"/>
    <w:rsid w:val="00A718A5"/>
    <w:rsid w:val="00A71C08"/>
    <w:rsid w:val="00A71E53"/>
    <w:rsid w:val="00A72476"/>
    <w:rsid w:val="00A72585"/>
    <w:rsid w:val="00A725E6"/>
    <w:rsid w:val="00A72D47"/>
    <w:rsid w:val="00A7434F"/>
    <w:rsid w:val="00A74E53"/>
    <w:rsid w:val="00A75A68"/>
    <w:rsid w:val="00A76913"/>
    <w:rsid w:val="00A76F6C"/>
    <w:rsid w:val="00A76FEA"/>
    <w:rsid w:val="00A7709B"/>
    <w:rsid w:val="00A77CAB"/>
    <w:rsid w:val="00A800EE"/>
    <w:rsid w:val="00A806B6"/>
    <w:rsid w:val="00A80851"/>
    <w:rsid w:val="00A813A0"/>
    <w:rsid w:val="00A81846"/>
    <w:rsid w:val="00A82BF4"/>
    <w:rsid w:val="00A83940"/>
    <w:rsid w:val="00A85061"/>
    <w:rsid w:val="00A853CC"/>
    <w:rsid w:val="00A85F50"/>
    <w:rsid w:val="00A8629D"/>
    <w:rsid w:val="00A86D59"/>
    <w:rsid w:val="00A87748"/>
    <w:rsid w:val="00A87E49"/>
    <w:rsid w:val="00A90BDC"/>
    <w:rsid w:val="00A91AAF"/>
    <w:rsid w:val="00A92BC4"/>
    <w:rsid w:val="00A93686"/>
    <w:rsid w:val="00A93A3A"/>
    <w:rsid w:val="00A943B5"/>
    <w:rsid w:val="00A95B52"/>
    <w:rsid w:val="00A95DFE"/>
    <w:rsid w:val="00A9630F"/>
    <w:rsid w:val="00A966EC"/>
    <w:rsid w:val="00A9696A"/>
    <w:rsid w:val="00A9713E"/>
    <w:rsid w:val="00A97146"/>
    <w:rsid w:val="00A971D6"/>
    <w:rsid w:val="00A97286"/>
    <w:rsid w:val="00A9769B"/>
    <w:rsid w:val="00AA18E5"/>
    <w:rsid w:val="00AA1C9B"/>
    <w:rsid w:val="00AA2357"/>
    <w:rsid w:val="00AA43C8"/>
    <w:rsid w:val="00AA482A"/>
    <w:rsid w:val="00AA530C"/>
    <w:rsid w:val="00AA5864"/>
    <w:rsid w:val="00AA5E6B"/>
    <w:rsid w:val="00AA645F"/>
    <w:rsid w:val="00AA6521"/>
    <w:rsid w:val="00AA67EE"/>
    <w:rsid w:val="00AA68EE"/>
    <w:rsid w:val="00AA7A3D"/>
    <w:rsid w:val="00AA7E1F"/>
    <w:rsid w:val="00AB04B7"/>
    <w:rsid w:val="00AB0973"/>
    <w:rsid w:val="00AB0F46"/>
    <w:rsid w:val="00AB13D5"/>
    <w:rsid w:val="00AB2805"/>
    <w:rsid w:val="00AB2EEE"/>
    <w:rsid w:val="00AB2FFC"/>
    <w:rsid w:val="00AB3113"/>
    <w:rsid w:val="00AB3D1E"/>
    <w:rsid w:val="00AB49C7"/>
    <w:rsid w:val="00AB4B1F"/>
    <w:rsid w:val="00AB4E5F"/>
    <w:rsid w:val="00AB5777"/>
    <w:rsid w:val="00AB5922"/>
    <w:rsid w:val="00AB6307"/>
    <w:rsid w:val="00AB70C5"/>
    <w:rsid w:val="00AB7325"/>
    <w:rsid w:val="00AC00B4"/>
    <w:rsid w:val="00AC0655"/>
    <w:rsid w:val="00AC1126"/>
    <w:rsid w:val="00AC1268"/>
    <w:rsid w:val="00AC14BE"/>
    <w:rsid w:val="00AC199B"/>
    <w:rsid w:val="00AC1EEF"/>
    <w:rsid w:val="00AC413A"/>
    <w:rsid w:val="00AC4B63"/>
    <w:rsid w:val="00AC547A"/>
    <w:rsid w:val="00AC56A3"/>
    <w:rsid w:val="00AC5721"/>
    <w:rsid w:val="00AC58CB"/>
    <w:rsid w:val="00AC5F7E"/>
    <w:rsid w:val="00AC6509"/>
    <w:rsid w:val="00AC6D7C"/>
    <w:rsid w:val="00AC7FA3"/>
    <w:rsid w:val="00AD02D3"/>
    <w:rsid w:val="00AD0782"/>
    <w:rsid w:val="00AD143A"/>
    <w:rsid w:val="00AD1B38"/>
    <w:rsid w:val="00AD25A4"/>
    <w:rsid w:val="00AD2D61"/>
    <w:rsid w:val="00AD3BBC"/>
    <w:rsid w:val="00AD58F3"/>
    <w:rsid w:val="00AD5C2E"/>
    <w:rsid w:val="00AD6A42"/>
    <w:rsid w:val="00AD739A"/>
    <w:rsid w:val="00AD74D8"/>
    <w:rsid w:val="00AD79BA"/>
    <w:rsid w:val="00AD79FA"/>
    <w:rsid w:val="00AD7AB0"/>
    <w:rsid w:val="00AD7D03"/>
    <w:rsid w:val="00AE0B18"/>
    <w:rsid w:val="00AE0B93"/>
    <w:rsid w:val="00AE0D97"/>
    <w:rsid w:val="00AE1663"/>
    <w:rsid w:val="00AE16B5"/>
    <w:rsid w:val="00AE1DF5"/>
    <w:rsid w:val="00AE2CBB"/>
    <w:rsid w:val="00AE2CD9"/>
    <w:rsid w:val="00AE3262"/>
    <w:rsid w:val="00AE3576"/>
    <w:rsid w:val="00AE3943"/>
    <w:rsid w:val="00AE4325"/>
    <w:rsid w:val="00AE4558"/>
    <w:rsid w:val="00AE56C3"/>
    <w:rsid w:val="00AE5EF6"/>
    <w:rsid w:val="00AE6C61"/>
    <w:rsid w:val="00AE73CE"/>
    <w:rsid w:val="00AE748A"/>
    <w:rsid w:val="00AE7D3E"/>
    <w:rsid w:val="00AF0025"/>
    <w:rsid w:val="00AF0584"/>
    <w:rsid w:val="00AF0713"/>
    <w:rsid w:val="00AF0E95"/>
    <w:rsid w:val="00AF0EDC"/>
    <w:rsid w:val="00AF16FD"/>
    <w:rsid w:val="00AF1E1D"/>
    <w:rsid w:val="00AF1F4F"/>
    <w:rsid w:val="00AF2D6D"/>
    <w:rsid w:val="00AF382D"/>
    <w:rsid w:val="00AF39B0"/>
    <w:rsid w:val="00AF3BEC"/>
    <w:rsid w:val="00AF4CDF"/>
    <w:rsid w:val="00AF54DA"/>
    <w:rsid w:val="00AF55AA"/>
    <w:rsid w:val="00AF5D74"/>
    <w:rsid w:val="00AF6240"/>
    <w:rsid w:val="00AF6365"/>
    <w:rsid w:val="00AF6720"/>
    <w:rsid w:val="00AF73DE"/>
    <w:rsid w:val="00AF7601"/>
    <w:rsid w:val="00AF77E6"/>
    <w:rsid w:val="00AF7A41"/>
    <w:rsid w:val="00AF7AFD"/>
    <w:rsid w:val="00AF7EEA"/>
    <w:rsid w:val="00B000B8"/>
    <w:rsid w:val="00B00560"/>
    <w:rsid w:val="00B00945"/>
    <w:rsid w:val="00B00B36"/>
    <w:rsid w:val="00B01266"/>
    <w:rsid w:val="00B013D0"/>
    <w:rsid w:val="00B020C9"/>
    <w:rsid w:val="00B03A4D"/>
    <w:rsid w:val="00B05894"/>
    <w:rsid w:val="00B05A86"/>
    <w:rsid w:val="00B05ABF"/>
    <w:rsid w:val="00B06290"/>
    <w:rsid w:val="00B064DA"/>
    <w:rsid w:val="00B0756C"/>
    <w:rsid w:val="00B11008"/>
    <w:rsid w:val="00B117E7"/>
    <w:rsid w:val="00B126A3"/>
    <w:rsid w:val="00B135A9"/>
    <w:rsid w:val="00B1458C"/>
    <w:rsid w:val="00B14981"/>
    <w:rsid w:val="00B14A37"/>
    <w:rsid w:val="00B155D5"/>
    <w:rsid w:val="00B163C4"/>
    <w:rsid w:val="00B165AA"/>
    <w:rsid w:val="00B16DCF"/>
    <w:rsid w:val="00B172DC"/>
    <w:rsid w:val="00B20565"/>
    <w:rsid w:val="00B20DFC"/>
    <w:rsid w:val="00B2111C"/>
    <w:rsid w:val="00B211F3"/>
    <w:rsid w:val="00B2314B"/>
    <w:rsid w:val="00B23B0D"/>
    <w:rsid w:val="00B23F48"/>
    <w:rsid w:val="00B24212"/>
    <w:rsid w:val="00B2451A"/>
    <w:rsid w:val="00B24DA1"/>
    <w:rsid w:val="00B25277"/>
    <w:rsid w:val="00B2536C"/>
    <w:rsid w:val="00B2545C"/>
    <w:rsid w:val="00B264A0"/>
    <w:rsid w:val="00B266BC"/>
    <w:rsid w:val="00B26E05"/>
    <w:rsid w:val="00B27323"/>
    <w:rsid w:val="00B27912"/>
    <w:rsid w:val="00B27924"/>
    <w:rsid w:val="00B27E2F"/>
    <w:rsid w:val="00B30431"/>
    <w:rsid w:val="00B30B1F"/>
    <w:rsid w:val="00B32D5B"/>
    <w:rsid w:val="00B32F68"/>
    <w:rsid w:val="00B33173"/>
    <w:rsid w:val="00B3333E"/>
    <w:rsid w:val="00B340C9"/>
    <w:rsid w:val="00B34A99"/>
    <w:rsid w:val="00B3632D"/>
    <w:rsid w:val="00B36429"/>
    <w:rsid w:val="00B3674B"/>
    <w:rsid w:val="00B36B25"/>
    <w:rsid w:val="00B36FFC"/>
    <w:rsid w:val="00B37937"/>
    <w:rsid w:val="00B37D0E"/>
    <w:rsid w:val="00B37D39"/>
    <w:rsid w:val="00B404A7"/>
    <w:rsid w:val="00B40763"/>
    <w:rsid w:val="00B40857"/>
    <w:rsid w:val="00B41169"/>
    <w:rsid w:val="00B41E9C"/>
    <w:rsid w:val="00B42788"/>
    <w:rsid w:val="00B42A97"/>
    <w:rsid w:val="00B42B57"/>
    <w:rsid w:val="00B42C5F"/>
    <w:rsid w:val="00B4466A"/>
    <w:rsid w:val="00B4497D"/>
    <w:rsid w:val="00B453BC"/>
    <w:rsid w:val="00B46DB2"/>
    <w:rsid w:val="00B46F21"/>
    <w:rsid w:val="00B47208"/>
    <w:rsid w:val="00B473A7"/>
    <w:rsid w:val="00B47859"/>
    <w:rsid w:val="00B50DE1"/>
    <w:rsid w:val="00B52646"/>
    <w:rsid w:val="00B527CE"/>
    <w:rsid w:val="00B52836"/>
    <w:rsid w:val="00B52A9D"/>
    <w:rsid w:val="00B52F25"/>
    <w:rsid w:val="00B5300B"/>
    <w:rsid w:val="00B53173"/>
    <w:rsid w:val="00B5383B"/>
    <w:rsid w:val="00B5384D"/>
    <w:rsid w:val="00B53C33"/>
    <w:rsid w:val="00B53D6E"/>
    <w:rsid w:val="00B5512B"/>
    <w:rsid w:val="00B5515A"/>
    <w:rsid w:val="00B553FA"/>
    <w:rsid w:val="00B56116"/>
    <w:rsid w:val="00B56E0D"/>
    <w:rsid w:val="00B570B0"/>
    <w:rsid w:val="00B577FA"/>
    <w:rsid w:val="00B60319"/>
    <w:rsid w:val="00B604E1"/>
    <w:rsid w:val="00B605AF"/>
    <w:rsid w:val="00B60F64"/>
    <w:rsid w:val="00B61724"/>
    <w:rsid w:val="00B626AD"/>
    <w:rsid w:val="00B63332"/>
    <w:rsid w:val="00B636D9"/>
    <w:rsid w:val="00B637E0"/>
    <w:rsid w:val="00B63F87"/>
    <w:rsid w:val="00B6402A"/>
    <w:rsid w:val="00B6428A"/>
    <w:rsid w:val="00B64973"/>
    <w:rsid w:val="00B64DA1"/>
    <w:rsid w:val="00B651F3"/>
    <w:rsid w:val="00B657C0"/>
    <w:rsid w:val="00B657C2"/>
    <w:rsid w:val="00B6599E"/>
    <w:rsid w:val="00B66952"/>
    <w:rsid w:val="00B678E6"/>
    <w:rsid w:val="00B67E9A"/>
    <w:rsid w:val="00B7001C"/>
    <w:rsid w:val="00B70350"/>
    <w:rsid w:val="00B7063B"/>
    <w:rsid w:val="00B708A0"/>
    <w:rsid w:val="00B71AF3"/>
    <w:rsid w:val="00B71BBB"/>
    <w:rsid w:val="00B72952"/>
    <w:rsid w:val="00B73AEA"/>
    <w:rsid w:val="00B73D19"/>
    <w:rsid w:val="00B73F6E"/>
    <w:rsid w:val="00B757C6"/>
    <w:rsid w:val="00B75913"/>
    <w:rsid w:val="00B75C35"/>
    <w:rsid w:val="00B75D85"/>
    <w:rsid w:val="00B76EE8"/>
    <w:rsid w:val="00B778B2"/>
    <w:rsid w:val="00B77F7C"/>
    <w:rsid w:val="00B77F9D"/>
    <w:rsid w:val="00B80E26"/>
    <w:rsid w:val="00B810D0"/>
    <w:rsid w:val="00B8132D"/>
    <w:rsid w:val="00B8169F"/>
    <w:rsid w:val="00B819F8"/>
    <w:rsid w:val="00B824D9"/>
    <w:rsid w:val="00B82D66"/>
    <w:rsid w:val="00B830D3"/>
    <w:rsid w:val="00B834DB"/>
    <w:rsid w:val="00B83691"/>
    <w:rsid w:val="00B83F33"/>
    <w:rsid w:val="00B84753"/>
    <w:rsid w:val="00B84F08"/>
    <w:rsid w:val="00B85BE0"/>
    <w:rsid w:val="00B865CA"/>
    <w:rsid w:val="00B87530"/>
    <w:rsid w:val="00B877F2"/>
    <w:rsid w:val="00B9029C"/>
    <w:rsid w:val="00B902DE"/>
    <w:rsid w:val="00B908BB"/>
    <w:rsid w:val="00B90BE4"/>
    <w:rsid w:val="00B9145F"/>
    <w:rsid w:val="00B91A0E"/>
    <w:rsid w:val="00B9221D"/>
    <w:rsid w:val="00B930B7"/>
    <w:rsid w:val="00B94452"/>
    <w:rsid w:val="00B94C63"/>
    <w:rsid w:val="00B960EE"/>
    <w:rsid w:val="00B96B17"/>
    <w:rsid w:val="00BA01A1"/>
    <w:rsid w:val="00BA02AE"/>
    <w:rsid w:val="00BA0D03"/>
    <w:rsid w:val="00BA12B7"/>
    <w:rsid w:val="00BA18D1"/>
    <w:rsid w:val="00BA2604"/>
    <w:rsid w:val="00BA2FB6"/>
    <w:rsid w:val="00BA3685"/>
    <w:rsid w:val="00BA3CCB"/>
    <w:rsid w:val="00BA4CE6"/>
    <w:rsid w:val="00BA51D1"/>
    <w:rsid w:val="00BA552E"/>
    <w:rsid w:val="00BA5DBD"/>
    <w:rsid w:val="00BA5E6C"/>
    <w:rsid w:val="00BA6B1C"/>
    <w:rsid w:val="00BA6BE1"/>
    <w:rsid w:val="00BA7C3A"/>
    <w:rsid w:val="00BB02A3"/>
    <w:rsid w:val="00BB051F"/>
    <w:rsid w:val="00BB0B72"/>
    <w:rsid w:val="00BB0DED"/>
    <w:rsid w:val="00BB1F96"/>
    <w:rsid w:val="00BB201B"/>
    <w:rsid w:val="00BB204F"/>
    <w:rsid w:val="00BB20E6"/>
    <w:rsid w:val="00BB21DF"/>
    <w:rsid w:val="00BB2A03"/>
    <w:rsid w:val="00BB40F2"/>
    <w:rsid w:val="00BB4167"/>
    <w:rsid w:val="00BB4718"/>
    <w:rsid w:val="00BB4D76"/>
    <w:rsid w:val="00BB5052"/>
    <w:rsid w:val="00BB5BDE"/>
    <w:rsid w:val="00BB60B6"/>
    <w:rsid w:val="00BB615E"/>
    <w:rsid w:val="00BB6FA1"/>
    <w:rsid w:val="00BB7E70"/>
    <w:rsid w:val="00BB7F3E"/>
    <w:rsid w:val="00BC0705"/>
    <w:rsid w:val="00BC088F"/>
    <w:rsid w:val="00BC0F9C"/>
    <w:rsid w:val="00BC1232"/>
    <w:rsid w:val="00BC1BA7"/>
    <w:rsid w:val="00BC30D2"/>
    <w:rsid w:val="00BC3738"/>
    <w:rsid w:val="00BC3840"/>
    <w:rsid w:val="00BC4237"/>
    <w:rsid w:val="00BC4339"/>
    <w:rsid w:val="00BC5CB8"/>
    <w:rsid w:val="00BC706C"/>
    <w:rsid w:val="00BD05CC"/>
    <w:rsid w:val="00BD1086"/>
    <w:rsid w:val="00BD1E0A"/>
    <w:rsid w:val="00BD1F00"/>
    <w:rsid w:val="00BD2397"/>
    <w:rsid w:val="00BD446F"/>
    <w:rsid w:val="00BD4A74"/>
    <w:rsid w:val="00BD4B26"/>
    <w:rsid w:val="00BD577D"/>
    <w:rsid w:val="00BD6332"/>
    <w:rsid w:val="00BD7ED6"/>
    <w:rsid w:val="00BE02A7"/>
    <w:rsid w:val="00BE070D"/>
    <w:rsid w:val="00BE0B25"/>
    <w:rsid w:val="00BE0CC9"/>
    <w:rsid w:val="00BE11FC"/>
    <w:rsid w:val="00BE12EE"/>
    <w:rsid w:val="00BE149D"/>
    <w:rsid w:val="00BE17AB"/>
    <w:rsid w:val="00BE2464"/>
    <w:rsid w:val="00BE27FF"/>
    <w:rsid w:val="00BE34DE"/>
    <w:rsid w:val="00BE42AE"/>
    <w:rsid w:val="00BE4997"/>
    <w:rsid w:val="00BE4DB6"/>
    <w:rsid w:val="00BE50A7"/>
    <w:rsid w:val="00BE52FC"/>
    <w:rsid w:val="00BE54AB"/>
    <w:rsid w:val="00BE54D4"/>
    <w:rsid w:val="00BE731F"/>
    <w:rsid w:val="00BE777B"/>
    <w:rsid w:val="00BE7B5A"/>
    <w:rsid w:val="00BE7D57"/>
    <w:rsid w:val="00BE7E86"/>
    <w:rsid w:val="00BF02D8"/>
    <w:rsid w:val="00BF045C"/>
    <w:rsid w:val="00BF0F25"/>
    <w:rsid w:val="00BF128E"/>
    <w:rsid w:val="00BF1B1F"/>
    <w:rsid w:val="00BF234C"/>
    <w:rsid w:val="00BF236F"/>
    <w:rsid w:val="00BF24B5"/>
    <w:rsid w:val="00BF2528"/>
    <w:rsid w:val="00BF2674"/>
    <w:rsid w:val="00BF3C35"/>
    <w:rsid w:val="00BF3C78"/>
    <w:rsid w:val="00BF472F"/>
    <w:rsid w:val="00BF5048"/>
    <w:rsid w:val="00BF52A9"/>
    <w:rsid w:val="00BF552D"/>
    <w:rsid w:val="00BF6F13"/>
    <w:rsid w:val="00C012D1"/>
    <w:rsid w:val="00C01C4B"/>
    <w:rsid w:val="00C01FF7"/>
    <w:rsid w:val="00C020D6"/>
    <w:rsid w:val="00C02851"/>
    <w:rsid w:val="00C0375E"/>
    <w:rsid w:val="00C051A4"/>
    <w:rsid w:val="00C05F3E"/>
    <w:rsid w:val="00C060DC"/>
    <w:rsid w:val="00C06ED1"/>
    <w:rsid w:val="00C0766B"/>
    <w:rsid w:val="00C10451"/>
    <w:rsid w:val="00C10BF0"/>
    <w:rsid w:val="00C10D2A"/>
    <w:rsid w:val="00C1120C"/>
    <w:rsid w:val="00C12899"/>
    <w:rsid w:val="00C12F1E"/>
    <w:rsid w:val="00C13CFF"/>
    <w:rsid w:val="00C13D8B"/>
    <w:rsid w:val="00C14164"/>
    <w:rsid w:val="00C14527"/>
    <w:rsid w:val="00C14C8B"/>
    <w:rsid w:val="00C16BB1"/>
    <w:rsid w:val="00C172C7"/>
    <w:rsid w:val="00C178C5"/>
    <w:rsid w:val="00C17CA9"/>
    <w:rsid w:val="00C2023A"/>
    <w:rsid w:val="00C20339"/>
    <w:rsid w:val="00C20B0A"/>
    <w:rsid w:val="00C21336"/>
    <w:rsid w:val="00C21958"/>
    <w:rsid w:val="00C21C9D"/>
    <w:rsid w:val="00C21DEA"/>
    <w:rsid w:val="00C232A6"/>
    <w:rsid w:val="00C234D4"/>
    <w:rsid w:val="00C238C8"/>
    <w:rsid w:val="00C23968"/>
    <w:rsid w:val="00C23D34"/>
    <w:rsid w:val="00C23DBA"/>
    <w:rsid w:val="00C23EFE"/>
    <w:rsid w:val="00C247B8"/>
    <w:rsid w:val="00C249FB"/>
    <w:rsid w:val="00C24DCF"/>
    <w:rsid w:val="00C25E6D"/>
    <w:rsid w:val="00C26574"/>
    <w:rsid w:val="00C267A7"/>
    <w:rsid w:val="00C267BD"/>
    <w:rsid w:val="00C2694F"/>
    <w:rsid w:val="00C26FDE"/>
    <w:rsid w:val="00C27553"/>
    <w:rsid w:val="00C27945"/>
    <w:rsid w:val="00C30121"/>
    <w:rsid w:val="00C30384"/>
    <w:rsid w:val="00C30498"/>
    <w:rsid w:val="00C30C2E"/>
    <w:rsid w:val="00C3136F"/>
    <w:rsid w:val="00C31CB5"/>
    <w:rsid w:val="00C31DEB"/>
    <w:rsid w:val="00C32032"/>
    <w:rsid w:val="00C32C63"/>
    <w:rsid w:val="00C33316"/>
    <w:rsid w:val="00C33546"/>
    <w:rsid w:val="00C33E32"/>
    <w:rsid w:val="00C343F7"/>
    <w:rsid w:val="00C34DF8"/>
    <w:rsid w:val="00C353B6"/>
    <w:rsid w:val="00C355D6"/>
    <w:rsid w:val="00C35780"/>
    <w:rsid w:val="00C358EA"/>
    <w:rsid w:val="00C35CB8"/>
    <w:rsid w:val="00C363BB"/>
    <w:rsid w:val="00C371AE"/>
    <w:rsid w:val="00C3762E"/>
    <w:rsid w:val="00C37717"/>
    <w:rsid w:val="00C37D5A"/>
    <w:rsid w:val="00C420CB"/>
    <w:rsid w:val="00C42EAF"/>
    <w:rsid w:val="00C43014"/>
    <w:rsid w:val="00C43116"/>
    <w:rsid w:val="00C44479"/>
    <w:rsid w:val="00C45880"/>
    <w:rsid w:val="00C469DD"/>
    <w:rsid w:val="00C46BDB"/>
    <w:rsid w:val="00C4711D"/>
    <w:rsid w:val="00C4729B"/>
    <w:rsid w:val="00C47836"/>
    <w:rsid w:val="00C500FF"/>
    <w:rsid w:val="00C5044E"/>
    <w:rsid w:val="00C50AA2"/>
    <w:rsid w:val="00C50DB6"/>
    <w:rsid w:val="00C51342"/>
    <w:rsid w:val="00C515AA"/>
    <w:rsid w:val="00C51B8F"/>
    <w:rsid w:val="00C549CD"/>
    <w:rsid w:val="00C558C9"/>
    <w:rsid w:val="00C55C54"/>
    <w:rsid w:val="00C56AA0"/>
    <w:rsid w:val="00C56D4D"/>
    <w:rsid w:val="00C56FE4"/>
    <w:rsid w:val="00C57B51"/>
    <w:rsid w:val="00C602AC"/>
    <w:rsid w:val="00C60827"/>
    <w:rsid w:val="00C61085"/>
    <w:rsid w:val="00C6169C"/>
    <w:rsid w:val="00C6191C"/>
    <w:rsid w:val="00C61F0B"/>
    <w:rsid w:val="00C61FD0"/>
    <w:rsid w:val="00C621BA"/>
    <w:rsid w:val="00C630B0"/>
    <w:rsid w:val="00C6389D"/>
    <w:rsid w:val="00C63A8C"/>
    <w:rsid w:val="00C64369"/>
    <w:rsid w:val="00C6436F"/>
    <w:rsid w:val="00C64E70"/>
    <w:rsid w:val="00C65B81"/>
    <w:rsid w:val="00C65DF8"/>
    <w:rsid w:val="00C65E5B"/>
    <w:rsid w:val="00C65F60"/>
    <w:rsid w:val="00C66867"/>
    <w:rsid w:val="00C6776A"/>
    <w:rsid w:val="00C67E22"/>
    <w:rsid w:val="00C70C30"/>
    <w:rsid w:val="00C71139"/>
    <w:rsid w:val="00C71A64"/>
    <w:rsid w:val="00C71A8E"/>
    <w:rsid w:val="00C71D49"/>
    <w:rsid w:val="00C721A2"/>
    <w:rsid w:val="00C721EC"/>
    <w:rsid w:val="00C725D2"/>
    <w:rsid w:val="00C72970"/>
    <w:rsid w:val="00C72E7F"/>
    <w:rsid w:val="00C738E7"/>
    <w:rsid w:val="00C73B9D"/>
    <w:rsid w:val="00C73F03"/>
    <w:rsid w:val="00C7571D"/>
    <w:rsid w:val="00C759F2"/>
    <w:rsid w:val="00C7626B"/>
    <w:rsid w:val="00C767E2"/>
    <w:rsid w:val="00C775AE"/>
    <w:rsid w:val="00C77B2F"/>
    <w:rsid w:val="00C77EB6"/>
    <w:rsid w:val="00C80A0B"/>
    <w:rsid w:val="00C80C52"/>
    <w:rsid w:val="00C810AD"/>
    <w:rsid w:val="00C81203"/>
    <w:rsid w:val="00C8173A"/>
    <w:rsid w:val="00C81D8E"/>
    <w:rsid w:val="00C822BF"/>
    <w:rsid w:val="00C823A7"/>
    <w:rsid w:val="00C83D90"/>
    <w:rsid w:val="00C83F95"/>
    <w:rsid w:val="00C8506B"/>
    <w:rsid w:val="00C85546"/>
    <w:rsid w:val="00C86733"/>
    <w:rsid w:val="00C86BF5"/>
    <w:rsid w:val="00C87090"/>
    <w:rsid w:val="00C87210"/>
    <w:rsid w:val="00C87280"/>
    <w:rsid w:val="00C8785C"/>
    <w:rsid w:val="00C90077"/>
    <w:rsid w:val="00C902AF"/>
    <w:rsid w:val="00C9092D"/>
    <w:rsid w:val="00C91EA3"/>
    <w:rsid w:val="00C920AB"/>
    <w:rsid w:val="00C94ABE"/>
    <w:rsid w:val="00C955D8"/>
    <w:rsid w:val="00C956DC"/>
    <w:rsid w:val="00C95B12"/>
    <w:rsid w:val="00C95F25"/>
    <w:rsid w:val="00C97B6A"/>
    <w:rsid w:val="00CA0E7E"/>
    <w:rsid w:val="00CA1206"/>
    <w:rsid w:val="00CA1A9C"/>
    <w:rsid w:val="00CA1BC9"/>
    <w:rsid w:val="00CA23AC"/>
    <w:rsid w:val="00CA240F"/>
    <w:rsid w:val="00CA24E0"/>
    <w:rsid w:val="00CA2641"/>
    <w:rsid w:val="00CA29A5"/>
    <w:rsid w:val="00CA29EC"/>
    <w:rsid w:val="00CA2B9B"/>
    <w:rsid w:val="00CA3745"/>
    <w:rsid w:val="00CA3962"/>
    <w:rsid w:val="00CA4056"/>
    <w:rsid w:val="00CA52D4"/>
    <w:rsid w:val="00CA585E"/>
    <w:rsid w:val="00CA632B"/>
    <w:rsid w:val="00CA728F"/>
    <w:rsid w:val="00CA7395"/>
    <w:rsid w:val="00CA782F"/>
    <w:rsid w:val="00CA7BC1"/>
    <w:rsid w:val="00CA7ECD"/>
    <w:rsid w:val="00CB07D5"/>
    <w:rsid w:val="00CB0EB6"/>
    <w:rsid w:val="00CB1567"/>
    <w:rsid w:val="00CB18CC"/>
    <w:rsid w:val="00CB1986"/>
    <w:rsid w:val="00CB22B6"/>
    <w:rsid w:val="00CB2BBB"/>
    <w:rsid w:val="00CB30A4"/>
    <w:rsid w:val="00CB3248"/>
    <w:rsid w:val="00CB32AE"/>
    <w:rsid w:val="00CB44BD"/>
    <w:rsid w:val="00CB4898"/>
    <w:rsid w:val="00CB5355"/>
    <w:rsid w:val="00CB59FA"/>
    <w:rsid w:val="00CB664F"/>
    <w:rsid w:val="00CB6BF1"/>
    <w:rsid w:val="00CB73B0"/>
    <w:rsid w:val="00CB7C17"/>
    <w:rsid w:val="00CC0616"/>
    <w:rsid w:val="00CC061D"/>
    <w:rsid w:val="00CC09BC"/>
    <w:rsid w:val="00CC146C"/>
    <w:rsid w:val="00CC1AE6"/>
    <w:rsid w:val="00CC1F65"/>
    <w:rsid w:val="00CC2604"/>
    <w:rsid w:val="00CC3C5A"/>
    <w:rsid w:val="00CC444A"/>
    <w:rsid w:val="00CC4576"/>
    <w:rsid w:val="00CC51B0"/>
    <w:rsid w:val="00CC5638"/>
    <w:rsid w:val="00CC5A17"/>
    <w:rsid w:val="00CC63B0"/>
    <w:rsid w:val="00CC7BCD"/>
    <w:rsid w:val="00CC7EBF"/>
    <w:rsid w:val="00CD0C7D"/>
    <w:rsid w:val="00CD11CF"/>
    <w:rsid w:val="00CD1BE8"/>
    <w:rsid w:val="00CD1D19"/>
    <w:rsid w:val="00CD20F6"/>
    <w:rsid w:val="00CD3796"/>
    <w:rsid w:val="00CD40B8"/>
    <w:rsid w:val="00CD49F3"/>
    <w:rsid w:val="00CD4BB3"/>
    <w:rsid w:val="00CD525F"/>
    <w:rsid w:val="00CD5824"/>
    <w:rsid w:val="00CD61C2"/>
    <w:rsid w:val="00CD6E50"/>
    <w:rsid w:val="00CD7214"/>
    <w:rsid w:val="00CD74CD"/>
    <w:rsid w:val="00CD7BF9"/>
    <w:rsid w:val="00CD7CF6"/>
    <w:rsid w:val="00CE05DD"/>
    <w:rsid w:val="00CE08E8"/>
    <w:rsid w:val="00CE092D"/>
    <w:rsid w:val="00CE0ECC"/>
    <w:rsid w:val="00CE11C7"/>
    <w:rsid w:val="00CE150F"/>
    <w:rsid w:val="00CE168C"/>
    <w:rsid w:val="00CE18AB"/>
    <w:rsid w:val="00CE1ED5"/>
    <w:rsid w:val="00CE259A"/>
    <w:rsid w:val="00CE2E7E"/>
    <w:rsid w:val="00CE30B3"/>
    <w:rsid w:val="00CE31F9"/>
    <w:rsid w:val="00CE36F1"/>
    <w:rsid w:val="00CE3EC5"/>
    <w:rsid w:val="00CE5036"/>
    <w:rsid w:val="00CE566A"/>
    <w:rsid w:val="00CE68F5"/>
    <w:rsid w:val="00CE69B3"/>
    <w:rsid w:val="00CF00DC"/>
    <w:rsid w:val="00CF0DF4"/>
    <w:rsid w:val="00CF191E"/>
    <w:rsid w:val="00CF350A"/>
    <w:rsid w:val="00CF4956"/>
    <w:rsid w:val="00CF4A67"/>
    <w:rsid w:val="00CF4E50"/>
    <w:rsid w:val="00CF547A"/>
    <w:rsid w:val="00CF5CC0"/>
    <w:rsid w:val="00CF622F"/>
    <w:rsid w:val="00CF63A3"/>
    <w:rsid w:val="00CF6BBA"/>
    <w:rsid w:val="00CF6E62"/>
    <w:rsid w:val="00CF6E93"/>
    <w:rsid w:val="00CF72FB"/>
    <w:rsid w:val="00CF7B2F"/>
    <w:rsid w:val="00D0010D"/>
    <w:rsid w:val="00D00878"/>
    <w:rsid w:val="00D01438"/>
    <w:rsid w:val="00D016C0"/>
    <w:rsid w:val="00D01E21"/>
    <w:rsid w:val="00D01F9D"/>
    <w:rsid w:val="00D02D87"/>
    <w:rsid w:val="00D03227"/>
    <w:rsid w:val="00D03837"/>
    <w:rsid w:val="00D046B7"/>
    <w:rsid w:val="00D04F5F"/>
    <w:rsid w:val="00D05196"/>
    <w:rsid w:val="00D05F16"/>
    <w:rsid w:val="00D071C0"/>
    <w:rsid w:val="00D0726E"/>
    <w:rsid w:val="00D0757F"/>
    <w:rsid w:val="00D078E7"/>
    <w:rsid w:val="00D0797B"/>
    <w:rsid w:val="00D10948"/>
    <w:rsid w:val="00D10F29"/>
    <w:rsid w:val="00D127E3"/>
    <w:rsid w:val="00D1319E"/>
    <w:rsid w:val="00D151C6"/>
    <w:rsid w:val="00D152B3"/>
    <w:rsid w:val="00D15415"/>
    <w:rsid w:val="00D15499"/>
    <w:rsid w:val="00D15886"/>
    <w:rsid w:val="00D15C50"/>
    <w:rsid w:val="00D1678B"/>
    <w:rsid w:val="00D1721F"/>
    <w:rsid w:val="00D177FD"/>
    <w:rsid w:val="00D211C2"/>
    <w:rsid w:val="00D21767"/>
    <w:rsid w:val="00D218C6"/>
    <w:rsid w:val="00D21C97"/>
    <w:rsid w:val="00D2237B"/>
    <w:rsid w:val="00D229A2"/>
    <w:rsid w:val="00D22ADE"/>
    <w:rsid w:val="00D22F4B"/>
    <w:rsid w:val="00D23851"/>
    <w:rsid w:val="00D24D63"/>
    <w:rsid w:val="00D24EA2"/>
    <w:rsid w:val="00D253FE"/>
    <w:rsid w:val="00D2617A"/>
    <w:rsid w:val="00D274AB"/>
    <w:rsid w:val="00D27544"/>
    <w:rsid w:val="00D276E7"/>
    <w:rsid w:val="00D27DD5"/>
    <w:rsid w:val="00D30BDD"/>
    <w:rsid w:val="00D310AA"/>
    <w:rsid w:val="00D3186D"/>
    <w:rsid w:val="00D3220C"/>
    <w:rsid w:val="00D32BB7"/>
    <w:rsid w:val="00D32E3B"/>
    <w:rsid w:val="00D330B1"/>
    <w:rsid w:val="00D33EE5"/>
    <w:rsid w:val="00D34521"/>
    <w:rsid w:val="00D349C2"/>
    <w:rsid w:val="00D355A3"/>
    <w:rsid w:val="00D3685C"/>
    <w:rsid w:val="00D36E46"/>
    <w:rsid w:val="00D3723E"/>
    <w:rsid w:val="00D37751"/>
    <w:rsid w:val="00D37854"/>
    <w:rsid w:val="00D37ED3"/>
    <w:rsid w:val="00D40348"/>
    <w:rsid w:val="00D40471"/>
    <w:rsid w:val="00D40B94"/>
    <w:rsid w:val="00D414F5"/>
    <w:rsid w:val="00D42034"/>
    <w:rsid w:val="00D42839"/>
    <w:rsid w:val="00D43D94"/>
    <w:rsid w:val="00D44802"/>
    <w:rsid w:val="00D44FE1"/>
    <w:rsid w:val="00D452CC"/>
    <w:rsid w:val="00D463C9"/>
    <w:rsid w:val="00D47802"/>
    <w:rsid w:val="00D47ADC"/>
    <w:rsid w:val="00D502DD"/>
    <w:rsid w:val="00D5082D"/>
    <w:rsid w:val="00D50C2D"/>
    <w:rsid w:val="00D50FAA"/>
    <w:rsid w:val="00D51578"/>
    <w:rsid w:val="00D523F2"/>
    <w:rsid w:val="00D52783"/>
    <w:rsid w:val="00D5307C"/>
    <w:rsid w:val="00D53739"/>
    <w:rsid w:val="00D53EDC"/>
    <w:rsid w:val="00D54A40"/>
    <w:rsid w:val="00D54DD9"/>
    <w:rsid w:val="00D55BDC"/>
    <w:rsid w:val="00D565A2"/>
    <w:rsid w:val="00D5721B"/>
    <w:rsid w:val="00D57B80"/>
    <w:rsid w:val="00D60033"/>
    <w:rsid w:val="00D60A1A"/>
    <w:rsid w:val="00D60A31"/>
    <w:rsid w:val="00D60E51"/>
    <w:rsid w:val="00D6127B"/>
    <w:rsid w:val="00D6145D"/>
    <w:rsid w:val="00D615A0"/>
    <w:rsid w:val="00D61A12"/>
    <w:rsid w:val="00D62202"/>
    <w:rsid w:val="00D62268"/>
    <w:rsid w:val="00D624D0"/>
    <w:rsid w:val="00D629A5"/>
    <w:rsid w:val="00D62D68"/>
    <w:rsid w:val="00D62EFD"/>
    <w:rsid w:val="00D640A4"/>
    <w:rsid w:val="00D645A2"/>
    <w:rsid w:val="00D6465E"/>
    <w:rsid w:val="00D64F38"/>
    <w:rsid w:val="00D64FA4"/>
    <w:rsid w:val="00D65016"/>
    <w:rsid w:val="00D653E1"/>
    <w:rsid w:val="00D65518"/>
    <w:rsid w:val="00D6576B"/>
    <w:rsid w:val="00D65A10"/>
    <w:rsid w:val="00D665D1"/>
    <w:rsid w:val="00D67D9B"/>
    <w:rsid w:val="00D700E6"/>
    <w:rsid w:val="00D71127"/>
    <w:rsid w:val="00D7182B"/>
    <w:rsid w:val="00D720D9"/>
    <w:rsid w:val="00D7210E"/>
    <w:rsid w:val="00D7231B"/>
    <w:rsid w:val="00D73BDC"/>
    <w:rsid w:val="00D74833"/>
    <w:rsid w:val="00D748ED"/>
    <w:rsid w:val="00D74ABD"/>
    <w:rsid w:val="00D74C53"/>
    <w:rsid w:val="00D75050"/>
    <w:rsid w:val="00D753A2"/>
    <w:rsid w:val="00D75C2F"/>
    <w:rsid w:val="00D76794"/>
    <w:rsid w:val="00D801E7"/>
    <w:rsid w:val="00D80828"/>
    <w:rsid w:val="00D80930"/>
    <w:rsid w:val="00D81D0D"/>
    <w:rsid w:val="00D823DD"/>
    <w:rsid w:val="00D82432"/>
    <w:rsid w:val="00D825EC"/>
    <w:rsid w:val="00D8299A"/>
    <w:rsid w:val="00D82AE5"/>
    <w:rsid w:val="00D84B97"/>
    <w:rsid w:val="00D8555F"/>
    <w:rsid w:val="00D86018"/>
    <w:rsid w:val="00D86191"/>
    <w:rsid w:val="00D8633D"/>
    <w:rsid w:val="00D864B4"/>
    <w:rsid w:val="00D864C5"/>
    <w:rsid w:val="00D865A0"/>
    <w:rsid w:val="00D8690B"/>
    <w:rsid w:val="00D8692C"/>
    <w:rsid w:val="00D86AAB"/>
    <w:rsid w:val="00D86F20"/>
    <w:rsid w:val="00D87069"/>
    <w:rsid w:val="00D872D2"/>
    <w:rsid w:val="00D872FB"/>
    <w:rsid w:val="00D873EC"/>
    <w:rsid w:val="00D87B63"/>
    <w:rsid w:val="00D87BBB"/>
    <w:rsid w:val="00D87EAA"/>
    <w:rsid w:val="00D915EE"/>
    <w:rsid w:val="00D9183E"/>
    <w:rsid w:val="00D91937"/>
    <w:rsid w:val="00D92246"/>
    <w:rsid w:val="00D922D0"/>
    <w:rsid w:val="00D92D40"/>
    <w:rsid w:val="00D93D8F"/>
    <w:rsid w:val="00D93F55"/>
    <w:rsid w:val="00D9405D"/>
    <w:rsid w:val="00D945A6"/>
    <w:rsid w:val="00D94603"/>
    <w:rsid w:val="00D94E02"/>
    <w:rsid w:val="00D94F87"/>
    <w:rsid w:val="00D95C21"/>
    <w:rsid w:val="00D95D09"/>
    <w:rsid w:val="00D9604B"/>
    <w:rsid w:val="00D96D2A"/>
    <w:rsid w:val="00D97165"/>
    <w:rsid w:val="00D974BD"/>
    <w:rsid w:val="00D97865"/>
    <w:rsid w:val="00DA0029"/>
    <w:rsid w:val="00DA05A0"/>
    <w:rsid w:val="00DA1370"/>
    <w:rsid w:val="00DA13FF"/>
    <w:rsid w:val="00DA1C03"/>
    <w:rsid w:val="00DA1D02"/>
    <w:rsid w:val="00DA1E56"/>
    <w:rsid w:val="00DA3E75"/>
    <w:rsid w:val="00DA44CB"/>
    <w:rsid w:val="00DA6059"/>
    <w:rsid w:val="00DA6A4C"/>
    <w:rsid w:val="00DA7297"/>
    <w:rsid w:val="00DB06FB"/>
    <w:rsid w:val="00DB11F1"/>
    <w:rsid w:val="00DB1495"/>
    <w:rsid w:val="00DB1B1C"/>
    <w:rsid w:val="00DB2A43"/>
    <w:rsid w:val="00DB2DAA"/>
    <w:rsid w:val="00DB2EE7"/>
    <w:rsid w:val="00DB3123"/>
    <w:rsid w:val="00DB327C"/>
    <w:rsid w:val="00DB340F"/>
    <w:rsid w:val="00DB3616"/>
    <w:rsid w:val="00DB4051"/>
    <w:rsid w:val="00DB4E52"/>
    <w:rsid w:val="00DB5DE8"/>
    <w:rsid w:val="00DB6400"/>
    <w:rsid w:val="00DB6BCA"/>
    <w:rsid w:val="00DB6E3C"/>
    <w:rsid w:val="00DB6F77"/>
    <w:rsid w:val="00DB776C"/>
    <w:rsid w:val="00DC0B2B"/>
    <w:rsid w:val="00DC1E9C"/>
    <w:rsid w:val="00DC2C8A"/>
    <w:rsid w:val="00DC2FBF"/>
    <w:rsid w:val="00DC3B97"/>
    <w:rsid w:val="00DC4E07"/>
    <w:rsid w:val="00DC54FA"/>
    <w:rsid w:val="00DC5673"/>
    <w:rsid w:val="00DC5D37"/>
    <w:rsid w:val="00DC5D8F"/>
    <w:rsid w:val="00DC5E0C"/>
    <w:rsid w:val="00DC5F88"/>
    <w:rsid w:val="00DC6AB8"/>
    <w:rsid w:val="00DC6F8F"/>
    <w:rsid w:val="00DC7B0A"/>
    <w:rsid w:val="00DD00FA"/>
    <w:rsid w:val="00DD0E9F"/>
    <w:rsid w:val="00DD2BDC"/>
    <w:rsid w:val="00DD30BA"/>
    <w:rsid w:val="00DD30BD"/>
    <w:rsid w:val="00DD3782"/>
    <w:rsid w:val="00DD40F4"/>
    <w:rsid w:val="00DD4484"/>
    <w:rsid w:val="00DD5EBF"/>
    <w:rsid w:val="00DD6DC9"/>
    <w:rsid w:val="00DD6FC9"/>
    <w:rsid w:val="00DD7363"/>
    <w:rsid w:val="00DD78DD"/>
    <w:rsid w:val="00DE06B7"/>
    <w:rsid w:val="00DE1419"/>
    <w:rsid w:val="00DE1783"/>
    <w:rsid w:val="00DE18A0"/>
    <w:rsid w:val="00DE1F70"/>
    <w:rsid w:val="00DE2015"/>
    <w:rsid w:val="00DE2513"/>
    <w:rsid w:val="00DE2CD8"/>
    <w:rsid w:val="00DE30DA"/>
    <w:rsid w:val="00DE46EE"/>
    <w:rsid w:val="00DE48C9"/>
    <w:rsid w:val="00DE48CF"/>
    <w:rsid w:val="00DE51F1"/>
    <w:rsid w:val="00DE5798"/>
    <w:rsid w:val="00DE5B92"/>
    <w:rsid w:val="00DF0733"/>
    <w:rsid w:val="00DF1A27"/>
    <w:rsid w:val="00DF21C2"/>
    <w:rsid w:val="00DF34E6"/>
    <w:rsid w:val="00DF47F0"/>
    <w:rsid w:val="00DF4DE6"/>
    <w:rsid w:val="00DF5C2E"/>
    <w:rsid w:val="00DF6108"/>
    <w:rsid w:val="00DF620A"/>
    <w:rsid w:val="00DF6851"/>
    <w:rsid w:val="00DF6CB3"/>
    <w:rsid w:val="00DF7919"/>
    <w:rsid w:val="00E0007C"/>
    <w:rsid w:val="00E00145"/>
    <w:rsid w:val="00E004F5"/>
    <w:rsid w:val="00E00571"/>
    <w:rsid w:val="00E00BB9"/>
    <w:rsid w:val="00E01209"/>
    <w:rsid w:val="00E0146F"/>
    <w:rsid w:val="00E018E6"/>
    <w:rsid w:val="00E02244"/>
    <w:rsid w:val="00E02428"/>
    <w:rsid w:val="00E02C93"/>
    <w:rsid w:val="00E0480B"/>
    <w:rsid w:val="00E05223"/>
    <w:rsid w:val="00E0556B"/>
    <w:rsid w:val="00E0737D"/>
    <w:rsid w:val="00E07430"/>
    <w:rsid w:val="00E0776B"/>
    <w:rsid w:val="00E079AE"/>
    <w:rsid w:val="00E07A5E"/>
    <w:rsid w:val="00E07FAD"/>
    <w:rsid w:val="00E100DE"/>
    <w:rsid w:val="00E1107F"/>
    <w:rsid w:val="00E11894"/>
    <w:rsid w:val="00E119B3"/>
    <w:rsid w:val="00E11A80"/>
    <w:rsid w:val="00E120D3"/>
    <w:rsid w:val="00E124E3"/>
    <w:rsid w:val="00E12962"/>
    <w:rsid w:val="00E13C0D"/>
    <w:rsid w:val="00E13CF8"/>
    <w:rsid w:val="00E14AD7"/>
    <w:rsid w:val="00E16FAA"/>
    <w:rsid w:val="00E171A9"/>
    <w:rsid w:val="00E177FD"/>
    <w:rsid w:val="00E17EE2"/>
    <w:rsid w:val="00E20292"/>
    <w:rsid w:val="00E205F2"/>
    <w:rsid w:val="00E209CC"/>
    <w:rsid w:val="00E20F19"/>
    <w:rsid w:val="00E21FAA"/>
    <w:rsid w:val="00E2276F"/>
    <w:rsid w:val="00E23550"/>
    <w:rsid w:val="00E23B5F"/>
    <w:rsid w:val="00E23EAC"/>
    <w:rsid w:val="00E24766"/>
    <w:rsid w:val="00E249E2"/>
    <w:rsid w:val="00E264FA"/>
    <w:rsid w:val="00E26E80"/>
    <w:rsid w:val="00E2736F"/>
    <w:rsid w:val="00E2781F"/>
    <w:rsid w:val="00E30326"/>
    <w:rsid w:val="00E30B00"/>
    <w:rsid w:val="00E30D3D"/>
    <w:rsid w:val="00E31FD3"/>
    <w:rsid w:val="00E3219F"/>
    <w:rsid w:val="00E324EB"/>
    <w:rsid w:val="00E33CC8"/>
    <w:rsid w:val="00E34A12"/>
    <w:rsid w:val="00E34DD5"/>
    <w:rsid w:val="00E350FC"/>
    <w:rsid w:val="00E3715F"/>
    <w:rsid w:val="00E4248D"/>
    <w:rsid w:val="00E427C2"/>
    <w:rsid w:val="00E42F10"/>
    <w:rsid w:val="00E42F92"/>
    <w:rsid w:val="00E42FBF"/>
    <w:rsid w:val="00E440FE"/>
    <w:rsid w:val="00E4462D"/>
    <w:rsid w:val="00E44B04"/>
    <w:rsid w:val="00E44F10"/>
    <w:rsid w:val="00E4544B"/>
    <w:rsid w:val="00E458DE"/>
    <w:rsid w:val="00E45D29"/>
    <w:rsid w:val="00E46B02"/>
    <w:rsid w:val="00E47BB7"/>
    <w:rsid w:val="00E5008F"/>
    <w:rsid w:val="00E500A7"/>
    <w:rsid w:val="00E51361"/>
    <w:rsid w:val="00E51853"/>
    <w:rsid w:val="00E52B30"/>
    <w:rsid w:val="00E52EF8"/>
    <w:rsid w:val="00E53923"/>
    <w:rsid w:val="00E546A2"/>
    <w:rsid w:val="00E54759"/>
    <w:rsid w:val="00E54BDA"/>
    <w:rsid w:val="00E55872"/>
    <w:rsid w:val="00E56AFB"/>
    <w:rsid w:val="00E6073D"/>
    <w:rsid w:val="00E61624"/>
    <w:rsid w:val="00E61BD2"/>
    <w:rsid w:val="00E61C75"/>
    <w:rsid w:val="00E6258D"/>
    <w:rsid w:val="00E62B78"/>
    <w:rsid w:val="00E62F6A"/>
    <w:rsid w:val="00E62F92"/>
    <w:rsid w:val="00E64114"/>
    <w:rsid w:val="00E64137"/>
    <w:rsid w:val="00E64272"/>
    <w:rsid w:val="00E64D79"/>
    <w:rsid w:val="00E652D5"/>
    <w:rsid w:val="00E65E5C"/>
    <w:rsid w:val="00E65F33"/>
    <w:rsid w:val="00E65FC1"/>
    <w:rsid w:val="00E66702"/>
    <w:rsid w:val="00E67139"/>
    <w:rsid w:val="00E67B30"/>
    <w:rsid w:val="00E7051B"/>
    <w:rsid w:val="00E710F7"/>
    <w:rsid w:val="00E712B7"/>
    <w:rsid w:val="00E71B57"/>
    <w:rsid w:val="00E728A3"/>
    <w:rsid w:val="00E74826"/>
    <w:rsid w:val="00E74A23"/>
    <w:rsid w:val="00E74E79"/>
    <w:rsid w:val="00E74FA7"/>
    <w:rsid w:val="00E75405"/>
    <w:rsid w:val="00E760BE"/>
    <w:rsid w:val="00E76BD1"/>
    <w:rsid w:val="00E76E64"/>
    <w:rsid w:val="00E77439"/>
    <w:rsid w:val="00E77A15"/>
    <w:rsid w:val="00E77EB8"/>
    <w:rsid w:val="00E77FCE"/>
    <w:rsid w:val="00E805C3"/>
    <w:rsid w:val="00E80BD8"/>
    <w:rsid w:val="00E80E2C"/>
    <w:rsid w:val="00E811BA"/>
    <w:rsid w:val="00E8147C"/>
    <w:rsid w:val="00E8149D"/>
    <w:rsid w:val="00E81D17"/>
    <w:rsid w:val="00E824ED"/>
    <w:rsid w:val="00E826D0"/>
    <w:rsid w:val="00E82E3E"/>
    <w:rsid w:val="00E82FB5"/>
    <w:rsid w:val="00E8335E"/>
    <w:rsid w:val="00E8416E"/>
    <w:rsid w:val="00E84309"/>
    <w:rsid w:val="00E8453D"/>
    <w:rsid w:val="00E84905"/>
    <w:rsid w:val="00E853D7"/>
    <w:rsid w:val="00E855DA"/>
    <w:rsid w:val="00E855DF"/>
    <w:rsid w:val="00E8572E"/>
    <w:rsid w:val="00E86138"/>
    <w:rsid w:val="00E86374"/>
    <w:rsid w:val="00E866F7"/>
    <w:rsid w:val="00E86A7D"/>
    <w:rsid w:val="00E87BA9"/>
    <w:rsid w:val="00E902C6"/>
    <w:rsid w:val="00E90F23"/>
    <w:rsid w:val="00E92ECA"/>
    <w:rsid w:val="00E92F19"/>
    <w:rsid w:val="00E932A0"/>
    <w:rsid w:val="00E936D6"/>
    <w:rsid w:val="00E94B16"/>
    <w:rsid w:val="00E94C13"/>
    <w:rsid w:val="00E95D7C"/>
    <w:rsid w:val="00E961AC"/>
    <w:rsid w:val="00E9755B"/>
    <w:rsid w:val="00E97839"/>
    <w:rsid w:val="00E9796C"/>
    <w:rsid w:val="00E979FC"/>
    <w:rsid w:val="00E97F34"/>
    <w:rsid w:val="00EA0163"/>
    <w:rsid w:val="00EA1F9E"/>
    <w:rsid w:val="00EA2738"/>
    <w:rsid w:val="00EA2C74"/>
    <w:rsid w:val="00EA2FA2"/>
    <w:rsid w:val="00EA37EA"/>
    <w:rsid w:val="00EA4912"/>
    <w:rsid w:val="00EA5503"/>
    <w:rsid w:val="00EA6449"/>
    <w:rsid w:val="00EA652B"/>
    <w:rsid w:val="00EA6F80"/>
    <w:rsid w:val="00EA745D"/>
    <w:rsid w:val="00EA7F6D"/>
    <w:rsid w:val="00EB0710"/>
    <w:rsid w:val="00EB08CD"/>
    <w:rsid w:val="00EB12B4"/>
    <w:rsid w:val="00EB217C"/>
    <w:rsid w:val="00EB2D4C"/>
    <w:rsid w:val="00EB3A4E"/>
    <w:rsid w:val="00EB3CAB"/>
    <w:rsid w:val="00EB3E3B"/>
    <w:rsid w:val="00EB40C8"/>
    <w:rsid w:val="00EB43AE"/>
    <w:rsid w:val="00EB4BDC"/>
    <w:rsid w:val="00EB5444"/>
    <w:rsid w:val="00EB5573"/>
    <w:rsid w:val="00EB5E40"/>
    <w:rsid w:val="00EB63E5"/>
    <w:rsid w:val="00EB6B38"/>
    <w:rsid w:val="00EB6B7A"/>
    <w:rsid w:val="00EB708D"/>
    <w:rsid w:val="00EB7B17"/>
    <w:rsid w:val="00EB7E19"/>
    <w:rsid w:val="00EB7E2D"/>
    <w:rsid w:val="00EC0103"/>
    <w:rsid w:val="00EC15ED"/>
    <w:rsid w:val="00EC1777"/>
    <w:rsid w:val="00EC1956"/>
    <w:rsid w:val="00EC1AAE"/>
    <w:rsid w:val="00EC1F4E"/>
    <w:rsid w:val="00EC1FE6"/>
    <w:rsid w:val="00EC21C7"/>
    <w:rsid w:val="00EC220C"/>
    <w:rsid w:val="00EC29F5"/>
    <w:rsid w:val="00EC388D"/>
    <w:rsid w:val="00EC4ECC"/>
    <w:rsid w:val="00EC5321"/>
    <w:rsid w:val="00EC57D0"/>
    <w:rsid w:val="00EC61A1"/>
    <w:rsid w:val="00EC6989"/>
    <w:rsid w:val="00EC6D50"/>
    <w:rsid w:val="00EC70E3"/>
    <w:rsid w:val="00EC7935"/>
    <w:rsid w:val="00EC7AA1"/>
    <w:rsid w:val="00EC7B4B"/>
    <w:rsid w:val="00ED0364"/>
    <w:rsid w:val="00ED18A4"/>
    <w:rsid w:val="00ED1B57"/>
    <w:rsid w:val="00ED228D"/>
    <w:rsid w:val="00ED2618"/>
    <w:rsid w:val="00ED320C"/>
    <w:rsid w:val="00ED32D9"/>
    <w:rsid w:val="00ED3C41"/>
    <w:rsid w:val="00ED4382"/>
    <w:rsid w:val="00ED47A3"/>
    <w:rsid w:val="00ED4963"/>
    <w:rsid w:val="00ED5B13"/>
    <w:rsid w:val="00ED65F0"/>
    <w:rsid w:val="00ED7597"/>
    <w:rsid w:val="00ED789A"/>
    <w:rsid w:val="00EE0A8E"/>
    <w:rsid w:val="00EE0F8F"/>
    <w:rsid w:val="00EE1821"/>
    <w:rsid w:val="00EE1D28"/>
    <w:rsid w:val="00EE1F75"/>
    <w:rsid w:val="00EE2B12"/>
    <w:rsid w:val="00EE2E1D"/>
    <w:rsid w:val="00EE3689"/>
    <w:rsid w:val="00EE3946"/>
    <w:rsid w:val="00EE3D24"/>
    <w:rsid w:val="00EE3F85"/>
    <w:rsid w:val="00EE423D"/>
    <w:rsid w:val="00EE4820"/>
    <w:rsid w:val="00EE4988"/>
    <w:rsid w:val="00EE4B35"/>
    <w:rsid w:val="00EE4E71"/>
    <w:rsid w:val="00EE6041"/>
    <w:rsid w:val="00EE6176"/>
    <w:rsid w:val="00EE662A"/>
    <w:rsid w:val="00EE67DB"/>
    <w:rsid w:val="00EE6B0E"/>
    <w:rsid w:val="00EE7809"/>
    <w:rsid w:val="00EF00E7"/>
    <w:rsid w:val="00EF0245"/>
    <w:rsid w:val="00EF0893"/>
    <w:rsid w:val="00EF1296"/>
    <w:rsid w:val="00EF1F7B"/>
    <w:rsid w:val="00EF237D"/>
    <w:rsid w:val="00EF27C8"/>
    <w:rsid w:val="00EF2A7B"/>
    <w:rsid w:val="00EF2CBA"/>
    <w:rsid w:val="00EF3119"/>
    <w:rsid w:val="00EF3AC9"/>
    <w:rsid w:val="00EF3F3B"/>
    <w:rsid w:val="00EF44D9"/>
    <w:rsid w:val="00EF4E99"/>
    <w:rsid w:val="00EF6C29"/>
    <w:rsid w:val="00EF6E8C"/>
    <w:rsid w:val="00F00A24"/>
    <w:rsid w:val="00F00CD4"/>
    <w:rsid w:val="00F010A7"/>
    <w:rsid w:val="00F02043"/>
    <w:rsid w:val="00F022A7"/>
    <w:rsid w:val="00F02A3F"/>
    <w:rsid w:val="00F02F8D"/>
    <w:rsid w:val="00F03319"/>
    <w:rsid w:val="00F03646"/>
    <w:rsid w:val="00F03AC5"/>
    <w:rsid w:val="00F03D67"/>
    <w:rsid w:val="00F03EC7"/>
    <w:rsid w:val="00F04AF5"/>
    <w:rsid w:val="00F04BE2"/>
    <w:rsid w:val="00F052B0"/>
    <w:rsid w:val="00F05DA3"/>
    <w:rsid w:val="00F05DC9"/>
    <w:rsid w:val="00F05E42"/>
    <w:rsid w:val="00F05EB6"/>
    <w:rsid w:val="00F070E0"/>
    <w:rsid w:val="00F078AE"/>
    <w:rsid w:val="00F07C3B"/>
    <w:rsid w:val="00F07CEF"/>
    <w:rsid w:val="00F10954"/>
    <w:rsid w:val="00F11D5F"/>
    <w:rsid w:val="00F127C1"/>
    <w:rsid w:val="00F130EA"/>
    <w:rsid w:val="00F1336E"/>
    <w:rsid w:val="00F13494"/>
    <w:rsid w:val="00F14269"/>
    <w:rsid w:val="00F14671"/>
    <w:rsid w:val="00F14BF5"/>
    <w:rsid w:val="00F14F1D"/>
    <w:rsid w:val="00F155AB"/>
    <w:rsid w:val="00F16215"/>
    <w:rsid w:val="00F168BE"/>
    <w:rsid w:val="00F16DF3"/>
    <w:rsid w:val="00F20202"/>
    <w:rsid w:val="00F20700"/>
    <w:rsid w:val="00F20F87"/>
    <w:rsid w:val="00F2155C"/>
    <w:rsid w:val="00F21873"/>
    <w:rsid w:val="00F21B5E"/>
    <w:rsid w:val="00F22BB6"/>
    <w:rsid w:val="00F2321D"/>
    <w:rsid w:val="00F2353A"/>
    <w:rsid w:val="00F2356B"/>
    <w:rsid w:val="00F23C63"/>
    <w:rsid w:val="00F241C6"/>
    <w:rsid w:val="00F242E3"/>
    <w:rsid w:val="00F245CC"/>
    <w:rsid w:val="00F255B6"/>
    <w:rsid w:val="00F27247"/>
    <w:rsid w:val="00F27EE7"/>
    <w:rsid w:val="00F30BBC"/>
    <w:rsid w:val="00F30F23"/>
    <w:rsid w:val="00F31647"/>
    <w:rsid w:val="00F31AE4"/>
    <w:rsid w:val="00F32526"/>
    <w:rsid w:val="00F3290A"/>
    <w:rsid w:val="00F32FE2"/>
    <w:rsid w:val="00F333D1"/>
    <w:rsid w:val="00F334CB"/>
    <w:rsid w:val="00F336D9"/>
    <w:rsid w:val="00F33A37"/>
    <w:rsid w:val="00F33DAC"/>
    <w:rsid w:val="00F34278"/>
    <w:rsid w:val="00F342BB"/>
    <w:rsid w:val="00F3489B"/>
    <w:rsid w:val="00F34D48"/>
    <w:rsid w:val="00F35F20"/>
    <w:rsid w:val="00F36226"/>
    <w:rsid w:val="00F36493"/>
    <w:rsid w:val="00F36B60"/>
    <w:rsid w:val="00F36F30"/>
    <w:rsid w:val="00F37094"/>
    <w:rsid w:val="00F37476"/>
    <w:rsid w:val="00F37A25"/>
    <w:rsid w:val="00F400FB"/>
    <w:rsid w:val="00F40497"/>
    <w:rsid w:val="00F409FC"/>
    <w:rsid w:val="00F40F1C"/>
    <w:rsid w:val="00F414F8"/>
    <w:rsid w:val="00F41934"/>
    <w:rsid w:val="00F41EE5"/>
    <w:rsid w:val="00F41FFF"/>
    <w:rsid w:val="00F42A35"/>
    <w:rsid w:val="00F42C38"/>
    <w:rsid w:val="00F42F93"/>
    <w:rsid w:val="00F44408"/>
    <w:rsid w:val="00F457FC"/>
    <w:rsid w:val="00F45D3F"/>
    <w:rsid w:val="00F460D5"/>
    <w:rsid w:val="00F46525"/>
    <w:rsid w:val="00F46971"/>
    <w:rsid w:val="00F46B64"/>
    <w:rsid w:val="00F46E2A"/>
    <w:rsid w:val="00F471BF"/>
    <w:rsid w:val="00F47218"/>
    <w:rsid w:val="00F5035C"/>
    <w:rsid w:val="00F504A4"/>
    <w:rsid w:val="00F50516"/>
    <w:rsid w:val="00F51021"/>
    <w:rsid w:val="00F514E3"/>
    <w:rsid w:val="00F519DC"/>
    <w:rsid w:val="00F5264E"/>
    <w:rsid w:val="00F5290E"/>
    <w:rsid w:val="00F529DB"/>
    <w:rsid w:val="00F539A0"/>
    <w:rsid w:val="00F53F57"/>
    <w:rsid w:val="00F5518A"/>
    <w:rsid w:val="00F55633"/>
    <w:rsid w:val="00F55B72"/>
    <w:rsid w:val="00F569B2"/>
    <w:rsid w:val="00F572E0"/>
    <w:rsid w:val="00F57BC9"/>
    <w:rsid w:val="00F605B6"/>
    <w:rsid w:val="00F60902"/>
    <w:rsid w:val="00F60F4C"/>
    <w:rsid w:val="00F61597"/>
    <w:rsid w:val="00F61B6C"/>
    <w:rsid w:val="00F62C4A"/>
    <w:rsid w:val="00F62E1D"/>
    <w:rsid w:val="00F6362B"/>
    <w:rsid w:val="00F6433E"/>
    <w:rsid w:val="00F6479F"/>
    <w:rsid w:val="00F647A5"/>
    <w:rsid w:val="00F65002"/>
    <w:rsid w:val="00F65029"/>
    <w:rsid w:val="00F6512D"/>
    <w:rsid w:val="00F6536C"/>
    <w:rsid w:val="00F669B8"/>
    <w:rsid w:val="00F66B61"/>
    <w:rsid w:val="00F67E79"/>
    <w:rsid w:val="00F67EE1"/>
    <w:rsid w:val="00F70511"/>
    <w:rsid w:val="00F713DC"/>
    <w:rsid w:val="00F724CD"/>
    <w:rsid w:val="00F72CF9"/>
    <w:rsid w:val="00F7351E"/>
    <w:rsid w:val="00F73716"/>
    <w:rsid w:val="00F7379F"/>
    <w:rsid w:val="00F74329"/>
    <w:rsid w:val="00F76678"/>
    <w:rsid w:val="00F76BBB"/>
    <w:rsid w:val="00F76DE6"/>
    <w:rsid w:val="00F77346"/>
    <w:rsid w:val="00F80681"/>
    <w:rsid w:val="00F80B9D"/>
    <w:rsid w:val="00F80D28"/>
    <w:rsid w:val="00F80E95"/>
    <w:rsid w:val="00F81673"/>
    <w:rsid w:val="00F816B4"/>
    <w:rsid w:val="00F820C3"/>
    <w:rsid w:val="00F82163"/>
    <w:rsid w:val="00F824B8"/>
    <w:rsid w:val="00F83003"/>
    <w:rsid w:val="00F8331A"/>
    <w:rsid w:val="00F83668"/>
    <w:rsid w:val="00F83C00"/>
    <w:rsid w:val="00F840F5"/>
    <w:rsid w:val="00F84454"/>
    <w:rsid w:val="00F84744"/>
    <w:rsid w:val="00F848D9"/>
    <w:rsid w:val="00F850AB"/>
    <w:rsid w:val="00F85B42"/>
    <w:rsid w:val="00F85CC9"/>
    <w:rsid w:val="00F86004"/>
    <w:rsid w:val="00F86544"/>
    <w:rsid w:val="00F872E6"/>
    <w:rsid w:val="00F87A78"/>
    <w:rsid w:val="00F87FE9"/>
    <w:rsid w:val="00F9020D"/>
    <w:rsid w:val="00F90551"/>
    <w:rsid w:val="00F90759"/>
    <w:rsid w:val="00F90BB2"/>
    <w:rsid w:val="00F90BB8"/>
    <w:rsid w:val="00F90F40"/>
    <w:rsid w:val="00F90F72"/>
    <w:rsid w:val="00F91458"/>
    <w:rsid w:val="00F91B63"/>
    <w:rsid w:val="00F920E0"/>
    <w:rsid w:val="00F92F15"/>
    <w:rsid w:val="00F93D5D"/>
    <w:rsid w:val="00F94A53"/>
    <w:rsid w:val="00F94C3D"/>
    <w:rsid w:val="00F94DF4"/>
    <w:rsid w:val="00F94F92"/>
    <w:rsid w:val="00F950FD"/>
    <w:rsid w:val="00F95C95"/>
    <w:rsid w:val="00F95EB2"/>
    <w:rsid w:val="00F9643B"/>
    <w:rsid w:val="00F974E1"/>
    <w:rsid w:val="00F97AD9"/>
    <w:rsid w:val="00F97BA8"/>
    <w:rsid w:val="00F97E2E"/>
    <w:rsid w:val="00F97EE9"/>
    <w:rsid w:val="00FA1829"/>
    <w:rsid w:val="00FA1867"/>
    <w:rsid w:val="00FA19CE"/>
    <w:rsid w:val="00FA1BBA"/>
    <w:rsid w:val="00FA3610"/>
    <w:rsid w:val="00FA560B"/>
    <w:rsid w:val="00FA5C66"/>
    <w:rsid w:val="00FA6465"/>
    <w:rsid w:val="00FA6527"/>
    <w:rsid w:val="00FA6AD2"/>
    <w:rsid w:val="00FA6DAA"/>
    <w:rsid w:val="00FA6EB0"/>
    <w:rsid w:val="00FA7488"/>
    <w:rsid w:val="00FB0FA3"/>
    <w:rsid w:val="00FB14D6"/>
    <w:rsid w:val="00FB164E"/>
    <w:rsid w:val="00FB1746"/>
    <w:rsid w:val="00FB1B42"/>
    <w:rsid w:val="00FB2845"/>
    <w:rsid w:val="00FB2AA0"/>
    <w:rsid w:val="00FB2CEB"/>
    <w:rsid w:val="00FB3D6F"/>
    <w:rsid w:val="00FB4461"/>
    <w:rsid w:val="00FB47D9"/>
    <w:rsid w:val="00FB4C0C"/>
    <w:rsid w:val="00FB4EEC"/>
    <w:rsid w:val="00FB555C"/>
    <w:rsid w:val="00FB57A4"/>
    <w:rsid w:val="00FB5AB1"/>
    <w:rsid w:val="00FB633A"/>
    <w:rsid w:val="00FB6B75"/>
    <w:rsid w:val="00FB6E58"/>
    <w:rsid w:val="00FB70A3"/>
    <w:rsid w:val="00FB7908"/>
    <w:rsid w:val="00FB7A6F"/>
    <w:rsid w:val="00FC0669"/>
    <w:rsid w:val="00FC1E69"/>
    <w:rsid w:val="00FC1ECB"/>
    <w:rsid w:val="00FC281F"/>
    <w:rsid w:val="00FC2AC5"/>
    <w:rsid w:val="00FC33D3"/>
    <w:rsid w:val="00FC355E"/>
    <w:rsid w:val="00FC3619"/>
    <w:rsid w:val="00FC3821"/>
    <w:rsid w:val="00FC42BB"/>
    <w:rsid w:val="00FC4CA6"/>
    <w:rsid w:val="00FC4F44"/>
    <w:rsid w:val="00FC589B"/>
    <w:rsid w:val="00FC58D5"/>
    <w:rsid w:val="00FC5A60"/>
    <w:rsid w:val="00FC5CE1"/>
    <w:rsid w:val="00FC5F12"/>
    <w:rsid w:val="00FC6206"/>
    <w:rsid w:val="00FC6430"/>
    <w:rsid w:val="00FC686E"/>
    <w:rsid w:val="00FC7332"/>
    <w:rsid w:val="00FC7565"/>
    <w:rsid w:val="00FC786B"/>
    <w:rsid w:val="00FC7C85"/>
    <w:rsid w:val="00FD06D6"/>
    <w:rsid w:val="00FD0AF5"/>
    <w:rsid w:val="00FD0B45"/>
    <w:rsid w:val="00FD0F31"/>
    <w:rsid w:val="00FD2D02"/>
    <w:rsid w:val="00FD2FFA"/>
    <w:rsid w:val="00FD336F"/>
    <w:rsid w:val="00FD3939"/>
    <w:rsid w:val="00FD3B0E"/>
    <w:rsid w:val="00FD4600"/>
    <w:rsid w:val="00FD55A4"/>
    <w:rsid w:val="00FD5DA4"/>
    <w:rsid w:val="00FD6C21"/>
    <w:rsid w:val="00FD7626"/>
    <w:rsid w:val="00FD7F6D"/>
    <w:rsid w:val="00FE0384"/>
    <w:rsid w:val="00FE0FFC"/>
    <w:rsid w:val="00FE14E5"/>
    <w:rsid w:val="00FE444F"/>
    <w:rsid w:val="00FE45C8"/>
    <w:rsid w:val="00FE4631"/>
    <w:rsid w:val="00FE4A1A"/>
    <w:rsid w:val="00FE4D20"/>
    <w:rsid w:val="00FE5B49"/>
    <w:rsid w:val="00FE5D51"/>
    <w:rsid w:val="00FE6196"/>
    <w:rsid w:val="00FE6430"/>
    <w:rsid w:val="00FE691A"/>
    <w:rsid w:val="00FF0C0A"/>
    <w:rsid w:val="00FF1826"/>
    <w:rsid w:val="00FF18D0"/>
    <w:rsid w:val="00FF1B2D"/>
    <w:rsid w:val="00FF2194"/>
    <w:rsid w:val="00FF253F"/>
    <w:rsid w:val="00FF2F28"/>
    <w:rsid w:val="00FF3273"/>
    <w:rsid w:val="00FF388C"/>
    <w:rsid w:val="00FF3B18"/>
    <w:rsid w:val="00FF3DF5"/>
    <w:rsid w:val="00FF47A0"/>
    <w:rsid w:val="00FF579F"/>
    <w:rsid w:val="00FF609B"/>
    <w:rsid w:val="00FF6926"/>
    <w:rsid w:val="00FF70FC"/>
    <w:rsid w:val="00FF72C1"/>
    <w:rsid w:val="00FF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EE"/>
    <w:pPr>
      <w:autoSpaceDE w:val="0"/>
      <w:autoSpaceDN w:val="0"/>
      <w:adjustRightInd w:val="0"/>
      <w:spacing w:before="120" w:after="120"/>
    </w:pPr>
    <w:rPr>
      <w:rFonts w:ascii="Arial" w:hAnsi="Arial" w:cs="Arial"/>
      <w:sz w:val="20"/>
      <w:szCs w:val="20"/>
    </w:rPr>
  </w:style>
  <w:style w:type="paragraph" w:styleId="Heading1">
    <w:name w:val="heading 1"/>
    <w:basedOn w:val="Normal"/>
    <w:next w:val="Normal"/>
    <w:link w:val="Heading1Char"/>
    <w:uiPriority w:val="1"/>
    <w:qFormat/>
    <w:rsid w:val="00BD446F"/>
    <w:pPr>
      <w:pageBreakBefore/>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357" w:hanging="357"/>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D446F"/>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0" w:after="240"/>
      <w:ind w:left="431" w:hanging="431"/>
      <w:outlineLvl w:val="1"/>
    </w:pPr>
    <w:rPr>
      <w:caps/>
      <w:spacing w:val="15"/>
      <w:sz w:val="22"/>
      <w:szCs w:val="22"/>
    </w:rPr>
  </w:style>
  <w:style w:type="paragraph" w:styleId="Heading3">
    <w:name w:val="heading 3"/>
    <w:basedOn w:val="Normal"/>
    <w:next w:val="Normal"/>
    <w:link w:val="Heading3Char"/>
    <w:uiPriority w:val="9"/>
    <w:unhideWhenUsed/>
    <w:qFormat/>
    <w:rsid w:val="00104048"/>
    <w:pPr>
      <w:numPr>
        <w:ilvl w:val="2"/>
        <w:numId w:val="1"/>
      </w:numPr>
      <w:pBdr>
        <w:top w:val="single" w:sz="6" w:space="2" w:color="4F81BD" w:themeColor="accent1"/>
        <w:left w:val="single" w:sz="6" w:space="2" w:color="4F81BD" w:themeColor="accent1"/>
      </w:pBdr>
      <w:spacing w:before="360" w:after="300"/>
      <w:outlineLvl w:val="2"/>
    </w:pPr>
    <w:rPr>
      <w:i/>
      <w:color w:val="243F60" w:themeColor="accent1" w:themeShade="7F"/>
      <w:spacing w:val="15"/>
      <w:sz w:val="18"/>
      <w:szCs w:val="18"/>
      <w:lang w:val="en-GB" w:bidi="ar-SA"/>
    </w:rPr>
  </w:style>
  <w:style w:type="paragraph" w:styleId="Heading4">
    <w:name w:val="heading 4"/>
    <w:basedOn w:val="Normal"/>
    <w:next w:val="Normal"/>
    <w:link w:val="Heading4Char"/>
    <w:uiPriority w:val="9"/>
    <w:unhideWhenUsed/>
    <w:qFormat/>
    <w:rsid w:val="00203710"/>
    <w:pPr>
      <w:spacing w:before="300"/>
      <w:outlineLvl w:val="3"/>
    </w:pPr>
    <w:rPr>
      <w:i/>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B1986"/>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B1986"/>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B1986"/>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B198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CB198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446F"/>
    <w:rPr>
      <w:rFonts w:ascii="Arial" w:hAnsi="Arial" w:cs="Arial"/>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D446F"/>
    <w:rPr>
      <w:rFonts w:ascii="Arial"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rsid w:val="00104048"/>
    <w:rPr>
      <w:rFonts w:ascii="Arial" w:hAnsi="Arial" w:cs="Arial"/>
      <w:i/>
      <w:color w:val="243F60" w:themeColor="accent1" w:themeShade="7F"/>
      <w:spacing w:val="15"/>
      <w:sz w:val="18"/>
      <w:szCs w:val="18"/>
      <w:lang w:val="en-GB" w:bidi="ar-SA"/>
    </w:rPr>
  </w:style>
  <w:style w:type="character" w:customStyle="1" w:styleId="Heading4Char">
    <w:name w:val="Heading 4 Char"/>
    <w:basedOn w:val="DefaultParagraphFont"/>
    <w:link w:val="Heading4"/>
    <w:uiPriority w:val="9"/>
    <w:rsid w:val="00203710"/>
    <w:rPr>
      <w:rFonts w:ascii="Arial" w:hAnsi="Arial" w:cs="Arial"/>
      <w:i/>
      <w:color w:val="365F91" w:themeColor="accent1" w:themeShade="BF"/>
      <w:spacing w:val="10"/>
    </w:rPr>
  </w:style>
  <w:style w:type="character" w:customStyle="1" w:styleId="Heading5Char">
    <w:name w:val="Heading 5 Char"/>
    <w:basedOn w:val="DefaultParagraphFont"/>
    <w:link w:val="Heading5"/>
    <w:uiPriority w:val="9"/>
    <w:semiHidden/>
    <w:rsid w:val="00CB1986"/>
    <w:rPr>
      <w:caps/>
      <w:color w:val="365F91" w:themeColor="accent1" w:themeShade="BF"/>
      <w:spacing w:val="10"/>
    </w:rPr>
  </w:style>
  <w:style w:type="character" w:customStyle="1" w:styleId="Heading6Char">
    <w:name w:val="Heading 6 Char"/>
    <w:basedOn w:val="DefaultParagraphFont"/>
    <w:link w:val="Heading6"/>
    <w:uiPriority w:val="9"/>
    <w:semiHidden/>
    <w:rsid w:val="00CB1986"/>
    <w:rPr>
      <w:caps/>
      <w:color w:val="365F91" w:themeColor="accent1" w:themeShade="BF"/>
      <w:spacing w:val="10"/>
    </w:rPr>
  </w:style>
  <w:style w:type="character" w:customStyle="1" w:styleId="Heading7Char">
    <w:name w:val="Heading 7 Char"/>
    <w:basedOn w:val="DefaultParagraphFont"/>
    <w:link w:val="Heading7"/>
    <w:uiPriority w:val="9"/>
    <w:semiHidden/>
    <w:rsid w:val="00CB1986"/>
    <w:rPr>
      <w:caps/>
      <w:color w:val="365F91" w:themeColor="accent1" w:themeShade="BF"/>
      <w:spacing w:val="10"/>
    </w:rPr>
  </w:style>
  <w:style w:type="character" w:customStyle="1" w:styleId="Heading8Char">
    <w:name w:val="Heading 8 Char"/>
    <w:basedOn w:val="DefaultParagraphFont"/>
    <w:link w:val="Heading8"/>
    <w:uiPriority w:val="9"/>
    <w:semiHidden/>
    <w:rsid w:val="00CB1986"/>
    <w:rPr>
      <w:caps/>
      <w:spacing w:val="10"/>
      <w:sz w:val="18"/>
      <w:szCs w:val="18"/>
    </w:rPr>
  </w:style>
  <w:style w:type="character" w:customStyle="1" w:styleId="Heading9Char">
    <w:name w:val="Heading 9 Char"/>
    <w:basedOn w:val="DefaultParagraphFont"/>
    <w:link w:val="Heading9"/>
    <w:uiPriority w:val="9"/>
    <w:semiHidden/>
    <w:rsid w:val="00CB1986"/>
    <w:rPr>
      <w:i/>
      <w:caps/>
      <w:spacing w:val="10"/>
      <w:sz w:val="18"/>
      <w:szCs w:val="18"/>
    </w:rPr>
  </w:style>
  <w:style w:type="paragraph" w:styleId="Caption">
    <w:name w:val="caption"/>
    <w:basedOn w:val="Normal"/>
    <w:next w:val="Normal"/>
    <w:uiPriority w:val="35"/>
    <w:unhideWhenUsed/>
    <w:qFormat/>
    <w:rsid w:val="003E578E"/>
    <w:rPr>
      <w:b/>
      <w:bCs/>
      <w:szCs w:val="16"/>
    </w:rPr>
  </w:style>
  <w:style w:type="paragraph" w:styleId="Title">
    <w:name w:val="Title"/>
    <w:basedOn w:val="Normal"/>
    <w:next w:val="Normal"/>
    <w:link w:val="TitleChar"/>
    <w:uiPriority w:val="10"/>
    <w:qFormat/>
    <w:rsid w:val="00CB198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B1986"/>
    <w:rPr>
      <w:caps/>
      <w:color w:val="4F81BD" w:themeColor="accent1"/>
      <w:spacing w:val="10"/>
      <w:kern w:val="28"/>
      <w:sz w:val="52"/>
      <w:szCs w:val="52"/>
    </w:rPr>
  </w:style>
  <w:style w:type="paragraph" w:styleId="Subtitle">
    <w:name w:val="Subtitle"/>
    <w:basedOn w:val="Normal"/>
    <w:next w:val="Normal"/>
    <w:link w:val="SubtitleChar"/>
    <w:uiPriority w:val="11"/>
    <w:qFormat/>
    <w:rsid w:val="00CB198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B1986"/>
    <w:rPr>
      <w:caps/>
      <w:color w:val="595959" w:themeColor="text1" w:themeTint="A6"/>
      <w:spacing w:val="10"/>
      <w:sz w:val="24"/>
      <w:szCs w:val="24"/>
    </w:rPr>
  </w:style>
  <w:style w:type="character" w:styleId="Strong">
    <w:name w:val="Strong"/>
    <w:uiPriority w:val="22"/>
    <w:qFormat/>
    <w:rsid w:val="00CB1986"/>
    <w:rPr>
      <w:b/>
      <w:bCs/>
    </w:rPr>
  </w:style>
  <w:style w:type="character" w:styleId="Emphasis">
    <w:name w:val="Emphasis"/>
    <w:uiPriority w:val="20"/>
    <w:qFormat/>
    <w:rsid w:val="00CB1986"/>
    <w:rPr>
      <w:caps/>
      <w:color w:val="243F60" w:themeColor="accent1" w:themeShade="7F"/>
      <w:spacing w:val="5"/>
    </w:rPr>
  </w:style>
  <w:style w:type="paragraph" w:styleId="NoSpacing">
    <w:name w:val="No Spacing"/>
    <w:basedOn w:val="Normal"/>
    <w:link w:val="NoSpacingChar"/>
    <w:uiPriority w:val="1"/>
    <w:qFormat/>
    <w:rsid w:val="00CB1986"/>
    <w:pPr>
      <w:spacing w:before="0" w:line="240" w:lineRule="auto"/>
    </w:pPr>
  </w:style>
  <w:style w:type="character" w:customStyle="1" w:styleId="NoSpacingChar">
    <w:name w:val="No Spacing Char"/>
    <w:basedOn w:val="DefaultParagraphFont"/>
    <w:link w:val="NoSpacing"/>
    <w:uiPriority w:val="1"/>
    <w:rsid w:val="00CB1986"/>
    <w:rPr>
      <w:sz w:val="20"/>
      <w:szCs w:val="20"/>
    </w:rPr>
  </w:style>
  <w:style w:type="paragraph" w:styleId="ListParagraph">
    <w:name w:val="List Paragraph"/>
    <w:aliases w:val="List Paragraph1"/>
    <w:basedOn w:val="Normal"/>
    <w:link w:val="ListParagraphChar"/>
    <w:uiPriority w:val="1"/>
    <w:qFormat/>
    <w:rsid w:val="00CB1986"/>
    <w:pPr>
      <w:contextualSpacing/>
    </w:pPr>
  </w:style>
  <w:style w:type="paragraph" w:styleId="Quote">
    <w:name w:val="Quote"/>
    <w:basedOn w:val="Normal"/>
    <w:next w:val="Normal"/>
    <w:link w:val="QuoteChar"/>
    <w:uiPriority w:val="29"/>
    <w:qFormat/>
    <w:rsid w:val="00CB1986"/>
    <w:rPr>
      <w:i/>
      <w:iCs/>
    </w:rPr>
  </w:style>
  <w:style w:type="character" w:customStyle="1" w:styleId="QuoteChar">
    <w:name w:val="Quote Char"/>
    <w:basedOn w:val="DefaultParagraphFont"/>
    <w:link w:val="Quote"/>
    <w:uiPriority w:val="29"/>
    <w:rsid w:val="00CB1986"/>
    <w:rPr>
      <w:i/>
      <w:iCs/>
      <w:sz w:val="20"/>
      <w:szCs w:val="20"/>
    </w:rPr>
  </w:style>
  <w:style w:type="paragraph" w:styleId="IntenseQuote">
    <w:name w:val="Intense Quote"/>
    <w:basedOn w:val="Normal"/>
    <w:next w:val="Normal"/>
    <w:link w:val="IntenseQuoteChar"/>
    <w:uiPriority w:val="30"/>
    <w:qFormat/>
    <w:rsid w:val="00CB198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B1986"/>
    <w:rPr>
      <w:i/>
      <w:iCs/>
      <w:color w:val="4F81BD" w:themeColor="accent1"/>
      <w:sz w:val="20"/>
      <w:szCs w:val="20"/>
    </w:rPr>
  </w:style>
  <w:style w:type="character" w:styleId="SubtleEmphasis">
    <w:name w:val="Subtle Emphasis"/>
    <w:uiPriority w:val="19"/>
    <w:qFormat/>
    <w:rsid w:val="00CB1986"/>
    <w:rPr>
      <w:i/>
      <w:iCs/>
      <w:color w:val="243F60" w:themeColor="accent1" w:themeShade="7F"/>
    </w:rPr>
  </w:style>
  <w:style w:type="character" w:styleId="IntenseEmphasis">
    <w:name w:val="Intense Emphasis"/>
    <w:uiPriority w:val="21"/>
    <w:qFormat/>
    <w:rsid w:val="00CB1986"/>
    <w:rPr>
      <w:b/>
      <w:bCs/>
      <w:caps/>
      <w:color w:val="243F60" w:themeColor="accent1" w:themeShade="7F"/>
      <w:spacing w:val="10"/>
    </w:rPr>
  </w:style>
  <w:style w:type="character" w:styleId="SubtleReference">
    <w:name w:val="Subtle Reference"/>
    <w:uiPriority w:val="31"/>
    <w:qFormat/>
    <w:rsid w:val="00CB1986"/>
    <w:rPr>
      <w:b/>
      <w:bCs/>
      <w:color w:val="4F81BD" w:themeColor="accent1"/>
    </w:rPr>
  </w:style>
  <w:style w:type="character" w:styleId="IntenseReference">
    <w:name w:val="Intense Reference"/>
    <w:uiPriority w:val="32"/>
    <w:qFormat/>
    <w:rsid w:val="00CB1986"/>
    <w:rPr>
      <w:b/>
      <w:bCs/>
      <w:i/>
      <w:iCs/>
      <w:caps/>
      <w:color w:val="4F81BD" w:themeColor="accent1"/>
    </w:rPr>
  </w:style>
  <w:style w:type="character" w:styleId="BookTitle">
    <w:name w:val="Book Title"/>
    <w:uiPriority w:val="33"/>
    <w:qFormat/>
    <w:rsid w:val="00CB1986"/>
    <w:rPr>
      <w:b/>
      <w:bCs/>
      <w:i/>
      <w:iCs/>
      <w:spacing w:val="9"/>
    </w:rPr>
  </w:style>
  <w:style w:type="paragraph" w:styleId="TOCHeading">
    <w:name w:val="TOC Heading"/>
    <w:basedOn w:val="Heading1"/>
    <w:next w:val="Normal"/>
    <w:uiPriority w:val="39"/>
    <w:semiHidden/>
    <w:unhideWhenUsed/>
    <w:qFormat/>
    <w:rsid w:val="00CB1986"/>
    <w:pPr>
      <w:outlineLvl w:val="9"/>
    </w:pPr>
  </w:style>
  <w:style w:type="paragraph" w:styleId="FootnoteText">
    <w:name w:val="footnote text"/>
    <w:basedOn w:val="Normal"/>
    <w:link w:val="FootnoteTextChar"/>
    <w:uiPriority w:val="99"/>
    <w:semiHidden/>
    <w:unhideWhenUsed/>
    <w:rsid w:val="00D82AE5"/>
    <w:pPr>
      <w:spacing w:before="0" w:line="240" w:lineRule="auto"/>
    </w:pPr>
  </w:style>
  <w:style w:type="character" w:customStyle="1" w:styleId="FootnoteTextChar">
    <w:name w:val="Footnote Text Char"/>
    <w:basedOn w:val="DefaultParagraphFont"/>
    <w:link w:val="FootnoteText"/>
    <w:uiPriority w:val="99"/>
    <w:semiHidden/>
    <w:rsid w:val="00D82AE5"/>
    <w:rPr>
      <w:rFonts w:ascii="Arial" w:hAnsi="Arial" w:cs="Arial"/>
      <w:sz w:val="20"/>
      <w:szCs w:val="20"/>
    </w:rPr>
  </w:style>
  <w:style w:type="character" w:styleId="FootnoteReference">
    <w:name w:val="footnote reference"/>
    <w:basedOn w:val="DefaultParagraphFont"/>
    <w:uiPriority w:val="99"/>
    <w:semiHidden/>
    <w:unhideWhenUsed/>
    <w:rsid w:val="00D82AE5"/>
    <w:rPr>
      <w:vertAlign w:val="superscript"/>
    </w:rPr>
  </w:style>
  <w:style w:type="paragraph" w:styleId="BalloonText">
    <w:name w:val="Balloon Text"/>
    <w:basedOn w:val="Normal"/>
    <w:link w:val="BalloonTextChar"/>
    <w:uiPriority w:val="99"/>
    <w:semiHidden/>
    <w:unhideWhenUsed/>
    <w:rsid w:val="00767D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C0"/>
    <w:rPr>
      <w:rFonts w:ascii="Tahoma" w:hAnsi="Tahoma" w:cs="Tahoma"/>
      <w:sz w:val="16"/>
      <w:szCs w:val="16"/>
    </w:rPr>
  </w:style>
  <w:style w:type="paragraph" w:styleId="Bibliography">
    <w:name w:val="Bibliography"/>
    <w:basedOn w:val="Normal"/>
    <w:next w:val="Normal"/>
    <w:uiPriority w:val="37"/>
    <w:unhideWhenUsed/>
    <w:rsid w:val="00A45576"/>
  </w:style>
  <w:style w:type="paragraph" w:customStyle="1" w:styleId="Normale1">
    <w:name w:val="Normale1"/>
    <w:next w:val="Normal"/>
    <w:qFormat/>
    <w:rsid w:val="00BF24B5"/>
    <w:pPr>
      <w:autoSpaceDE w:val="0"/>
      <w:autoSpaceDN w:val="0"/>
      <w:adjustRightInd w:val="0"/>
      <w:spacing w:after="0"/>
    </w:pPr>
    <w:rPr>
      <w:rFonts w:ascii="Arial" w:hAnsi="Arial" w:cs="Arial"/>
      <w:sz w:val="20"/>
      <w:szCs w:val="20"/>
    </w:rPr>
  </w:style>
  <w:style w:type="table" w:styleId="TableGrid">
    <w:name w:val="Table Grid"/>
    <w:basedOn w:val="TableNormal"/>
    <w:uiPriority w:val="59"/>
    <w:rsid w:val="001F49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autoRedefine/>
    <w:rsid w:val="009E1E17"/>
    <w:pPr>
      <w:autoSpaceDE/>
      <w:autoSpaceDN/>
      <w:adjustRightInd/>
      <w:spacing w:before="0" w:after="0" w:line="240" w:lineRule="auto"/>
    </w:pPr>
    <w:rPr>
      <w:rFonts w:asciiTheme="minorHAnsi" w:eastAsia="Times New Roman" w:hAnsiTheme="minorHAnsi" w:cstheme="minorHAnsi"/>
      <w:bCs/>
      <w:color w:val="000000"/>
      <w:spacing w:val="-5"/>
      <w:sz w:val="18"/>
      <w:szCs w:val="18"/>
      <w:lang w:val="en-GB" w:eastAsia="en-GB" w:bidi="ar-SA"/>
    </w:rPr>
  </w:style>
  <w:style w:type="character" w:customStyle="1" w:styleId="TabletextChar">
    <w:name w:val="Table text Char"/>
    <w:basedOn w:val="DefaultParagraphFont"/>
    <w:link w:val="Tabletext"/>
    <w:rsid w:val="009E1E17"/>
    <w:rPr>
      <w:rFonts w:eastAsia="Times New Roman" w:cstheme="minorHAnsi"/>
      <w:bCs/>
      <w:color w:val="000000"/>
      <w:spacing w:val="-5"/>
      <w:sz w:val="18"/>
      <w:szCs w:val="18"/>
      <w:lang w:val="en-GB" w:eastAsia="en-GB" w:bidi="ar-SA"/>
    </w:rPr>
  </w:style>
  <w:style w:type="paragraph" w:styleId="BodyTextIndent2">
    <w:name w:val="Body Text Indent 2"/>
    <w:basedOn w:val="Normal"/>
    <w:link w:val="BodyTextIndent2Char"/>
    <w:rsid w:val="00896B20"/>
    <w:pPr>
      <w:autoSpaceDE/>
      <w:autoSpaceDN/>
      <w:adjustRightInd/>
      <w:spacing w:before="0" w:after="0" w:line="240" w:lineRule="auto"/>
      <w:ind w:left="360"/>
    </w:pPr>
    <w:rPr>
      <w:rFonts w:ascii="Times New Roman" w:eastAsia="Times New Roman" w:hAnsi="Times New Roman" w:cs="Angsana New"/>
      <w:i/>
      <w:iCs/>
      <w:sz w:val="24"/>
      <w:szCs w:val="24"/>
      <w:lang w:bidi="ar-SA"/>
    </w:rPr>
  </w:style>
  <w:style w:type="character" w:customStyle="1" w:styleId="BodyTextIndent2Char">
    <w:name w:val="Body Text Indent 2 Char"/>
    <w:basedOn w:val="DefaultParagraphFont"/>
    <w:link w:val="BodyTextIndent2"/>
    <w:rsid w:val="00896B20"/>
    <w:rPr>
      <w:rFonts w:ascii="Times New Roman" w:eastAsia="Times New Roman" w:hAnsi="Times New Roman" w:cs="Angsana New"/>
      <w:i/>
      <w:iCs/>
      <w:sz w:val="24"/>
      <w:szCs w:val="24"/>
      <w:lang w:bidi="ar-SA"/>
    </w:rPr>
  </w:style>
  <w:style w:type="paragraph" w:customStyle="1" w:styleId="Nex2">
    <w:name w:val="Nex2"/>
    <w:basedOn w:val="Normal"/>
    <w:rsid w:val="00896B20"/>
    <w:pPr>
      <w:autoSpaceDE/>
      <w:autoSpaceDN/>
      <w:adjustRightInd/>
      <w:spacing w:before="0" w:after="0" w:line="288" w:lineRule="atLeast"/>
      <w:jc w:val="both"/>
    </w:pPr>
    <w:rPr>
      <w:rFonts w:ascii="Times New Roman" w:eastAsia="Times New Roman" w:hAnsi="Times New Roman" w:cs="Angsana New"/>
      <w:sz w:val="24"/>
      <w:lang w:val="en-GB" w:eastAsia="ko-KR" w:bidi="ar-SA"/>
    </w:rPr>
  </w:style>
  <w:style w:type="character" w:styleId="Hyperlink">
    <w:name w:val="Hyperlink"/>
    <w:basedOn w:val="DefaultParagraphFont"/>
    <w:uiPriority w:val="99"/>
    <w:unhideWhenUsed/>
    <w:rsid w:val="00AA7E1F"/>
    <w:rPr>
      <w:color w:val="0000FF"/>
      <w:u w:val="single"/>
    </w:rPr>
  </w:style>
  <w:style w:type="character" w:customStyle="1" w:styleId="xrref">
    <w:name w:val="xr_ref"/>
    <w:basedOn w:val="DefaultParagraphFont"/>
    <w:rsid w:val="00AA7E1F"/>
  </w:style>
  <w:style w:type="paragraph" w:styleId="HTMLPreformatted">
    <w:name w:val="HTML Preformatted"/>
    <w:basedOn w:val="Normal"/>
    <w:link w:val="HTMLPreformattedChar"/>
    <w:uiPriority w:val="99"/>
    <w:unhideWhenUsed/>
    <w:rsid w:val="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pPr>
    <w:rPr>
      <w:rFonts w:ascii="Courier New" w:eastAsia="Times New Roman" w:hAnsi="Courier New" w:cs="Courier New"/>
      <w:lang w:val="en-GB" w:eastAsia="zh-CN" w:bidi="ar-SA"/>
    </w:rPr>
  </w:style>
  <w:style w:type="character" w:customStyle="1" w:styleId="HTMLPreformattedChar">
    <w:name w:val="HTML Preformatted Char"/>
    <w:basedOn w:val="DefaultParagraphFont"/>
    <w:link w:val="HTMLPreformatted"/>
    <w:uiPriority w:val="99"/>
    <w:rsid w:val="00211130"/>
    <w:rPr>
      <w:rFonts w:ascii="Courier New" w:eastAsia="Times New Roman" w:hAnsi="Courier New" w:cs="Courier New"/>
      <w:sz w:val="20"/>
      <w:szCs w:val="20"/>
      <w:lang w:val="en-GB" w:eastAsia="zh-CN" w:bidi="ar-SA"/>
    </w:rPr>
  </w:style>
  <w:style w:type="paragraph" w:styleId="TOC1">
    <w:name w:val="toc 1"/>
    <w:basedOn w:val="Normal"/>
    <w:next w:val="Normal"/>
    <w:autoRedefine/>
    <w:uiPriority w:val="39"/>
    <w:unhideWhenUsed/>
    <w:rsid w:val="00E119B3"/>
    <w:pPr>
      <w:spacing w:after="100"/>
    </w:pPr>
  </w:style>
  <w:style w:type="paragraph" w:styleId="TOC2">
    <w:name w:val="toc 2"/>
    <w:basedOn w:val="Normal"/>
    <w:next w:val="Normal"/>
    <w:autoRedefine/>
    <w:uiPriority w:val="39"/>
    <w:unhideWhenUsed/>
    <w:rsid w:val="00E119B3"/>
    <w:pPr>
      <w:spacing w:after="100"/>
      <w:ind w:left="200"/>
    </w:pPr>
  </w:style>
  <w:style w:type="paragraph" w:styleId="Header">
    <w:name w:val="header"/>
    <w:basedOn w:val="Normal"/>
    <w:link w:val="HeaderChar"/>
    <w:uiPriority w:val="99"/>
    <w:semiHidden/>
    <w:unhideWhenUsed/>
    <w:rsid w:val="00B60319"/>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B60319"/>
    <w:rPr>
      <w:rFonts w:ascii="Arial" w:hAnsi="Arial" w:cs="Arial"/>
      <w:sz w:val="20"/>
      <w:szCs w:val="20"/>
    </w:rPr>
  </w:style>
  <w:style w:type="paragraph" w:styleId="Footer">
    <w:name w:val="footer"/>
    <w:basedOn w:val="Normal"/>
    <w:link w:val="FooterChar"/>
    <w:uiPriority w:val="99"/>
    <w:unhideWhenUsed/>
    <w:rsid w:val="00B60319"/>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B60319"/>
    <w:rPr>
      <w:rFonts w:ascii="Arial" w:hAnsi="Arial" w:cs="Arial"/>
      <w:sz w:val="20"/>
      <w:szCs w:val="20"/>
    </w:rPr>
  </w:style>
  <w:style w:type="paragraph" w:styleId="ListBullet">
    <w:name w:val="List Bullet"/>
    <w:aliases w:val="lb"/>
    <w:basedOn w:val="Normal"/>
    <w:rsid w:val="008D715B"/>
    <w:pPr>
      <w:numPr>
        <w:numId w:val="3"/>
      </w:numPr>
      <w:autoSpaceDE/>
      <w:autoSpaceDN/>
      <w:adjustRightInd/>
      <w:spacing w:before="0" w:after="200" w:line="240" w:lineRule="auto"/>
      <w:jc w:val="both"/>
    </w:pPr>
    <w:rPr>
      <w:rFonts w:ascii="Times New Roman" w:eastAsia="Times New Roman" w:hAnsi="Times New Roman" w:cs="Times New Roman"/>
      <w:sz w:val="24"/>
      <w:lang w:bidi="ar-SA"/>
    </w:rPr>
  </w:style>
  <w:style w:type="table" w:customStyle="1" w:styleId="LightShading1">
    <w:name w:val="Light Shading1"/>
    <w:basedOn w:val="TableNormal"/>
    <w:uiPriority w:val="60"/>
    <w:rsid w:val="00FF3DF5"/>
    <w:pPr>
      <w:spacing w:before="0" w:after="0" w:line="240" w:lineRule="auto"/>
    </w:pPr>
    <w:rPr>
      <w:rFonts w:eastAsiaTheme="minorHAnsi"/>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E97839"/>
    <w:pPr>
      <w:spacing w:after="0"/>
    </w:pPr>
  </w:style>
  <w:style w:type="character" w:customStyle="1" w:styleId="hps">
    <w:name w:val="hps"/>
    <w:basedOn w:val="DefaultParagraphFont"/>
    <w:rsid w:val="000C6B4E"/>
  </w:style>
  <w:style w:type="character" w:customStyle="1" w:styleId="longtext">
    <w:name w:val="long_text"/>
    <w:basedOn w:val="DefaultParagraphFont"/>
    <w:rsid w:val="000C6B4E"/>
  </w:style>
  <w:style w:type="character" w:styleId="CommentReference">
    <w:name w:val="annotation reference"/>
    <w:basedOn w:val="DefaultParagraphFont"/>
    <w:uiPriority w:val="99"/>
    <w:semiHidden/>
    <w:unhideWhenUsed/>
    <w:rsid w:val="00E11A80"/>
    <w:rPr>
      <w:sz w:val="16"/>
      <w:szCs w:val="16"/>
    </w:rPr>
  </w:style>
  <w:style w:type="paragraph" w:styleId="CommentText">
    <w:name w:val="annotation text"/>
    <w:basedOn w:val="Normal"/>
    <w:link w:val="CommentTextChar"/>
    <w:uiPriority w:val="99"/>
    <w:semiHidden/>
    <w:unhideWhenUsed/>
    <w:rsid w:val="00E11A80"/>
    <w:pPr>
      <w:spacing w:line="240" w:lineRule="auto"/>
    </w:pPr>
  </w:style>
  <w:style w:type="character" w:customStyle="1" w:styleId="CommentTextChar">
    <w:name w:val="Comment Text Char"/>
    <w:basedOn w:val="DefaultParagraphFont"/>
    <w:link w:val="CommentText"/>
    <w:uiPriority w:val="99"/>
    <w:semiHidden/>
    <w:rsid w:val="00E11A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11A80"/>
    <w:rPr>
      <w:b/>
      <w:bCs/>
    </w:rPr>
  </w:style>
  <w:style w:type="character" w:customStyle="1" w:styleId="CommentSubjectChar">
    <w:name w:val="Comment Subject Char"/>
    <w:basedOn w:val="CommentTextChar"/>
    <w:link w:val="CommentSubject"/>
    <w:uiPriority w:val="99"/>
    <w:semiHidden/>
    <w:rsid w:val="00E11A80"/>
    <w:rPr>
      <w:rFonts w:ascii="Arial" w:hAnsi="Arial" w:cs="Arial"/>
      <w:b/>
      <w:bCs/>
      <w:sz w:val="20"/>
      <w:szCs w:val="20"/>
    </w:rPr>
  </w:style>
  <w:style w:type="paragraph" w:customStyle="1" w:styleId="TableParagraph">
    <w:name w:val="Table Paragraph"/>
    <w:basedOn w:val="Normal"/>
    <w:uiPriority w:val="1"/>
    <w:qFormat/>
    <w:rsid w:val="00DF21C2"/>
    <w:pPr>
      <w:widowControl w:val="0"/>
      <w:autoSpaceDE/>
      <w:autoSpaceDN/>
      <w:adjustRightInd/>
      <w:spacing w:before="0" w:after="0" w:line="240" w:lineRule="auto"/>
    </w:pPr>
    <w:rPr>
      <w:rFonts w:asciiTheme="minorHAnsi" w:eastAsiaTheme="minorHAnsi" w:hAnsiTheme="minorHAnsi" w:cstheme="minorBidi"/>
      <w:sz w:val="22"/>
      <w:szCs w:val="22"/>
      <w:lang w:bidi="ar-SA"/>
    </w:rPr>
  </w:style>
  <w:style w:type="character" w:customStyle="1" w:styleId="ListParagraphChar">
    <w:name w:val="List Paragraph Char"/>
    <w:aliases w:val="List Paragraph1 Char"/>
    <w:link w:val="ListParagraph"/>
    <w:uiPriority w:val="34"/>
    <w:rsid w:val="00E94C13"/>
    <w:rPr>
      <w:rFonts w:ascii="Arial" w:hAnsi="Arial" w:cs="Arial"/>
      <w:sz w:val="20"/>
      <w:szCs w:val="20"/>
    </w:rPr>
  </w:style>
  <w:style w:type="paragraph" w:styleId="BodyText">
    <w:name w:val="Body Text"/>
    <w:basedOn w:val="Normal"/>
    <w:link w:val="BodyTextChar"/>
    <w:uiPriority w:val="1"/>
    <w:unhideWhenUsed/>
    <w:qFormat/>
    <w:rsid w:val="004F779A"/>
  </w:style>
  <w:style w:type="character" w:customStyle="1" w:styleId="BodyTextChar">
    <w:name w:val="Body Text Char"/>
    <w:basedOn w:val="DefaultParagraphFont"/>
    <w:link w:val="BodyText"/>
    <w:uiPriority w:val="99"/>
    <w:rsid w:val="004F779A"/>
    <w:rPr>
      <w:rFonts w:ascii="Arial" w:hAnsi="Arial" w:cs="Arial"/>
      <w:sz w:val="20"/>
      <w:szCs w:val="20"/>
    </w:rPr>
  </w:style>
  <w:style w:type="table" w:customStyle="1" w:styleId="TableNormal1">
    <w:name w:val="Table Normal1"/>
    <w:uiPriority w:val="2"/>
    <w:semiHidden/>
    <w:unhideWhenUsed/>
    <w:qFormat/>
    <w:rsid w:val="00B340C9"/>
    <w:pPr>
      <w:widowControl w:val="0"/>
      <w:spacing w:before="0" w:after="0" w:line="240" w:lineRule="auto"/>
    </w:pPr>
    <w:rPr>
      <w:rFonts w:eastAsiaTheme="minorHAnsi"/>
      <w:lang w:bidi="ar-SA"/>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626186">
      <w:bodyDiv w:val="1"/>
      <w:marLeft w:val="0"/>
      <w:marRight w:val="0"/>
      <w:marTop w:val="0"/>
      <w:marBottom w:val="0"/>
      <w:divBdr>
        <w:top w:val="none" w:sz="0" w:space="0" w:color="auto"/>
        <w:left w:val="none" w:sz="0" w:space="0" w:color="auto"/>
        <w:bottom w:val="none" w:sz="0" w:space="0" w:color="auto"/>
        <w:right w:val="none" w:sz="0" w:space="0" w:color="auto"/>
      </w:divBdr>
    </w:div>
    <w:div w:id="51659309">
      <w:bodyDiv w:val="1"/>
      <w:marLeft w:val="0"/>
      <w:marRight w:val="0"/>
      <w:marTop w:val="0"/>
      <w:marBottom w:val="0"/>
      <w:divBdr>
        <w:top w:val="none" w:sz="0" w:space="0" w:color="auto"/>
        <w:left w:val="none" w:sz="0" w:space="0" w:color="auto"/>
        <w:bottom w:val="none" w:sz="0" w:space="0" w:color="auto"/>
        <w:right w:val="none" w:sz="0" w:space="0" w:color="auto"/>
      </w:divBdr>
    </w:div>
    <w:div w:id="129708485">
      <w:bodyDiv w:val="1"/>
      <w:marLeft w:val="0"/>
      <w:marRight w:val="0"/>
      <w:marTop w:val="0"/>
      <w:marBottom w:val="0"/>
      <w:divBdr>
        <w:top w:val="none" w:sz="0" w:space="0" w:color="auto"/>
        <w:left w:val="none" w:sz="0" w:space="0" w:color="auto"/>
        <w:bottom w:val="none" w:sz="0" w:space="0" w:color="auto"/>
        <w:right w:val="none" w:sz="0" w:space="0" w:color="auto"/>
      </w:divBdr>
    </w:div>
    <w:div w:id="165024840">
      <w:bodyDiv w:val="1"/>
      <w:marLeft w:val="0"/>
      <w:marRight w:val="0"/>
      <w:marTop w:val="0"/>
      <w:marBottom w:val="0"/>
      <w:divBdr>
        <w:top w:val="none" w:sz="0" w:space="0" w:color="auto"/>
        <w:left w:val="none" w:sz="0" w:space="0" w:color="auto"/>
        <w:bottom w:val="none" w:sz="0" w:space="0" w:color="auto"/>
        <w:right w:val="none" w:sz="0" w:space="0" w:color="auto"/>
      </w:divBdr>
    </w:div>
    <w:div w:id="213347770">
      <w:bodyDiv w:val="1"/>
      <w:marLeft w:val="0"/>
      <w:marRight w:val="0"/>
      <w:marTop w:val="0"/>
      <w:marBottom w:val="0"/>
      <w:divBdr>
        <w:top w:val="none" w:sz="0" w:space="0" w:color="auto"/>
        <w:left w:val="none" w:sz="0" w:space="0" w:color="auto"/>
        <w:bottom w:val="none" w:sz="0" w:space="0" w:color="auto"/>
        <w:right w:val="none" w:sz="0" w:space="0" w:color="auto"/>
      </w:divBdr>
    </w:div>
    <w:div w:id="256060595">
      <w:bodyDiv w:val="1"/>
      <w:marLeft w:val="0"/>
      <w:marRight w:val="0"/>
      <w:marTop w:val="0"/>
      <w:marBottom w:val="0"/>
      <w:divBdr>
        <w:top w:val="none" w:sz="0" w:space="0" w:color="auto"/>
        <w:left w:val="none" w:sz="0" w:space="0" w:color="auto"/>
        <w:bottom w:val="none" w:sz="0" w:space="0" w:color="auto"/>
        <w:right w:val="none" w:sz="0" w:space="0" w:color="auto"/>
      </w:divBdr>
    </w:div>
    <w:div w:id="305284885">
      <w:bodyDiv w:val="1"/>
      <w:marLeft w:val="0"/>
      <w:marRight w:val="0"/>
      <w:marTop w:val="0"/>
      <w:marBottom w:val="0"/>
      <w:divBdr>
        <w:top w:val="none" w:sz="0" w:space="0" w:color="auto"/>
        <w:left w:val="none" w:sz="0" w:space="0" w:color="auto"/>
        <w:bottom w:val="none" w:sz="0" w:space="0" w:color="auto"/>
        <w:right w:val="none" w:sz="0" w:space="0" w:color="auto"/>
      </w:divBdr>
    </w:div>
    <w:div w:id="316033210">
      <w:bodyDiv w:val="1"/>
      <w:marLeft w:val="0"/>
      <w:marRight w:val="0"/>
      <w:marTop w:val="0"/>
      <w:marBottom w:val="0"/>
      <w:divBdr>
        <w:top w:val="none" w:sz="0" w:space="0" w:color="auto"/>
        <w:left w:val="none" w:sz="0" w:space="0" w:color="auto"/>
        <w:bottom w:val="none" w:sz="0" w:space="0" w:color="auto"/>
        <w:right w:val="none" w:sz="0" w:space="0" w:color="auto"/>
      </w:divBdr>
      <w:divsChild>
        <w:div w:id="1757823334">
          <w:marLeft w:val="0"/>
          <w:marRight w:val="0"/>
          <w:marTop w:val="0"/>
          <w:marBottom w:val="0"/>
          <w:divBdr>
            <w:top w:val="none" w:sz="0" w:space="0" w:color="auto"/>
            <w:left w:val="none" w:sz="0" w:space="0" w:color="auto"/>
            <w:bottom w:val="none" w:sz="0" w:space="0" w:color="auto"/>
            <w:right w:val="none" w:sz="0" w:space="0" w:color="auto"/>
          </w:divBdr>
        </w:div>
        <w:div w:id="2037463558">
          <w:marLeft w:val="0"/>
          <w:marRight w:val="0"/>
          <w:marTop w:val="0"/>
          <w:marBottom w:val="0"/>
          <w:divBdr>
            <w:top w:val="none" w:sz="0" w:space="0" w:color="auto"/>
            <w:left w:val="none" w:sz="0" w:space="0" w:color="auto"/>
            <w:bottom w:val="none" w:sz="0" w:space="0" w:color="auto"/>
            <w:right w:val="none" w:sz="0" w:space="0" w:color="auto"/>
          </w:divBdr>
        </w:div>
      </w:divsChild>
    </w:div>
    <w:div w:id="392509539">
      <w:bodyDiv w:val="1"/>
      <w:marLeft w:val="0"/>
      <w:marRight w:val="0"/>
      <w:marTop w:val="0"/>
      <w:marBottom w:val="0"/>
      <w:divBdr>
        <w:top w:val="none" w:sz="0" w:space="0" w:color="auto"/>
        <w:left w:val="none" w:sz="0" w:space="0" w:color="auto"/>
        <w:bottom w:val="none" w:sz="0" w:space="0" w:color="auto"/>
        <w:right w:val="none" w:sz="0" w:space="0" w:color="auto"/>
      </w:divBdr>
    </w:div>
    <w:div w:id="393548434">
      <w:bodyDiv w:val="1"/>
      <w:marLeft w:val="0"/>
      <w:marRight w:val="0"/>
      <w:marTop w:val="0"/>
      <w:marBottom w:val="0"/>
      <w:divBdr>
        <w:top w:val="none" w:sz="0" w:space="0" w:color="auto"/>
        <w:left w:val="none" w:sz="0" w:space="0" w:color="auto"/>
        <w:bottom w:val="none" w:sz="0" w:space="0" w:color="auto"/>
        <w:right w:val="none" w:sz="0" w:space="0" w:color="auto"/>
      </w:divBdr>
      <w:divsChild>
        <w:div w:id="1925187685">
          <w:marLeft w:val="0"/>
          <w:marRight w:val="0"/>
          <w:marTop w:val="0"/>
          <w:marBottom w:val="0"/>
          <w:divBdr>
            <w:top w:val="none" w:sz="0" w:space="0" w:color="auto"/>
            <w:left w:val="none" w:sz="0" w:space="0" w:color="auto"/>
            <w:bottom w:val="none" w:sz="0" w:space="0" w:color="auto"/>
            <w:right w:val="none" w:sz="0" w:space="0" w:color="auto"/>
          </w:divBdr>
        </w:div>
        <w:div w:id="571626507">
          <w:marLeft w:val="0"/>
          <w:marRight w:val="0"/>
          <w:marTop w:val="0"/>
          <w:marBottom w:val="0"/>
          <w:divBdr>
            <w:top w:val="none" w:sz="0" w:space="0" w:color="auto"/>
            <w:left w:val="none" w:sz="0" w:space="0" w:color="auto"/>
            <w:bottom w:val="none" w:sz="0" w:space="0" w:color="auto"/>
            <w:right w:val="none" w:sz="0" w:space="0" w:color="auto"/>
          </w:divBdr>
        </w:div>
        <w:div w:id="1189566949">
          <w:marLeft w:val="0"/>
          <w:marRight w:val="0"/>
          <w:marTop w:val="0"/>
          <w:marBottom w:val="0"/>
          <w:divBdr>
            <w:top w:val="none" w:sz="0" w:space="0" w:color="auto"/>
            <w:left w:val="none" w:sz="0" w:space="0" w:color="auto"/>
            <w:bottom w:val="none" w:sz="0" w:space="0" w:color="auto"/>
            <w:right w:val="none" w:sz="0" w:space="0" w:color="auto"/>
          </w:divBdr>
        </w:div>
        <w:div w:id="1238631367">
          <w:marLeft w:val="0"/>
          <w:marRight w:val="0"/>
          <w:marTop w:val="0"/>
          <w:marBottom w:val="0"/>
          <w:divBdr>
            <w:top w:val="none" w:sz="0" w:space="0" w:color="auto"/>
            <w:left w:val="none" w:sz="0" w:space="0" w:color="auto"/>
            <w:bottom w:val="none" w:sz="0" w:space="0" w:color="auto"/>
            <w:right w:val="none" w:sz="0" w:space="0" w:color="auto"/>
          </w:divBdr>
        </w:div>
        <w:div w:id="68626118">
          <w:marLeft w:val="0"/>
          <w:marRight w:val="0"/>
          <w:marTop w:val="0"/>
          <w:marBottom w:val="0"/>
          <w:divBdr>
            <w:top w:val="none" w:sz="0" w:space="0" w:color="auto"/>
            <w:left w:val="none" w:sz="0" w:space="0" w:color="auto"/>
            <w:bottom w:val="none" w:sz="0" w:space="0" w:color="auto"/>
            <w:right w:val="none" w:sz="0" w:space="0" w:color="auto"/>
          </w:divBdr>
        </w:div>
        <w:div w:id="2094859932">
          <w:marLeft w:val="0"/>
          <w:marRight w:val="0"/>
          <w:marTop w:val="0"/>
          <w:marBottom w:val="0"/>
          <w:divBdr>
            <w:top w:val="none" w:sz="0" w:space="0" w:color="auto"/>
            <w:left w:val="none" w:sz="0" w:space="0" w:color="auto"/>
            <w:bottom w:val="none" w:sz="0" w:space="0" w:color="auto"/>
            <w:right w:val="none" w:sz="0" w:space="0" w:color="auto"/>
          </w:divBdr>
        </w:div>
        <w:div w:id="681472824">
          <w:marLeft w:val="0"/>
          <w:marRight w:val="0"/>
          <w:marTop w:val="0"/>
          <w:marBottom w:val="0"/>
          <w:divBdr>
            <w:top w:val="none" w:sz="0" w:space="0" w:color="auto"/>
            <w:left w:val="none" w:sz="0" w:space="0" w:color="auto"/>
            <w:bottom w:val="none" w:sz="0" w:space="0" w:color="auto"/>
            <w:right w:val="none" w:sz="0" w:space="0" w:color="auto"/>
          </w:divBdr>
        </w:div>
        <w:div w:id="1184393470">
          <w:marLeft w:val="0"/>
          <w:marRight w:val="0"/>
          <w:marTop w:val="0"/>
          <w:marBottom w:val="0"/>
          <w:divBdr>
            <w:top w:val="none" w:sz="0" w:space="0" w:color="auto"/>
            <w:left w:val="none" w:sz="0" w:space="0" w:color="auto"/>
            <w:bottom w:val="none" w:sz="0" w:space="0" w:color="auto"/>
            <w:right w:val="none" w:sz="0" w:space="0" w:color="auto"/>
          </w:divBdr>
        </w:div>
        <w:div w:id="253974472">
          <w:marLeft w:val="0"/>
          <w:marRight w:val="0"/>
          <w:marTop w:val="0"/>
          <w:marBottom w:val="0"/>
          <w:divBdr>
            <w:top w:val="none" w:sz="0" w:space="0" w:color="auto"/>
            <w:left w:val="none" w:sz="0" w:space="0" w:color="auto"/>
            <w:bottom w:val="none" w:sz="0" w:space="0" w:color="auto"/>
            <w:right w:val="none" w:sz="0" w:space="0" w:color="auto"/>
          </w:divBdr>
        </w:div>
        <w:div w:id="1044600275">
          <w:marLeft w:val="0"/>
          <w:marRight w:val="0"/>
          <w:marTop w:val="0"/>
          <w:marBottom w:val="0"/>
          <w:divBdr>
            <w:top w:val="none" w:sz="0" w:space="0" w:color="auto"/>
            <w:left w:val="none" w:sz="0" w:space="0" w:color="auto"/>
            <w:bottom w:val="none" w:sz="0" w:space="0" w:color="auto"/>
            <w:right w:val="none" w:sz="0" w:space="0" w:color="auto"/>
          </w:divBdr>
        </w:div>
      </w:divsChild>
    </w:div>
    <w:div w:id="396630407">
      <w:bodyDiv w:val="1"/>
      <w:marLeft w:val="0"/>
      <w:marRight w:val="0"/>
      <w:marTop w:val="0"/>
      <w:marBottom w:val="0"/>
      <w:divBdr>
        <w:top w:val="none" w:sz="0" w:space="0" w:color="auto"/>
        <w:left w:val="none" w:sz="0" w:space="0" w:color="auto"/>
        <w:bottom w:val="none" w:sz="0" w:space="0" w:color="auto"/>
        <w:right w:val="none" w:sz="0" w:space="0" w:color="auto"/>
      </w:divBdr>
    </w:div>
    <w:div w:id="441533604">
      <w:bodyDiv w:val="1"/>
      <w:marLeft w:val="0"/>
      <w:marRight w:val="0"/>
      <w:marTop w:val="0"/>
      <w:marBottom w:val="0"/>
      <w:divBdr>
        <w:top w:val="none" w:sz="0" w:space="0" w:color="auto"/>
        <w:left w:val="none" w:sz="0" w:space="0" w:color="auto"/>
        <w:bottom w:val="none" w:sz="0" w:space="0" w:color="auto"/>
        <w:right w:val="none" w:sz="0" w:space="0" w:color="auto"/>
      </w:divBdr>
    </w:div>
    <w:div w:id="473257827">
      <w:bodyDiv w:val="1"/>
      <w:marLeft w:val="0"/>
      <w:marRight w:val="0"/>
      <w:marTop w:val="0"/>
      <w:marBottom w:val="0"/>
      <w:divBdr>
        <w:top w:val="none" w:sz="0" w:space="0" w:color="auto"/>
        <w:left w:val="none" w:sz="0" w:space="0" w:color="auto"/>
        <w:bottom w:val="none" w:sz="0" w:space="0" w:color="auto"/>
        <w:right w:val="none" w:sz="0" w:space="0" w:color="auto"/>
      </w:divBdr>
    </w:div>
    <w:div w:id="511377574">
      <w:bodyDiv w:val="1"/>
      <w:marLeft w:val="0"/>
      <w:marRight w:val="0"/>
      <w:marTop w:val="0"/>
      <w:marBottom w:val="0"/>
      <w:divBdr>
        <w:top w:val="none" w:sz="0" w:space="0" w:color="auto"/>
        <w:left w:val="none" w:sz="0" w:space="0" w:color="auto"/>
        <w:bottom w:val="none" w:sz="0" w:space="0" w:color="auto"/>
        <w:right w:val="none" w:sz="0" w:space="0" w:color="auto"/>
      </w:divBdr>
    </w:div>
    <w:div w:id="527375453">
      <w:bodyDiv w:val="1"/>
      <w:marLeft w:val="0"/>
      <w:marRight w:val="0"/>
      <w:marTop w:val="0"/>
      <w:marBottom w:val="0"/>
      <w:divBdr>
        <w:top w:val="none" w:sz="0" w:space="0" w:color="auto"/>
        <w:left w:val="none" w:sz="0" w:space="0" w:color="auto"/>
        <w:bottom w:val="none" w:sz="0" w:space="0" w:color="auto"/>
        <w:right w:val="none" w:sz="0" w:space="0" w:color="auto"/>
      </w:divBdr>
    </w:div>
    <w:div w:id="544413947">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sChild>
        <w:div w:id="1458642890">
          <w:marLeft w:val="547"/>
          <w:marRight w:val="0"/>
          <w:marTop w:val="0"/>
          <w:marBottom w:val="0"/>
          <w:divBdr>
            <w:top w:val="none" w:sz="0" w:space="0" w:color="auto"/>
            <w:left w:val="none" w:sz="0" w:space="0" w:color="auto"/>
            <w:bottom w:val="none" w:sz="0" w:space="0" w:color="auto"/>
            <w:right w:val="none" w:sz="0" w:space="0" w:color="auto"/>
          </w:divBdr>
        </w:div>
      </w:divsChild>
    </w:div>
    <w:div w:id="618220715">
      <w:bodyDiv w:val="1"/>
      <w:marLeft w:val="0"/>
      <w:marRight w:val="0"/>
      <w:marTop w:val="0"/>
      <w:marBottom w:val="0"/>
      <w:divBdr>
        <w:top w:val="none" w:sz="0" w:space="0" w:color="auto"/>
        <w:left w:val="none" w:sz="0" w:space="0" w:color="auto"/>
        <w:bottom w:val="none" w:sz="0" w:space="0" w:color="auto"/>
        <w:right w:val="none" w:sz="0" w:space="0" w:color="auto"/>
      </w:divBdr>
    </w:div>
    <w:div w:id="635647021">
      <w:bodyDiv w:val="1"/>
      <w:marLeft w:val="0"/>
      <w:marRight w:val="0"/>
      <w:marTop w:val="0"/>
      <w:marBottom w:val="0"/>
      <w:divBdr>
        <w:top w:val="none" w:sz="0" w:space="0" w:color="auto"/>
        <w:left w:val="none" w:sz="0" w:space="0" w:color="auto"/>
        <w:bottom w:val="none" w:sz="0" w:space="0" w:color="auto"/>
        <w:right w:val="none" w:sz="0" w:space="0" w:color="auto"/>
      </w:divBdr>
    </w:div>
    <w:div w:id="782071201">
      <w:bodyDiv w:val="1"/>
      <w:marLeft w:val="0"/>
      <w:marRight w:val="0"/>
      <w:marTop w:val="0"/>
      <w:marBottom w:val="0"/>
      <w:divBdr>
        <w:top w:val="none" w:sz="0" w:space="0" w:color="auto"/>
        <w:left w:val="none" w:sz="0" w:space="0" w:color="auto"/>
        <w:bottom w:val="none" w:sz="0" w:space="0" w:color="auto"/>
        <w:right w:val="none" w:sz="0" w:space="0" w:color="auto"/>
      </w:divBdr>
    </w:div>
    <w:div w:id="1020202132">
      <w:bodyDiv w:val="1"/>
      <w:marLeft w:val="0"/>
      <w:marRight w:val="0"/>
      <w:marTop w:val="0"/>
      <w:marBottom w:val="0"/>
      <w:divBdr>
        <w:top w:val="none" w:sz="0" w:space="0" w:color="auto"/>
        <w:left w:val="none" w:sz="0" w:space="0" w:color="auto"/>
        <w:bottom w:val="none" w:sz="0" w:space="0" w:color="auto"/>
        <w:right w:val="none" w:sz="0" w:space="0" w:color="auto"/>
      </w:divBdr>
    </w:div>
    <w:div w:id="1079182276">
      <w:bodyDiv w:val="1"/>
      <w:marLeft w:val="0"/>
      <w:marRight w:val="0"/>
      <w:marTop w:val="0"/>
      <w:marBottom w:val="0"/>
      <w:divBdr>
        <w:top w:val="none" w:sz="0" w:space="0" w:color="auto"/>
        <w:left w:val="none" w:sz="0" w:space="0" w:color="auto"/>
        <w:bottom w:val="none" w:sz="0" w:space="0" w:color="auto"/>
        <w:right w:val="none" w:sz="0" w:space="0" w:color="auto"/>
      </w:divBdr>
    </w:div>
    <w:div w:id="1155874597">
      <w:bodyDiv w:val="1"/>
      <w:marLeft w:val="0"/>
      <w:marRight w:val="0"/>
      <w:marTop w:val="0"/>
      <w:marBottom w:val="0"/>
      <w:divBdr>
        <w:top w:val="none" w:sz="0" w:space="0" w:color="auto"/>
        <w:left w:val="none" w:sz="0" w:space="0" w:color="auto"/>
        <w:bottom w:val="none" w:sz="0" w:space="0" w:color="auto"/>
        <w:right w:val="none" w:sz="0" w:space="0" w:color="auto"/>
      </w:divBdr>
    </w:div>
    <w:div w:id="1161196650">
      <w:bodyDiv w:val="1"/>
      <w:marLeft w:val="0"/>
      <w:marRight w:val="0"/>
      <w:marTop w:val="0"/>
      <w:marBottom w:val="0"/>
      <w:divBdr>
        <w:top w:val="none" w:sz="0" w:space="0" w:color="auto"/>
        <w:left w:val="none" w:sz="0" w:space="0" w:color="auto"/>
        <w:bottom w:val="none" w:sz="0" w:space="0" w:color="auto"/>
        <w:right w:val="none" w:sz="0" w:space="0" w:color="auto"/>
      </w:divBdr>
    </w:div>
    <w:div w:id="1163426031">
      <w:bodyDiv w:val="1"/>
      <w:marLeft w:val="0"/>
      <w:marRight w:val="0"/>
      <w:marTop w:val="0"/>
      <w:marBottom w:val="0"/>
      <w:divBdr>
        <w:top w:val="none" w:sz="0" w:space="0" w:color="auto"/>
        <w:left w:val="none" w:sz="0" w:space="0" w:color="auto"/>
        <w:bottom w:val="none" w:sz="0" w:space="0" w:color="auto"/>
        <w:right w:val="none" w:sz="0" w:space="0" w:color="auto"/>
      </w:divBdr>
    </w:div>
    <w:div w:id="1164976537">
      <w:bodyDiv w:val="1"/>
      <w:marLeft w:val="0"/>
      <w:marRight w:val="0"/>
      <w:marTop w:val="0"/>
      <w:marBottom w:val="0"/>
      <w:divBdr>
        <w:top w:val="none" w:sz="0" w:space="0" w:color="auto"/>
        <w:left w:val="none" w:sz="0" w:space="0" w:color="auto"/>
        <w:bottom w:val="none" w:sz="0" w:space="0" w:color="auto"/>
        <w:right w:val="none" w:sz="0" w:space="0" w:color="auto"/>
      </w:divBdr>
    </w:div>
    <w:div w:id="1224633362">
      <w:bodyDiv w:val="1"/>
      <w:marLeft w:val="0"/>
      <w:marRight w:val="0"/>
      <w:marTop w:val="0"/>
      <w:marBottom w:val="0"/>
      <w:divBdr>
        <w:top w:val="none" w:sz="0" w:space="0" w:color="auto"/>
        <w:left w:val="none" w:sz="0" w:space="0" w:color="auto"/>
        <w:bottom w:val="none" w:sz="0" w:space="0" w:color="auto"/>
        <w:right w:val="none" w:sz="0" w:space="0" w:color="auto"/>
      </w:divBdr>
    </w:div>
    <w:div w:id="1316374050">
      <w:bodyDiv w:val="1"/>
      <w:marLeft w:val="0"/>
      <w:marRight w:val="0"/>
      <w:marTop w:val="0"/>
      <w:marBottom w:val="0"/>
      <w:divBdr>
        <w:top w:val="none" w:sz="0" w:space="0" w:color="auto"/>
        <w:left w:val="none" w:sz="0" w:space="0" w:color="auto"/>
        <w:bottom w:val="none" w:sz="0" w:space="0" w:color="auto"/>
        <w:right w:val="none" w:sz="0" w:space="0" w:color="auto"/>
      </w:divBdr>
    </w:div>
    <w:div w:id="1362853327">
      <w:bodyDiv w:val="1"/>
      <w:marLeft w:val="0"/>
      <w:marRight w:val="0"/>
      <w:marTop w:val="0"/>
      <w:marBottom w:val="0"/>
      <w:divBdr>
        <w:top w:val="none" w:sz="0" w:space="0" w:color="auto"/>
        <w:left w:val="none" w:sz="0" w:space="0" w:color="auto"/>
        <w:bottom w:val="none" w:sz="0" w:space="0" w:color="auto"/>
        <w:right w:val="none" w:sz="0" w:space="0" w:color="auto"/>
      </w:divBdr>
    </w:div>
    <w:div w:id="1397122279">
      <w:bodyDiv w:val="1"/>
      <w:marLeft w:val="0"/>
      <w:marRight w:val="0"/>
      <w:marTop w:val="0"/>
      <w:marBottom w:val="0"/>
      <w:divBdr>
        <w:top w:val="none" w:sz="0" w:space="0" w:color="auto"/>
        <w:left w:val="none" w:sz="0" w:space="0" w:color="auto"/>
        <w:bottom w:val="none" w:sz="0" w:space="0" w:color="auto"/>
        <w:right w:val="none" w:sz="0" w:space="0" w:color="auto"/>
      </w:divBdr>
    </w:div>
    <w:div w:id="1406488239">
      <w:bodyDiv w:val="1"/>
      <w:marLeft w:val="0"/>
      <w:marRight w:val="0"/>
      <w:marTop w:val="0"/>
      <w:marBottom w:val="0"/>
      <w:divBdr>
        <w:top w:val="none" w:sz="0" w:space="0" w:color="auto"/>
        <w:left w:val="none" w:sz="0" w:space="0" w:color="auto"/>
        <w:bottom w:val="none" w:sz="0" w:space="0" w:color="auto"/>
        <w:right w:val="none" w:sz="0" w:space="0" w:color="auto"/>
      </w:divBdr>
    </w:div>
    <w:div w:id="1463963721">
      <w:bodyDiv w:val="1"/>
      <w:marLeft w:val="0"/>
      <w:marRight w:val="0"/>
      <w:marTop w:val="0"/>
      <w:marBottom w:val="0"/>
      <w:divBdr>
        <w:top w:val="none" w:sz="0" w:space="0" w:color="auto"/>
        <w:left w:val="none" w:sz="0" w:space="0" w:color="auto"/>
        <w:bottom w:val="none" w:sz="0" w:space="0" w:color="auto"/>
        <w:right w:val="none" w:sz="0" w:space="0" w:color="auto"/>
      </w:divBdr>
    </w:div>
    <w:div w:id="1484545923">
      <w:bodyDiv w:val="1"/>
      <w:marLeft w:val="0"/>
      <w:marRight w:val="0"/>
      <w:marTop w:val="0"/>
      <w:marBottom w:val="0"/>
      <w:divBdr>
        <w:top w:val="none" w:sz="0" w:space="0" w:color="auto"/>
        <w:left w:val="none" w:sz="0" w:space="0" w:color="auto"/>
        <w:bottom w:val="none" w:sz="0" w:space="0" w:color="auto"/>
        <w:right w:val="none" w:sz="0" w:space="0" w:color="auto"/>
      </w:divBdr>
    </w:div>
    <w:div w:id="1565875917">
      <w:bodyDiv w:val="1"/>
      <w:marLeft w:val="0"/>
      <w:marRight w:val="0"/>
      <w:marTop w:val="0"/>
      <w:marBottom w:val="0"/>
      <w:divBdr>
        <w:top w:val="none" w:sz="0" w:space="0" w:color="auto"/>
        <w:left w:val="none" w:sz="0" w:space="0" w:color="auto"/>
        <w:bottom w:val="none" w:sz="0" w:space="0" w:color="auto"/>
        <w:right w:val="none" w:sz="0" w:space="0" w:color="auto"/>
      </w:divBdr>
    </w:div>
    <w:div w:id="1589656598">
      <w:bodyDiv w:val="1"/>
      <w:marLeft w:val="0"/>
      <w:marRight w:val="0"/>
      <w:marTop w:val="0"/>
      <w:marBottom w:val="0"/>
      <w:divBdr>
        <w:top w:val="none" w:sz="0" w:space="0" w:color="auto"/>
        <w:left w:val="none" w:sz="0" w:space="0" w:color="auto"/>
        <w:bottom w:val="none" w:sz="0" w:space="0" w:color="auto"/>
        <w:right w:val="none" w:sz="0" w:space="0" w:color="auto"/>
      </w:divBdr>
    </w:div>
    <w:div w:id="1622489561">
      <w:bodyDiv w:val="1"/>
      <w:marLeft w:val="0"/>
      <w:marRight w:val="0"/>
      <w:marTop w:val="0"/>
      <w:marBottom w:val="0"/>
      <w:divBdr>
        <w:top w:val="none" w:sz="0" w:space="0" w:color="auto"/>
        <w:left w:val="none" w:sz="0" w:space="0" w:color="auto"/>
        <w:bottom w:val="none" w:sz="0" w:space="0" w:color="auto"/>
        <w:right w:val="none" w:sz="0" w:space="0" w:color="auto"/>
      </w:divBdr>
    </w:div>
    <w:div w:id="1628274179">
      <w:bodyDiv w:val="1"/>
      <w:marLeft w:val="0"/>
      <w:marRight w:val="0"/>
      <w:marTop w:val="0"/>
      <w:marBottom w:val="0"/>
      <w:divBdr>
        <w:top w:val="none" w:sz="0" w:space="0" w:color="auto"/>
        <w:left w:val="none" w:sz="0" w:space="0" w:color="auto"/>
        <w:bottom w:val="none" w:sz="0" w:space="0" w:color="auto"/>
        <w:right w:val="none" w:sz="0" w:space="0" w:color="auto"/>
      </w:divBdr>
    </w:div>
    <w:div w:id="1704163191">
      <w:bodyDiv w:val="1"/>
      <w:marLeft w:val="0"/>
      <w:marRight w:val="0"/>
      <w:marTop w:val="0"/>
      <w:marBottom w:val="0"/>
      <w:divBdr>
        <w:top w:val="none" w:sz="0" w:space="0" w:color="auto"/>
        <w:left w:val="none" w:sz="0" w:space="0" w:color="auto"/>
        <w:bottom w:val="none" w:sz="0" w:space="0" w:color="auto"/>
        <w:right w:val="none" w:sz="0" w:space="0" w:color="auto"/>
      </w:divBdr>
    </w:div>
    <w:div w:id="1710107532">
      <w:bodyDiv w:val="1"/>
      <w:marLeft w:val="0"/>
      <w:marRight w:val="0"/>
      <w:marTop w:val="0"/>
      <w:marBottom w:val="0"/>
      <w:divBdr>
        <w:top w:val="none" w:sz="0" w:space="0" w:color="auto"/>
        <w:left w:val="none" w:sz="0" w:space="0" w:color="auto"/>
        <w:bottom w:val="none" w:sz="0" w:space="0" w:color="auto"/>
        <w:right w:val="none" w:sz="0" w:space="0" w:color="auto"/>
      </w:divBdr>
      <w:divsChild>
        <w:div w:id="809664196">
          <w:marLeft w:val="0"/>
          <w:marRight w:val="0"/>
          <w:marTop w:val="0"/>
          <w:marBottom w:val="0"/>
          <w:divBdr>
            <w:top w:val="none" w:sz="0" w:space="0" w:color="auto"/>
            <w:left w:val="none" w:sz="0" w:space="0" w:color="auto"/>
            <w:bottom w:val="none" w:sz="0" w:space="0" w:color="auto"/>
            <w:right w:val="none" w:sz="0" w:space="0" w:color="auto"/>
          </w:divBdr>
          <w:divsChild>
            <w:div w:id="8736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9885">
      <w:bodyDiv w:val="1"/>
      <w:marLeft w:val="0"/>
      <w:marRight w:val="0"/>
      <w:marTop w:val="0"/>
      <w:marBottom w:val="0"/>
      <w:divBdr>
        <w:top w:val="none" w:sz="0" w:space="0" w:color="auto"/>
        <w:left w:val="none" w:sz="0" w:space="0" w:color="auto"/>
        <w:bottom w:val="none" w:sz="0" w:space="0" w:color="auto"/>
        <w:right w:val="none" w:sz="0" w:space="0" w:color="auto"/>
      </w:divBdr>
    </w:div>
    <w:div w:id="1935631962">
      <w:bodyDiv w:val="1"/>
      <w:marLeft w:val="0"/>
      <w:marRight w:val="0"/>
      <w:marTop w:val="0"/>
      <w:marBottom w:val="0"/>
      <w:divBdr>
        <w:top w:val="none" w:sz="0" w:space="0" w:color="auto"/>
        <w:left w:val="none" w:sz="0" w:space="0" w:color="auto"/>
        <w:bottom w:val="none" w:sz="0" w:space="0" w:color="auto"/>
        <w:right w:val="none" w:sz="0" w:space="0" w:color="auto"/>
      </w:divBdr>
    </w:div>
    <w:div w:id="1938251477">
      <w:bodyDiv w:val="1"/>
      <w:marLeft w:val="0"/>
      <w:marRight w:val="0"/>
      <w:marTop w:val="0"/>
      <w:marBottom w:val="0"/>
      <w:divBdr>
        <w:top w:val="none" w:sz="0" w:space="0" w:color="auto"/>
        <w:left w:val="none" w:sz="0" w:space="0" w:color="auto"/>
        <w:bottom w:val="none" w:sz="0" w:space="0" w:color="auto"/>
        <w:right w:val="none" w:sz="0" w:space="0" w:color="auto"/>
      </w:divBdr>
    </w:div>
    <w:div w:id="2033796016">
      <w:bodyDiv w:val="1"/>
      <w:marLeft w:val="0"/>
      <w:marRight w:val="0"/>
      <w:marTop w:val="0"/>
      <w:marBottom w:val="0"/>
      <w:divBdr>
        <w:top w:val="none" w:sz="0" w:space="0" w:color="auto"/>
        <w:left w:val="none" w:sz="0" w:space="0" w:color="auto"/>
        <w:bottom w:val="none" w:sz="0" w:space="0" w:color="auto"/>
        <w:right w:val="none" w:sz="0" w:space="0" w:color="auto"/>
      </w:divBdr>
    </w:div>
    <w:div w:id="2048679651">
      <w:bodyDiv w:val="1"/>
      <w:marLeft w:val="0"/>
      <w:marRight w:val="0"/>
      <w:marTop w:val="0"/>
      <w:marBottom w:val="0"/>
      <w:divBdr>
        <w:top w:val="none" w:sz="0" w:space="0" w:color="auto"/>
        <w:left w:val="none" w:sz="0" w:space="0" w:color="auto"/>
        <w:bottom w:val="none" w:sz="0" w:space="0" w:color="auto"/>
        <w:right w:val="none" w:sz="0" w:space="0" w:color="auto"/>
      </w:divBdr>
    </w:div>
    <w:div w:id="2094817027">
      <w:bodyDiv w:val="1"/>
      <w:marLeft w:val="0"/>
      <w:marRight w:val="0"/>
      <w:marTop w:val="0"/>
      <w:marBottom w:val="0"/>
      <w:divBdr>
        <w:top w:val="none" w:sz="0" w:space="0" w:color="auto"/>
        <w:left w:val="none" w:sz="0" w:space="0" w:color="auto"/>
        <w:bottom w:val="none" w:sz="0" w:space="0" w:color="auto"/>
        <w:right w:val="none" w:sz="0" w:space="0" w:color="auto"/>
      </w:divBdr>
    </w:div>
    <w:div w:id="21194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Col12</b:Tag>
    <b:SourceType>InternetSite</b:SourceType>
    <b:Guid>{7ED83007-F8FC-4582-B4DB-8EF5F0502BE6}</b:Guid>
    <b:Author>
      <b:Author>
        <b:Corporate>Collins</b:Corporate>
      </b:Author>
    </b:Author>
    <b:InternetSiteTitle>Collins online dictionary</b:InternetSiteTitle>
    <b:YearAccessed>2012</b:YearAccessed>
    <b:MonthAccessed>October</b:MonthAccessed>
    <b:DayAccessed>12</b:DayAccessed>
    <b:RefOrder>10</b:RefOrder>
  </b:Source>
  <b:Source>
    <b:Tag>Bas</b:Tag>
    <b:SourceType>Misc</b:SourceType>
    <b:Guid>{D54B8EB4-5740-4FC3-826D-92D2F63C4D91}</b:Guid>
    <b:Title>Basel Convention on the Control of Transboundary Movements of Hazardous Wastes and their Disposal</b:Title>
    <b:RefOrder>11</b:RefOrder>
  </b:Source>
  <b:Source>
    <b:Tag>Sto</b:Tag>
    <b:SourceType>Misc</b:SourceType>
    <b:Guid>{A3193B84-9DF5-4B44-8FCB-30F7B1091AD5}</b:Guid>
    <b:PublicationTitle>Stockholm Convention on Persistent Organic Chemicals (POPs) as amended in 2009</b:PublicationTitle>
    <b:RefOrder>12</b:RefOrder>
  </b:Source>
  <b:Source>
    <b:Tag>GEF11</b:Tag>
    <b:SourceType>Report</b:SourceType>
    <b:Guid>{AFE7AC28-6E0D-43BB-979C-5919D7B2D0D3}</b:Guid>
    <b:Author>
      <b:Author>
        <b:Corporate>GEF</b:Corporate>
      </b:Author>
    </b:Author>
    <b:Title>GEF 5 Focal Area Strategies - Chemical Strategy</b:Title>
    <b:Year>2011</b:Year>
    <b:RefOrder>13</b:RefOrder>
  </b:Source>
  <b:Source>
    <b:Tag>Vie12</b:Tag>
    <b:SourceType>InternetSite</b:SourceType>
    <b:Guid>{FBE4FBFD-BB2B-40B6-AA2F-D54353AA1141}</b:Guid>
    <b:Author>
      <b:Author>
        <b:Corporate>Vietnamnet</b:Corporate>
      </b:Author>
    </b:Author>
    <b:Title>The “cancer village” created by dirty field water</b:Title>
    <b:YearAccessed>2012</b:YearAccessed>
    <b:MonthAccessed>10</b:MonthAccessed>
    <b:DayAccessed>25</b:DayAccessed>
    <b:URL>http://english.vietnamnet.vn/en/environment/18837/the--cancer-village--created-by-dirty-field-water.html</b:URL>
    <b:InternetSiteTitle>http://english.vietnamnet.vn</b:InternetSiteTitle>
    <b:RefOrder>14</b:RefOrder>
  </b:Source>
  <b:Source>
    <b:Tag>Env</b:Tag>
    <b:SourceType>Report</b:SourceType>
    <b:Guid>{67FCCB5D-3C77-46F7-9433-461EB96DC19B}</b:Guid>
    <b:Author>
      <b:Author>
        <b:Corporate>EDL</b:Corporate>
      </b:Author>
    </b:Author>
    <b:Title> Report on MCD Technology Demonstration. Vietnam, Environmental remediation of dioxin contaminated hotspots in Bien Hoa</b:Title>
    <b:Year>December 2012</b:Year>
    <b:RefOrder>15</b:RefOrder>
  </b:Source>
  <b:Source>
    <b:Tag>Ric13</b:Tag>
    <b:SourceType>Report</b:SourceType>
    <b:Guid>{1752CFE5-8CDE-404C-BE3C-499ACEC7DB01}</b:Guid>
    <b:Author>
      <b:Author>
        <b:NameList>
          <b:Person>
            <b:Last>Cooke</b:Last>
            <b:First>Rick</b:First>
          </b:Person>
        </b:NameList>
      </b:Author>
    </b:Author>
    <b:Title>Independent Evaluation of MCDTM Technology Demonstrated for Dioxin Contaminated Soil</b:Title>
    <b:Year>February 2013</b:Year>
    <b:RefOrder>16</b:RefOrder>
  </b:Source>
  <b:Source>
    <b:Tag>Sai13</b:Tag>
    <b:SourceType>ArticleInAPeriodical</b:SourceType>
    <b:Guid>{938872B1-42B1-4D77-8F19-AA9AC8289F83}</b:Guid>
    <b:Author>
      <b:Author>
        <b:NameList>
          <b:Person>
            <b:Last>Saito</b:Last>
            <b:First>Mitsugu</b:First>
          </b:Person>
        </b:NameList>
      </b:Author>
    </b:Author>
    <b:Title>Quick overview of MCD demonstration results in Vietnam</b:Title>
    <b:Year>2013</b:Year>
    <b:Institution>UNDP</b:Institution>
    <b:PeriodicalTitle>Newsletter of the "Environmental Remediation of Dioxin Contaminated Hotspots in Vietnam" Project</b:PeriodicalTitle>
    <b:Volume>April 2013</b:Volume>
    <b:Issue>5</b:Issue>
    <b:RefOrder>17</b:RefOrder>
  </b:Source>
  <b:Source>
    <b:Tag>GEF111</b:Tag>
    <b:SourceType>ArticleInAPeriodical</b:SourceType>
    <b:Guid>{6AB63180-0A99-420A-B3CB-AEC932BBA685}</b:Guid>
    <b:Author>
      <b:Author>
        <b:Corporate>GEF - UNEP Scientific and Technical Advisory Panel</b:Corporate>
      </b:Author>
    </b:Author>
    <b:Title>Selection ofPersistent Organic Pollutant Disposal Technology forthe Global Environment Facility</b:Title>
    <b:Year>November 2011</b:Year>
    <b:RefOrder>18</b:RefOrder>
  </b:Source>
  <b:Source>
    <b:Tag>Bas1</b:Tag>
    <b:SourceType>DocumentFromInternetSite</b:SourceType>
    <b:Guid>{5FA7CB6D-0855-4AEE-96C4-6D3C8EFFA7F4}</b:Guid>
    <b:Title>Basel Convention Updated general technical guidelines for the environmentally sound management of wastes consisting of, containing or contaminated with persistent organic pollutants (POPs)</b:Title>
    <b:InternetSiteTitle>chm.pops.int</b:InternetSiteTitle>
    <b:URL>http://chm.pops.int/Portals/0/flash/popswastetrainingtool/eng/All_technical_guidelines_on_POPs_4.pdf#page=2</b:URL>
    <b:Author>
      <b:Author>
        <b:Corporate>UNEP</b:Corporate>
      </b:Author>
    </b:Author>
    <b:Year>2011</b:Year>
    <b:RefOrder>19</b:RefOrder>
  </b:Source>
  <b:Source>
    <b:Tag>USA10</b:Tag>
    <b:SourceType>Report</b:SourceType>
    <b:Guid>{6AD0C461-1571-4F91-BC9D-CCB24A7C6FFD}</b:Guid>
    <b:LCID>13321</b:LCID>
    <b:Author>
      <b:Author>
        <b:NameList>
          <b:Person>
            <b:Last>USAID</b:Last>
          </b:Person>
        </b:NameList>
      </b:Author>
    </b:Author>
    <b:Title>Environmental Remediation at the Da Nang airport: Environmental Assessment in compliance with 22 CFR 216</b:Title>
    <b:Year>June 2010</b:Year>
    <b:RefOrder>20</b:RefOrder>
  </b:Source>
  <b:Source>
    <b:Tag>Bak</b:Tag>
    <b:SourceType>InternetSite</b:SourceType>
    <b:Guid>{9FB870B6-8E8F-480E-AAFF-D68235490874}</b:Guid>
    <b:Author>
      <b:Author>
        <b:NameList>
          <b:Person>
            <b:Last>Baker</b:Last>
            <b:First>R.S,</b:First>
            <b:Middle>Smith, G.J.and Braatz,H</b:Middle>
          </b:Person>
        </b:NameList>
      </b:Author>
    </b:Author>
    <b:Title>In Pile Thermal Desorption of dioxin contaminated soil and sediment</b:Title>
    <b:Year>2009</b:Year>
    <b:YearAccessed>2013</b:YearAccessed>
    <b:MonthAccessed>06</b:MonthAccessed>
    <b:DayAccessed>27</b:DayAccessed>
    <b:URL>http://www.terratherm.com/pdf/white%20papers/BakerSmithandBraatzpaperforDioxin2009.pdf</b:URL>
    <b:RefOrder>21</b:RefOrder>
  </b:Source>
  <b:Source>
    <b:Tag>Sor09</b:Tag>
    <b:SourceType>InternetSite</b:SourceType>
    <b:Guid>{08FB2E6D-C56E-4683-A157-6A8021069169}</b:Guid>
    <b:Author>
      <b:Author>
        <b:NameList>
          <b:Person>
            <b:Last>Sorenson</b:Last>
            <b:First>K.Ss.,</b:First>
            <b:Middle>Chichakli R.E.,Chenevey, P.M., Montera, J.G., Diep, T.M., McNamee P.J., Boivin T.G., Baker, R.S., Donovan, F., Handler, H.</b:Middle>
          </b:Person>
        </b:NameList>
      </b:Author>
    </b:Author>
    <b:Title>http://www.terratherm.com/resources/documents/76-TechnologySelectionandConceptualDesignforCleanupofDioxinContaminationattheDanangAirportHotSpotVietNam1.pdf</b:Title>
    <b:Year>2009</b:Year>
    <b:YearAccessed>2013</b:YearAccessed>
    <b:MonthAccessed>27</b:MonthAccessed>
    <b:DayAccessed>6</b:DayAccessed>
    <b:RefOrder>22</b:RefOrder>
  </b:Source>
  <b:Source>
    <b:Tag>Uni10</b:Tag>
    <b:SourceType>InternetSite</b:SourceType>
    <b:Guid>{DEAAAE32-2865-484D-A364-96454CCA82AE}</b:Guid>
    <b:Author>
      <b:Author>
        <b:Corporate>United States Environmental Protection Agency</b:Corporate>
      </b:Author>
    </b:Author>
    <b:Title>Reference guide to non combustion technologies for remediation of Persistent Organic Pollutants in soil, Second Edition 2010</b:Title>
    <b:InternetSiteTitle>http://www.clu-in.org/contaminantfocus/default.focus/sec/persistent_organic_pollutants_%28pops%29/cat/Treatment_Technology_Reports/</b:InternetSiteTitle>
    <b:Year>2010</b:Year>
    <b:YearAccessed>2013</b:YearAccessed>
    <b:MonthAccessed>06</b:MonthAccessed>
    <b:DayAccessed>27</b:DayAccessed>
    <b:RefOrder>23</b:RefOrder>
  </b:Source>
  <b:Source>
    <b:Tag>Dra</b:Tag>
    <b:SourceType>DocumentFromInternetSite</b:SourceType>
    <b:Guid>{DA99CD36-D67B-40F1-9CDB-2338644652BB}</b:Guid>
    <b:Title>Draft Dioxin Reassessment - Chapter 2</b:Title>
    <b:InternetSiteTitle>Dioxin Reassessment</b:InternetSiteTitle>
    <b:DayAccessed>July 8, 2012</b:DayAccessed>
    <b:URL>http://www.epa.gov/ncea/pdfs/dioxin/part1/volume2/chap2.pdf</b:URL>
    <b:Author>
      <b:Author>
        <b:Corporate>United States Environmental Protection Agency</b:Corporate>
      </b:Author>
    </b:Author>
    <b:Year>2009</b:Year>
    <b:RefOrder>24</b:RefOrder>
  </b:Source>
  <b:Source>
    <b:Tag>UNE13</b:Tag>
    <b:SourceType>DocumentFromInternetSite</b:SourceType>
    <b:Guid>{C28C7619-C47F-4AF6-B3B9-ED9918E6B254}</b:Guid>
    <b:Author>
      <b:Author>
        <b:Corporate>UNEP</b:Corporate>
      </b:Author>
    </b:Author>
    <b:Title>Updated general technical guidelines for the environmentally sound management of wastes consisting of, contained or contaminated with persistent organic pollutants (POPs)</b:Title>
    <b:InternetSiteTitle>Basel Convention</b:InternetSiteTitle>
    <b:YearAccessed>2013</b:YearAccessed>
    <b:MonthAccessed>06</b:MonthAccessed>
    <b:DayAccessed>27</b:DayAccessed>
    <b:URL>http://www.basel.int/Default.aspx?tabid=2290&amp;ctl=ArticleView&amp;mid=7518&amp;articleId=168</b:URL>
    <b:RefOrder>25</b:RefOrder>
  </b:Source>
  <b:Source>
    <b:Tag>Gov</b:Tag>
    <b:SourceType>Report</b:SourceType>
    <b:Guid>{9081AA33-4EEC-44EA-A833-E47D4E18153E}</b:Guid>
    <b:Author>
      <b:Author>
        <b:Corporate>Government of Vietnam - UNDP - GEF</b:Corporate>
      </b:Author>
    </b:Author>
    <b:Title>Project Document. Environmental Remediation of Dioxin Contaminated Hotspots in Viet Nam</b:Title>
    <b:Year>2010</b:Year>
    <b:RefOrder>2</b:RefOrder>
  </b:Source>
  <b:Source>
    <b:Tag>USE12</b:Tag>
    <b:SourceType>DocumentFromInternetSite</b:SourceType>
    <b:Guid>{E2A22CC8-AC49-4CCE-9F46-EB94EFA3C1CB}</b:Guid>
    <b:Author>
      <b:Author>
        <b:Corporate>USEPA</b:Corporate>
      </b:Author>
    </b:Author>
    <b:Title>Environmental Assessment - Dioxin</b:Title>
    <b:Year>2012</b:Year>
    <b:InternetSiteTitle>Reanalysis of Key Issues Related to Dioxin Toxicity and Response to NAS Comments, Volume 1.</b:InternetSiteTitle>
    <b:YearAccessed>2013</b:YearAccessed>
    <b:MonthAccessed>07</b:MonthAccessed>
    <b:DayAccessed>17</b:DayAccessed>
    <b:URL>http://www.epa.gov/iris/supdocs/1024index.html</b:URL>
    <b:RefOrder>26</b:RefOrder>
  </b:Source>
  <b:Source>
    <b:Tag>GEF09</b:Tag>
    <b:SourceType>Report</b:SourceType>
    <b:Guid>{95FFA226-E613-45DD-9900-9EB97670C7C9}</b:Guid>
    <b:Author>
      <b:Author>
        <b:Corporate>Government of Vietnam, UNDP, FAO, GEF</b:Corporate>
      </b:Author>
    </b:Author>
    <b:Title>Project Document - Building capacity to eliminate POPs pesticides stockpiles in Vietnam</b:Title>
    <b:Year>2009</b:Year>
    <b:RefOrder>27</b:RefOrder>
  </b:Source>
  <b:Source>
    <b:Tag>Soc</b:Tag>
    <b:SourceType>Report</b:SourceType>
    <b:Guid>{69305F16-FE65-4D75-A5A8-8198D946E507}</b:Guid>
    <b:Author>
      <b:Author>
        <b:Corporate>Socialist Republic of Vietnam</b:Corporate>
      </b:Author>
    </b:Author>
    <b:Title>Decision of the Prime Minister No 1946/QD-TTG. Approving the Plan to treat and prevent environmental  pollution by pesticide stockpiles all over the nation</b:Title>
    <b:Year>October 2010</b:Year>
    <b:RefOrder>28</b:RefOrder>
  </b:Source>
  <b:Source>
    <b:Tag>FAO122</b:Tag>
    <b:SourceType>Report</b:SourceType>
    <b:Guid>{41EC2C73-7152-42C8-A215-5E7A2EF164B1}</b:Guid>
    <b:Author>
      <b:Author>
        <b:Corporate>FAO</b:Corporate>
      </b:Author>
    </b:Author>
    <b:Title>Project Implementation Progress Briefing Note</b:Title>
    <b:Year>2012</b:Year>
    <b:RefOrder>29</b:RefOrder>
  </b:Source>
  <b:Source>
    <b:Tag>Geh70</b:Tag>
    <b:SourceType>JournalArticle</b:SourceType>
    <b:Guid>{B6884498-8A01-49EB-9B2D-3637A7F733D1}</b:Guid>
    <b:Author>
      <b:Author>
        <b:NameList>
          <b:Person>
            <b:Last>Gehan</b:Last>
            <b:First>A.</b:First>
          </b:Person>
          <b:Person>
            <b:Last>George</b:Last>
            <b:First>S.L.</b:First>
          </b:Person>
        </b:NameList>
      </b:Author>
    </b:Author>
    <b:Title>Estimation of human body surface area from height and weight. </b:Title>
    <b:Year>1970</b:Year>
    <b:Volume>Cancer Chemother Rep 1970 Aug;54(4):225-35.</b:Volume>
    <b:RefOrder>30</b:RefOrder>
  </b:Source>
  <b:Source>
    <b:Tag>Vie11</b:Tag>
    <b:SourceType>Report</b:SourceType>
    <b:Guid>{9AF3F08B-B0D1-4CD0-A229-10F19E073091}</b:Guid>
    <b:Author>
      <b:Author>
        <b:Corporate>Vietnam Ministry Of Natural Resources and Environment</b:Corporate>
      </b:Author>
    </b:Author>
    <b:Title>Comprehensive report. Agent Orange / Dioxin contamination at three hotspots: Bien Hoa, Phu Cat and Da Nang airbase.Updated in Nov. 2013</b:Title>
    <b:Year>2013</b:Year>
    <b:Month>March</b:Month>
    <b:RefOrder>1</b:RefOrder>
  </b:Source>
  <b:Source>
    <b:Tag>The15</b:Tag>
    <b:SourceType>Report</b:SourceType>
    <b:Guid>{7DF64840-9186-4BD4-A17C-71B79FBEFCAD}</b:Guid>
    <b:Author>
      <b:Author>
        <b:Corporate>Thermodyne Technologies, Inc.</b:Corporate>
      </b:Author>
    </b:Author>
    <b:Title>Technology demonstration project  - final report for low-temperature thermal desorption of dioxin-impacted soil using the matrix constituent separator (MCStm) technology. Draft</b:Title>
    <b:Year>February 2015</b:Year>
    <b:Publisher>Prepared for Vietnam Ministry of Natural Resources and the Environment</b:Publisher>
    <b:City>Charlotte, NC</b:City>
    <b:RefOrder>5</b:RefOrder>
  </b:Source>
  <b:Source>
    <b:Tag>EDL15</b:Tag>
    <b:SourceType>Report</b:SourceType>
    <b:Guid>{2EAD8F2A-8EB6-4905-84F3-8C4EAD40E49F}</b:Guid>
    <b:Author>
      <b:Author>
        <b:Corporate>EDL Environmental Decontamination Ltd</b:Corporate>
      </b:Author>
    </b:Author>
    <b:Title>MCD Technology Demonstration Environmental Remediation of Dioxin  Contaminated hotspots in Vietnam</b:Title>
    <b:Year>February 2015</b:Year>
    <b:Publisher>Prepared for Office 33 / UNDP</b:Publisher>
    <b:RefOrder>6</b:RefOrder>
  </b:Source>
  <b:Source>
    <b:Tag>HPC15</b:Tag>
    <b:SourceType>Report</b:SourceType>
    <b:Guid>{1FA6D598-6773-495F-95FD-AB582CDBF08E}</b:Guid>
    <b:Author>
      <b:Author>
        <b:Corporate>HPC Envirotech</b:Corporate>
      </b:Author>
    </b:Author>
    <b:Title>Project Report - Status 5. Treatment Laboratory Test for Soil Contaminated with Dioxins (PCDD/F) Dioxin Soil Treatment Demonstration. 3nd amendment . </b:Title>
    <b:Year>February 2015</b:Year>
    <b:RefOrder>4</b:RefOrder>
  </b:Source>
  <b:Source>
    <b:Tag>Tho15</b:Tag>
    <b:SourceType>Report</b:SourceType>
    <b:Guid>{F5143581-B1F7-4E1D-A05A-3384DCCB5484}</b:Guid>
    <b:Author>
      <b:Author>
        <b:NameList>
          <b:Person>
            <b:Last>Thomas Boivin</b:Last>
            <b:First>Hang</b:First>
            <b:Middle>Trang Minh</b:Middle>
          </b:Person>
        </b:NameList>
      </b:Author>
    </b:Author>
    <b:Title>Evaluation of Dioxin Project Impact on the Environment and People - FINAL</b:Title>
    <b:Year>February 2015</b:Year>
    <b:RefOrder>3</b:RefOrder>
  </b:Source>
  <b:Source>
    <b:Tag>Vie14</b:Tag>
    <b:SourceType>ConferenceProceedings</b:SourceType>
    <b:Guid>{4718756D-C5AE-41FA-9BDF-96643D065D6B}</b:Guid>
    <b:Author>
      <b:Author>
        <b:NameList>
          <b:Person>
            <b:Last>(MONRE)</b:Last>
            <b:First>Vietnam</b:First>
            <b:Middle>Ministry of Natural Resource and Environment</b:Middle>
          </b:Person>
        </b:NameList>
      </b:Author>
    </b:Author>
    <b:Title>Closing Workshop and Technology Demonstration Technical Workshop</b:Title>
    <b:Year>March 19, 2014</b:Year>
    <b:City>Hanoi</b:City>
    <b:RefOrder>7</b:RefOrder>
  </b:Source>
  <b:Source>
    <b:Tag>Ric15</b:Tag>
    <b:SourceType>Report</b:SourceType>
    <b:Guid>{684B3440-6086-4581-8FB7-79FE86CDD48E}</b:Guid>
    <b:Author>
      <b:Author>
        <b:NameList>
          <b:Person>
            <b:Last>Cooke</b:Last>
            <b:First>Rick</b:First>
          </b:Person>
        </b:NameList>
      </b:Author>
    </b:Author>
    <b:Title>Independent Expert Evaluation of Three Pilot/Laboratory Scale Technology Demonstrations on Dioxin Contaminated Soil Destruction from the Bien Hoa Airbase in Viet Nam.</b:Title>
    <b:Year>March 2015</b:Year>
    <b:RefOrder>8</b:RefOrder>
  </b:Source>
  <b:Source>
    <b:Tag>USA14</b:Tag>
    <b:SourceType>ConferenceProceedings</b:SourceType>
    <b:Guid>{07CD50F9-BEF8-4C26-87DF-8DDDEC7DF2FB}</b:Guid>
    <b:Author>
      <b:Author>
        <b:Corporate>USAID</b:Corporate>
      </b:Author>
    </b:Author>
    <b:Title>Presentation: Environmental Assessment of Dioxin Contamination at Bien Hoa Airbase - Project Overview and Update</b:Title>
    <b:Year>October 21, 2014</b:Year>
    <b:City>Bien Hoa, Vietnam</b:City>
    <b:RefOrder>9</b:RefOrder>
  </b:Source>
</b:Sources>
</file>

<file path=customXml/item3.xml><?xml version="1.0" encoding="utf-8"?>
<b:Sources xmlns:b="http://schemas.openxmlformats.org/officeDocument/2006/bibliography" xmlns="http://schemas.openxmlformats.org/officeDocument/2006/bibliography" SelectedStyle="\ISO690Nmerical.XSL" StyleName="ISO 690 - Numerical Reference">
  <b:Source>
    <b:Tag>Col12</b:Tag>
    <b:SourceType>InternetSite</b:SourceType>
    <b:Guid>{7ED83007-F8FC-4582-B4DB-8EF5F0502BE6}</b:Guid>
    <b:Author>
      <b:Author>
        <b:Corporate>Collins</b:Corporate>
      </b:Author>
    </b:Author>
    <b:InternetSiteTitle>Collins online dictionary</b:InternetSiteTitle>
    <b:YearAccessed>2012</b:YearAccessed>
    <b:MonthAccessed>October</b:MonthAccessed>
    <b:DayAccessed>12</b:DayAccessed>
    <b:RefOrder>10</b:RefOrder>
  </b:Source>
  <b:Source>
    <b:Tag>Bas</b:Tag>
    <b:SourceType>Misc</b:SourceType>
    <b:Guid>{D54B8EB4-5740-4FC3-826D-92D2F63C4D91}</b:Guid>
    <b:Title>Basel Convention on the Control of Transboundary Movements of Hazardous Wastes and their Disposal</b:Title>
    <b:RefOrder>11</b:RefOrder>
  </b:Source>
  <b:Source>
    <b:Tag>Sto</b:Tag>
    <b:SourceType>Misc</b:SourceType>
    <b:Guid>{A3193B84-9DF5-4B44-8FCB-30F7B1091AD5}</b:Guid>
    <b:PublicationTitle>Stockholm Convention on Persistent Organic Chemicals (POPs) as amended in 2009</b:PublicationTitle>
    <b:RefOrder>12</b:RefOrder>
  </b:Source>
  <b:Source>
    <b:Tag>GEF11</b:Tag>
    <b:SourceType>Report</b:SourceType>
    <b:Guid>{AFE7AC28-6E0D-43BB-979C-5919D7B2D0D3}</b:Guid>
    <b:Author>
      <b:Author>
        <b:Corporate>GEF</b:Corporate>
      </b:Author>
    </b:Author>
    <b:Title>GEF 5 Focal Area Strategies - Chemical Strategy</b:Title>
    <b:Year>2011</b:Year>
    <b:RefOrder>13</b:RefOrder>
  </b:Source>
  <b:Source>
    <b:Tag>Vie12</b:Tag>
    <b:SourceType>InternetSite</b:SourceType>
    <b:Guid>{FBE4FBFD-BB2B-40B6-AA2F-D54353AA1141}</b:Guid>
    <b:Author>
      <b:Author>
        <b:Corporate>Vietnamnet</b:Corporate>
      </b:Author>
    </b:Author>
    <b:Title>The “cancer village” created by dirty field water</b:Title>
    <b:YearAccessed>2012</b:YearAccessed>
    <b:MonthAccessed>10</b:MonthAccessed>
    <b:DayAccessed>25</b:DayAccessed>
    <b:URL>http://english.vietnamnet.vn/en/environment/18837/the--cancer-village--created-by-dirty-field-water.html</b:URL>
    <b:InternetSiteTitle>http://english.vietnamnet.vn</b:InternetSiteTitle>
    <b:RefOrder>14</b:RefOrder>
  </b:Source>
  <b:Source>
    <b:Tag>Env</b:Tag>
    <b:SourceType>Report</b:SourceType>
    <b:Guid>{67FCCB5D-3C77-46F7-9433-461EB96DC19B}</b:Guid>
    <b:Author>
      <b:Author>
        <b:Corporate>EDL</b:Corporate>
      </b:Author>
    </b:Author>
    <b:Title> Report on MCD Technology Demonstration. Vietnam, Environmental remediation of dioxin contaminated hotspots in Bien Hoa</b:Title>
    <b:Year>December 2012</b:Year>
    <b:RefOrder>15</b:RefOrder>
  </b:Source>
  <b:Source>
    <b:Tag>Ric13</b:Tag>
    <b:SourceType>Report</b:SourceType>
    <b:Guid>{1752CFE5-8CDE-404C-BE3C-499ACEC7DB01}</b:Guid>
    <b:Author>
      <b:Author>
        <b:NameList>
          <b:Person>
            <b:Last>Cooke</b:Last>
            <b:First>Rick</b:First>
          </b:Person>
        </b:NameList>
      </b:Author>
    </b:Author>
    <b:Title>Independent Evaluation of MCDTM Technology Demonstrated for Dioxin Contaminated Soil</b:Title>
    <b:Year>February 2013</b:Year>
    <b:RefOrder>16</b:RefOrder>
  </b:Source>
  <b:Source>
    <b:Tag>Sai13</b:Tag>
    <b:SourceType>ArticleInAPeriodical</b:SourceType>
    <b:Guid>{938872B1-42B1-4D77-8F19-AA9AC8289F83}</b:Guid>
    <b:Author>
      <b:Author>
        <b:NameList>
          <b:Person>
            <b:Last>Saito</b:Last>
            <b:First>Mitsugu</b:First>
          </b:Person>
        </b:NameList>
      </b:Author>
    </b:Author>
    <b:Title>Quick overview of MCD demonstration results in Vietnam</b:Title>
    <b:Year>2013</b:Year>
    <b:Institution>UNDP</b:Institution>
    <b:PeriodicalTitle>Newsletter of the "Environmental Remediation of Dioxin Contaminated Hotspots in Vietnam" Project</b:PeriodicalTitle>
    <b:Volume>April 2013</b:Volume>
    <b:Issue>5</b:Issue>
    <b:RefOrder>17</b:RefOrder>
  </b:Source>
  <b:Source>
    <b:Tag>GEF111</b:Tag>
    <b:SourceType>ArticleInAPeriodical</b:SourceType>
    <b:Guid>{6AB63180-0A99-420A-B3CB-AEC932BBA685}</b:Guid>
    <b:Author>
      <b:Author>
        <b:Corporate>GEF - UNEP Scientific and Technical Advisory Panel</b:Corporate>
      </b:Author>
    </b:Author>
    <b:Title>Selection ofPersistent Organic Pollutant Disposal Technology forthe Global Environment Facility</b:Title>
    <b:Year>November 2011</b:Year>
    <b:RefOrder>18</b:RefOrder>
  </b:Source>
  <b:Source>
    <b:Tag>Bas1</b:Tag>
    <b:SourceType>DocumentFromInternetSite</b:SourceType>
    <b:Guid>{5FA7CB6D-0855-4AEE-96C4-6D3C8EFFA7F4}</b:Guid>
    <b:Title>Basel Convention Updated general technical guidelines for the environmentally sound management of wastes consisting of, containing or contaminated with persistent organic pollutants (POPs)</b:Title>
    <b:InternetSiteTitle>chm.pops.int</b:InternetSiteTitle>
    <b:URL>http://chm.pops.int/Portals/0/flash/popswastetrainingtool/eng/All_technical_guidelines_on_POPs_4.pdf#page=2</b:URL>
    <b:Author>
      <b:Author>
        <b:Corporate>UNEP</b:Corporate>
      </b:Author>
    </b:Author>
    <b:Year>2011</b:Year>
    <b:RefOrder>19</b:RefOrder>
  </b:Source>
  <b:Source>
    <b:Tag>USA10</b:Tag>
    <b:SourceType>Report</b:SourceType>
    <b:Guid>{6AD0C461-1571-4F91-BC9D-CCB24A7C6FFD}</b:Guid>
    <b:LCID>13321</b:LCID>
    <b:Author>
      <b:Author>
        <b:NameList>
          <b:Person>
            <b:Last>USAID</b:Last>
          </b:Person>
        </b:NameList>
      </b:Author>
    </b:Author>
    <b:Title>Environmental Remediation at the Da Nang airport: Environmental Assessment in compliance with 22 CFR 216</b:Title>
    <b:Year>June 2010</b:Year>
    <b:RefOrder>20</b:RefOrder>
  </b:Source>
  <b:Source>
    <b:Tag>Bak</b:Tag>
    <b:SourceType>InternetSite</b:SourceType>
    <b:Guid>{9FB870B6-8E8F-480E-AAFF-D68235490874}</b:Guid>
    <b:Author>
      <b:Author>
        <b:NameList>
          <b:Person>
            <b:Last>Baker</b:Last>
            <b:First>R.S,</b:First>
            <b:Middle>Smith, G.J.and Braatz,H</b:Middle>
          </b:Person>
        </b:NameList>
      </b:Author>
    </b:Author>
    <b:Title>In Pile Thermal Desorption of dioxin contaminated soil and sediment</b:Title>
    <b:Year>2009</b:Year>
    <b:YearAccessed>2013</b:YearAccessed>
    <b:MonthAccessed>06</b:MonthAccessed>
    <b:DayAccessed>27</b:DayAccessed>
    <b:URL>http://www.terratherm.com/pdf/white%20papers/BakerSmithandBraatzpaperforDioxin2009.pdf</b:URL>
    <b:RefOrder>21</b:RefOrder>
  </b:Source>
  <b:Source>
    <b:Tag>Sor09</b:Tag>
    <b:SourceType>InternetSite</b:SourceType>
    <b:Guid>{08FB2E6D-C56E-4683-A157-6A8021069169}</b:Guid>
    <b:Author>
      <b:Author>
        <b:NameList>
          <b:Person>
            <b:Last>Sorenson</b:Last>
            <b:First>K.Ss.,</b:First>
            <b:Middle>Chichakli R.E.,Chenevey, P.M., Montera, J.G., Diep, T.M., McNamee P.J., Boivin T.G., Baker, R.S., Donovan, F., Handler, H.</b:Middle>
          </b:Person>
        </b:NameList>
      </b:Author>
    </b:Author>
    <b:Title>http://www.terratherm.com/resources/documents/76-TechnologySelectionandConceptualDesignforCleanupofDioxinContaminationattheDanangAirportHotSpotVietNam1.pdf</b:Title>
    <b:Year>2009</b:Year>
    <b:YearAccessed>2013</b:YearAccessed>
    <b:MonthAccessed>27</b:MonthAccessed>
    <b:DayAccessed>6</b:DayAccessed>
    <b:RefOrder>22</b:RefOrder>
  </b:Source>
  <b:Source>
    <b:Tag>Uni10</b:Tag>
    <b:SourceType>InternetSite</b:SourceType>
    <b:Guid>{DEAAAE32-2865-484D-A364-96454CCA82AE}</b:Guid>
    <b:Author>
      <b:Author>
        <b:Corporate>United States Environmental Protection Agency</b:Corporate>
      </b:Author>
    </b:Author>
    <b:Title>Reference guide to non combustion technologies for remediation of Persistent Organic Pollutants in soil, Second Edition 2010</b:Title>
    <b:InternetSiteTitle>http://www.clu-in.org/contaminantfocus/default.focus/sec/persistent_organic_pollutants_%28pops%29/cat/Treatment_Technology_Reports/</b:InternetSiteTitle>
    <b:Year>2010</b:Year>
    <b:YearAccessed>2013</b:YearAccessed>
    <b:MonthAccessed>06</b:MonthAccessed>
    <b:DayAccessed>27</b:DayAccessed>
    <b:RefOrder>23</b:RefOrder>
  </b:Source>
  <b:Source>
    <b:Tag>Dra</b:Tag>
    <b:SourceType>DocumentFromInternetSite</b:SourceType>
    <b:Guid>{DA99CD36-D67B-40F1-9CDB-2338644652BB}</b:Guid>
    <b:Title>Draft Dioxin Reassessment - Chapter 2</b:Title>
    <b:InternetSiteTitle>Dioxin Reassessment</b:InternetSiteTitle>
    <b:DayAccessed>July 8, 2012</b:DayAccessed>
    <b:URL>http://www.epa.gov/ncea/pdfs/dioxin/part1/volume2/chap2.pdf</b:URL>
    <b:Author>
      <b:Author>
        <b:Corporate>United States Environmental Protection Agency</b:Corporate>
      </b:Author>
    </b:Author>
    <b:Year>2009</b:Year>
    <b:RefOrder>24</b:RefOrder>
  </b:Source>
  <b:Source>
    <b:Tag>UNE13</b:Tag>
    <b:SourceType>DocumentFromInternetSite</b:SourceType>
    <b:Guid>{C28C7619-C47F-4AF6-B3B9-ED9918E6B254}</b:Guid>
    <b:Author>
      <b:Author>
        <b:Corporate>UNEP</b:Corporate>
      </b:Author>
    </b:Author>
    <b:Title>Updated general technical guidelines for the environmentally sound management of wastes consisting of, contained or contaminated with persistent organic pollutants (POPs)</b:Title>
    <b:InternetSiteTitle>Basel Convention</b:InternetSiteTitle>
    <b:YearAccessed>2013</b:YearAccessed>
    <b:MonthAccessed>06</b:MonthAccessed>
    <b:DayAccessed>27</b:DayAccessed>
    <b:URL>http://www.basel.int/Default.aspx?tabid=2290&amp;ctl=ArticleView&amp;mid=7518&amp;articleId=168</b:URL>
    <b:RefOrder>25</b:RefOrder>
  </b:Source>
  <b:Source>
    <b:Tag>Gov</b:Tag>
    <b:SourceType>Report</b:SourceType>
    <b:Guid>{9081AA33-4EEC-44EA-A833-E47D4E18153E}</b:Guid>
    <b:Author>
      <b:Author>
        <b:Corporate>Government of Vietnam - UNDP - GEF</b:Corporate>
      </b:Author>
    </b:Author>
    <b:Title>Project Document. Environmental Remediation of Dioxin Contaminated Hotspots in Viet Nam</b:Title>
    <b:Year>2010</b:Year>
    <b:RefOrder>2</b:RefOrder>
  </b:Source>
  <b:Source>
    <b:Tag>USE12</b:Tag>
    <b:SourceType>DocumentFromInternetSite</b:SourceType>
    <b:Guid>{E2A22CC8-AC49-4CCE-9F46-EB94EFA3C1CB}</b:Guid>
    <b:Author>
      <b:Author>
        <b:Corporate>USEPA</b:Corporate>
      </b:Author>
    </b:Author>
    <b:Title>Environmental Assessment - Dioxin</b:Title>
    <b:Year>2012</b:Year>
    <b:InternetSiteTitle>Reanalysis of Key Issues Related to Dioxin Toxicity and Response to NAS Comments, Volume 1.</b:InternetSiteTitle>
    <b:YearAccessed>2013</b:YearAccessed>
    <b:MonthAccessed>07</b:MonthAccessed>
    <b:DayAccessed>17</b:DayAccessed>
    <b:URL>http://www.epa.gov/iris/supdocs/1024index.html</b:URL>
    <b:RefOrder>26</b:RefOrder>
  </b:Source>
  <b:Source>
    <b:Tag>GEF09</b:Tag>
    <b:SourceType>Report</b:SourceType>
    <b:Guid>{95FFA226-E613-45DD-9900-9EB97670C7C9}</b:Guid>
    <b:Author>
      <b:Author>
        <b:Corporate>Government of Vietnam, UNDP, FAO, GEF</b:Corporate>
      </b:Author>
    </b:Author>
    <b:Title>Project Document - Building capacity to eliminate POPs pesticides stockpiles in Vietnam</b:Title>
    <b:Year>2009</b:Year>
    <b:RefOrder>27</b:RefOrder>
  </b:Source>
  <b:Source>
    <b:Tag>Soc</b:Tag>
    <b:SourceType>Report</b:SourceType>
    <b:Guid>{69305F16-FE65-4D75-A5A8-8198D946E507}</b:Guid>
    <b:Author>
      <b:Author>
        <b:Corporate>Socialist Republic of Vietnam</b:Corporate>
      </b:Author>
    </b:Author>
    <b:Title>Decision of the Prime Minister No 1946/QD-TTG. Approving the Plan to treat and prevent environmental  pollution by pesticide stockpiles all over the nation</b:Title>
    <b:Year>October 2010</b:Year>
    <b:RefOrder>28</b:RefOrder>
  </b:Source>
  <b:Source>
    <b:Tag>FAO122</b:Tag>
    <b:SourceType>Report</b:SourceType>
    <b:Guid>{41EC2C73-7152-42C8-A215-5E7A2EF164B1}</b:Guid>
    <b:Author>
      <b:Author>
        <b:Corporate>FAO</b:Corporate>
      </b:Author>
    </b:Author>
    <b:Title>Project Implementation Progress Briefing Note</b:Title>
    <b:Year>2012</b:Year>
    <b:RefOrder>29</b:RefOrder>
  </b:Source>
  <b:Source>
    <b:Tag>Geh70</b:Tag>
    <b:SourceType>JournalArticle</b:SourceType>
    <b:Guid>{B6884498-8A01-49EB-9B2D-3637A7F733D1}</b:Guid>
    <b:Author>
      <b:Author>
        <b:NameList>
          <b:Person>
            <b:Last>Gehan</b:Last>
            <b:First>A.</b:First>
          </b:Person>
          <b:Person>
            <b:Last>George</b:Last>
            <b:First>S.L.</b:First>
          </b:Person>
        </b:NameList>
      </b:Author>
    </b:Author>
    <b:Title>Estimation of human body surface area from height and weight. </b:Title>
    <b:Year>1970</b:Year>
    <b:Volume>Cancer Chemother Rep 1970 Aug;54(4):225-35.</b:Volume>
    <b:RefOrder>30</b:RefOrder>
  </b:Source>
  <b:Source>
    <b:Tag>Vie11</b:Tag>
    <b:SourceType>Report</b:SourceType>
    <b:Guid>{9AF3F08B-B0D1-4CD0-A229-10F19E073091}</b:Guid>
    <b:Author>
      <b:Author>
        <b:Corporate>Vietnam Ministry Of Natural Resources and Environment</b:Corporate>
      </b:Author>
    </b:Author>
    <b:Title>Comprehensive report. Agent Orange / Dioxin contamination at three hotspots: Bien Hoa, Phu Cat and Da Nang airbase.Updated in Nov. 2013</b:Title>
    <b:Year>2013</b:Year>
    <b:Month>March</b:Month>
    <b:RefOrder>1</b:RefOrder>
  </b:Source>
  <b:Source>
    <b:Tag>The15</b:Tag>
    <b:SourceType>Report</b:SourceType>
    <b:Guid>{7DF64840-9186-4BD4-A17C-71B79FBEFCAD}</b:Guid>
    <b:Author>
      <b:Author>
        <b:Corporate>Thermodyne Technologies, Inc.</b:Corporate>
      </b:Author>
    </b:Author>
    <b:Title>Technology demonstration project  - final report for low-temperature thermal desorption of dioxin-impacted soil using the matrix constituent separator (MCStm) technology. Draft</b:Title>
    <b:Year>February 2015</b:Year>
    <b:Publisher>Prepared for Vietnam Ministry of Natural Resources and the Environment</b:Publisher>
    <b:City>Charlotte, NC</b:City>
    <b:RefOrder>5</b:RefOrder>
  </b:Source>
  <b:Source>
    <b:Tag>EDL15</b:Tag>
    <b:SourceType>Report</b:SourceType>
    <b:Guid>{2EAD8F2A-8EB6-4905-84F3-8C4EAD40E49F}</b:Guid>
    <b:Author>
      <b:Author>
        <b:Corporate>EDL Environmental Decontamination Ltd</b:Corporate>
      </b:Author>
    </b:Author>
    <b:Title>MCD Technology Demonstration Environmental Remediation of Dioxin  Contaminated hotspots in Vietnam</b:Title>
    <b:Year>February 2015</b:Year>
    <b:Publisher>Prepared for Office 33 / UNDP</b:Publisher>
    <b:RefOrder>6</b:RefOrder>
  </b:Source>
  <b:Source>
    <b:Tag>HPC15</b:Tag>
    <b:SourceType>Report</b:SourceType>
    <b:Guid>{1FA6D598-6773-495F-95FD-AB582CDBF08E}</b:Guid>
    <b:Author>
      <b:Author>
        <b:Corporate>HPC Envirotech</b:Corporate>
      </b:Author>
    </b:Author>
    <b:Title>Project Report - Status 5. Treatment Laboratory Test for Soil Contaminated with Dioxins (PCDD/F) Dioxin Soil Treatment Demonstration. 3nd amendment . </b:Title>
    <b:Year>February 2015</b:Year>
    <b:RefOrder>4</b:RefOrder>
  </b:Source>
  <b:Source>
    <b:Tag>Tho15</b:Tag>
    <b:SourceType>Report</b:SourceType>
    <b:Guid>{F5143581-B1F7-4E1D-A05A-3384DCCB5484}</b:Guid>
    <b:Author>
      <b:Author>
        <b:NameList>
          <b:Person>
            <b:Last>Thomas Boivin</b:Last>
            <b:First>Hang</b:First>
            <b:Middle>Trang Minh</b:Middle>
          </b:Person>
        </b:NameList>
      </b:Author>
    </b:Author>
    <b:Title>Evaluation of Dioxin Project Impact on the Environment and People - FINAL</b:Title>
    <b:Year>February 2015</b:Year>
    <b:RefOrder>3</b:RefOrder>
  </b:Source>
  <b:Source>
    <b:Tag>Vie14</b:Tag>
    <b:SourceType>ConferenceProceedings</b:SourceType>
    <b:Guid>{4718756D-C5AE-41FA-9BDF-96643D065D6B}</b:Guid>
    <b:Author>
      <b:Author>
        <b:NameList>
          <b:Person>
            <b:Last>(MONRE)</b:Last>
            <b:First>Vietnam</b:First>
            <b:Middle>Ministry of Natural Resource and Environment</b:Middle>
          </b:Person>
        </b:NameList>
      </b:Author>
    </b:Author>
    <b:Title>Closing Workshop and Technology Demonstration Technical Workshop</b:Title>
    <b:Year>March 19, 2014</b:Year>
    <b:City>Hanoi</b:City>
    <b:RefOrder>7</b:RefOrder>
  </b:Source>
  <b:Source>
    <b:Tag>Ric15</b:Tag>
    <b:SourceType>Report</b:SourceType>
    <b:Guid>{684B3440-6086-4581-8FB7-79FE86CDD48E}</b:Guid>
    <b:Author>
      <b:Author>
        <b:NameList>
          <b:Person>
            <b:Last>Cooke</b:Last>
            <b:First>Rick</b:First>
          </b:Person>
        </b:NameList>
      </b:Author>
    </b:Author>
    <b:Title>Independent Expert Evaluation of Three Pilot/Laboratory Scale Technology Demonstrations on Dioxin Contaminated Soil Destruction from the Bien Hoa Airbase in Viet Nam.</b:Title>
    <b:Year>March 2015</b:Year>
    <b:RefOrder>8</b:RefOrder>
  </b:Source>
  <b:Source>
    <b:Tag>USA14</b:Tag>
    <b:SourceType>ConferenceProceedings</b:SourceType>
    <b:Guid>{07CD50F9-BEF8-4C26-87DF-8DDDEC7DF2FB}</b:Guid>
    <b:Author>
      <b:Author>
        <b:Corporate>USAID</b:Corporate>
      </b:Author>
    </b:Author>
    <b:Title>Presentation: Environmental Assessment of Dioxin Contamination at Bien Hoa Airbase - Project Overview and Update</b:Title>
    <b:Year>October 21, 2014</b:Year>
    <b:City>Bien Hoa, Vietnam</b:City>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F295F3-6D10-463B-A345-C9300615465D}">
  <ds:schemaRefs>
    <ds:schemaRef ds:uri="http://schemas.openxmlformats.org/officeDocument/2006/bibliography"/>
  </ds:schemaRefs>
</ds:datastoreItem>
</file>

<file path=customXml/itemProps3.xml><?xml version="1.0" encoding="utf-8"?>
<ds:datastoreItem xmlns:ds="http://schemas.openxmlformats.org/officeDocument/2006/customXml" ds:itemID="{F3CC095F-C8EA-4986-845C-0A5BBD81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6561</Words>
  <Characters>37402</Characters>
  <Application>Microsoft Office Word</Application>
  <DocSecurity>0</DocSecurity>
  <Lines>311</Lines>
  <Paragraphs>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GEF/UNDP project Environmental Remediation of Dioxin Contaminated Hotspots in Viet Nam</vt:lpstr>
      <vt:lpstr>GEF/UNDP project Environmental Remediation of Dioxin Contaminated Hotspots in Viet Nam</vt:lpstr>
    </vt:vector>
  </TitlesOfParts>
  <Company>Independent Terminal Evaluation Consultants</Company>
  <LinksUpToDate>false</LinksUpToDate>
  <CharactersWithSpaces>43876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GEF/UNDP project Environmental Remediation of Dioxin Contaminated Hotspots in Viet Nam</dc:title>
  <dc:creator>Carlo Lupi and Nghiem Kim Hoa-</dc:creator>
  <cp:lastModifiedBy>Truong.Quynh.Trang</cp:lastModifiedBy>
  <cp:revision>3</cp:revision>
  <cp:lastPrinted>2015-05-07T09:31:00Z</cp:lastPrinted>
  <dcterms:created xsi:type="dcterms:W3CDTF">2015-06-17T15:23:00Z</dcterms:created>
  <dcterms:modified xsi:type="dcterms:W3CDTF">2015-06-17T15:31:00Z</dcterms:modified>
</cp:coreProperties>
</file>