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20CEC" w14:textId="77777777" w:rsidR="00A52B28" w:rsidRPr="00FB6D4E" w:rsidRDefault="00B0742C" w:rsidP="00A52B28">
      <w:r>
        <w:rPr>
          <w:noProof/>
        </w:rPr>
        <w:drawing>
          <wp:anchor distT="0" distB="0" distL="114300" distR="114300" simplePos="0" relativeHeight="251735040" behindDoc="0" locked="0" layoutInCell="1" allowOverlap="1" wp14:anchorId="70B9D586" wp14:editId="24415C69">
            <wp:simplePos x="0" y="0"/>
            <wp:positionH relativeFrom="column">
              <wp:posOffset>278130</wp:posOffset>
            </wp:positionH>
            <wp:positionV relativeFrom="paragraph">
              <wp:posOffset>78105</wp:posOffset>
            </wp:positionV>
            <wp:extent cx="1049020" cy="1318895"/>
            <wp:effectExtent l="0" t="0" r="0" b="1905"/>
            <wp:wrapTight wrapText="bothSides">
              <wp:wrapPolygon edited="0">
                <wp:start x="6276" y="0"/>
                <wp:lineTo x="1569" y="2912"/>
                <wp:lineTo x="523" y="3744"/>
                <wp:lineTo x="0" y="8736"/>
                <wp:lineTo x="0" y="17471"/>
                <wp:lineTo x="2615" y="19967"/>
                <wp:lineTo x="8891" y="21215"/>
                <wp:lineTo x="11506" y="21215"/>
                <wp:lineTo x="17782" y="19967"/>
                <wp:lineTo x="20920" y="17055"/>
                <wp:lineTo x="20920" y="3744"/>
                <wp:lineTo x="17259" y="1664"/>
                <wp:lineTo x="8891" y="0"/>
                <wp:lineTo x="6276" y="0"/>
              </wp:wrapPolygon>
            </wp:wrapTight>
            <wp:docPr id="6" name="Picture 6" descr="Macintosh HD:Users:bellamyjj:Downloads:477px-Coat_of_arms_of_Moldov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ellamyjj:Downloads:477px-Coat_of_arms_of_Moldova.svg.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49020"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959" w:rsidRPr="00E16959">
        <w:rPr>
          <w:noProof/>
        </w:rPr>
        <w:drawing>
          <wp:anchor distT="0" distB="0" distL="114300" distR="114300" simplePos="0" relativeHeight="251710464" behindDoc="0" locked="0" layoutInCell="1" allowOverlap="1" wp14:anchorId="7A82DCD1" wp14:editId="095E325E">
            <wp:simplePos x="0" y="0"/>
            <wp:positionH relativeFrom="column">
              <wp:posOffset>5257165</wp:posOffset>
            </wp:positionH>
            <wp:positionV relativeFrom="paragraph">
              <wp:posOffset>80010</wp:posOffset>
            </wp:positionV>
            <wp:extent cx="723900" cy="1552575"/>
            <wp:effectExtent l="0" t="0" r="12700" b="0"/>
            <wp:wrapTight wrapText="bothSides">
              <wp:wrapPolygon edited="0">
                <wp:start x="758" y="0"/>
                <wp:lineTo x="0" y="16609"/>
                <wp:lineTo x="0" y="19789"/>
                <wp:lineTo x="21221" y="19789"/>
                <wp:lineTo x="21221" y="17315"/>
                <wp:lineTo x="19705" y="0"/>
                <wp:lineTo x="758" y="0"/>
              </wp:wrapPolygon>
            </wp:wrapTight>
            <wp:docPr id="1" name="Picture 1" descr="Macintosh HD:Users:bellamyjj:Documents:Data - ST Work:UNDP-IBSA - Lao:Deliverab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llamyjj:Documents:Data - ST Work:UNDP-IBSA - Lao:Deliverables:image001.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239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66E8F" w14:textId="77777777" w:rsidR="00A52B28" w:rsidRPr="00FB6D4E" w:rsidRDefault="00A52B28" w:rsidP="00A52B28"/>
    <w:p w14:paraId="046C3FF7" w14:textId="77777777" w:rsidR="00A52B28" w:rsidRPr="00FB6D4E" w:rsidRDefault="00A52B28" w:rsidP="00285DC4">
      <w:pPr>
        <w:jc w:val="center"/>
        <w:rPr>
          <w:highlight w:val="yellow"/>
        </w:rPr>
      </w:pPr>
    </w:p>
    <w:p w14:paraId="47DE9C4E" w14:textId="77777777" w:rsidR="00A52B28" w:rsidRPr="00FB6D4E" w:rsidRDefault="00A52B28" w:rsidP="00A52B28">
      <w:pPr>
        <w:rPr>
          <w:highlight w:val="yellow"/>
        </w:rPr>
      </w:pPr>
    </w:p>
    <w:p w14:paraId="421F314E" w14:textId="77777777" w:rsidR="00A52B28" w:rsidRPr="00FB6D4E" w:rsidRDefault="00A52B28" w:rsidP="00A52B28">
      <w:pPr>
        <w:rPr>
          <w:highlight w:val="yellow"/>
        </w:rPr>
      </w:pPr>
    </w:p>
    <w:p w14:paraId="41B3566D" w14:textId="77777777" w:rsidR="00A52B28" w:rsidRPr="00FB6D4E" w:rsidRDefault="00A52B28" w:rsidP="00A52B28">
      <w:pPr>
        <w:rPr>
          <w:highlight w:val="yellow"/>
        </w:rPr>
      </w:pPr>
    </w:p>
    <w:p w14:paraId="18076C51" w14:textId="77777777" w:rsidR="00A52B28" w:rsidRPr="00FB6D4E" w:rsidRDefault="00A52B28" w:rsidP="00A52B28">
      <w:pPr>
        <w:rPr>
          <w:highlight w:val="yellow"/>
        </w:rPr>
      </w:pPr>
    </w:p>
    <w:p w14:paraId="6FD3154C" w14:textId="77777777" w:rsidR="00A52B28" w:rsidRPr="00FB6D4E" w:rsidRDefault="00A52B28" w:rsidP="00A52B28">
      <w:pPr>
        <w:rPr>
          <w:highlight w:val="yellow"/>
        </w:rPr>
      </w:pPr>
    </w:p>
    <w:p w14:paraId="0FE4F574" w14:textId="77777777" w:rsidR="00A52B28" w:rsidRDefault="00A52B28" w:rsidP="00A52B28">
      <w:pPr>
        <w:rPr>
          <w:highlight w:val="yellow"/>
        </w:rPr>
      </w:pPr>
    </w:p>
    <w:p w14:paraId="5DA92BE5" w14:textId="77777777" w:rsidR="00C2790D" w:rsidRDefault="00C2790D" w:rsidP="00A52B28">
      <w:pPr>
        <w:rPr>
          <w:highlight w:val="yellow"/>
        </w:rPr>
      </w:pPr>
    </w:p>
    <w:p w14:paraId="3E05D858" w14:textId="77777777" w:rsidR="00B0742C" w:rsidRDefault="00B0742C" w:rsidP="00A52B28">
      <w:pPr>
        <w:pStyle w:val="Titlepage1"/>
        <w:spacing w:before="120" w:after="120"/>
        <w:rPr>
          <w:sz w:val="28"/>
          <w:szCs w:val="28"/>
          <w:lang w:val="en-US"/>
        </w:rPr>
      </w:pPr>
    </w:p>
    <w:p w14:paraId="01496DE2" w14:textId="77777777" w:rsidR="00B0742C" w:rsidRDefault="00B0742C" w:rsidP="00A52B28">
      <w:pPr>
        <w:pStyle w:val="Titlepage1"/>
        <w:spacing w:before="120" w:after="120"/>
        <w:rPr>
          <w:sz w:val="28"/>
          <w:szCs w:val="28"/>
          <w:lang w:val="en-US"/>
        </w:rPr>
      </w:pPr>
    </w:p>
    <w:p w14:paraId="79091645" w14:textId="77777777" w:rsidR="00B0742C" w:rsidRDefault="00B0742C" w:rsidP="00A52B28">
      <w:pPr>
        <w:pStyle w:val="Titlepage1"/>
        <w:spacing w:before="120" w:after="120"/>
        <w:rPr>
          <w:sz w:val="28"/>
          <w:szCs w:val="28"/>
          <w:lang w:val="en-US"/>
        </w:rPr>
      </w:pPr>
    </w:p>
    <w:p w14:paraId="6CA8447C" w14:textId="77777777" w:rsidR="00A52B28" w:rsidRPr="0080303F" w:rsidRDefault="00285DC4" w:rsidP="00A52B28">
      <w:pPr>
        <w:pStyle w:val="Titlepage1"/>
        <w:spacing w:before="120" w:after="120"/>
        <w:rPr>
          <w:sz w:val="28"/>
          <w:szCs w:val="28"/>
          <w:lang w:val="en-US"/>
        </w:rPr>
      </w:pPr>
      <w:r w:rsidRPr="0080303F">
        <w:rPr>
          <w:sz w:val="28"/>
          <w:szCs w:val="28"/>
          <w:lang w:val="en-US"/>
        </w:rPr>
        <w:t>TERMINAL</w:t>
      </w:r>
      <w:r w:rsidR="002831E0" w:rsidRPr="0080303F">
        <w:rPr>
          <w:sz w:val="28"/>
          <w:szCs w:val="28"/>
          <w:lang w:val="en-US"/>
        </w:rPr>
        <w:t xml:space="preserve"> EVALUATION</w:t>
      </w:r>
    </w:p>
    <w:p w14:paraId="0E583253" w14:textId="77777777" w:rsidR="00B0742C" w:rsidRDefault="00B0742C" w:rsidP="00B0742C">
      <w:pPr>
        <w:pStyle w:val="Titlepage1"/>
        <w:spacing w:before="120" w:after="120"/>
        <w:rPr>
          <w:lang w:val="en-US"/>
        </w:rPr>
      </w:pPr>
    </w:p>
    <w:p w14:paraId="688F5591" w14:textId="77777777" w:rsidR="00B0742C" w:rsidRPr="00B0742C" w:rsidRDefault="00B0742C" w:rsidP="00B0742C">
      <w:pPr>
        <w:pStyle w:val="Titlepage1"/>
        <w:spacing w:before="120" w:after="120"/>
        <w:rPr>
          <w:lang w:val="en-US"/>
        </w:rPr>
      </w:pPr>
      <w:r w:rsidRPr="00B0742C">
        <w:rPr>
          <w:lang w:val="en-US"/>
        </w:rPr>
        <w:t xml:space="preserve">of the UNDP-supported-GEF-financed Project </w:t>
      </w:r>
    </w:p>
    <w:p w14:paraId="5DD29D73" w14:textId="77777777" w:rsidR="00B0742C" w:rsidRPr="00B0742C" w:rsidRDefault="00B0742C" w:rsidP="00B0742C">
      <w:pPr>
        <w:pStyle w:val="Titlepage1"/>
        <w:spacing w:before="120" w:after="120"/>
        <w:rPr>
          <w:lang w:val="en-US"/>
        </w:rPr>
      </w:pPr>
      <w:r w:rsidRPr="00B0742C">
        <w:rPr>
          <w:lang w:val="en-US"/>
        </w:rPr>
        <w:t xml:space="preserve">“Strengthening capacities to undertake environmental fiscal reform to meet national and global environmental priorities” </w:t>
      </w:r>
    </w:p>
    <w:p w14:paraId="73EF35B1" w14:textId="77777777" w:rsidR="00B0742C" w:rsidRPr="00B0742C" w:rsidRDefault="00B0742C" w:rsidP="00B0742C">
      <w:pPr>
        <w:pStyle w:val="Titlepage1"/>
        <w:spacing w:before="120" w:after="120"/>
        <w:rPr>
          <w:lang w:val="en-US"/>
        </w:rPr>
      </w:pPr>
      <w:r w:rsidRPr="00B0742C">
        <w:rPr>
          <w:lang w:val="en-US"/>
        </w:rPr>
        <w:t>(Moldova)</w:t>
      </w:r>
    </w:p>
    <w:p w14:paraId="3AEBBD3D" w14:textId="77777777" w:rsidR="00B0742C" w:rsidRPr="00B0742C" w:rsidRDefault="00B0742C" w:rsidP="00B0742C">
      <w:pPr>
        <w:pStyle w:val="Titlepage1"/>
        <w:spacing w:before="120" w:after="120"/>
        <w:rPr>
          <w:lang w:val="en-US"/>
        </w:rPr>
      </w:pPr>
    </w:p>
    <w:p w14:paraId="00C7A368" w14:textId="77777777" w:rsidR="00B0742C" w:rsidRPr="00B0742C" w:rsidRDefault="00B0742C" w:rsidP="00B0742C">
      <w:pPr>
        <w:pStyle w:val="Titlepage1"/>
        <w:spacing w:before="120" w:after="120"/>
        <w:rPr>
          <w:b w:val="0"/>
          <w:i/>
          <w:sz w:val="20"/>
          <w:szCs w:val="20"/>
          <w:lang w:val="en-US"/>
        </w:rPr>
      </w:pPr>
      <w:r w:rsidRPr="00B0742C">
        <w:rPr>
          <w:b w:val="0"/>
          <w:i/>
          <w:sz w:val="20"/>
          <w:szCs w:val="20"/>
          <w:lang w:val="en-US"/>
        </w:rPr>
        <w:t>(Project ID GEF: 4183 – Atlas: 78482)</w:t>
      </w:r>
    </w:p>
    <w:p w14:paraId="05D482E2" w14:textId="77777777" w:rsidR="00F86460" w:rsidRPr="00092A39" w:rsidRDefault="00F86460" w:rsidP="00092A39">
      <w:pPr>
        <w:pStyle w:val="Titlepage1"/>
        <w:spacing w:before="120" w:after="120"/>
        <w:rPr>
          <w:b w:val="0"/>
          <w:lang w:val="en-US"/>
        </w:rPr>
      </w:pPr>
    </w:p>
    <w:p w14:paraId="44ADD120" w14:textId="77777777" w:rsidR="00F86460" w:rsidRDefault="00F86460" w:rsidP="00827DA8">
      <w:pPr>
        <w:pStyle w:val="Titlepage2"/>
        <w:jc w:val="left"/>
        <w:rPr>
          <w:b/>
          <w:sz w:val="28"/>
          <w:lang w:val="en-US"/>
        </w:rPr>
      </w:pPr>
    </w:p>
    <w:p w14:paraId="5B3C805D" w14:textId="77777777" w:rsidR="00B0742C" w:rsidRDefault="00B0742C" w:rsidP="00827DA8">
      <w:pPr>
        <w:pStyle w:val="Titlepage2"/>
        <w:jc w:val="left"/>
        <w:rPr>
          <w:b/>
          <w:sz w:val="28"/>
          <w:lang w:val="en-US"/>
        </w:rPr>
      </w:pPr>
    </w:p>
    <w:p w14:paraId="3B15522B" w14:textId="77777777" w:rsidR="00B0742C" w:rsidRPr="00FB6D4E" w:rsidRDefault="00B0742C" w:rsidP="00827DA8">
      <w:pPr>
        <w:pStyle w:val="Titlepage2"/>
        <w:jc w:val="left"/>
        <w:rPr>
          <w:b/>
          <w:sz w:val="28"/>
          <w:lang w:val="en-US"/>
        </w:rPr>
      </w:pPr>
    </w:p>
    <w:p w14:paraId="3BFE020E" w14:textId="77777777" w:rsidR="00822163" w:rsidRDefault="00822163" w:rsidP="00A52B28">
      <w:pPr>
        <w:pStyle w:val="Titlepage2"/>
        <w:rPr>
          <w:b/>
          <w:sz w:val="28"/>
          <w:lang w:val="en-US"/>
        </w:rPr>
      </w:pPr>
    </w:p>
    <w:p w14:paraId="1AA1A309" w14:textId="38E34CC4" w:rsidR="00A52B28" w:rsidRPr="0080303F" w:rsidRDefault="00FD3E51" w:rsidP="00A52B28">
      <w:pPr>
        <w:pStyle w:val="Titlepage2"/>
        <w:rPr>
          <w:b/>
          <w:sz w:val="36"/>
          <w:szCs w:val="36"/>
          <w:lang w:val="en-US"/>
        </w:rPr>
      </w:pPr>
      <w:r>
        <w:rPr>
          <w:b/>
          <w:sz w:val="36"/>
          <w:szCs w:val="36"/>
          <w:lang w:val="en-US"/>
        </w:rPr>
        <w:t>Final</w:t>
      </w:r>
      <w:r w:rsidR="00827DA8" w:rsidRPr="0080303F">
        <w:rPr>
          <w:b/>
          <w:sz w:val="36"/>
          <w:szCs w:val="36"/>
          <w:lang w:val="en-US"/>
        </w:rPr>
        <w:t xml:space="preserve"> </w:t>
      </w:r>
      <w:r w:rsidR="002831E0" w:rsidRPr="0080303F">
        <w:rPr>
          <w:b/>
          <w:sz w:val="36"/>
          <w:szCs w:val="36"/>
          <w:lang w:val="en-US"/>
        </w:rPr>
        <w:t>Report</w:t>
      </w:r>
    </w:p>
    <w:p w14:paraId="45F862D7" w14:textId="77777777" w:rsidR="00827DA8" w:rsidRDefault="00827DA8" w:rsidP="00A52B28">
      <w:pPr>
        <w:pStyle w:val="Titlepage2"/>
        <w:rPr>
          <w:lang w:val="en-US"/>
        </w:rPr>
      </w:pPr>
    </w:p>
    <w:p w14:paraId="64F4B263" w14:textId="77777777" w:rsidR="00B0742C" w:rsidRDefault="00B0742C" w:rsidP="00A52B28">
      <w:pPr>
        <w:pStyle w:val="Titlepage2"/>
        <w:rPr>
          <w:lang w:val="en-US"/>
        </w:rPr>
      </w:pPr>
    </w:p>
    <w:p w14:paraId="1A6C6977" w14:textId="77777777" w:rsidR="00B0742C" w:rsidRDefault="00B0742C" w:rsidP="00A52B28">
      <w:pPr>
        <w:pStyle w:val="Titlepage2"/>
        <w:rPr>
          <w:lang w:val="en-US"/>
        </w:rPr>
      </w:pPr>
    </w:p>
    <w:p w14:paraId="4C16CA7A" w14:textId="77777777" w:rsidR="00B0742C" w:rsidRDefault="00B0742C" w:rsidP="00A52B28">
      <w:pPr>
        <w:pStyle w:val="Titlepage2"/>
        <w:rPr>
          <w:lang w:val="en-US"/>
        </w:rPr>
      </w:pPr>
    </w:p>
    <w:p w14:paraId="216298C4" w14:textId="77777777" w:rsidR="00B0742C" w:rsidRDefault="00B0742C" w:rsidP="00A52B28">
      <w:pPr>
        <w:pStyle w:val="Titlepage2"/>
        <w:rPr>
          <w:lang w:val="en-US"/>
        </w:rPr>
      </w:pPr>
    </w:p>
    <w:p w14:paraId="21564A3C" w14:textId="77777777" w:rsidR="00B0742C" w:rsidRDefault="00B0742C" w:rsidP="00A52B28">
      <w:pPr>
        <w:pStyle w:val="Titlepage2"/>
        <w:rPr>
          <w:lang w:val="en-US"/>
        </w:rPr>
      </w:pPr>
    </w:p>
    <w:p w14:paraId="066AAABB" w14:textId="77777777" w:rsidR="00B0742C" w:rsidRDefault="00B0742C" w:rsidP="00A52B28">
      <w:pPr>
        <w:pStyle w:val="Titlepage2"/>
        <w:rPr>
          <w:lang w:val="en-US"/>
        </w:rPr>
      </w:pPr>
    </w:p>
    <w:p w14:paraId="45246D9F" w14:textId="77777777" w:rsidR="00B0742C" w:rsidRDefault="00B0742C" w:rsidP="00A52B28">
      <w:pPr>
        <w:pStyle w:val="Titlepage2"/>
        <w:rPr>
          <w:lang w:val="en-US"/>
        </w:rPr>
      </w:pPr>
    </w:p>
    <w:p w14:paraId="218E549D" w14:textId="77777777" w:rsidR="00A52B28" w:rsidRPr="00FB6D4E" w:rsidRDefault="002831E0" w:rsidP="00A52B28">
      <w:pPr>
        <w:pStyle w:val="Titlepage3"/>
        <w:rPr>
          <w:rFonts w:ascii="Arial" w:hAnsi="Arial" w:cs="Arial"/>
          <w:i/>
          <w:lang w:val="en-US"/>
        </w:rPr>
      </w:pPr>
      <w:r w:rsidRPr="00FB6D4E">
        <w:rPr>
          <w:rFonts w:ascii="Arial" w:hAnsi="Arial" w:cs="Arial"/>
          <w:i/>
          <w:lang w:val="en-US"/>
        </w:rPr>
        <w:t>Submitted by:</w:t>
      </w:r>
    </w:p>
    <w:p w14:paraId="6C50DB6E" w14:textId="77777777" w:rsidR="00A52B28" w:rsidRDefault="002831E0" w:rsidP="00A52B28">
      <w:pPr>
        <w:pStyle w:val="Titlepage3"/>
        <w:rPr>
          <w:rFonts w:ascii="Arial" w:hAnsi="Arial" w:cs="Arial"/>
          <w:sz w:val="16"/>
          <w:lang w:val="en-US"/>
        </w:rPr>
      </w:pPr>
      <w:r w:rsidRPr="00FB6D4E">
        <w:rPr>
          <w:rFonts w:ascii="Arial" w:hAnsi="Arial" w:cs="Arial"/>
          <w:lang w:val="en-US"/>
        </w:rPr>
        <w:t xml:space="preserve">Jean-Joseph Bellamy </w:t>
      </w:r>
      <w:r w:rsidRPr="00FB6D4E">
        <w:rPr>
          <w:rFonts w:ascii="Arial" w:hAnsi="Arial" w:cs="Arial"/>
          <w:sz w:val="16"/>
          <w:lang w:val="en-US"/>
        </w:rPr>
        <w:t>(</w:t>
      </w:r>
      <w:hyperlink r:id="rId10" w:history="1">
        <w:bookmarkStart w:id="0" w:name="_GoBack"/>
        <w:r w:rsidRPr="00FB6D4E">
          <w:rPr>
            <w:rStyle w:val="Hyperlink"/>
            <w:rFonts w:ascii="Arial" w:hAnsi="Arial" w:cs="Arial"/>
            <w:sz w:val="16"/>
            <w:lang w:val="en-US"/>
          </w:rPr>
          <w:t>JJ@Bellamy.ne</w:t>
        </w:r>
        <w:bookmarkEnd w:id="0"/>
        <w:r w:rsidRPr="00FB6D4E">
          <w:rPr>
            <w:rStyle w:val="Hyperlink"/>
            <w:rFonts w:ascii="Arial" w:hAnsi="Arial" w:cs="Arial"/>
            <w:sz w:val="16"/>
            <w:lang w:val="en-US"/>
          </w:rPr>
          <w:t>t</w:t>
        </w:r>
      </w:hyperlink>
      <w:r w:rsidRPr="00FB6D4E">
        <w:rPr>
          <w:rFonts w:ascii="Arial" w:hAnsi="Arial" w:cs="Arial"/>
          <w:sz w:val="16"/>
          <w:lang w:val="en-US"/>
        </w:rPr>
        <w:t>)</w:t>
      </w:r>
    </w:p>
    <w:p w14:paraId="74FF0757" w14:textId="77777777" w:rsidR="00B0742C" w:rsidRDefault="00B0742C" w:rsidP="00B0742C">
      <w:pPr>
        <w:pStyle w:val="Titlepage3"/>
        <w:rPr>
          <w:rFonts w:ascii="Arial" w:hAnsi="Arial" w:cs="Arial"/>
          <w:sz w:val="16"/>
        </w:rPr>
      </w:pPr>
      <w:r>
        <w:rPr>
          <w:rFonts w:ascii="Arial" w:hAnsi="Arial" w:cs="Arial"/>
        </w:rPr>
        <w:t>Dr. Victor Cotruta</w:t>
      </w:r>
      <w:r w:rsidRPr="00D7155B">
        <w:rPr>
          <w:rFonts w:ascii="Arial" w:hAnsi="Arial" w:cs="Arial"/>
          <w:sz w:val="16"/>
          <w:szCs w:val="16"/>
        </w:rPr>
        <w:t xml:space="preserve"> (</w:t>
      </w:r>
      <w:hyperlink r:id="rId11" w:history="1">
        <w:r w:rsidRPr="00F36D31">
          <w:rPr>
            <w:rStyle w:val="Hyperlink"/>
            <w:rFonts w:ascii="Arial" w:hAnsi="Arial" w:cs="Arial"/>
            <w:sz w:val="16"/>
            <w:szCs w:val="16"/>
          </w:rPr>
          <w:t>victor@rec.md</w:t>
        </w:r>
      </w:hyperlink>
      <w:r w:rsidRPr="00D7155B">
        <w:rPr>
          <w:rFonts w:ascii="Arial" w:hAnsi="Arial" w:cs="Arial"/>
          <w:sz w:val="16"/>
          <w:szCs w:val="16"/>
        </w:rPr>
        <w:t>)</w:t>
      </w:r>
    </w:p>
    <w:p w14:paraId="76C98286" w14:textId="77777777" w:rsidR="00A52B28" w:rsidRDefault="00A52B28" w:rsidP="00A52B28">
      <w:pPr>
        <w:pStyle w:val="Titlepage3"/>
        <w:rPr>
          <w:rFonts w:ascii="Arial" w:hAnsi="Arial" w:cs="Arial"/>
          <w:lang w:val="en-US"/>
        </w:rPr>
      </w:pPr>
    </w:p>
    <w:p w14:paraId="75922E10" w14:textId="77777777" w:rsidR="00171049" w:rsidRDefault="00171049" w:rsidP="00A52B28">
      <w:pPr>
        <w:pStyle w:val="Titlepage3"/>
        <w:rPr>
          <w:rFonts w:ascii="Arial" w:hAnsi="Arial" w:cs="Arial"/>
          <w:lang w:val="en-US"/>
        </w:rPr>
      </w:pPr>
    </w:p>
    <w:p w14:paraId="454C455F" w14:textId="77777777" w:rsidR="00171049" w:rsidRDefault="00171049" w:rsidP="00A52B28">
      <w:pPr>
        <w:pStyle w:val="Titlepage3"/>
        <w:rPr>
          <w:rFonts w:ascii="Arial" w:hAnsi="Arial" w:cs="Arial"/>
          <w:lang w:val="en-US"/>
        </w:rPr>
      </w:pPr>
    </w:p>
    <w:p w14:paraId="1A0E29AD" w14:textId="77777777" w:rsidR="00171049" w:rsidRDefault="00171049" w:rsidP="00A52B28">
      <w:pPr>
        <w:pStyle w:val="Titlepage3"/>
        <w:rPr>
          <w:rFonts w:ascii="Arial" w:hAnsi="Arial" w:cs="Arial"/>
          <w:lang w:val="en-US"/>
        </w:rPr>
      </w:pPr>
    </w:p>
    <w:p w14:paraId="03FE13DA" w14:textId="77777777" w:rsidR="00171049" w:rsidRPr="00FB6D4E" w:rsidRDefault="00171049" w:rsidP="00A52B28">
      <w:pPr>
        <w:pStyle w:val="Titlepage3"/>
        <w:rPr>
          <w:rFonts w:ascii="Arial" w:hAnsi="Arial" w:cs="Arial"/>
          <w:lang w:val="en-US"/>
        </w:rPr>
      </w:pPr>
    </w:p>
    <w:p w14:paraId="2BA13A81" w14:textId="6D4DAD62" w:rsidR="00A52B28" w:rsidRPr="00FB6D4E" w:rsidRDefault="002677F1" w:rsidP="00A52B28">
      <w:pPr>
        <w:pStyle w:val="Titlepage3"/>
        <w:rPr>
          <w:lang w:val="en-US"/>
        </w:rPr>
        <w:sectPr w:rsidR="00A52B28" w:rsidRPr="00FB6D4E" w:rsidSect="003E5A05">
          <w:footerReference w:type="even" r:id="rId12"/>
          <w:footerReference w:type="first" r:id="rId13"/>
          <w:pgSz w:w="11907" w:h="16840" w:code="9"/>
          <w:pgMar w:top="1134" w:right="1134" w:bottom="1134" w:left="1134" w:header="851" w:footer="851" w:gutter="0"/>
          <w:cols w:space="708"/>
        </w:sectPr>
      </w:pPr>
      <w:r w:rsidRPr="003A6E4D">
        <w:rPr>
          <w:rFonts w:ascii="Arial" w:hAnsi="Arial" w:cs="Arial"/>
          <w:i/>
          <w:lang w:val="en-US"/>
        </w:rPr>
        <w:t>Submission</w:t>
      </w:r>
      <w:r w:rsidR="00B0742C" w:rsidRPr="003A6E4D">
        <w:rPr>
          <w:rFonts w:ascii="Arial" w:hAnsi="Arial" w:cs="Arial"/>
          <w:lang w:val="en-US"/>
        </w:rPr>
        <w:t xml:space="preserve">: </w:t>
      </w:r>
      <w:r w:rsidR="00B63855">
        <w:rPr>
          <w:rFonts w:ascii="Arial" w:hAnsi="Arial" w:cs="Arial"/>
          <w:lang w:val="en-US"/>
        </w:rPr>
        <w:t>November 24</w:t>
      </w:r>
      <w:r w:rsidR="009C2DBD" w:rsidRPr="003A6E4D">
        <w:rPr>
          <w:rFonts w:ascii="Arial" w:hAnsi="Arial" w:cs="Arial"/>
          <w:lang w:val="en-US"/>
        </w:rPr>
        <w:t>,</w:t>
      </w:r>
      <w:r w:rsidR="002831E0" w:rsidRPr="003A6E4D">
        <w:rPr>
          <w:rFonts w:ascii="Arial" w:hAnsi="Arial" w:cs="Arial"/>
          <w:lang w:val="en-US"/>
        </w:rPr>
        <w:t xml:space="preserve"> 20</w:t>
      </w:r>
      <w:r w:rsidR="007A4F0A" w:rsidRPr="003A6E4D">
        <w:rPr>
          <w:rFonts w:ascii="Arial" w:hAnsi="Arial" w:cs="Arial"/>
          <w:lang w:val="en-US"/>
        </w:rPr>
        <w:t>1</w:t>
      </w:r>
      <w:r w:rsidR="00CE01D4" w:rsidRPr="003A6E4D">
        <w:rPr>
          <w:rFonts w:ascii="Arial" w:hAnsi="Arial" w:cs="Arial"/>
          <w:lang w:val="en-US"/>
        </w:rPr>
        <w:t>5</w:t>
      </w:r>
    </w:p>
    <w:p w14:paraId="634E2906" w14:textId="77777777" w:rsidR="00A52B28" w:rsidRDefault="002831E0" w:rsidP="00A52B28">
      <w:pPr>
        <w:pStyle w:val="Titlepage1"/>
        <w:rPr>
          <w:lang w:val="en-US"/>
        </w:rPr>
      </w:pPr>
      <w:r w:rsidRPr="00FB6D4E">
        <w:rPr>
          <w:lang w:val="en-US"/>
        </w:rPr>
        <w:lastRenderedPageBreak/>
        <w:t>TABLE OF CONTENTS</w:t>
      </w:r>
    </w:p>
    <w:p w14:paraId="4888B3EE" w14:textId="77777777" w:rsidR="0047186A" w:rsidRDefault="0047186A" w:rsidP="00A52B28">
      <w:pPr>
        <w:pStyle w:val="Titlepage1"/>
        <w:rPr>
          <w:lang w:val="en-US"/>
        </w:rPr>
      </w:pPr>
    </w:p>
    <w:p w14:paraId="3F6B88C1" w14:textId="77777777" w:rsidR="0047186A" w:rsidRPr="00FB6D4E" w:rsidRDefault="0047186A" w:rsidP="00A52B28">
      <w:pPr>
        <w:pStyle w:val="Titlepage1"/>
        <w:rPr>
          <w:lang w:val="en-US"/>
        </w:rPr>
      </w:pPr>
    </w:p>
    <w:p w14:paraId="1B6A1F0B" w14:textId="77777777" w:rsidR="00A52B28" w:rsidRPr="00FB6D4E" w:rsidRDefault="00A52B28" w:rsidP="00A52B28">
      <w:pPr>
        <w:pStyle w:val="Titlepage1"/>
        <w:jc w:val="left"/>
        <w:rPr>
          <w:sz w:val="16"/>
          <w:szCs w:val="16"/>
          <w:lang w:val="en-US"/>
        </w:rPr>
      </w:pPr>
    </w:p>
    <w:p w14:paraId="14302A16" w14:textId="77777777" w:rsidR="00D332D7" w:rsidRDefault="002831E0">
      <w:pPr>
        <w:pStyle w:val="TOC1"/>
        <w:tabs>
          <w:tab w:val="right" w:leader="dot" w:pos="9629"/>
        </w:tabs>
        <w:rPr>
          <w:rFonts w:asciiTheme="minorHAnsi" w:eastAsiaTheme="minorEastAsia" w:hAnsiTheme="minorHAnsi" w:cstheme="minorBidi"/>
          <w:bCs w:val="0"/>
          <w:caps w:val="0"/>
          <w:noProof/>
          <w:sz w:val="24"/>
          <w:szCs w:val="24"/>
          <w:lang w:val="en-CA" w:eastAsia="ja-JP"/>
        </w:rPr>
      </w:pPr>
      <w:r w:rsidRPr="00FB6D4E">
        <w:rPr>
          <w:rStyle w:val="Hyperlink"/>
          <w:rFonts w:cs="Arial"/>
        </w:rPr>
        <w:fldChar w:fldCharType="begin"/>
      </w:r>
      <w:r w:rsidRPr="00FB6D4E">
        <w:rPr>
          <w:rStyle w:val="Hyperlink"/>
          <w:rFonts w:cs="Arial"/>
        </w:rPr>
        <w:instrText xml:space="preserve"> TOC \o "1-3" \h \z \u </w:instrText>
      </w:r>
      <w:r w:rsidRPr="00FB6D4E">
        <w:rPr>
          <w:rStyle w:val="Hyperlink"/>
          <w:rFonts w:cs="Arial"/>
        </w:rPr>
        <w:fldChar w:fldCharType="separate"/>
      </w:r>
      <w:r w:rsidR="00D332D7">
        <w:rPr>
          <w:noProof/>
        </w:rPr>
        <w:t>List of Tables</w:t>
      </w:r>
      <w:r w:rsidR="00D332D7">
        <w:rPr>
          <w:noProof/>
        </w:rPr>
        <w:tab/>
      </w:r>
      <w:r w:rsidR="00D332D7">
        <w:rPr>
          <w:noProof/>
        </w:rPr>
        <w:fldChar w:fldCharType="begin"/>
      </w:r>
      <w:r w:rsidR="00D332D7">
        <w:rPr>
          <w:noProof/>
        </w:rPr>
        <w:instrText xml:space="preserve"> PAGEREF _Toc308103227 \h </w:instrText>
      </w:r>
      <w:r w:rsidR="00D332D7">
        <w:rPr>
          <w:noProof/>
        </w:rPr>
      </w:r>
      <w:r w:rsidR="00D332D7">
        <w:rPr>
          <w:noProof/>
        </w:rPr>
        <w:fldChar w:fldCharType="separate"/>
      </w:r>
      <w:r w:rsidR="00D332D7">
        <w:rPr>
          <w:noProof/>
        </w:rPr>
        <w:t>ii</w:t>
      </w:r>
      <w:r w:rsidR="00D332D7">
        <w:rPr>
          <w:noProof/>
        </w:rPr>
        <w:fldChar w:fldCharType="end"/>
      </w:r>
    </w:p>
    <w:p w14:paraId="16CB4A63"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List of Abbreviations and Acronyms</w:t>
      </w:r>
      <w:r>
        <w:rPr>
          <w:noProof/>
        </w:rPr>
        <w:tab/>
      </w:r>
      <w:r>
        <w:rPr>
          <w:noProof/>
        </w:rPr>
        <w:fldChar w:fldCharType="begin"/>
      </w:r>
      <w:r>
        <w:rPr>
          <w:noProof/>
        </w:rPr>
        <w:instrText xml:space="preserve"> PAGEREF _Toc308103228 \h </w:instrText>
      </w:r>
      <w:r>
        <w:rPr>
          <w:noProof/>
        </w:rPr>
      </w:r>
      <w:r>
        <w:rPr>
          <w:noProof/>
        </w:rPr>
        <w:fldChar w:fldCharType="separate"/>
      </w:r>
      <w:r>
        <w:rPr>
          <w:noProof/>
        </w:rPr>
        <w:t>iii</w:t>
      </w:r>
      <w:r>
        <w:rPr>
          <w:noProof/>
        </w:rPr>
        <w:fldChar w:fldCharType="end"/>
      </w:r>
    </w:p>
    <w:p w14:paraId="0FF17AE1"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Acknowledgements</w:t>
      </w:r>
      <w:r>
        <w:rPr>
          <w:noProof/>
        </w:rPr>
        <w:tab/>
      </w:r>
      <w:r>
        <w:rPr>
          <w:noProof/>
        </w:rPr>
        <w:fldChar w:fldCharType="begin"/>
      </w:r>
      <w:r>
        <w:rPr>
          <w:noProof/>
        </w:rPr>
        <w:instrText xml:space="preserve"> PAGEREF _Toc308103229 \h </w:instrText>
      </w:r>
      <w:r>
        <w:rPr>
          <w:noProof/>
        </w:rPr>
      </w:r>
      <w:r>
        <w:rPr>
          <w:noProof/>
        </w:rPr>
        <w:fldChar w:fldCharType="separate"/>
      </w:r>
      <w:r>
        <w:rPr>
          <w:noProof/>
        </w:rPr>
        <w:t>v</w:t>
      </w:r>
      <w:r>
        <w:rPr>
          <w:noProof/>
        </w:rPr>
        <w:fldChar w:fldCharType="end"/>
      </w:r>
    </w:p>
    <w:p w14:paraId="3E03C515" w14:textId="77777777" w:rsidR="00D332D7" w:rsidRDefault="00D332D7">
      <w:pPr>
        <w:pStyle w:val="TOC1"/>
        <w:tabs>
          <w:tab w:val="left" w:pos="390"/>
          <w:tab w:val="right" w:leader="dot" w:pos="9629"/>
        </w:tabs>
        <w:rPr>
          <w:rFonts w:asciiTheme="minorHAnsi" w:eastAsiaTheme="minorEastAsia" w:hAnsiTheme="minorHAnsi" w:cstheme="minorBidi"/>
          <w:bCs w:val="0"/>
          <w:caps w:val="0"/>
          <w:noProof/>
          <w:sz w:val="24"/>
          <w:szCs w:val="24"/>
          <w:lang w:val="en-CA" w:eastAsia="ja-JP"/>
        </w:rPr>
      </w:pPr>
      <w:r>
        <w:rPr>
          <w:noProof/>
        </w:rPr>
        <w:t>1.</w:t>
      </w:r>
      <w:r>
        <w:rPr>
          <w:rFonts w:asciiTheme="minorHAnsi" w:eastAsiaTheme="minorEastAsia" w:hAnsiTheme="minorHAnsi" w:cstheme="minorBidi"/>
          <w:bCs w:val="0"/>
          <w:caps w:val="0"/>
          <w:noProof/>
          <w:sz w:val="24"/>
          <w:szCs w:val="24"/>
          <w:lang w:val="en-CA" w:eastAsia="ja-JP"/>
        </w:rPr>
        <w:tab/>
      </w:r>
      <w:r>
        <w:rPr>
          <w:noProof/>
        </w:rPr>
        <w:t>Main Conclusions and Recommendations</w:t>
      </w:r>
      <w:r>
        <w:rPr>
          <w:noProof/>
        </w:rPr>
        <w:tab/>
      </w:r>
      <w:r>
        <w:rPr>
          <w:noProof/>
        </w:rPr>
        <w:fldChar w:fldCharType="begin"/>
      </w:r>
      <w:r>
        <w:rPr>
          <w:noProof/>
        </w:rPr>
        <w:instrText xml:space="preserve"> PAGEREF _Toc308103230 \h </w:instrText>
      </w:r>
      <w:r>
        <w:rPr>
          <w:noProof/>
        </w:rPr>
      </w:r>
      <w:r>
        <w:rPr>
          <w:noProof/>
        </w:rPr>
        <w:fldChar w:fldCharType="separate"/>
      </w:r>
      <w:r>
        <w:rPr>
          <w:noProof/>
        </w:rPr>
        <w:t>1</w:t>
      </w:r>
      <w:r>
        <w:rPr>
          <w:noProof/>
        </w:rPr>
        <w:fldChar w:fldCharType="end"/>
      </w:r>
    </w:p>
    <w:p w14:paraId="31AC8B13"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1.1.</w:t>
      </w:r>
      <w:r>
        <w:rPr>
          <w:rFonts w:asciiTheme="minorHAnsi" w:eastAsiaTheme="minorEastAsia" w:hAnsiTheme="minorHAnsi" w:cstheme="minorBidi"/>
          <w:smallCaps w:val="0"/>
          <w:noProof/>
          <w:sz w:val="24"/>
          <w:szCs w:val="24"/>
          <w:lang w:val="en-CA" w:eastAsia="ja-JP"/>
        </w:rPr>
        <w:tab/>
      </w:r>
      <w:r w:rsidRPr="00755139">
        <w:rPr>
          <w:noProof/>
        </w:rPr>
        <w:t>Background - Introduction</w:t>
      </w:r>
      <w:r>
        <w:rPr>
          <w:noProof/>
        </w:rPr>
        <w:tab/>
      </w:r>
      <w:r>
        <w:rPr>
          <w:noProof/>
        </w:rPr>
        <w:fldChar w:fldCharType="begin"/>
      </w:r>
      <w:r>
        <w:rPr>
          <w:noProof/>
        </w:rPr>
        <w:instrText xml:space="preserve"> PAGEREF _Toc308103231 \h </w:instrText>
      </w:r>
      <w:r>
        <w:rPr>
          <w:noProof/>
        </w:rPr>
      </w:r>
      <w:r>
        <w:rPr>
          <w:noProof/>
        </w:rPr>
        <w:fldChar w:fldCharType="separate"/>
      </w:r>
      <w:r>
        <w:rPr>
          <w:noProof/>
        </w:rPr>
        <w:t>1</w:t>
      </w:r>
      <w:r>
        <w:rPr>
          <w:noProof/>
        </w:rPr>
        <w:fldChar w:fldCharType="end"/>
      </w:r>
    </w:p>
    <w:p w14:paraId="43602694"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1.2.</w:t>
      </w:r>
      <w:r>
        <w:rPr>
          <w:rFonts w:asciiTheme="minorHAnsi" w:eastAsiaTheme="minorEastAsia" w:hAnsiTheme="minorHAnsi" w:cstheme="minorBidi"/>
          <w:smallCaps w:val="0"/>
          <w:noProof/>
          <w:sz w:val="24"/>
          <w:szCs w:val="24"/>
          <w:lang w:val="en-CA" w:eastAsia="ja-JP"/>
        </w:rPr>
        <w:tab/>
      </w:r>
      <w:r w:rsidRPr="00755139">
        <w:rPr>
          <w:noProof/>
        </w:rPr>
        <w:t>Conclusions</w:t>
      </w:r>
      <w:r>
        <w:rPr>
          <w:noProof/>
        </w:rPr>
        <w:tab/>
      </w:r>
      <w:r>
        <w:rPr>
          <w:noProof/>
        </w:rPr>
        <w:fldChar w:fldCharType="begin"/>
      </w:r>
      <w:r>
        <w:rPr>
          <w:noProof/>
        </w:rPr>
        <w:instrText xml:space="preserve"> PAGEREF _Toc308103232 \h </w:instrText>
      </w:r>
      <w:r>
        <w:rPr>
          <w:noProof/>
        </w:rPr>
      </w:r>
      <w:r>
        <w:rPr>
          <w:noProof/>
        </w:rPr>
        <w:fldChar w:fldCharType="separate"/>
      </w:r>
      <w:r>
        <w:rPr>
          <w:noProof/>
        </w:rPr>
        <w:t>2</w:t>
      </w:r>
      <w:r>
        <w:rPr>
          <w:noProof/>
        </w:rPr>
        <w:fldChar w:fldCharType="end"/>
      </w:r>
    </w:p>
    <w:p w14:paraId="5AB4CAF7"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1.3.</w:t>
      </w:r>
      <w:r>
        <w:rPr>
          <w:rFonts w:asciiTheme="minorHAnsi" w:eastAsiaTheme="minorEastAsia" w:hAnsiTheme="minorHAnsi" w:cstheme="minorBidi"/>
          <w:smallCaps w:val="0"/>
          <w:noProof/>
          <w:sz w:val="24"/>
          <w:szCs w:val="24"/>
          <w:lang w:val="en-CA" w:eastAsia="ja-JP"/>
        </w:rPr>
        <w:tab/>
      </w:r>
      <w:r w:rsidRPr="00755139">
        <w:rPr>
          <w:noProof/>
        </w:rPr>
        <w:t>Recommendations</w:t>
      </w:r>
      <w:r>
        <w:rPr>
          <w:noProof/>
        </w:rPr>
        <w:tab/>
      </w:r>
      <w:r>
        <w:rPr>
          <w:noProof/>
        </w:rPr>
        <w:fldChar w:fldCharType="begin"/>
      </w:r>
      <w:r>
        <w:rPr>
          <w:noProof/>
        </w:rPr>
        <w:instrText xml:space="preserve"> PAGEREF _Toc308103233 \h </w:instrText>
      </w:r>
      <w:r>
        <w:rPr>
          <w:noProof/>
        </w:rPr>
      </w:r>
      <w:r>
        <w:rPr>
          <w:noProof/>
        </w:rPr>
        <w:fldChar w:fldCharType="separate"/>
      </w:r>
      <w:r>
        <w:rPr>
          <w:noProof/>
        </w:rPr>
        <w:t>6</w:t>
      </w:r>
      <w:r>
        <w:rPr>
          <w:noProof/>
        </w:rPr>
        <w:fldChar w:fldCharType="end"/>
      </w:r>
    </w:p>
    <w:p w14:paraId="64DB3F58"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1.4.</w:t>
      </w:r>
      <w:r>
        <w:rPr>
          <w:rFonts w:asciiTheme="minorHAnsi" w:eastAsiaTheme="minorEastAsia" w:hAnsiTheme="minorHAnsi" w:cstheme="minorBidi"/>
          <w:smallCaps w:val="0"/>
          <w:noProof/>
          <w:sz w:val="24"/>
          <w:szCs w:val="24"/>
          <w:lang w:val="en-CA" w:eastAsia="ja-JP"/>
        </w:rPr>
        <w:tab/>
      </w:r>
      <w:r w:rsidRPr="00755139">
        <w:rPr>
          <w:noProof/>
        </w:rPr>
        <w:t>Rating Table</w:t>
      </w:r>
      <w:r>
        <w:rPr>
          <w:noProof/>
        </w:rPr>
        <w:tab/>
      </w:r>
      <w:r>
        <w:rPr>
          <w:noProof/>
        </w:rPr>
        <w:fldChar w:fldCharType="begin"/>
      </w:r>
      <w:r>
        <w:rPr>
          <w:noProof/>
        </w:rPr>
        <w:instrText xml:space="preserve"> PAGEREF _Toc308103234 \h </w:instrText>
      </w:r>
      <w:r>
        <w:rPr>
          <w:noProof/>
        </w:rPr>
      </w:r>
      <w:r>
        <w:rPr>
          <w:noProof/>
        </w:rPr>
        <w:fldChar w:fldCharType="separate"/>
      </w:r>
      <w:r>
        <w:rPr>
          <w:noProof/>
        </w:rPr>
        <w:t>8</w:t>
      </w:r>
      <w:r>
        <w:rPr>
          <w:noProof/>
        </w:rPr>
        <w:fldChar w:fldCharType="end"/>
      </w:r>
    </w:p>
    <w:p w14:paraId="4A19F619" w14:textId="77777777" w:rsidR="00D332D7" w:rsidRDefault="00D332D7">
      <w:pPr>
        <w:pStyle w:val="TOC1"/>
        <w:tabs>
          <w:tab w:val="left" w:pos="390"/>
          <w:tab w:val="right" w:leader="dot" w:pos="9629"/>
        </w:tabs>
        <w:rPr>
          <w:rFonts w:asciiTheme="minorHAnsi" w:eastAsiaTheme="minorEastAsia" w:hAnsiTheme="minorHAnsi" w:cstheme="minorBidi"/>
          <w:bCs w:val="0"/>
          <w:caps w:val="0"/>
          <w:noProof/>
          <w:sz w:val="24"/>
          <w:szCs w:val="24"/>
          <w:lang w:val="en-CA" w:eastAsia="ja-JP"/>
        </w:rPr>
      </w:pPr>
      <w:r>
        <w:rPr>
          <w:noProof/>
        </w:rPr>
        <w:t>2.</w:t>
      </w:r>
      <w:r>
        <w:rPr>
          <w:rFonts w:asciiTheme="minorHAnsi" w:eastAsiaTheme="minorEastAsia" w:hAnsiTheme="minorHAnsi" w:cstheme="minorBidi"/>
          <w:bCs w:val="0"/>
          <w:caps w:val="0"/>
          <w:noProof/>
          <w:sz w:val="24"/>
          <w:szCs w:val="24"/>
          <w:lang w:val="en-CA" w:eastAsia="ja-JP"/>
        </w:rPr>
        <w:tab/>
      </w:r>
      <w:r>
        <w:rPr>
          <w:noProof/>
        </w:rPr>
        <w:t>CONTEXT AND OVERVIEW OF THE PROJECT</w:t>
      </w:r>
      <w:r>
        <w:rPr>
          <w:noProof/>
        </w:rPr>
        <w:tab/>
      </w:r>
      <w:r>
        <w:rPr>
          <w:noProof/>
        </w:rPr>
        <w:fldChar w:fldCharType="begin"/>
      </w:r>
      <w:r>
        <w:rPr>
          <w:noProof/>
        </w:rPr>
        <w:instrText xml:space="preserve"> PAGEREF _Toc308103235 \h </w:instrText>
      </w:r>
      <w:r>
        <w:rPr>
          <w:noProof/>
        </w:rPr>
      </w:r>
      <w:r>
        <w:rPr>
          <w:noProof/>
        </w:rPr>
        <w:fldChar w:fldCharType="separate"/>
      </w:r>
      <w:r>
        <w:rPr>
          <w:noProof/>
        </w:rPr>
        <w:t>9</w:t>
      </w:r>
      <w:r>
        <w:rPr>
          <w:noProof/>
        </w:rPr>
        <w:fldChar w:fldCharType="end"/>
      </w:r>
    </w:p>
    <w:p w14:paraId="610302D5" w14:textId="77777777" w:rsidR="00D332D7" w:rsidRDefault="00D332D7">
      <w:pPr>
        <w:pStyle w:val="TOC1"/>
        <w:tabs>
          <w:tab w:val="left" w:pos="390"/>
          <w:tab w:val="right" w:leader="dot" w:pos="9629"/>
        </w:tabs>
        <w:rPr>
          <w:rFonts w:asciiTheme="minorHAnsi" w:eastAsiaTheme="minorEastAsia" w:hAnsiTheme="minorHAnsi" w:cstheme="minorBidi"/>
          <w:bCs w:val="0"/>
          <w:caps w:val="0"/>
          <w:noProof/>
          <w:sz w:val="24"/>
          <w:szCs w:val="24"/>
          <w:lang w:val="en-CA" w:eastAsia="ja-JP"/>
        </w:rPr>
      </w:pPr>
      <w:r>
        <w:rPr>
          <w:noProof/>
        </w:rPr>
        <w:t>3.</w:t>
      </w:r>
      <w:r>
        <w:rPr>
          <w:rFonts w:asciiTheme="minorHAnsi" w:eastAsiaTheme="minorEastAsia" w:hAnsiTheme="minorHAnsi" w:cstheme="minorBidi"/>
          <w:bCs w:val="0"/>
          <w:caps w:val="0"/>
          <w:noProof/>
          <w:sz w:val="24"/>
          <w:szCs w:val="24"/>
          <w:lang w:val="en-CA" w:eastAsia="ja-JP"/>
        </w:rPr>
        <w:tab/>
      </w:r>
      <w:r>
        <w:rPr>
          <w:noProof/>
        </w:rPr>
        <w:t>EVALUATION FRAMEWORK</w:t>
      </w:r>
      <w:r>
        <w:rPr>
          <w:noProof/>
        </w:rPr>
        <w:tab/>
      </w:r>
      <w:r>
        <w:rPr>
          <w:noProof/>
        </w:rPr>
        <w:fldChar w:fldCharType="begin"/>
      </w:r>
      <w:r>
        <w:rPr>
          <w:noProof/>
        </w:rPr>
        <w:instrText xml:space="preserve"> PAGEREF _Toc308103236 \h </w:instrText>
      </w:r>
      <w:r>
        <w:rPr>
          <w:noProof/>
        </w:rPr>
      </w:r>
      <w:r>
        <w:rPr>
          <w:noProof/>
        </w:rPr>
        <w:fldChar w:fldCharType="separate"/>
      </w:r>
      <w:r>
        <w:rPr>
          <w:noProof/>
        </w:rPr>
        <w:t>11</w:t>
      </w:r>
      <w:r>
        <w:rPr>
          <w:noProof/>
        </w:rPr>
        <w:fldChar w:fldCharType="end"/>
      </w:r>
    </w:p>
    <w:p w14:paraId="4B9098D8"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3.1.</w:t>
      </w:r>
      <w:r>
        <w:rPr>
          <w:rFonts w:asciiTheme="minorHAnsi" w:eastAsiaTheme="minorEastAsia" w:hAnsiTheme="minorHAnsi" w:cstheme="minorBidi"/>
          <w:smallCaps w:val="0"/>
          <w:noProof/>
          <w:sz w:val="24"/>
          <w:szCs w:val="24"/>
          <w:lang w:val="en-CA" w:eastAsia="ja-JP"/>
        </w:rPr>
        <w:tab/>
      </w:r>
      <w:r w:rsidRPr="00755139">
        <w:rPr>
          <w:noProof/>
        </w:rPr>
        <w:t>Objectives</w:t>
      </w:r>
      <w:r>
        <w:rPr>
          <w:noProof/>
        </w:rPr>
        <w:tab/>
      </w:r>
      <w:r>
        <w:rPr>
          <w:noProof/>
        </w:rPr>
        <w:fldChar w:fldCharType="begin"/>
      </w:r>
      <w:r>
        <w:rPr>
          <w:noProof/>
        </w:rPr>
        <w:instrText xml:space="preserve"> PAGEREF _Toc308103237 \h </w:instrText>
      </w:r>
      <w:r>
        <w:rPr>
          <w:noProof/>
        </w:rPr>
      </w:r>
      <w:r>
        <w:rPr>
          <w:noProof/>
        </w:rPr>
        <w:fldChar w:fldCharType="separate"/>
      </w:r>
      <w:r>
        <w:rPr>
          <w:noProof/>
        </w:rPr>
        <w:t>11</w:t>
      </w:r>
      <w:r>
        <w:rPr>
          <w:noProof/>
        </w:rPr>
        <w:fldChar w:fldCharType="end"/>
      </w:r>
    </w:p>
    <w:p w14:paraId="05446CCA"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3.2.</w:t>
      </w:r>
      <w:r>
        <w:rPr>
          <w:rFonts w:asciiTheme="minorHAnsi" w:eastAsiaTheme="minorEastAsia" w:hAnsiTheme="minorHAnsi" w:cstheme="minorBidi"/>
          <w:smallCaps w:val="0"/>
          <w:noProof/>
          <w:sz w:val="24"/>
          <w:szCs w:val="24"/>
          <w:lang w:val="en-CA" w:eastAsia="ja-JP"/>
        </w:rPr>
        <w:tab/>
      </w:r>
      <w:r w:rsidRPr="00755139">
        <w:rPr>
          <w:noProof/>
        </w:rPr>
        <w:t>Scope</w:t>
      </w:r>
      <w:r>
        <w:rPr>
          <w:noProof/>
        </w:rPr>
        <w:tab/>
      </w:r>
      <w:r>
        <w:rPr>
          <w:noProof/>
        </w:rPr>
        <w:fldChar w:fldCharType="begin"/>
      </w:r>
      <w:r>
        <w:rPr>
          <w:noProof/>
        </w:rPr>
        <w:instrText xml:space="preserve"> PAGEREF _Toc308103238 \h </w:instrText>
      </w:r>
      <w:r>
        <w:rPr>
          <w:noProof/>
        </w:rPr>
      </w:r>
      <w:r>
        <w:rPr>
          <w:noProof/>
        </w:rPr>
        <w:fldChar w:fldCharType="separate"/>
      </w:r>
      <w:r>
        <w:rPr>
          <w:noProof/>
        </w:rPr>
        <w:t>11</w:t>
      </w:r>
      <w:r>
        <w:rPr>
          <w:noProof/>
        </w:rPr>
        <w:fldChar w:fldCharType="end"/>
      </w:r>
    </w:p>
    <w:p w14:paraId="2D0E3E73"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3.3.</w:t>
      </w:r>
      <w:r>
        <w:rPr>
          <w:rFonts w:asciiTheme="minorHAnsi" w:eastAsiaTheme="minorEastAsia" w:hAnsiTheme="minorHAnsi" w:cstheme="minorBidi"/>
          <w:smallCaps w:val="0"/>
          <w:noProof/>
          <w:sz w:val="24"/>
          <w:szCs w:val="24"/>
          <w:lang w:val="en-CA" w:eastAsia="ja-JP"/>
        </w:rPr>
        <w:tab/>
      </w:r>
      <w:r w:rsidRPr="00755139">
        <w:rPr>
          <w:noProof/>
        </w:rPr>
        <w:t>Methodology</w:t>
      </w:r>
      <w:r>
        <w:rPr>
          <w:noProof/>
        </w:rPr>
        <w:tab/>
      </w:r>
      <w:r>
        <w:rPr>
          <w:noProof/>
        </w:rPr>
        <w:fldChar w:fldCharType="begin"/>
      </w:r>
      <w:r>
        <w:rPr>
          <w:noProof/>
        </w:rPr>
        <w:instrText xml:space="preserve"> PAGEREF _Toc308103239 \h </w:instrText>
      </w:r>
      <w:r>
        <w:rPr>
          <w:noProof/>
        </w:rPr>
      </w:r>
      <w:r>
        <w:rPr>
          <w:noProof/>
        </w:rPr>
        <w:fldChar w:fldCharType="separate"/>
      </w:r>
      <w:r>
        <w:rPr>
          <w:noProof/>
        </w:rPr>
        <w:t>12</w:t>
      </w:r>
      <w:r>
        <w:rPr>
          <w:noProof/>
        </w:rPr>
        <w:fldChar w:fldCharType="end"/>
      </w:r>
    </w:p>
    <w:p w14:paraId="167E9D0B"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3.3.1.</w:t>
      </w:r>
      <w:r>
        <w:rPr>
          <w:rFonts w:asciiTheme="minorHAnsi" w:eastAsiaTheme="minorEastAsia" w:hAnsiTheme="minorHAnsi" w:cstheme="minorBidi"/>
          <w:i w:val="0"/>
          <w:iCs w:val="0"/>
          <w:sz w:val="24"/>
          <w:szCs w:val="24"/>
          <w:lang w:val="en-CA" w:eastAsia="ja-JP"/>
        </w:rPr>
        <w:tab/>
      </w:r>
      <w:r w:rsidRPr="00755139">
        <w:rPr>
          <w:rFonts w:ascii="Arial" w:hAnsi="Arial" w:cs="Arial"/>
        </w:rPr>
        <w:t>Overall Approach</w:t>
      </w:r>
      <w:r>
        <w:tab/>
      </w:r>
      <w:r>
        <w:fldChar w:fldCharType="begin"/>
      </w:r>
      <w:r>
        <w:instrText xml:space="preserve"> PAGEREF _Toc308103240 \h </w:instrText>
      </w:r>
      <w:r>
        <w:fldChar w:fldCharType="separate"/>
      </w:r>
      <w:r>
        <w:t>12</w:t>
      </w:r>
      <w:r>
        <w:fldChar w:fldCharType="end"/>
      </w:r>
    </w:p>
    <w:p w14:paraId="125B6B9E"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3.3.2.</w:t>
      </w:r>
      <w:r>
        <w:rPr>
          <w:rFonts w:asciiTheme="minorHAnsi" w:eastAsiaTheme="minorEastAsia" w:hAnsiTheme="minorHAnsi" w:cstheme="minorBidi"/>
          <w:i w:val="0"/>
          <w:iCs w:val="0"/>
          <w:sz w:val="24"/>
          <w:szCs w:val="24"/>
          <w:lang w:val="en-CA" w:eastAsia="ja-JP"/>
        </w:rPr>
        <w:tab/>
      </w:r>
      <w:r w:rsidRPr="00755139">
        <w:rPr>
          <w:rFonts w:ascii="Arial" w:hAnsi="Arial" w:cs="Arial"/>
        </w:rPr>
        <w:t>Evaluation Instruments</w:t>
      </w:r>
      <w:r>
        <w:tab/>
      </w:r>
      <w:r>
        <w:fldChar w:fldCharType="begin"/>
      </w:r>
      <w:r>
        <w:instrText xml:space="preserve"> PAGEREF _Toc308103241 \h </w:instrText>
      </w:r>
      <w:r>
        <w:fldChar w:fldCharType="separate"/>
      </w:r>
      <w:r>
        <w:t>13</w:t>
      </w:r>
      <w:r>
        <w:fldChar w:fldCharType="end"/>
      </w:r>
    </w:p>
    <w:p w14:paraId="583C3DDA"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3.4.</w:t>
      </w:r>
      <w:r>
        <w:rPr>
          <w:rFonts w:asciiTheme="minorHAnsi" w:eastAsiaTheme="minorEastAsia" w:hAnsiTheme="minorHAnsi" w:cstheme="minorBidi"/>
          <w:smallCaps w:val="0"/>
          <w:noProof/>
          <w:sz w:val="24"/>
          <w:szCs w:val="24"/>
          <w:lang w:val="en-CA" w:eastAsia="ja-JP"/>
        </w:rPr>
        <w:tab/>
      </w:r>
      <w:r w:rsidRPr="00755139">
        <w:rPr>
          <w:noProof/>
        </w:rPr>
        <w:t>Limitations and Constraints</w:t>
      </w:r>
      <w:r>
        <w:rPr>
          <w:noProof/>
        </w:rPr>
        <w:tab/>
      </w:r>
      <w:r>
        <w:rPr>
          <w:noProof/>
        </w:rPr>
        <w:fldChar w:fldCharType="begin"/>
      </w:r>
      <w:r>
        <w:rPr>
          <w:noProof/>
        </w:rPr>
        <w:instrText xml:space="preserve"> PAGEREF _Toc308103242 \h </w:instrText>
      </w:r>
      <w:r>
        <w:rPr>
          <w:noProof/>
        </w:rPr>
      </w:r>
      <w:r>
        <w:rPr>
          <w:noProof/>
        </w:rPr>
        <w:fldChar w:fldCharType="separate"/>
      </w:r>
      <w:r>
        <w:rPr>
          <w:noProof/>
        </w:rPr>
        <w:t>14</w:t>
      </w:r>
      <w:r>
        <w:rPr>
          <w:noProof/>
        </w:rPr>
        <w:fldChar w:fldCharType="end"/>
      </w:r>
    </w:p>
    <w:p w14:paraId="1A1DA98B" w14:textId="77777777" w:rsidR="00D332D7" w:rsidRDefault="00D332D7">
      <w:pPr>
        <w:pStyle w:val="TOC1"/>
        <w:tabs>
          <w:tab w:val="left" w:pos="390"/>
          <w:tab w:val="right" w:leader="dot" w:pos="9629"/>
        </w:tabs>
        <w:rPr>
          <w:rFonts w:asciiTheme="minorHAnsi" w:eastAsiaTheme="minorEastAsia" w:hAnsiTheme="minorHAnsi" w:cstheme="minorBidi"/>
          <w:bCs w:val="0"/>
          <w:caps w:val="0"/>
          <w:noProof/>
          <w:sz w:val="24"/>
          <w:szCs w:val="24"/>
          <w:lang w:val="en-CA" w:eastAsia="ja-JP"/>
        </w:rPr>
      </w:pPr>
      <w:r>
        <w:rPr>
          <w:noProof/>
        </w:rPr>
        <w:t>4.</w:t>
      </w:r>
      <w:r>
        <w:rPr>
          <w:rFonts w:asciiTheme="minorHAnsi" w:eastAsiaTheme="minorEastAsia" w:hAnsiTheme="minorHAnsi" w:cstheme="minorBidi"/>
          <w:bCs w:val="0"/>
          <w:caps w:val="0"/>
          <w:noProof/>
          <w:sz w:val="24"/>
          <w:szCs w:val="24"/>
          <w:lang w:val="en-CA" w:eastAsia="ja-JP"/>
        </w:rPr>
        <w:tab/>
      </w:r>
      <w:r>
        <w:rPr>
          <w:noProof/>
        </w:rPr>
        <w:t>EVALUATION FINDINGS</w:t>
      </w:r>
      <w:r>
        <w:rPr>
          <w:noProof/>
        </w:rPr>
        <w:tab/>
      </w:r>
      <w:r>
        <w:rPr>
          <w:noProof/>
        </w:rPr>
        <w:fldChar w:fldCharType="begin"/>
      </w:r>
      <w:r>
        <w:rPr>
          <w:noProof/>
        </w:rPr>
        <w:instrText xml:space="preserve"> PAGEREF _Toc308103243 \h </w:instrText>
      </w:r>
      <w:r>
        <w:rPr>
          <w:noProof/>
        </w:rPr>
      </w:r>
      <w:r>
        <w:rPr>
          <w:noProof/>
        </w:rPr>
        <w:fldChar w:fldCharType="separate"/>
      </w:r>
      <w:r>
        <w:rPr>
          <w:noProof/>
        </w:rPr>
        <w:t>15</w:t>
      </w:r>
      <w:r>
        <w:rPr>
          <w:noProof/>
        </w:rPr>
        <w:fldChar w:fldCharType="end"/>
      </w:r>
    </w:p>
    <w:p w14:paraId="7EFDE8B3"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4.1.</w:t>
      </w:r>
      <w:r>
        <w:rPr>
          <w:rFonts w:asciiTheme="minorHAnsi" w:eastAsiaTheme="minorEastAsia" w:hAnsiTheme="minorHAnsi" w:cstheme="minorBidi"/>
          <w:smallCaps w:val="0"/>
          <w:noProof/>
          <w:sz w:val="24"/>
          <w:szCs w:val="24"/>
          <w:lang w:val="en-CA" w:eastAsia="ja-JP"/>
        </w:rPr>
        <w:tab/>
      </w:r>
      <w:r w:rsidRPr="00755139">
        <w:rPr>
          <w:noProof/>
        </w:rPr>
        <w:t>Project Design / Formulation</w:t>
      </w:r>
      <w:r>
        <w:rPr>
          <w:noProof/>
        </w:rPr>
        <w:tab/>
      </w:r>
      <w:r>
        <w:rPr>
          <w:noProof/>
        </w:rPr>
        <w:fldChar w:fldCharType="begin"/>
      </w:r>
      <w:r>
        <w:rPr>
          <w:noProof/>
        </w:rPr>
        <w:instrText xml:space="preserve"> PAGEREF _Toc308103244 \h </w:instrText>
      </w:r>
      <w:r>
        <w:rPr>
          <w:noProof/>
        </w:rPr>
      </w:r>
      <w:r>
        <w:rPr>
          <w:noProof/>
        </w:rPr>
        <w:fldChar w:fldCharType="separate"/>
      </w:r>
      <w:r>
        <w:rPr>
          <w:noProof/>
        </w:rPr>
        <w:t>15</w:t>
      </w:r>
      <w:r>
        <w:rPr>
          <w:noProof/>
        </w:rPr>
        <w:fldChar w:fldCharType="end"/>
      </w:r>
    </w:p>
    <w:p w14:paraId="6DD5057F"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4.1.1.</w:t>
      </w:r>
      <w:r>
        <w:rPr>
          <w:rFonts w:asciiTheme="minorHAnsi" w:eastAsiaTheme="minorEastAsia" w:hAnsiTheme="minorHAnsi" w:cstheme="minorBidi"/>
          <w:i w:val="0"/>
          <w:iCs w:val="0"/>
          <w:sz w:val="24"/>
          <w:szCs w:val="24"/>
          <w:lang w:val="en-CA" w:eastAsia="ja-JP"/>
        </w:rPr>
        <w:tab/>
      </w:r>
      <w:r w:rsidRPr="00755139">
        <w:rPr>
          <w:rFonts w:ascii="Arial" w:hAnsi="Arial" w:cs="Arial"/>
        </w:rPr>
        <w:t>Analysis of Results and Resource Framework</w:t>
      </w:r>
      <w:r>
        <w:tab/>
      </w:r>
      <w:r>
        <w:fldChar w:fldCharType="begin"/>
      </w:r>
      <w:r>
        <w:instrText xml:space="preserve"> PAGEREF _Toc308103245 \h </w:instrText>
      </w:r>
      <w:r>
        <w:fldChar w:fldCharType="separate"/>
      </w:r>
      <w:r>
        <w:t>15</w:t>
      </w:r>
      <w:r>
        <w:fldChar w:fldCharType="end"/>
      </w:r>
    </w:p>
    <w:p w14:paraId="2040DDB0"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4.1.2.</w:t>
      </w:r>
      <w:r>
        <w:rPr>
          <w:rFonts w:asciiTheme="minorHAnsi" w:eastAsiaTheme="minorEastAsia" w:hAnsiTheme="minorHAnsi" w:cstheme="minorBidi"/>
          <w:i w:val="0"/>
          <w:iCs w:val="0"/>
          <w:sz w:val="24"/>
          <w:szCs w:val="24"/>
          <w:lang w:val="en-CA" w:eastAsia="ja-JP"/>
        </w:rPr>
        <w:tab/>
      </w:r>
      <w:r w:rsidRPr="00755139">
        <w:rPr>
          <w:rFonts w:ascii="Arial" w:hAnsi="Arial" w:cs="Arial"/>
        </w:rPr>
        <w:t>Assumptions and Risks</w:t>
      </w:r>
      <w:r>
        <w:tab/>
      </w:r>
      <w:r>
        <w:fldChar w:fldCharType="begin"/>
      </w:r>
      <w:r>
        <w:instrText xml:space="preserve"> PAGEREF _Toc308103246 \h </w:instrText>
      </w:r>
      <w:r>
        <w:fldChar w:fldCharType="separate"/>
      </w:r>
      <w:r>
        <w:t>16</w:t>
      </w:r>
      <w:r>
        <w:fldChar w:fldCharType="end"/>
      </w:r>
    </w:p>
    <w:p w14:paraId="738568D9"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4.1.3.</w:t>
      </w:r>
      <w:r>
        <w:rPr>
          <w:rFonts w:asciiTheme="minorHAnsi" w:eastAsiaTheme="minorEastAsia" w:hAnsiTheme="minorHAnsi" w:cstheme="minorBidi"/>
          <w:i w:val="0"/>
          <w:iCs w:val="0"/>
          <w:sz w:val="24"/>
          <w:szCs w:val="24"/>
          <w:lang w:val="en-CA" w:eastAsia="ja-JP"/>
        </w:rPr>
        <w:tab/>
      </w:r>
      <w:r w:rsidRPr="00755139">
        <w:rPr>
          <w:rFonts w:ascii="Arial" w:hAnsi="Arial" w:cs="Arial"/>
        </w:rPr>
        <w:t>Linkages Between the Project and Other Interventions within the Sector</w:t>
      </w:r>
      <w:r>
        <w:tab/>
      </w:r>
      <w:r>
        <w:fldChar w:fldCharType="begin"/>
      </w:r>
      <w:r>
        <w:instrText xml:space="preserve"> PAGEREF _Toc308103247 \h </w:instrText>
      </w:r>
      <w:r>
        <w:fldChar w:fldCharType="separate"/>
      </w:r>
      <w:r>
        <w:t>18</w:t>
      </w:r>
      <w:r>
        <w:fldChar w:fldCharType="end"/>
      </w:r>
    </w:p>
    <w:p w14:paraId="60144AB6"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4.1.4.</w:t>
      </w:r>
      <w:r>
        <w:rPr>
          <w:rFonts w:asciiTheme="minorHAnsi" w:eastAsiaTheme="minorEastAsia" w:hAnsiTheme="minorHAnsi" w:cstheme="minorBidi"/>
          <w:i w:val="0"/>
          <w:iCs w:val="0"/>
          <w:sz w:val="24"/>
          <w:szCs w:val="24"/>
          <w:lang w:val="en-CA" w:eastAsia="ja-JP"/>
        </w:rPr>
        <w:tab/>
      </w:r>
      <w:r w:rsidRPr="00755139">
        <w:rPr>
          <w:rFonts w:ascii="Arial" w:hAnsi="Arial" w:cs="Arial"/>
        </w:rPr>
        <w:t>Lessons from other Relevant Projects/Initiatives</w:t>
      </w:r>
      <w:r>
        <w:tab/>
      </w:r>
      <w:r>
        <w:fldChar w:fldCharType="begin"/>
      </w:r>
      <w:r>
        <w:instrText xml:space="preserve"> PAGEREF _Toc308103248 \h </w:instrText>
      </w:r>
      <w:r>
        <w:fldChar w:fldCharType="separate"/>
      </w:r>
      <w:r>
        <w:t>19</w:t>
      </w:r>
      <w:r>
        <w:fldChar w:fldCharType="end"/>
      </w:r>
    </w:p>
    <w:p w14:paraId="058307F4"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4.1.5.</w:t>
      </w:r>
      <w:r>
        <w:rPr>
          <w:rFonts w:asciiTheme="minorHAnsi" w:eastAsiaTheme="minorEastAsia" w:hAnsiTheme="minorHAnsi" w:cstheme="minorBidi"/>
          <w:i w:val="0"/>
          <w:iCs w:val="0"/>
          <w:sz w:val="24"/>
          <w:szCs w:val="24"/>
          <w:lang w:val="en-CA" w:eastAsia="ja-JP"/>
        </w:rPr>
        <w:tab/>
      </w:r>
      <w:r w:rsidRPr="00755139">
        <w:rPr>
          <w:rFonts w:ascii="Arial" w:hAnsi="Arial" w:cs="Arial"/>
        </w:rPr>
        <w:t>Planned Stakeholder Participation</w:t>
      </w:r>
      <w:r>
        <w:tab/>
      </w:r>
      <w:r>
        <w:fldChar w:fldCharType="begin"/>
      </w:r>
      <w:r>
        <w:instrText xml:space="preserve"> PAGEREF _Toc308103249 \h </w:instrText>
      </w:r>
      <w:r>
        <w:fldChar w:fldCharType="separate"/>
      </w:r>
      <w:r>
        <w:t>20</w:t>
      </w:r>
      <w:r>
        <w:fldChar w:fldCharType="end"/>
      </w:r>
    </w:p>
    <w:p w14:paraId="0ED4DB55"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4.1.6.</w:t>
      </w:r>
      <w:r>
        <w:rPr>
          <w:rFonts w:asciiTheme="minorHAnsi" w:eastAsiaTheme="minorEastAsia" w:hAnsiTheme="minorHAnsi" w:cstheme="minorBidi"/>
          <w:i w:val="0"/>
          <w:iCs w:val="0"/>
          <w:sz w:val="24"/>
          <w:szCs w:val="24"/>
          <w:lang w:val="en-CA" w:eastAsia="ja-JP"/>
        </w:rPr>
        <w:tab/>
      </w:r>
      <w:r w:rsidRPr="00755139">
        <w:rPr>
          <w:rFonts w:ascii="Arial" w:hAnsi="Arial" w:cs="Arial"/>
        </w:rPr>
        <w:t>Planned Replication Approach</w:t>
      </w:r>
      <w:r>
        <w:tab/>
      </w:r>
      <w:r>
        <w:fldChar w:fldCharType="begin"/>
      </w:r>
      <w:r>
        <w:instrText xml:space="preserve"> PAGEREF _Toc308103250 \h </w:instrText>
      </w:r>
      <w:r>
        <w:fldChar w:fldCharType="separate"/>
      </w:r>
      <w:r>
        <w:t>21</w:t>
      </w:r>
      <w:r>
        <w:fldChar w:fldCharType="end"/>
      </w:r>
    </w:p>
    <w:p w14:paraId="16EF0E7E"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4.1.7.</w:t>
      </w:r>
      <w:r>
        <w:rPr>
          <w:rFonts w:asciiTheme="minorHAnsi" w:eastAsiaTheme="minorEastAsia" w:hAnsiTheme="minorHAnsi" w:cstheme="minorBidi"/>
          <w:i w:val="0"/>
          <w:iCs w:val="0"/>
          <w:sz w:val="24"/>
          <w:szCs w:val="24"/>
          <w:lang w:val="en-CA" w:eastAsia="ja-JP"/>
        </w:rPr>
        <w:tab/>
      </w:r>
      <w:r w:rsidRPr="00755139">
        <w:rPr>
          <w:rFonts w:ascii="Arial" w:hAnsi="Arial" w:cs="Arial"/>
        </w:rPr>
        <w:t>UNDP Comparative Advantage</w:t>
      </w:r>
      <w:r>
        <w:tab/>
      </w:r>
      <w:r>
        <w:fldChar w:fldCharType="begin"/>
      </w:r>
      <w:r>
        <w:instrText xml:space="preserve"> PAGEREF _Toc308103251 \h </w:instrText>
      </w:r>
      <w:r>
        <w:fldChar w:fldCharType="separate"/>
      </w:r>
      <w:r>
        <w:t>22</w:t>
      </w:r>
      <w:r>
        <w:fldChar w:fldCharType="end"/>
      </w:r>
    </w:p>
    <w:p w14:paraId="6C0BBD9B"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4.1.8.</w:t>
      </w:r>
      <w:r>
        <w:rPr>
          <w:rFonts w:asciiTheme="minorHAnsi" w:eastAsiaTheme="minorEastAsia" w:hAnsiTheme="minorHAnsi" w:cstheme="minorBidi"/>
          <w:i w:val="0"/>
          <w:iCs w:val="0"/>
          <w:sz w:val="24"/>
          <w:szCs w:val="24"/>
          <w:lang w:val="en-CA" w:eastAsia="ja-JP"/>
        </w:rPr>
        <w:tab/>
      </w:r>
      <w:r w:rsidRPr="00755139">
        <w:rPr>
          <w:rFonts w:ascii="Arial" w:hAnsi="Arial" w:cs="Arial"/>
        </w:rPr>
        <w:t>Management Arrangements</w:t>
      </w:r>
      <w:r>
        <w:tab/>
      </w:r>
      <w:r>
        <w:fldChar w:fldCharType="begin"/>
      </w:r>
      <w:r>
        <w:instrText xml:space="preserve"> PAGEREF _Toc308103252 \h </w:instrText>
      </w:r>
      <w:r>
        <w:fldChar w:fldCharType="separate"/>
      </w:r>
      <w:r>
        <w:t>23</w:t>
      </w:r>
      <w:r>
        <w:fldChar w:fldCharType="end"/>
      </w:r>
    </w:p>
    <w:p w14:paraId="1975C83D"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4.2.</w:t>
      </w:r>
      <w:r>
        <w:rPr>
          <w:rFonts w:asciiTheme="minorHAnsi" w:eastAsiaTheme="minorEastAsia" w:hAnsiTheme="minorHAnsi" w:cstheme="minorBidi"/>
          <w:smallCaps w:val="0"/>
          <w:noProof/>
          <w:sz w:val="24"/>
          <w:szCs w:val="24"/>
          <w:lang w:val="en-CA" w:eastAsia="ja-JP"/>
        </w:rPr>
        <w:tab/>
      </w:r>
      <w:r w:rsidRPr="00755139">
        <w:rPr>
          <w:noProof/>
        </w:rPr>
        <w:t>Project Implementation</w:t>
      </w:r>
      <w:r>
        <w:rPr>
          <w:noProof/>
        </w:rPr>
        <w:tab/>
      </w:r>
      <w:r>
        <w:rPr>
          <w:noProof/>
        </w:rPr>
        <w:fldChar w:fldCharType="begin"/>
      </w:r>
      <w:r>
        <w:rPr>
          <w:noProof/>
        </w:rPr>
        <w:instrText xml:space="preserve"> PAGEREF _Toc308103253 \h </w:instrText>
      </w:r>
      <w:r>
        <w:rPr>
          <w:noProof/>
        </w:rPr>
      </w:r>
      <w:r>
        <w:rPr>
          <w:noProof/>
        </w:rPr>
        <w:fldChar w:fldCharType="separate"/>
      </w:r>
      <w:r>
        <w:rPr>
          <w:noProof/>
        </w:rPr>
        <w:t>24</w:t>
      </w:r>
      <w:r>
        <w:rPr>
          <w:noProof/>
        </w:rPr>
        <w:fldChar w:fldCharType="end"/>
      </w:r>
    </w:p>
    <w:p w14:paraId="568F9969"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4.2.1.</w:t>
      </w:r>
      <w:r>
        <w:rPr>
          <w:rFonts w:asciiTheme="minorHAnsi" w:eastAsiaTheme="minorEastAsia" w:hAnsiTheme="minorHAnsi" w:cstheme="minorBidi"/>
          <w:i w:val="0"/>
          <w:iCs w:val="0"/>
          <w:sz w:val="24"/>
          <w:szCs w:val="24"/>
          <w:lang w:val="en-CA" w:eastAsia="ja-JP"/>
        </w:rPr>
        <w:tab/>
      </w:r>
      <w:r w:rsidRPr="00755139">
        <w:rPr>
          <w:rFonts w:ascii="Arial" w:hAnsi="Arial" w:cs="Arial"/>
        </w:rPr>
        <w:t>Adaptive Management</w:t>
      </w:r>
      <w:r>
        <w:tab/>
      </w:r>
      <w:r>
        <w:fldChar w:fldCharType="begin"/>
      </w:r>
      <w:r>
        <w:instrText xml:space="preserve"> PAGEREF _Toc308103254 \h </w:instrText>
      </w:r>
      <w:r>
        <w:fldChar w:fldCharType="separate"/>
      </w:r>
      <w:r>
        <w:t>24</w:t>
      </w:r>
      <w:r>
        <w:fldChar w:fldCharType="end"/>
      </w:r>
    </w:p>
    <w:p w14:paraId="5DFD3566"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4.2.2.</w:t>
      </w:r>
      <w:r>
        <w:rPr>
          <w:rFonts w:asciiTheme="minorHAnsi" w:eastAsiaTheme="minorEastAsia" w:hAnsiTheme="minorHAnsi" w:cstheme="minorBidi"/>
          <w:i w:val="0"/>
          <w:iCs w:val="0"/>
          <w:sz w:val="24"/>
          <w:szCs w:val="24"/>
          <w:lang w:val="en-CA" w:eastAsia="ja-JP"/>
        </w:rPr>
        <w:tab/>
      </w:r>
      <w:r w:rsidRPr="00755139">
        <w:rPr>
          <w:rFonts w:ascii="Arial" w:hAnsi="Arial" w:cs="Arial"/>
        </w:rPr>
        <w:t>Partnership Arrangements</w:t>
      </w:r>
      <w:r>
        <w:tab/>
      </w:r>
      <w:r>
        <w:fldChar w:fldCharType="begin"/>
      </w:r>
      <w:r>
        <w:instrText xml:space="preserve"> PAGEREF _Toc308103255 \h </w:instrText>
      </w:r>
      <w:r>
        <w:fldChar w:fldCharType="separate"/>
      </w:r>
      <w:r>
        <w:t>25</w:t>
      </w:r>
      <w:r>
        <w:fldChar w:fldCharType="end"/>
      </w:r>
    </w:p>
    <w:p w14:paraId="55F6653E"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4.2.3.</w:t>
      </w:r>
      <w:r>
        <w:rPr>
          <w:rFonts w:asciiTheme="minorHAnsi" w:eastAsiaTheme="minorEastAsia" w:hAnsiTheme="minorHAnsi" w:cstheme="minorBidi"/>
          <w:i w:val="0"/>
          <w:iCs w:val="0"/>
          <w:sz w:val="24"/>
          <w:szCs w:val="24"/>
          <w:lang w:val="en-CA" w:eastAsia="ja-JP"/>
        </w:rPr>
        <w:tab/>
      </w:r>
      <w:r w:rsidRPr="00755139">
        <w:rPr>
          <w:rFonts w:ascii="Arial" w:hAnsi="Arial" w:cs="Arial"/>
        </w:rPr>
        <w:t>Project Finance</w:t>
      </w:r>
      <w:r>
        <w:tab/>
      </w:r>
      <w:r>
        <w:fldChar w:fldCharType="begin"/>
      </w:r>
      <w:r>
        <w:instrText xml:space="preserve"> PAGEREF _Toc308103256 \h </w:instrText>
      </w:r>
      <w:r>
        <w:fldChar w:fldCharType="separate"/>
      </w:r>
      <w:r>
        <w:t>26</w:t>
      </w:r>
      <w:r>
        <w:fldChar w:fldCharType="end"/>
      </w:r>
    </w:p>
    <w:p w14:paraId="6896D789"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4.2.4.</w:t>
      </w:r>
      <w:r>
        <w:rPr>
          <w:rFonts w:asciiTheme="minorHAnsi" w:eastAsiaTheme="minorEastAsia" w:hAnsiTheme="minorHAnsi" w:cstheme="minorBidi"/>
          <w:i w:val="0"/>
          <w:iCs w:val="0"/>
          <w:sz w:val="24"/>
          <w:szCs w:val="24"/>
          <w:lang w:val="en-CA" w:eastAsia="ja-JP"/>
        </w:rPr>
        <w:tab/>
      </w:r>
      <w:r w:rsidRPr="00755139">
        <w:rPr>
          <w:rFonts w:ascii="Arial" w:hAnsi="Arial" w:cs="Arial"/>
        </w:rPr>
        <w:t>Monitoring and Evaluation (M&amp;E) Approach</w:t>
      </w:r>
      <w:r>
        <w:tab/>
      </w:r>
      <w:r>
        <w:fldChar w:fldCharType="begin"/>
      </w:r>
      <w:r>
        <w:instrText xml:space="preserve"> PAGEREF _Toc308103257 \h </w:instrText>
      </w:r>
      <w:r>
        <w:fldChar w:fldCharType="separate"/>
      </w:r>
      <w:r>
        <w:t>27</w:t>
      </w:r>
      <w:r>
        <w:fldChar w:fldCharType="end"/>
      </w:r>
    </w:p>
    <w:p w14:paraId="7DD77EB4"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4.2.5.</w:t>
      </w:r>
      <w:r>
        <w:rPr>
          <w:rFonts w:asciiTheme="minorHAnsi" w:eastAsiaTheme="minorEastAsia" w:hAnsiTheme="minorHAnsi" w:cstheme="minorBidi"/>
          <w:i w:val="0"/>
          <w:iCs w:val="0"/>
          <w:sz w:val="24"/>
          <w:szCs w:val="24"/>
          <w:lang w:val="en-CA" w:eastAsia="ja-JP"/>
        </w:rPr>
        <w:tab/>
      </w:r>
      <w:r w:rsidRPr="00755139">
        <w:rPr>
          <w:rFonts w:ascii="Arial" w:hAnsi="Arial" w:cs="Arial"/>
        </w:rPr>
        <w:t>Contribution of UNDP and Implementing Partner</w:t>
      </w:r>
      <w:r>
        <w:tab/>
      </w:r>
      <w:r>
        <w:fldChar w:fldCharType="begin"/>
      </w:r>
      <w:r>
        <w:instrText xml:space="preserve"> PAGEREF _Toc308103258 \h </w:instrText>
      </w:r>
      <w:r>
        <w:fldChar w:fldCharType="separate"/>
      </w:r>
      <w:r>
        <w:t>31</w:t>
      </w:r>
      <w:r>
        <w:fldChar w:fldCharType="end"/>
      </w:r>
    </w:p>
    <w:p w14:paraId="4F24BAB9" w14:textId="77777777" w:rsidR="00D332D7" w:rsidRDefault="00D332D7">
      <w:pPr>
        <w:pStyle w:val="TOC2"/>
        <w:tabs>
          <w:tab w:val="left" w:pos="1107"/>
          <w:tab w:val="right" w:leader="dot" w:pos="9629"/>
        </w:tabs>
        <w:rPr>
          <w:rFonts w:asciiTheme="minorHAnsi" w:eastAsiaTheme="minorEastAsia" w:hAnsiTheme="minorHAnsi" w:cstheme="minorBidi"/>
          <w:smallCaps w:val="0"/>
          <w:noProof/>
          <w:sz w:val="24"/>
          <w:szCs w:val="24"/>
          <w:lang w:val="en-CA" w:eastAsia="ja-JP"/>
        </w:rPr>
      </w:pPr>
      <w:r w:rsidRPr="00755139">
        <w:rPr>
          <w:noProof/>
        </w:rPr>
        <w:t>4.3.</w:t>
      </w:r>
      <w:r>
        <w:rPr>
          <w:rFonts w:asciiTheme="minorHAnsi" w:eastAsiaTheme="minorEastAsia" w:hAnsiTheme="minorHAnsi" w:cstheme="minorBidi"/>
          <w:smallCaps w:val="0"/>
          <w:noProof/>
          <w:sz w:val="24"/>
          <w:szCs w:val="24"/>
          <w:lang w:val="en-CA" w:eastAsia="ja-JP"/>
        </w:rPr>
        <w:tab/>
      </w:r>
      <w:r w:rsidRPr="00755139">
        <w:rPr>
          <w:noProof/>
        </w:rPr>
        <w:t>Project Results</w:t>
      </w:r>
      <w:r>
        <w:rPr>
          <w:noProof/>
        </w:rPr>
        <w:tab/>
      </w:r>
      <w:r>
        <w:rPr>
          <w:noProof/>
        </w:rPr>
        <w:fldChar w:fldCharType="begin"/>
      </w:r>
      <w:r>
        <w:rPr>
          <w:noProof/>
        </w:rPr>
        <w:instrText xml:space="preserve"> PAGEREF _Toc308103259 \h </w:instrText>
      </w:r>
      <w:r>
        <w:rPr>
          <w:noProof/>
        </w:rPr>
      </w:r>
      <w:r>
        <w:rPr>
          <w:noProof/>
        </w:rPr>
        <w:fldChar w:fldCharType="separate"/>
      </w:r>
      <w:r>
        <w:rPr>
          <w:noProof/>
        </w:rPr>
        <w:t>32</w:t>
      </w:r>
      <w:r>
        <w:rPr>
          <w:noProof/>
        </w:rPr>
        <w:fldChar w:fldCharType="end"/>
      </w:r>
    </w:p>
    <w:p w14:paraId="4F1C2472"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4.3.1.</w:t>
      </w:r>
      <w:r>
        <w:rPr>
          <w:rFonts w:asciiTheme="minorHAnsi" w:eastAsiaTheme="minorEastAsia" w:hAnsiTheme="minorHAnsi" w:cstheme="minorBidi"/>
          <w:i w:val="0"/>
          <w:iCs w:val="0"/>
          <w:sz w:val="24"/>
          <w:szCs w:val="24"/>
          <w:lang w:val="en-CA" w:eastAsia="ja-JP"/>
        </w:rPr>
        <w:tab/>
      </w:r>
      <w:r w:rsidRPr="00755139">
        <w:rPr>
          <w:rFonts w:ascii="Arial" w:hAnsi="Arial" w:cs="Arial"/>
        </w:rPr>
        <w:t>Overall Achievements/Results</w:t>
      </w:r>
      <w:r>
        <w:tab/>
      </w:r>
      <w:r>
        <w:fldChar w:fldCharType="begin"/>
      </w:r>
      <w:r>
        <w:instrText xml:space="preserve"> PAGEREF _Toc308103260 \h </w:instrText>
      </w:r>
      <w:r>
        <w:fldChar w:fldCharType="separate"/>
      </w:r>
      <w:r>
        <w:t>32</w:t>
      </w:r>
      <w:r>
        <w:fldChar w:fldCharType="end"/>
      </w:r>
    </w:p>
    <w:p w14:paraId="05AF1012"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4.3.2.</w:t>
      </w:r>
      <w:r>
        <w:rPr>
          <w:rFonts w:asciiTheme="minorHAnsi" w:eastAsiaTheme="minorEastAsia" w:hAnsiTheme="minorHAnsi" w:cstheme="minorBidi"/>
          <w:i w:val="0"/>
          <w:iCs w:val="0"/>
          <w:sz w:val="24"/>
          <w:szCs w:val="24"/>
          <w:lang w:val="en-CA" w:eastAsia="ja-JP"/>
        </w:rPr>
        <w:tab/>
      </w:r>
      <w:r w:rsidRPr="00755139">
        <w:rPr>
          <w:rFonts w:ascii="Arial" w:hAnsi="Arial" w:cs="Arial"/>
        </w:rPr>
        <w:t>Attainment of Project Objective / Impact</w:t>
      </w:r>
      <w:r>
        <w:tab/>
      </w:r>
      <w:r>
        <w:fldChar w:fldCharType="begin"/>
      </w:r>
      <w:r>
        <w:instrText xml:space="preserve"> PAGEREF _Toc308103261 \h </w:instrText>
      </w:r>
      <w:r>
        <w:fldChar w:fldCharType="separate"/>
      </w:r>
      <w:r>
        <w:t>37</w:t>
      </w:r>
      <w:r>
        <w:fldChar w:fldCharType="end"/>
      </w:r>
    </w:p>
    <w:p w14:paraId="2808302C"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4.3.3.</w:t>
      </w:r>
      <w:r>
        <w:rPr>
          <w:rFonts w:asciiTheme="minorHAnsi" w:eastAsiaTheme="minorEastAsia" w:hAnsiTheme="minorHAnsi" w:cstheme="minorBidi"/>
          <w:i w:val="0"/>
          <w:iCs w:val="0"/>
          <w:sz w:val="24"/>
          <w:szCs w:val="24"/>
          <w:lang w:val="en-CA" w:eastAsia="ja-JP"/>
        </w:rPr>
        <w:tab/>
      </w:r>
      <w:r w:rsidRPr="00755139">
        <w:rPr>
          <w:rFonts w:ascii="Arial" w:hAnsi="Arial" w:cs="Arial"/>
        </w:rPr>
        <w:t>Relevance</w:t>
      </w:r>
      <w:r>
        <w:tab/>
      </w:r>
      <w:r>
        <w:fldChar w:fldCharType="begin"/>
      </w:r>
      <w:r>
        <w:instrText xml:space="preserve"> PAGEREF _Toc308103262 \h </w:instrText>
      </w:r>
      <w:r>
        <w:fldChar w:fldCharType="separate"/>
      </w:r>
      <w:r>
        <w:t>42</w:t>
      </w:r>
      <w:r>
        <w:fldChar w:fldCharType="end"/>
      </w:r>
    </w:p>
    <w:p w14:paraId="5D2CD336"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4.3.4.</w:t>
      </w:r>
      <w:r>
        <w:rPr>
          <w:rFonts w:asciiTheme="minorHAnsi" w:eastAsiaTheme="minorEastAsia" w:hAnsiTheme="minorHAnsi" w:cstheme="minorBidi"/>
          <w:i w:val="0"/>
          <w:iCs w:val="0"/>
          <w:sz w:val="24"/>
          <w:szCs w:val="24"/>
          <w:lang w:val="en-CA" w:eastAsia="ja-JP"/>
        </w:rPr>
        <w:tab/>
      </w:r>
      <w:r w:rsidRPr="00755139">
        <w:rPr>
          <w:rFonts w:ascii="Arial" w:hAnsi="Arial" w:cs="Arial"/>
        </w:rPr>
        <w:t>Efficiency</w:t>
      </w:r>
      <w:r>
        <w:tab/>
      </w:r>
      <w:r>
        <w:fldChar w:fldCharType="begin"/>
      </w:r>
      <w:r>
        <w:instrText xml:space="preserve"> PAGEREF _Toc308103263 \h </w:instrText>
      </w:r>
      <w:r>
        <w:fldChar w:fldCharType="separate"/>
      </w:r>
      <w:r>
        <w:t>42</w:t>
      </w:r>
      <w:r>
        <w:fldChar w:fldCharType="end"/>
      </w:r>
    </w:p>
    <w:p w14:paraId="1BAFA68C"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4.3.5.</w:t>
      </w:r>
      <w:r>
        <w:rPr>
          <w:rFonts w:asciiTheme="minorHAnsi" w:eastAsiaTheme="minorEastAsia" w:hAnsiTheme="minorHAnsi" w:cstheme="minorBidi"/>
          <w:i w:val="0"/>
          <w:iCs w:val="0"/>
          <w:sz w:val="24"/>
          <w:szCs w:val="24"/>
          <w:lang w:val="en-CA" w:eastAsia="ja-JP"/>
        </w:rPr>
        <w:tab/>
      </w:r>
      <w:r w:rsidRPr="00755139">
        <w:rPr>
          <w:rFonts w:ascii="Arial" w:hAnsi="Arial" w:cs="Arial"/>
        </w:rPr>
        <w:t>Country Ownership</w:t>
      </w:r>
      <w:r>
        <w:tab/>
      </w:r>
      <w:r>
        <w:fldChar w:fldCharType="begin"/>
      </w:r>
      <w:r>
        <w:instrText xml:space="preserve"> PAGEREF _Toc308103264 \h </w:instrText>
      </w:r>
      <w:r>
        <w:fldChar w:fldCharType="separate"/>
      </w:r>
      <w:r>
        <w:t>44</w:t>
      </w:r>
      <w:r>
        <w:fldChar w:fldCharType="end"/>
      </w:r>
    </w:p>
    <w:p w14:paraId="3C94F9DD"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4.3.6.</w:t>
      </w:r>
      <w:r>
        <w:rPr>
          <w:rFonts w:asciiTheme="minorHAnsi" w:eastAsiaTheme="minorEastAsia" w:hAnsiTheme="minorHAnsi" w:cstheme="minorBidi"/>
          <w:i w:val="0"/>
          <w:iCs w:val="0"/>
          <w:sz w:val="24"/>
          <w:szCs w:val="24"/>
          <w:lang w:val="en-CA" w:eastAsia="ja-JP"/>
        </w:rPr>
        <w:tab/>
      </w:r>
      <w:r w:rsidRPr="00755139">
        <w:rPr>
          <w:rFonts w:ascii="Arial" w:hAnsi="Arial" w:cs="Arial"/>
        </w:rPr>
        <w:t>Sustainability</w:t>
      </w:r>
      <w:r>
        <w:tab/>
      </w:r>
      <w:r>
        <w:fldChar w:fldCharType="begin"/>
      </w:r>
      <w:r>
        <w:instrText xml:space="preserve"> PAGEREF _Toc308103265 \h </w:instrText>
      </w:r>
      <w:r>
        <w:fldChar w:fldCharType="separate"/>
      </w:r>
      <w:r>
        <w:t>44</w:t>
      </w:r>
      <w:r>
        <w:fldChar w:fldCharType="end"/>
      </w:r>
    </w:p>
    <w:p w14:paraId="3A42652F"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4.3.7.</w:t>
      </w:r>
      <w:r>
        <w:rPr>
          <w:rFonts w:asciiTheme="minorHAnsi" w:eastAsiaTheme="minorEastAsia" w:hAnsiTheme="minorHAnsi" w:cstheme="minorBidi"/>
          <w:i w:val="0"/>
          <w:iCs w:val="0"/>
          <w:sz w:val="24"/>
          <w:szCs w:val="24"/>
          <w:lang w:val="en-CA" w:eastAsia="ja-JP"/>
        </w:rPr>
        <w:tab/>
      </w:r>
      <w:r w:rsidRPr="00755139">
        <w:rPr>
          <w:rFonts w:ascii="Arial" w:hAnsi="Arial" w:cs="Arial"/>
        </w:rPr>
        <w:t>Mainstreaming</w:t>
      </w:r>
      <w:r>
        <w:tab/>
      </w:r>
      <w:r>
        <w:fldChar w:fldCharType="begin"/>
      </w:r>
      <w:r>
        <w:instrText xml:space="preserve"> PAGEREF _Toc308103266 \h </w:instrText>
      </w:r>
      <w:r>
        <w:fldChar w:fldCharType="separate"/>
      </w:r>
      <w:r>
        <w:t>45</w:t>
      </w:r>
      <w:r>
        <w:fldChar w:fldCharType="end"/>
      </w:r>
    </w:p>
    <w:p w14:paraId="20308402" w14:textId="77777777" w:rsidR="00D332D7" w:rsidRDefault="00D332D7">
      <w:pPr>
        <w:pStyle w:val="TOC3"/>
        <w:rPr>
          <w:rFonts w:asciiTheme="minorHAnsi" w:eastAsiaTheme="minorEastAsia" w:hAnsiTheme="minorHAnsi" w:cstheme="minorBidi"/>
          <w:i w:val="0"/>
          <w:iCs w:val="0"/>
          <w:sz w:val="24"/>
          <w:szCs w:val="24"/>
          <w:lang w:val="en-CA" w:eastAsia="ja-JP"/>
        </w:rPr>
      </w:pPr>
      <w:r w:rsidRPr="00755139">
        <w:rPr>
          <w:rFonts w:ascii="Arial" w:hAnsi="Arial" w:cs="Arial"/>
        </w:rPr>
        <w:t>4.3.8.</w:t>
      </w:r>
      <w:r>
        <w:rPr>
          <w:rFonts w:asciiTheme="minorHAnsi" w:eastAsiaTheme="minorEastAsia" w:hAnsiTheme="minorHAnsi" w:cstheme="minorBidi"/>
          <w:i w:val="0"/>
          <w:iCs w:val="0"/>
          <w:sz w:val="24"/>
          <w:szCs w:val="24"/>
          <w:lang w:val="en-CA" w:eastAsia="ja-JP"/>
        </w:rPr>
        <w:tab/>
      </w:r>
      <w:r w:rsidRPr="00755139">
        <w:rPr>
          <w:rFonts w:ascii="Arial" w:hAnsi="Arial" w:cs="Arial"/>
        </w:rPr>
        <w:t>Catalytic Role</w:t>
      </w:r>
      <w:r>
        <w:tab/>
      </w:r>
      <w:r>
        <w:fldChar w:fldCharType="begin"/>
      </w:r>
      <w:r>
        <w:instrText xml:space="preserve"> PAGEREF _Toc308103267 \h </w:instrText>
      </w:r>
      <w:r>
        <w:fldChar w:fldCharType="separate"/>
      </w:r>
      <w:r>
        <w:t>46</w:t>
      </w:r>
      <w:r>
        <w:fldChar w:fldCharType="end"/>
      </w:r>
    </w:p>
    <w:p w14:paraId="00450298" w14:textId="77777777" w:rsidR="00D332D7" w:rsidRDefault="00D332D7">
      <w:pPr>
        <w:pStyle w:val="TOC1"/>
        <w:tabs>
          <w:tab w:val="left" w:pos="390"/>
          <w:tab w:val="right" w:leader="dot" w:pos="9629"/>
        </w:tabs>
        <w:rPr>
          <w:rFonts w:asciiTheme="minorHAnsi" w:eastAsiaTheme="minorEastAsia" w:hAnsiTheme="minorHAnsi" w:cstheme="minorBidi"/>
          <w:bCs w:val="0"/>
          <w:caps w:val="0"/>
          <w:noProof/>
          <w:sz w:val="24"/>
          <w:szCs w:val="24"/>
          <w:lang w:val="en-CA" w:eastAsia="ja-JP"/>
        </w:rPr>
      </w:pPr>
      <w:r>
        <w:rPr>
          <w:noProof/>
        </w:rPr>
        <w:t>5.</w:t>
      </w:r>
      <w:r>
        <w:rPr>
          <w:rFonts w:asciiTheme="minorHAnsi" w:eastAsiaTheme="minorEastAsia" w:hAnsiTheme="minorHAnsi" w:cstheme="minorBidi"/>
          <w:bCs w:val="0"/>
          <w:caps w:val="0"/>
          <w:noProof/>
          <w:sz w:val="24"/>
          <w:szCs w:val="24"/>
          <w:lang w:val="en-CA" w:eastAsia="ja-JP"/>
        </w:rPr>
        <w:tab/>
      </w:r>
      <w:r>
        <w:rPr>
          <w:noProof/>
        </w:rPr>
        <w:t>LESSONS LEARNED</w:t>
      </w:r>
      <w:r>
        <w:rPr>
          <w:noProof/>
        </w:rPr>
        <w:tab/>
      </w:r>
      <w:r>
        <w:rPr>
          <w:noProof/>
        </w:rPr>
        <w:fldChar w:fldCharType="begin"/>
      </w:r>
      <w:r>
        <w:rPr>
          <w:noProof/>
        </w:rPr>
        <w:instrText xml:space="preserve"> PAGEREF _Toc308103268 \h </w:instrText>
      </w:r>
      <w:r>
        <w:rPr>
          <w:noProof/>
        </w:rPr>
      </w:r>
      <w:r>
        <w:rPr>
          <w:noProof/>
        </w:rPr>
        <w:fldChar w:fldCharType="separate"/>
      </w:r>
      <w:r>
        <w:rPr>
          <w:noProof/>
        </w:rPr>
        <w:t>48</w:t>
      </w:r>
      <w:r>
        <w:rPr>
          <w:noProof/>
        </w:rPr>
        <w:fldChar w:fldCharType="end"/>
      </w:r>
    </w:p>
    <w:p w14:paraId="728127BB"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1:  Terms of Reference</w:t>
      </w:r>
      <w:r>
        <w:rPr>
          <w:noProof/>
        </w:rPr>
        <w:tab/>
      </w:r>
      <w:r>
        <w:rPr>
          <w:noProof/>
        </w:rPr>
        <w:fldChar w:fldCharType="begin"/>
      </w:r>
      <w:r>
        <w:rPr>
          <w:noProof/>
        </w:rPr>
        <w:instrText xml:space="preserve"> PAGEREF _Toc308103269 \h </w:instrText>
      </w:r>
      <w:r>
        <w:rPr>
          <w:noProof/>
        </w:rPr>
      </w:r>
      <w:r>
        <w:rPr>
          <w:noProof/>
        </w:rPr>
        <w:fldChar w:fldCharType="separate"/>
      </w:r>
      <w:r>
        <w:rPr>
          <w:noProof/>
        </w:rPr>
        <w:t>49</w:t>
      </w:r>
      <w:r>
        <w:rPr>
          <w:noProof/>
        </w:rPr>
        <w:fldChar w:fldCharType="end"/>
      </w:r>
    </w:p>
    <w:p w14:paraId="5FDE18B6"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2:  Evaluation Consultant Code of Conduct and Agreement Form</w:t>
      </w:r>
      <w:r>
        <w:rPr>
          <w:noProof/>
        </w:rPr>
        <w:tab/>
      </w:r>
      <w:r>
        <w:rPr>
          <w:noProof/>
        </w:rPr>
        <w:fldChar w:fldCharType="begin"/>
      </w:r>
      <w:r>
        <w:rPr>
          <w:noProof/>
        </w:rPr>
        <w:instrText xml:space="preserve"> PAGEREF _Toc308103270 \h </w:instrText>
      </w:r>
      <w:r>
        <w:rPr>
          <w:noProof/>
        </w:rPr>
      </w:r>
      <w:r>
        <w:rPr>
          <w:noProof/>
        </w:rPr>
        <w:fldChar w:fldCharType="separate"/>
      </w:r>
      <w:r>
        <w:rPr>
          <w:noProof/>
        </w:rPr>
        <w:t>66</w:t>
      </w:r>
      <w:r>
        <w:rPr>
          <w:noProof/>
        </w:rPr>
        <w:fldChar w:fldCharType="end"/>
      </w:r>
    </w:p>
    <w:p w14:paraId="6666D602"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3:  Evaluation Matrix</w:t>
      </w:r>
      <w:r>
        <w:rPr>
          <w:noProof/>
        </w:rPr>
        <w:tab/>
      </w:r>
      <w:r>
        <w:rPr>
          <w:noProof/>
        </w:rPr>
        <w:fldChar w:fldCharType="begin"/>
      </w:r>
      <w:r>
        <w:rPr>
          <w:noProof/>
        </w:rPr>
        <w:instrText xml:space="preserve"> PAGEREF _Toc308103271 \h </w:instrText>
      </w:r>
      <w:r>
        <w:rPr>
          <w:noProof/>
        </w:rPr>
      </w:r>
      <w:r>
        <w:rPr>
          <w:noProof/>
        </w:rPr>
        <w:fldChar w:fldCharType="separate"/>
      </w:r>
      <w:r>
        <w:rPr>
          <w:noProof/>
        </w:rPr>
        <w:t>67</w:t>
      </w:r>
      <w:r>
        <w:rPr>
          <w:noProof/>
        </w:rPr>
        <w:fldChar w:fldCharType="end"/>
      </w:r>
    </w:p>
    <w:p w14:paraId="122CE70B"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4:  List of Documents Reviewed</w:t>
      </w:r>
      <w:r>
        <w:rPr>
          <w:noProof/>
        </w:rPr>
        <w:tab/>
      </w:r>
      <w:r>
        <w:rPr>
          <w:noProof/>
        </w:rPr>
        <w:fldChar w:fldCharType="begin"/>
      </w:r>
      <w:r>
        <w:rPr>
          <w:noProof/>
        </w:rPr>
        <w:instrText xml:space="preserve"> PAGEREF _Toc308103272 \h </w:instrText>
      </w:r>
      <w:r>
        <w:rPr>
          <w:noProof/>
        </w:rPr>
      </w:r>
      <w:r>
        <w:rPr>
          <w:noProof/>
        </w:rPr>
        <w:fldChar w:fldCharType="separate"/>
      </w:r>
      <w:r>
        <w:rPr>
          <w:noProof/>
        </w:rPr>
        <w:t>73</w:t>
      </w:r>
      <w:r>
        <w:rPr>
          <w:noProof/>
        </w:rPr>
        <w:fldChar w:fldCharType="end"/>
      </w:r>
    </w:p>
    <w:p w14:paraId="5FA83C14"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5:  Interview Guide</w:t>
      </w:r>
      <w:r>
        <w:rPr>
          <w:noProof/>
        </w:rPr>
        <w:tab/>
      </w:r>
      <w:r>
        <w:rPr>
          <w:noProof/>
        </w:rPr>
        <w:fldChar w:fldCharType="begin"/>
      </w:r>
      <w:r>
        <w:rPr>
          <w:noProof/>
        </w:rPr>
        <w:instrText xml:space="preserve"> PAGEREF _Toc308103273 \h </w:instrText>
      </w:r>
      <w:r>
        <w:rPr>
          <w:noProof/>
        </w:rPr>
      </w:r>
      <w:r>
        <w:rPr>
          <w:noProof/>
        </w:rPr>
        <w:fldChar w:fldCharType="separate"/>
      </w:r>
      <w:r>
        <w:rPr>
          <w:noProof/>
        </w:rPr>
        <w:t>77</w:t>
      </w:r>
      <w:r>
        <w:rPr>
          <w:noProof/>
        </w:rPr>
        <w:fldChar w:fldCharType="end"/>
      </w:r>
    </w:p>
    <w:p w14:paraId="5415B61D"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6:  Evaluation Mission Agenda</w:t>
      </w:r>
      <w:r>
        <w:rPr>
          <w:noProof/>
        </w:rPr>
        <w:tab/>
      </w:r>
      <w:r>
        <w:rPr>
          <w:noProof/>
        </w:rPr>
        <w:fldChar w:fldCharType="begin"/>
      </w:r>
      <w:r>
        <w:rPr>
          <w:noProof/>
        </w:rPr>
        <w:instrText xml:space="preserve"> PAGEREF _Toc308103274 \h </w:instrText>
      </w:r>
      <w:r>
        <w:rPr>
          <w:noProof/>
        </w:rPr>
      </w:r>
      <w:r>
        <w:rPr>
          <w:noProof/>
        </w:rPr>
        <w:fldChar w:fldCharType="separate"/>
      </w:r>
      <w:r>
        <w:rPr>
          <w:noProof/>
        </w:rPr>
        <w:t>79</w:t>
      </w:r>
      <w:r>
        <w:rPr>
          <w:noProof/>
        </w:rPr>
        <w:fldChar w:fldCharType="end"/>
      </w:r>
    </w:p>
    <w:p w14:paraId="5FF8511F"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7: List of People Interviewed</w:t>
      </w:r>
      <w:r>
        <w:rPr>
          <w:noProof/>
        </w:rPr>
        <w:tab/>
      </w:r>
      <w:r>
        <w:rPr>
          <w:noProof/>
        </w:rPr>
        <w:fldChar w:fldCharType="begin"/>
      </w:r>
      <w:r>
        <w:rPr>
          <w:noProof/>
        </w:rPr>
        <w:instrText xml:space="preserve"> PAGEREF _Toc308103275 \h </w:instrText>
      </w:r>
      <w:r>
        <w:rPr>
          <w:noProof/>
        </w:rPr>
      </w:r>
      <w:r>
        <w:rPr>
          <w:noProof/>
        </w:rPr>
        <w:fldChar w:fldCharType="separate"/>
      </w:r>
      <w:r>
        <w:rPr>
          <w:noProof/>
        </w:rPr>
        <w:t>84</w:t>
      </w:r>
      <w:r>
        <w:rPr>
          <w:noProof/>
        </w:rPr>
        <w:fldChar w:fldCharType="end"/>
      </w:r>
    </w:p>
    <w:p w14:paraId="544D0341"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8: Project Expected Results and Planned Activities</w:t>
      </w:r>
      <w:r>
        <w:rPr>
          <w:noProof/>
        </w:rPr>
        <w:tab/>
      </w:r>
      <w:r>
        <w:rPr>
          <w:noProof/>
        </w:rPr>
        <w:fldChar w:fldCharType="begin"/>
      </w:r>
      <w:r>
        <w:rPr>
          <w:noProof/>
        </w:rPr>
        <w:instrText xml:space="preserve"> PAGEREF _Toc308103276 \h </w:instrText>
      </w:r>
      <w:r>
        <w:rPr>
          <w:noProof/>
        </w:rPr>
      </w:r>
      <w:r>
        <w:rPr>
          <w:noProof/>
        </w:rPr>
        <w:fldChar w:fldCharType="separate"/>
      </w:r>
      <w:r>
        <w:rPr>
          <w:noProof/>
        </w:rPr>
        <w:t>86</w:t>
      </w:r>
      <w:r>
        <w:rPr>
          <w:noProof/>
        </w:rPr>
        <w:fldChar w:fldCharType="end"/>
      </w:r>
    </w:p>
    <w:p w14:paraId="2982AB28"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9:  Summary of Grants Given to 6 Towns</w:t>
      </w:r>
      <w:r>
        <w:rPr>
          <w:noProof/>
        </w:rPr>
        <w:tab/>
      </w:r>
      <w:r>
        <w:rPr>
          <w:noProof/>
        </w:rPr>
        <w:fldChar w:fldCharType="begin"/>
      </w:r>
      <w:r>
        <w:rPr>
          <w:noProof/>
        </w:rPr>
        <w:instrText xml:space="preserve"> PAGEREF _Toc308103277 \h </w:instrText>
      </w:r>
      <w:r>
        <w:rPr>
          <w:noProof/>
        </w:rPr>
      </w:r>
      <w:r>
        <w:rPr>
          <w:noProof/>
        </w:rPr>
        <w:fldChar w:fldCharType="separate"/>
      </w:r>
      <w:r>
        <w:rPr>
          <w:noProof/>
        </w:rPr>
        <w:t>89</w:t>
      </w:r>
      <w:r>
        <w:rPr>
          <w:noProof/>
        </w:rPr>
        <w:fldChar w:fldCharType="end"/>
      </w:r>
    </w:p>
    <w:p w14:paraId="14ECEF81"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t>Annex 10:  Capacity Development Monitoring Scorecard</w:t>
      </w:r>
      <w:r>
        <w:rPr>
          <w:noProof/>
        </w:rPr>
        <w:tab/>
      </w:r>
      <w:r>
        <w:rPr>
          <w:noProof/>
        </w:rPr>
        <w:fldChar w:fldCharType="begin"/>
      </w:r>
      <w:r>
        <w:rPr>
          <w:noProof/>
        </w:rPr>
        <w:instrText xml:space="preserve"> PAGEREF _Toc308103278 \h </w:instrText>
      </w:r>
      <w:r>
        <w:rPr>
          <w:noProof/>
        </w:rPr>
      </w:r>
      <w:r>
        <w:rPr>
          <w:noProof/>
        </w:rPr>
        <w:fldChar w:fldCharType="separate"/>
      </w:r>
      <w:r>
        <w:rPr>
          <w:noProof/>
        </w:rPr>
        <w:t>90</w:t>
      </w:r>
      <w:r>
        <w:rPr>
          <w:noProof/>
        </w:rPr>
        <w:fldChar w:fldCharType="end"/>
      </w:r>
    </w:p>
    <w:p w14:paraId="60ACF6C3" w14:textId="77777777" w:rsidR="00D332D7" w:rsidRDefault="00D332D7">
      <w:pPr>
        <w:pStyle w:val="TOC1"/>
        <w:tabs>
          <w:tab w:val="right" w:leader="dot" w:pos="9629"/>
        </w:tabs>
        <w:rPr>
          <w:rFonts w:asciiTheme="minorHAnsi" w:eastAsiaTheme="minorEastAsia" w:hAnsiTheme="minorHAnsi" w:cstheme="minorBidi"/>
          <w:bCs w:val="0"/>
          <w:caps w:val="0"/>
          <w:noProof/>
          <w:sz w:val="24"/>
          <w:szCs w:val="24"/>
          <w:lang w:val="en-CA" w:eastAsia="ja-JP"/>
        </w:rPr>
      </w:pPr>
      <w:r>
        <w:rPr>
          <w:noProof/>
        </w:rPr>
        <w:lastRenderedPageBreak/>
        <w:t>Annex 11:  Evaluation Report Clearance Form</w:t>
      </w:r>
      <w:r>
        <w:rPr>
          <w:noProof/>
        </w:rPr>
        <w:tab/>
      </w:r>
      <w:r>
        <w:rPr>
          <w:noProof/>
        </w:rPr>
        <w:fldChar w:fldCharType="begin"/>
      </w:r>
      <w:r>
        <w:rPr>
          <w:noProof/>
        </w:rPr>
        <w:instrText xml:space="preserve"> PAGEREF _Toc308103279 \h </w:instrText>
      </w:r>
      <w:r>
        <w:rPr>
          <w:noProof/>
        </w:rPr>
      </w:r>
      <w:r>
        <w:rPr>
          <w:noProof/>
        </w:rPr>
        <w:fldChar w:fldCharType="separate"/>
      </w:r>
      <w:r>
        <w:rPr>
          <w:noProof/>
        </w:rPr>
        <w:t>94</w:t>
      </w:r>
      <w:r>
        <w:rPr>
          <w:noProof/>
        </w:rPr>
        <w:fldChar w:fldCharType="end"/>
      </w:r>
    </w:p>
    <w:p w14:paraId="3F172FC6" w14:textId="77777777" w:rsidR="00A52B28" w:rsidRPr="00FB6D4E" w:rsidRDefault="002831E0" w:rsidP="00A52B28">
      <w:pPr>
        <w:pStyle w:val="Heading1"/>
        <w:spacing w:after="120"/>
        <w:ind w:left="-11"/>
        <w:jc w:val="center"/>
        <w:rPr>
          <w:sz w:val="24"/>
          <w:szCs w:val="24"/>
        </w:rPr>
      </w:pPr>
      <w:r w:rsidRPr="00FB6D4E">
        <w:rPr>
          <w:rStyle w:val="Hyperlink"/>
          <w:rFonts w:ascii="Times New Roman" w:hAnsi="Times New Roman"/>
          <w:szCs w:val="20"/>
        </w:rPr>
        <w:fldChar w:fldCharType="end"/>
      </w:r>
      <w:r w:rsidRPr="00FB6D4E">
        <w:br w:type="page"/>
      </w:r>
      <w:bookmarkStart w:id="1" w:name="_Toc308103227"/>
      <w:r w:rsidRPr="00FB6D4E">
        <w:rPr>
          <w:sz w:val="24"/>
          <w:szCs w:val="24"/>
        </w:rPr>
        <w:lastRenderedPageBreak/>
        <w:t>List of Tables</w:t>
      </w:r>
      <w:bookmarkEnd w:id="1"/>
    </w:p>
    <w:p w14:paraId="7790A02F" w14:textId="77777777" w:rsidR="00A52B28" w:rsidRPr="00FB6D4E" w:rsidRDefault="00A52B28" w:rsidP="00A52B28">
      <w:pPr>
        <w:widowControl/>
        <w:tabs>
          <w:tab w:val="left" w:pos="-720"/>
          <w:tab w:val="left" w:pos="1418"/>
        </w:tabs>
        <w:jc w:val="both"/>
        <w:rPr>
          <w:rFonts w:ascii="Arial" w:hAnsi="Arial" w:cs="Arial"/>
          <w:sz w:val="20"/>
          <w:szCs w:val="20"/>
        </w:rPr>
      </w:pPr>
    </w:p>
    <w:p w14:paraId="025E30D3" w14:textId="77777777" w:rsidR="00A52B28" w:rsidRPr="00FB6D4E" w:rsidRDefault="00A52B28" w:rsidP="00A52B28">
      <w:pPr>
        <w:widowControl/>
        <w:tabs>
          <w:tab w:val="left" w:pos="-720"/>
          <w:tab w:val="left" w:pos="1418"/>
          <w:tab w:val="right" w:leader="dot" w:pos="10065"/>
        </w:tabs>
        <w:jc w:val="both"/>
        <w:rPr>
          <w:rFonts w:ascii="Arial" w:hAnsi="Arial" w:cs="Arial"/>
          <w:sz w:val="20"/>
          <w:szCs w:val="20"/>
        </w:rPr>
      </w:pPr>
    </w:p>
    <w:p w14:paraId="2E9799E7" w14:textId="77777777" w:rsidR="00732F6A" w:rsidRDefault="002831E0">
      <w:pPr>
        <w:pStyle w:val="TableofFigures"/>
        <w:tabs>
          <w:tab w:val="right" w:leader="dot" w:pos="9629"/>
        </w:tabs>
        <w:rPr>
          <w:rFonts w:asciiTheme="minorHAnsi" w:eastAsiaTheme="minorEastAsia" w:hAnsiTheme="minorHAnsi" w:cstheme="minorBidi"/>
          <w:noProof/>
          <w:sz w:val="24"/>
          <w:lang w:val="en-CA" w:eastAsia="ja-JP"/>
        </w:rPr>
      </w:pPr>
      <w:r w:rsidRPr="00FB6D4E">
        <w:rPr>
          <w:rFonts w:cs="Arial"/>
        </w:rPr>
        <w:fldChar w:fldCharType="begin"/>
      </w:r>
      <w:r w:rsidRPr="00FB6D4E">
        <w:rPr>
          <w:rFonts w:cs="Arial"/>
        </w:rPr>
        <w:instrText xml:space="preserve"> TOC \c "Table" </w:instrText>
      </w:r>
      <w:r w:rsidRPr="00FB6D4E">
        <w:rPr>
          <w:rFonts w:cs="Arial"/>
        </w:rPr>
        <w:fldChar w:fldCharType="separate"/>
      </w:r>
      <w:r w:rsidR="00732F6A" w:rsidRPr="00114BC5">
        <w:rPr>
          <w:noProof/>
        </w:rPr>
        <w:t>Table 1:  Rating Table</w:t>
      </w:r>
      <w:r w:rsidR="00732F6A">
        <w:rPr>
          <w:noProof/>
        </w:rPr>
        <w:tab/>
      </w:r>
      <w:r w:rsidR="00732F6A">
        <w:rPr>
          <w:noProof/>
        </w:rPr>
        <w:fldChar w:fldCharType="begin"/>
      </w:r>
      <w:r w:rsidR="00732F6A">
        <w:rPr>
          <w:noProof/>
        </w:rPr>
        <w:instrText xml:space="preserve"> PAGEREF _Toc305531029 \h </w:instrText>
      </w:r>
      <w:r w:rsidR="00732F6A">
        <w:rPr>
          <w:noProof/>
        </w:rPr>
      </w:r>
      <w:r w:rsidR="00732F6A">
        <w:rPr>
          <w:noProof/>
        </w:rPr>
        <w:fldChar w:fldCharType="separate"/>
      </w:r>
      <w:r w:rsidR="00F14359">
        <w:rPr>
          <w:noProof/>
        </w:rPr>
        <w:t>8</w:t>
      </w:r>
      <w:r w:rsidR="00732F6A">
        <w:rPr>
          <w:noProof/>
        </w:rPr>
        <w:fldChar w:fldCharType="end"/>
      </w:r>
    </w:p>
    <w:p w14:paraId="08F80066"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2:  Steps Used to Conduct the Evaluation</w:t>
      </w:r>
      <w:r>
        <w:rPr>
          <w:noProof/>
        </w:rPr>
        <w:tab/>
      </w:r>
      <w:r>
        <w:rPr>
          <w:noProof/>
        </w:rPr>
        <w:fldChar w:fldCharType="begin"/>
      </w:r>
      <w:r>
        <w:rPr>
          <w:noProof/>
        </w:rPr>
        <w:instrText xml:space="preserve"> PAGEREF _Toc305531030 \h </w:instrText>
      </w:r>
      <w:r>
        <w:rPr>
          <w:noProof/>
        </w:rPr>
      </w:r>
      <w:r>
        <w:rPr>
          <w:noProof/>
        </w:rPr>
        <w:fldChar w:fldCharType="separate"/>
      </w:r>
      <w:r w:rsidR="00F14359">
        <w:rPr>
          <w:noProof/>
        </w:rPr>
        <w:t>12</w:t>
      </w:r>
      <w:r>
        <w:rPr>
          <w:noProof/>
        </w:rPr>
        <w:fldChar w:fldCharType="end"/>
      </w:r>
    </w:p>
    <w:p w14:paraId="2D33F57D"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3:  Project Logic Model</w:t>
      </w:r>
      <w:r>
        <w:rPr>
          <w:noProof/>
        </w:rPr>
        <w:tab/>
      </w:r>
      <w:r>
        <w:rPr>
          <w:noProof/>
        </w:rPr>
        <w:fldChar w:fldCharType="begin"/>
      </w:r>
      <w:r>
        <w:rPr>
          <w:noProof/>
        </w:rPr>
        <w:instrText xml:space="preserve"> PAGEREF _Toc305531031 \h </w:instrText>
      </w:r>
      <w:r>
        <w:rPr>
          <w:noProof/>
        </w:rPr>
      </w:r>
      <w:r>
        <w:rPr>
          <w:noProof/>
        </w:rPr>
        <w:fldChar w:fldCharType="separate"/>
      </w:r>
      <w:r w:rsidR="00F14359">
        <w:rPr>
          <w:noProof/>
        </w:rPr>
        <w:t>15</w:t>
      </w:r>
      <w:r>
        <w:rPr>
          <w:noProof/>
        </w:rPr>
        <w:fldChar w:fldCharType="end"/>
      </w:r>
    </w:p>
    <w:p w14:paraId="3D5D8B3C"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4:  List of Risks and Mitigation Measures Identified at the Formulation Phase</w:t>
      </w:r>
      <w:r>
        <w:rPr>
          <w:noProof/>
        </w:rPr>
        <w:tab/>
      </w:r>
      <w:r>
        <w:rPr>
          <w:noProof/>
        </w:rPr>
        <w:fldChar w:fldCharType="begin"/>
      </w:r>
      <w:r>
        <w:rPr>
          <w:noProof/>
        </w:rPr>
        <w:instrText xml:space="preserve"> PAGEREF _Toc305531032 \h </w:instrText>
      </w:r>
      <w:r>
        <w:rPr>
          <w:noProof/>
        </w:rPr>
      </w:r>
      <w:r>
        <w:rPr>
          <w:noProof/>
        </w:rPr>
        <w:fldChar w:fldCharType="separate"/>
      </w:r>
      <w:r w:rsidR="00F14359">
        <w:rPr>
          <w:noProof/>
        </w:rPr>
        <w:t>17</w:t>
      </w:r>
      <w:r>
        <w:rPr>
          <w:noProof/>
        </w:rPr>
        <w:fldChar w:fldCharType="end"/>
      </w:r>
    </w:p>
    <w:p w14:paraId="48B359EF"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5:  List of Risks Logged in Atlas</w:t>
      </w:r>
      <w:r>
        <w:rPr>
          <w:noProof/>
        </w:rPr>
        <w:tab/>
      </w:r>
      <w:r>
        <w:rPr>
          <w:noProof/>
        </w:rPr>
        <w:fldChar w:fldCharType="begin"/>
      </w:r>
      <w:r>
        <w:rPr>
          <w:noProof/>
        </w:rPr>
        <w:instrText xml:space="preserve"> PAGEREF _Toc305531033 \h </w:instrText>
      </w:r>
      <w:r>
        <w:rPr>
          <w:noProof/>
        </w:rPr>
      </w:r>
      <w:r>
        <w:rPr>
          <w:noProof/>
        </w:rPr>
        <w:fldChar w:fldCharType="separate"/>
      </w:r>
      <w:r w:rsidR="00F14359">
        <w:rPr>
          <w:noProof/>
        </w:rPr>
        <w:t>17</w:t>
      </w:r>
      <w:r>
        <w:rPr>
          <w:noProof/>
        </w:rPr>
        <w:fldChar w:fldCharType="end"/>
      </w:r>
    </w:p>
    <w:p w14:paraId="238DF733"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6:  List of Stakeholders and their Main Functions</w:t>
      </w:r>
      <w:r>
        <w:rPr>
          <w:noProof/>
        </w:rPr>
        <w:tab/>
      </w:r>
      <w:r>
        <w:rPr>
          <w:noProof/>
        </w:rPr>
        <w:fldChar w:fldCharType="begin"/>
      </w:r>
      <w:r>
        <w:rPr>
          <w:noProof/>
        </w:rPr>
        <w:instrText xml:space="preserve"> PAGEREF _Toc305531034 \h </w:instrText>
      </w:r>
      <w:r>
        <w:rPr>
          <w:noProof/>
        </w:rPr>
      </w:r>
      <w:r>
        <w:rPr>
          <w:noProof/>
        </w:rPr>
        <w:fldChar w:fldCharType="separate"/>
      </w:r>
      <w:r w:rsidR="00F14359">
        <w:rPr>
          <w:noProof/>
        </w:rPr>
        <w:t>20</w:t>
      </w:r>
      <w:r>
        <w:rPr>
          <w:noProof/>
        </w:rPr>
        <w:fldChar w:fldCharType="end"/>
      </w:r>
    </w:p>
    <w:p w14:paraId="18511D0C"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7:  UNDP-GEF Funds Disbursement Status (in USD)</w:t>
      </w:r>
      <w:r>
        <w:rPr>
          <w:noProof/>
        </w:rPr>
        <w:tab/>
      </w:r>
      <w:r>
        <w:rPr>
          <w:noProof/>
        </w:rPr>
        <w:fldChar w:fldCharType="begin"/>
      </w:r>
      <w:r>
        <w:rPr>
          <w:noProof/>
        </w:rPr>
        <w:instrText xml:space="preserve"> PAGEREF _Toc305531035 \h </w:instrText>
      </w:r>
      <w:r>
        <w:rPr>
          <w:noProof/>
        </w:rPr>
      </w:r>
      <w:r>
        <w:rPr>
          <w:noProof/>
        </w:rPr>
        <w:fldChar w:fldCharType="separate"/>
      </w:r>
      <w:r w:rsidR="00F14359">
        <w:rPr>
          <w:noProof/>
        </w:rPr>
        <w:t>26</w:t>
      </w:r>
      <w:r>
        <w:rPr>
          <w:noProof/>
        </w:rPr>
        <w:fldChar w:fldCharType="end"/>
      </w:r>
    </w:p>
    <w:p w14:paraId="7AD40DB4"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8:  Co-financing Status</w:t>
      </w:r>
      <w:r>
        <w:rPr>
          <w:noProof/>
        </w:rPr>
        <w:tab/>
      </w:r>
      <w:r>
        <w:rPr>
          <w:noProof/>
        </w:rPr>
        <w:fldChar w:fldCharType="begin"/>
      </w:r>
      <w:r>
        <w:rPr>
          <w:noProof/>
        </w:rPr>
        <w:instrText xml:space="preserve"> PAGEREF _Toc305531036 \h </w:instrText>
      </w:r>
      <w:r>
        <w:rPr>
          <w:noProof/>
        </w:rPr>
      </w:r>
      <w:r>
        <w:rPr>
          <w:noProof/>
        </w:rPr>
        <w:fldChar w:fldCharType="separate"/>
      </w:r>
      <w:r w:rsidR="00F14359">
        <w:rPr>
          <w:noProof/>
        </w:rPr>
        <w:t>27</w:t>
      </w:r>
      <w:r>
        <w:rPr>
          <w:noProof/>
        </w:rPr>
        <w:fldChar w:fldCharType="end"/>
      </w:r>
    </w:p>
    <w:p w14:paraId="341EA302"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9:  List of Performance Indicators</w:t>
      </w:r>
      <w:r>
        <w:rPr>
          <w:noProof/>
        </w:rPr>
        <w:tab/>
      </w:r>
      <w:r>
        <w:rPr>
          <w:noProof/>
        </w:rPr>
        <w:fldChar w:fldCharType="begin"/>
      </w:r>
      <w:r>
        <w:rPr>
          <w:noProof/>
        </w:rPr>
        <w:instrText xml:space="preserve"> PAGEREF _Toc305531037 \h </w:instrText>
      </w:r>
      <w:r>
        <w:rPr>
          <w:noProof/>
        </w:rPr>
      </w:r>
      <w:r>
        <w:rPr>
          <w:noProof/>
        </w:rPr>
        <w:fldChar w:fldCharType="separate"/>
      </w:r>
      <w:r w:rsidR="00F14359">
        <w:rPr>
          <w:noProof/>
        </w:rPr>
        <w:t>29</w:t>
      </w:r>
      <w:r>
        <w:rPr>
          <w:noProof/>
        </w:rPr>
        <w:fldChar w:fldCharType="end"/>
      </w:r>
    </w:p>
    <w:p w14:paraId="16605DDE"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10:  List of Delivered Results</w:t>
      </w:r>
      <w:r>
        <w:rPr>
          <w:noProof/>
        </w:rPr>
        <w:tab/>
      </w:r>
      <w:r>
        <w:rPr>
          <w:noProof/>
        </w:rPr>
        <w:fldChar w:fldCharType="begin"/>
      </w:r>
      <w:r>
        <w:rPr>
          <w:noProof/>
        </w:rPr>
        <w:instrText xml:space="preserve"> PAGEREF _Toc305531038 \h </w:instrText>
      </w:r>
      <w:r>
        <w:rPr>
          <w:noProof/>
        </w:rPr>
      </w:r>
      <w:r>
        <w:rPr>
          <w:noProof/>
        </w:rPr>
        <w:fldChar w:fldCharType="separate"/>
      </w:r>
      <w:r w:rsidR="00F14359">
        <w:rPr>
          <w:noProof/>
        </w:rPr>
        <w:t>33</w:t>
      </w:r>
      <w:r>
        <w:rPr>
          <w:noProof/>
        </w:rPr>
        <w:fldChar w:fldCharType="end"/>
      </w:r>
    </w:p>
    <w:p w14:paraId="09FDD4D5"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11:  Attainment of Project Objective</w:t>
      </w:r>
      <w:r>
        <w:rPr>
          <w:noProof/>
        </w:rPr>
        <w:tab/>
      </w:r>
      <w:r>
        <w:rPr>
          <w:noProof/>
        </w:rPr>
        <w:fldChar w:fldCharType="begin"/>
      </w:r>
      <w:r>
        <w:rPr>
          <w:noProof/>
        </w:rPr>
        <w:instrText xml:space="preserve"> PAGEREF _Toc305531039 \h </w:instrText>
      </w:r>
      <w:r>
        <w:rPr>
          <w:noProof/>
        </w:rPr>
      </w:r>
      <w:r>
        <w:rPr>
          <w:noProof/>
        </w:rPr>
        <w:fldChar w:fldCharType="separate"/>
      </w:r>
      <w:r w:rsidR="00F14359">
        <w:rPr>
          <w:noProof/>
        </w:rPr>
        <w:t>37</w:t>
      </w:r>
      <w:r>
        <w:rPr>
          <w:noProof/>
        </w:rPr>
        <w:fldChar w:fldCharType="end"/>
      </w:r>
    </w:p>
    <w:p w14:paraId="69DAB848" w14:textId="77777777" w:rsidR="00732F6A" w:rsidRDefault="00732F6A">
      <w:pPr>
        <w:pStyle w:val="TableofFigures"/>
        <w:tabs>
          <w:tab w:val="right" w:leader="dot" w:pos="9629"/>
        </w:tabs>
        <w:rPr>
          <w:rFonts w:asciiTheme="minorHAnsi" w:eastAsiaTheme="minorEastAsia" w:hAnsiTheme="minorHAnsi" w:cstheme="minorBidi"/>
          <w:noProof/>
          <w:sz w:val="24"/>
          <w:lang w:val="en-CA" w:eastAsia="ja-JP"/>
        </w:rPr>
      </w:pPr>
      <w:r w:rsidRPr="00114BC5">
        <w:rPr>
          <w:noProof/>
        </w:rPr>
        <w:t>Table 12:  Capacity Development Scorecard Ratings</w:t>
      </w:r>
      <w:r>
        <w:rPr>
          <w:noProof/>
        </w:rPr>
        <w:tab/>
      </w:r>
      <w:r>
        <w:rPr>
          <w:noProof/>
        </w:rPr>
        <w:fldChar w:fldCharType="begin"/>
      </w:r>
      <w:r>
        <w:rPr>
          <w:noProof/>
        </w:rPr>
        <w:instrText xml:space="preserve"> PAGEREF _Toc305531040 \h </w:instrText>
      </w:r>
      <w:r>
        <w:rPr>
          <w:noProof/>
        </w:rPr>
      </w:r>
      <w:r>
        <w:rPr>
          <w:noProof/>
        </w:rPr>
        <w:fldChar w:fldCharType="separate"/>
      </w:r>
      <w:r w:rsidR="00F14359">
        <w:rPr>
          <w:noProof/>
        </w:rPr>
        <w:t>39</w:t>
      </w:r>
      <w:r>
        <w:rPr>
          <w:noProof/>
        </w:rPr>
        <w:fldChar w:fldCharType="end"/>
      </w:r>
    </w:p>
    <w:p w14:paraId="68288577" w14:textId="4CDDC9FF" w:rsidR="00A52B28" w:rsidRPr="00A57330" w:rsidRDefault="002831E0" w:rsidP="00A57330">
      <w:pPr>
        <w:pStyle w:val="TableofFigures"/>
        <w:rPr>
          <w:rFonts w:cs="Arial"/>
        </w:rPr>
      </w:pPr>
      <w:r w:rsidRPr="00FB6D4E">
        <w:rPr>
          <w:rFonts w:cs="Arial"/>
        </w:rPr>
        <w:fldChar w:fldCharType="end"/>
      </w:r>
    </w:p>
    <w:p w14:paraId="75951E90" w14:textId="77777777" w:rsidR="00A52B28" w:rsidRPr="00FB6D4E" w:rsidRDefault="00A52B28" w:rsidP="00A52B28">
      <w:pPr>
        <w:widowControl/>
        <w:tabs>
          <w:tab w:val="left" w:pos="-720"/>
          <w:tab w:val="left" w:pos="1418"/>
          <w:tab w:val="right" w:leader="dot" w:pos="10065"/>
        </w:tabs>
        <w:jc w:val="both"/>
        <w:rPr>
          <w:rFonts w:ascii="Arial" w:hAnsi="Arial" w:cs="Arial"/>
          <w:sz w:val="20"/>
          <w:szCs w:val="20"/>
        </w:rPr>
      </w:pPr>
    </w:p>
    <w:p w14:paraId="74C26F93" w14:textId="77777777" w:rsidR="00A52B28" w:rsidRPr="00FB6D4E" w:rsidRDefault="00A52B28" w:rsidP="00A52B28">
      <w:pPr>
        <w:widowControl/>
        <w:tabs>
          <w:tab w:val="left" w:pos="-720"/>
          <w:tab w:val="left" w:pos="1418"/>
          <w:tab w:val="right" w:leader="dot" w:pos="10065"/>
        </w:tabs>
        <w:jc w:val="both"/>
        <w:rPr>
          <w:rFonts w:ascii="Arial" w:hAnsi="Arial" w:cs="Arial"/>
          <w:sz w:val="20"/>
          <w:szCs w:val="20"/>
        </w:rPr>
      </w:pPr>
    </w:p>
    <w:p w14:paraId="623F3E94" w14:textId="77777777" w:rsidR="00A52B28" w:rsidRPr="00FB6D4E" w:rsidRDefault="002831E0" w:rsidP="00A52B28">
      <w:pPr>
        <w:pStyle w:val="Heading1"/>
        <w:spacing w:after="120"/>
        <w:ind w:left="-11"/>
        <w:jc w:val="center"/>
        <w:rPr>
          <w:sz w:val="24"/>
          <w:szCs w:val="24"/>
        </w:rPr>
      </w:pPr>
      <w:r w:rsidRPr="00FB6D4E">
        <w:br w:type="page"/>
      </w:r>
      <w:bookmarkStart w:id="2" w:name="_Toc308103228"/>
      <w:r w:rsidRPr="00FB6D4E">
        <w:rPr>
          <w:sz w:val="24"/>
          <w:szCs w:val="24"/>
        </w:rPr>
        <w:lastRenderedPageBreak/>
        <w:t>List of Abbreviations and Acronyms</w:t>
      </w:r>
      <w:bookmarkEnd w:id="2"/>
    </w:p>
    <w:p w14:paraId="2F50AE6D" w14:textId="77777777" w:rsidR="00A52B28" w:rsidRPr="00FB6D4E" w:rsidRDefault="00A52B28" w:rsidP="00A52B28">
      <w:pPr>
        <w:widowControl/>
        <w:tabs>
          <w:tab w:val="left" w:pos="-720"/>
          <w:tab w:val="left" w:pos="1418"/>
        </w:tabs>
        <w:jc w:val="both"/>
        <w:rPr>
          <w:rFonts w:ascii="Arial" w:hAnsi="Arial" w:cs="Arial"/>
          <w:sz w:val="20"/>
          <w:szCs w:val="20"/>
        </w:rPr>
      </w:pPr>
    </w:p>
    <w:p w14:paraId="66BEA3D4" w14:textId="24571C24" w:rsidR="00A0386B" w:rsidRDefault="00A0386B" w:rsidP="008C49F9">
      <w:pPr>
        <w:widowControl/>
        <w:tabs>
          <w:tab w:val="left" w:pos="-720"/>
          <w:tab w:val="left" w:pos="1418"/>
        </w:tabs>
        <w:jc w:val="both"/>
        <w:rPr>
          <w:rFonts w:ascii="Arial" w:hAnsi="Arial" w:cs="Arial"/>
          <w:sz w:val="20"/>
          <w:szCs w:val="20"/>
        </w:rPr>
      </w:pPr>
      <w:r>
        <w:rPr>
          <w:rFonts w:ascii="Arial" w:hAnsi="Arial" w:cs="Arial"/>
          <w:sz w:val="20"/>
          <w:szCs w:val="20"/>
        </w:rPr>
        <w:t>AA</w:t>
      </w:r>
      <w:r>
        <w:rPr>
          <w:rFonts w:ascii="Arial" w:hAnsi="Arial" w:cs="Arial"/>
          <w:sz w:val="20"/>
          <w:szCs w:val="20"/>
        </w:rPr>
        <w:tab/>
        <w:t>Association Agreement</w:t>
      </w:r>
    </w:p>
    <w:p w14:paraId="45404C56" w14:textId="77777777" w:rsidR="00D30761" w:rsidRPr="00A0386B" w:rsidRDefault="00D30761" w:rsidP="008C49F9">
      <w:pPr>
        <w:widowControl/>
        <w:tabs>
          <w:tab w:val="left" w:pos="-720"/>
          <w:tab w:val="left" w:pos="1418"/>
        </w:tabs>
        <w:jc w:val="both"/>
        <w:rPr>
          <w:rFonts w:ascii="Arial" w:hAnsi="Arial" w:cs="Arial"/>
          <w:sz w:val="20"/>
          <w:szCs w:val="20"/>
        </w:rPr>
      </w:pPr>
      <w:r w:rsidRPr="00A0386B">
        <w:rPr>
          <w:rFonts w:ascii="Arial" w:hAnsi="Arial" w:cs="Arial"/>
          <w:sz w:val="20"/>
          <w:szCs w:val="20"/>
        </w:rPr>
        <w:t>AWP</w:t>
      </w:r>
      <w:r w:rsidRPr="00A0386B">
        <w:rPr>
          <w:rFonts w:ascii="Arial" w:hAnsi="Arial" w:cs="Arial"/>
          <w:sz w:val="20"/>
          <w:szCs w:val="20"/>
        </w:rPr>
        <w:tab/>
        <w:t>Annual Work Plan</w:t>
      </w:r>
    </w:p>
    <w:p w14:paraId="5636244E" w14:textId="648801FF" w:rsidR="00652839" w:rsidRDefault="00652839" w:rsidP="00A52B28">
      <w:pPr>
        <w:widowControl/>
        <w:tabs>
          <w:tab w:val="left" w:pos="-720"/>
          <w:tab w:val="left" w:pos="1418"/>
        </w:tabs>
        <w:jc w:val="both"/>
        <w:rPr>
          <w:rFonts w:ascii="Arial" w:hAnsi="Arial" w:cs="Arial"/>
          <w:sz w:val="20"/>
          <w:szCs w:val="20"/>
        </w:rPr>
      </w:pPr>
      <w:r>
        <w:rPr>
          <w:rFonts w:ascii="Arial" w:hAnsi="Arial" w:cs="Arial"/>
          <w:sz w:val="20"/>
          <w:szCs w:val="20"/>
        </w:rPr>
        <w:t>ANRE</w:t>
      </w:r>
      <w:r>
        <w:rPr>
          <w:rFonts w:ascii="Arial" w:hAnsi="Arial" w:cs="Arial"/>
          <w:sz w:val="20"/>
          <w:szCs w:val="20"/>
        </w:rPr>
        <w:tab/>
        <w:t>National Energy Regulatory Agency</w:t>
      </w:r>
    </w:p>
    <w:p w14:paraId="2FAA3676" w14:textId="2FF82BA7"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APR</w:t>
      </w:r>
      <w:r>
        <w:rPr>
          <w:rFonts w:ascii="Arial" w:hAnsi="Arial" w:cs="Arial"/>
          <w:sz w:val="20"/>
          <w:szCs w:val="20"/>
        </w:rPr>
        <w:tab/>
        <w:t>Annual Progress Report</w:t>
      </w:r>
    </w:p>
    <w:p w14:paraId="371D0182" w14:textId="6ECFA999"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BTOR</w:t>
      </w:r>
      <w:r>
        <w:rPr>
          <w:rFonts w:ascii="Arial" w:hAnsi="Arial" w:cs="Arial"/>
          <w:sz w:val="20"/>
          <w:szCs w:val="20"/>
        </w:rPr>
        <w:tab/>
        <w:t>Back To Office Report</w:t>
      </w:r>
    </w:p>
    <w:p w14:paraId="37793728" w14:textId="4E77DB77" w:rsidR="00153B36" w:rsidRDefault="00153B36"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CBD</w:t>
      </w:r>
      <w:r w:rsidRPr="00153B36">
        <w:rPr>
          <w:rFonts w:ascii="Arial" w:hAnsi="Arial" w:cs="Arial"/>
          <w:sz w:val="20"/>
          <w:szCs w:val="20"/>
        </w:rPr>
        <w:tab/>
        <w:t>Convention on Biological Diversity</w:t>
      </w:r>
    </w:p>
    <w:p w14:paraId="31563D68" w14:textId="547E91CD"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CCA</w:t>
      </w:r>
      <w:r>
        <w:rPr>
          <w:rFonts w:ascii="Arial" w:hAnsi="Arial" w:cs="Arial"/>
          <w:sz w:val="20"/>
          <w:szCs w:val="20"/>
        </w:rPr>
        <w:tab/>
        <w:t>Common Country Assessment</w:t>
      </w:r>
    </w:p>
    <w:p w14:paraId="488F300A" w14:textId="3832BD1C"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CDR</w:t>
      </w:r>
      <w:r>
        <w:rPr>
          <w:rFonts w:ascii="Arial" w:hAnsi="Arial" w:cs="Arial"/>
          <w:sz w:val="20"/>
          <w:szCs w:val="20"/>
        </w:rPr>
        <w:tab/>
        <w:t>Combined Delivery Report</w:t>
      </w:r>
    </w:p>
    <w:p w14:paraId="4B56E526" w14:textId="5FA1C901" w:rsidR="00C622D7" w:rsidRPr="00153B36"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CPD</w:t>
      </w:r>
      <w:r>
        <w:rPr>
          <w:rFonts w:ascii="Arial" w:hAnsi="Arial" w:cs="Arial"/>
          <w:sz w:val="20"/>
          <w:szCs w:val="20"/>
        </w:rPr>
        <w:tab/>
        <w:t>Country Programme Development</w:t>
      </w:r>
    </w:p>
    <w:p w14:paraId="4EBD56AF" w14:textId="77777777" w:rsidR="00A52B28" w:rsidRPr="00A0386B" w:rsidRDefault="002831E0" w:rsidP="00A52B28">
      <w:pPr>
        <w:widowControl/>
        <w:tabs>
          <w:tab w:val="left" w:pos="-720"/>
          <w:tab w:val="left" w:pos="1418"/>
        </w:tabs>
        <w:jc w:val="both"/>
        <w:rPr>
          <w:rFonts w:ascii="Arial" w:hAnsi="Arial" w:cs="Arial"/>
          <w:sz w:val="20"/>
          <w:szCs w:val="20"/>
        </w:rPr>
      </w:pPr>
      <w:r w:rsidRPr="00A0386B">
        <w:rPr>
          <w:rFonts w:ascii="Arial" w:hAnsi="Arial" w:cs="Arial"/>
          <w:sz w:val="20"/>
          <w:szCs w:val="20"/>
        </w:rPr>
        <w:t>CO</w:t>
      </w:r>
      <w:r w:rsidRPr="00A0386B">
        <w:rPr>
          <w:rFonts w:ascii="Arial" w:hAnsi="Arial" w:cs="Arial"/>
          <w:sz w:val="20"/>
          <w:szCs w:val="20"/>
        </w:rPr>
        <w:tab/>
        <w:t>Country Office</w:t>
      </w:r>
    </w:p>
    <w:p w14:paraId="3B4C6A89" w14:textId="7D9FE720"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CPA</w:t>
      </w:r>
      <w:r>
        <w:rPr>
          <w:rFonts w:ascii="Arial" w:hAnsi="Arial" w:cs="Arial"/>
          <w:sz w:val="20"/>
          <w:szCs w:val="20"/>
        </w:rPr>
        <w:tab/>
        <w:t>Central Public Authority</w:t>
      </w:r>
    </w:p>
    <w:p w14:paraId="4A2DEDC7" w14:textId="5F07CF19"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DCT</w:t>
      </w:r>
      <w:r>
        <w:rPr>
          <w:rFonts w:ascii="Arial" w:hAnsi="Arial" w:cs="Arial"/>
          <w:sz w:val="20"/>
          <w:szCs w:val="20"/>
        </w:rPr>
        <w:tab/>
        <w:t>Direct Cash Transfer</w:t>
      </w:r>
    </w:p>
    <w:p w14:paraId="77F98294" w14:textId="3A134D4B" w:rsidR="00C622D7"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EAP</w:t>
      </w:r>
      <w:r>
        <w:rPr>
          <w:rFonts w:ascii="Arial" w:hAnsi="Arial" w:cs="Arial"/>
          <w:sz w:val="20"/>
          <w:szCs w:val="20"/>
        </w:rPr>
        <w:tab/>
        <w:t>Environmental Action Plan</w:t>
      </w:r>
    </w:p>
    <w:p w14:paraId="4742E5D6" w14:textId="6C7823EC" w:rsidR="00DE6048" w:rsidRDefault="00DE6048" w:rsidP="00A52B28">
      <w:pPr>
        <w:widowControl/>
        <w:tabs>
          <w:tab w:val="left" w:pos="-720"/>
          <w:tab w:val="left" w:pos="1418"/>
        </w:tabs>
        <w:jc w:val="both"/>
        <w:rPr>
          <w:rFonts w:ascii="Arial" w:hAnsi="Arial" w:cs="Arial"/>
          <w:sz w:val="20"/>
          <w:szCs w:val="20"/>
        </w:rPr>
      </w:pPr>
      <w:r>
        <w:rPr>
          <w:rFonts w:ascii="Arial" w:hAnsi="Arial" w:cs="Arial"/>
          <w:sz w:val="20"/>
          <w:szCs w:val="20"/>
        </w:rPr>
        <w:t>EE</w:t>
      </w:r>
      <w:r>
        <w:rPr>
          <w:rFonts w:ascii="Arial" w:hAnsi="Arial" w:cs="Arial"/>
          <w:sz w:val="20"/>
          <w:szCs w:val="20"/>
        </w:rPr>
        <w:tab/>
        <w:t>Energy Efficiency</w:t>
      </w:r>
    </w:p>
    <w:p w14:paraId="29328D33" w14:textId="135F9EDE" w:rsid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EFR</w:t>
      </w:r>
      <w:r>
        <w:rPr>
          <w:rFonts w:ascii="Arial" w:hAnsi="Arial" w:cs="Arial"/>
          <w:sz w:val="20"/>
          <w:szCs w:val="20"/>
        </w:rPr>
        <w:tab/>
        <w:t>Environmental Fiscal Reform</w:t>
      </w:r>
    </w:p>
    <w:p w14:paraId="5CA92246" w14:textId="5F94BB62"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EFRC</w:t>
      </w:r>
      <w:r>
        <w:rPr>
          <w:rFonts w:ascii="Arial" w:hAnsi="Arial" w:cs="Arial"/>
          <w:sz w:val="20"/>
          <w:szCs w:val="20"/>
        </w:rPr>
        <w:tab/>
        <w:t>Environmental Fiscal Reform Commission</w:t>
      </w:r>
    </w:p>
    <w:p w14:paraId="118914E2" w14:textId="52F2E563"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EGPRS</w:t>
      </w:r>
      <w:r>
        <w:rPr>
          <w:rFonts w:ascii="Arial" w:hAnsi="Arial" w:cs="Arial"/>
          <w:sz w:val="20"/>
          <w:szCs w:val="20"/>
        </w:rPr>
        <w:tab/>
        <w:t>Economic Growth and Poverty Reduction Strategy</w:t>
      </w:r>
    </w:p>
    <w:p w14:paraId="4849F1E8" w14:textId="57D23CF4" w:rsid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EU</w:t>
      </w:r>
      <w:r>
        <w:rPr>
          <w:rFonts w:ascii="Arial" w:hAnsi="Arial" w:cs="Arial"/>
          <w:sz w:val="20"/>
          <w:szCs w:val="20"/>
        </w:rPr>
        <w:tab/>
        <w:t>European Union</w:t>
      </w:r>
    </w:p>
    <w:p w14:paraId="0D02503C" w14:textId="2CCCD189"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FACE</w:t>
      </w:r>
      <w:r>
        <w:rPr>
          <w:rFonts w:ascii="Arial" w:hAnsi="Arial" w:cs="Arial"/>
          <w:sz w:val="20"/>
          <w:szCs w:val="20"/>
        </w:rPr>
        <w:tab/>
        <w:t>Funding Authorization and Certification of Expenditures</w:t>
      </w:r>
    </w:p>
    <w:p w14:paraId="62888CBA" w14:textId="2B8B969C" w:rsidR="005E3F26" w:rsidRDefault="005E3F26" w:rsidP="00A52B28">
      <w:pPr>
        <w:widowControl/>
        <w:tabs>
          <w:tab w:val="left" w:pos="-720"/>
          <w:tab w:val="left" w:pos="1418"/>
        </w:tabs>
        <w:jc w:val="both"/>
        <w:rPr>
          <w:rFonts w:ascii="Arial" w:hAnsi="Arial" w:cs="Arial"/>
          <w:sz w:val="20"/>
          <w:szCs w:val="20"/>
        </w:rPr>
      </w:pPr>
      <w:r>
        <w:rPr>
          <w:rFonts w:ascii="Arial" w:hAnsi="Arial" w:cs="Arial"/>
          <w:sz w:val="20"/>
          <w:szCs w:val="20"/>
        </w:rPr>
        <w:t>GCF</w:t>
      </w:r>
      <w:r>
        <w:rPr>
          <w:rFonts w:ascii="Arial" w:hAnsi="Arial" w:cs="Arial"/>
          <w:sz w:val="20"/>
          <w:szCs w:val="20"/>
        </w:rPr>
        <w:tab/>
        <w:t>Green Climate Fund</w:t>
      </w:r>
    </w:p>
    <w:p w14:paraId="5A8EF22A" w14:textId="7C881FCC" w:rsidR="00652839" w:rsidRDefault="00652839" w:rsidP="00A52B28">
      <w:pPr>
        <w:widowControl/>
        <w:tabs>
          <w:tab w:val="left" w:pos="-720"/>
          <w:tab w:val="left" w:pos="1418"/>
        </w:tabs>
        <w:jc w:val="both"/>
        <w:rPr>
          <w:rFonts w:ascii="Arial" w:hAnsi="Arial" w:cs="Arial"/>
          <w:sz w:val="20"/>
          <w:szCs w:val="20"/>
        </w:rPr>
      </w:pPr>
      <w:r>
        <w:rPr>
          <w:rFonts w:ascii="Arial" w:hAnsi="Arial" w:cs="Arial"/>
          <w:sz w:val="20"/>
          <w:szCs w:val="20"/>
        </w:rPr>
        <w:t>GE</w:t>
      </w:r>
      <w:r>
        <w:rPr>
          <w:rFonts w:ascii="Arial" w:hAnsi="Arial" w:cs="Arial"/>
          <w:sz w:val="20"/>
          <w:szCs w:val="20"/>
        </w:rPr>
        <w:tab/>
        <w:t>Green Economy</w:t>
      </w:r>
    </w:p>
    <w:p w14:paraId="50B35070" w14:textId="77777777" w:rsidR="00980F1A" w:rsidRPr="00153B36" w:rsidRDefault="00980F1A"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GEF</w:t>
      </w:r>
      <w:r w:rsidRPr="00153B36">
        <w:rPr>
          <w:rFonts w:ascii="Arial" w:hAnsi="Arial" w:cs="Arial"/>
          <w:sz w:val="20"/>
          <w:szCs w:val="20"/>
        </w:rPr>
        <w:tab/>
        <w:t>Global Environment Facility</w:t>
      </w:r>
    </w:p>
    <w:p w14:paraId="5EAF76E4" w14:textId="001641D3"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GHG</w:t>
      </w:r>
      <w:r>
        <w:rPr>
          <w:rFonts w:ascii="Arial" w:hAnsi="Arial" w:cs="Arial"/>
          <w:sz w:val="20"/>
          <w:szCs w:val="20"/>
        </w:rPr>
        <w:tab/>
        <w:t>Greenhouse Gas</w:t>
      </w:r>
    </w:p>
    <w:p w14:paraId="0A21C2DD" w14:textId="77777777" w:rsidR="00980F1A" w:rsidRPr="00C622D7" w:rsidRDefault="00980F1A"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HACT</w:t>
      </w:r>
      <w:r w:rsidRPr="00C622D7">
        <w:rPr>
          <w:rFonts w:ascii="Arial" w:hAnsi="Arial" w:cs="Arial"/>
          <w:sz w:val="20"/>
          <w:szCs w:val="20"/>
        </w:rPr>
        <w:tab/>
        <w:t>Harmonized Approach to Cash Transfer</w:t>
      </w:r>
    </w:p>
    <w:p w14:paraId="494F9B5F" w14:textId="3D12BF24" w:rsidR="00153B36" w:rsidRPr="00153B36" w:rsidRDefault="00153B36"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JILDP</w:t>
      </w:r>
      <w:r w:rsidRPr="00153B36">
        <w:rPr>
          <w:rFonts w:ascii="Arial" w:hAnsi="Arial" w:cs="Arial"/>
          <w:sz w:val="20"/>
          <w:szCs w:val="20"/>
        </w:rPr>
        <w:tab/>
        <w:t>Joint Integrated Local Development Programme</w:t>
      </w:r>
    </w:p>
    <w:p w14:paraId="1CE9287F" w14:textId="37C347CF" w:rsidR="00153B36" w:rsidRDefault="00153B36"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LEF</w:t>
      </w:r>
      <w:r w:rsidRPr="00153B36">
        <w:rPr>
          <w:rFonts w:ascii="Arial" w:hAnsi="Arial" w:cs="Arial"/>
          <w:sz w:val="20"/>
          <w:szCs w:val="20"/>
        </w:rPr>
        <w:tab/>
        <w:t>Local Environmental Fund</w:t>
      </w:r>
    </w:p>
    <w:p w14:paraId="53D203D0" w14:textId="2910C796" w:rsidR="00ED4752" w:rsidRPr="00153B36" w:rsidRDefault="00ED4752" w:rsidP="00A52B28">
      <w:pPr>
        <w:widowControl/>
        <w:tabs>
          <w:tab w:val="left" w:pos="-720"/>
          <w:tab w:val="left" w:pos="1418"/>
        </w:tabs>
        <w:jc w:val="both"/>
        <w:rPr>
          <w:rFonts w:ascii="Arial" w:hAnsi="Arial" w:cs="Arial"/>
          <w:sz w:val="20"/>
          <w:szCs w:val="20"/>
        </w:rPr>
      </w:pPr>
      <w:r>
        <w:rPr>
          <w:rFonts w:ascii="Arial" w:hAnsi="Arial" w:cs="Arial"/>
          <w:sz w:val="20"/>
          <w:szCs w:val="20"/>
        </w:rPr>
        <w:t>LPA</w:t>
      </w:r>
      <w:r>
        <w:rPr>
          <w:rFonts w:ascii="Arial" w:hAnsi="Arial" w:cs="Arial"/>
          <w:sz w:val="20"/>
          <w:szCs w:val="20"/>
        </w:rPr>
        <w:tab/>
        <w:t>Local Public Administration</w:t>
      </w:r>
    </w:p>
    <w:p w14:paraId="68C69008" w14:textId="77777777" w:rsidR="0045706A" w:rsidRPr="00A0386B" w:rsidRDefault="0045706A" w:rsidP="00A52B28">
      <w:pPr>
        <w:widowControl/>
        <w:tabs>
          <w:tab w:val="left" w:pos="-720"/>
          <w:tab w:val="left" w:pos="1418"/>
        </w:tabs>
        <w:jc w:val="both"/>
        <w:rPr>
          <w:rFonts w:ascii="Arial" w:hAnsi="Arial" w:cs="Arial"/>
          <w:sz w:val="20"/>
          <w:szCs w:val="20"/>
        </w:rPr>
      </w:pPr>
      <w:r w:rsidRPr="00A0386B">
        <w:rPr>
          <w:rFonts w:ascii="Arial" w:hAnsi="Arial" w:cs="Arial"/>
          <w:sz w:val="20"/>
          <w:szCs w:val="20"/>
        </w:rPr>
        <w:t>M&amp;E</w:t>
      </w:r>
      <w:r w:rsidRPr="00A0386B">
        <w:rPr>
          <w:rFonts w:ascii="Arial" w:hAnsi="Arial" w:cs="Arial"/>
          <w:sz w:val="20"/>
          <w:szCs w:val="20"/>
        </w:rPr>
        <w:tab/>
        <w:t>Monitoring and Evaluation</w:t>
      </w:r>
    </w:p>
    <w:p w14:paraId="133B8B71" w14:textId="4897042D" w:rsidR="00153B36" w:rsidRPr="00652839" w:rsidRDefault="00153B36" w:rsidP="00A52B28">
      <w:pPr>
        <w:widowControl/>
        <w:tabs>
          <w:tab w:val="left" w:pos="-720"/>
          <w:tab w:val="left" w:pos="1418"/>
        </w:tabs>
        <w:jc w:val="both"/>
        <w:rPr>
          <w:rFonts w:ascii="Arial" w:hAnsi="Arial" w:cs="Arial"/>
          <w:sz w:val="20"/>
          <w:szCs w:val="20"/>
        </w:rPr>
      </w:pPr>
      <w:r w:rsidRPr="00652839">
        <w:rPr>
          <w:rFonts w:ascii="Arial" w:hAnsi="Arial" w:cs="Arial"/>
          <w:sz w:val="20"/>
          <w:szCs w:val="20"/>
        </w:rPr>
        <w:t>MAFI</w:t>
      </w:r>
      <w:r w:rsidRPr="00652839">
        <w:rPr>
          <w:rFonts w:ascii="Arial" w:hAnsi="Arial" w:cs="Arial"/>
          <w:sz w:val="20"/>
          <w:szCs w:val="20"/>
        </w:rPr>
        <w:tab/>
        <w:t xml:space="preserve">Ministry of Agriculture and </w:t>
      </w:r>
      <w:r w:rsidR="00652839" w:rsidRPr="00652839">
        <w:rPr>
          <w:rFonts w:ascii="Arial" w:hAnsi="Arial" w:cs="Arial"/>
          <w:sz w:val="20"/>
          <w:szCs w:val="20"/>
        </w:rPr>
        <w:t>Food Industry</w:t>
      </w:r>
    </w:p>
    <w:p w14:paraId="24907C71" w14:textId="77777777" w:rsidR="00ED3A10" w:rsidRPr="00C622D7" w:rsidRDefault="00ED3A10"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MDG</w:t>
      </w:r>
      <w:r w:rsidRPr="00C622D7">
        <w:rPr>
          <w:rFonts w:ascii="Arial" w:hAnsi="Arial" w:cs="Arial"/>
          <w:sz w:val="20"/>
          <w:szCs w:val="20"/>
        </w:rPr>
        <w:tab/>
        <w:t>Millennium Development Goals</w:t>
      </w:r>
    </w:p>
    <w:p w14:paraId="1969BD18" w14:textId="08880F46"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MEA</w:t>
      </w:r>
      <w:r>
        <w:rPr>
          <w:rFonts w:ascii="Arial" w:hAnsi="Arial" w:cs="Arial"/>
          <w:sz w:val="20"/>
          <w:szCs w:val="20"/>
        </w:rPr>
        <w:tab/>
        <w:t>Multi-lateral Environmental Agreement</w:t>
      </w:r>
    </w:p>
    <w:p w14:paraId="565E6D1C" w14:textId="7F8CA96E" w:rsidR="00153B36" w:rsidRDefault="00153B36"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MOE</w:t>
      </w:r>
      <w:r w:rsidRPr="00153B36">
        <w:rPr>
          <w:rFonts w:ascii="Arial" w:hAnsi="Arial" w:cs="Arial"/>
          <w:sz w:val="20"/>
          <w:szCs w:val="20"/>
        </w:rPr>
        <w:tab/>
        <w:t>Ministry of Environment</w:t>
      </w:r>
    </w:p>
    <w:p w14:paraId="2A46EA10" w14:textId="7D8E2D1E" w:rsid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MOEco</w:t>
      </w:r>
      <w:r>
        <w:rPr>
          <w:rFonts w:ascii="Arial" w:hAnsi="Arial" w:cs="Arial"/>
          <w:sz w:val="20"/>
          <w:szCs w:val="20"/>
        </w:rPr>
        <w:tab/>
        <w:t>Ministry of Economy</w:t>
      </w:r>
    </w:p>
    <w:p w14:paraId="488F89BA" w14:textId="45A37186" w:rsid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MOF</w:t>
      </w:r>
      <w:r>
        <w:rPr>
          <w:rFonts w:ascii="Arial" w:hAnsi="Arial" w:cs="Arial"/>
          <w:sz w:val="20"/>
          <w:szCs w:val="20"/>
        </w:rPr>
        <w:tab/>
        <w:t>Ministry of Finance</w:t>
      </w:r>
    </w:p>
    <w:p w14:paraId="210FB804" w14:textId="73132500"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MRDC</w:t>
      </w:r>
      <w:r>
        <w:rPr>
          <w:rFonts w:ascii="Arial" w:hAnsi="Arial" w:cs="Arial"/>
          <w:sz w:val="20"/>
          <w:szCs w:val="20"/>
        </w:rPr>
        <w:tab/>
        <w:t>Ministry of Regional Development and Construction</w:t>
      </w:r>
    </w:p>
    <w:p w14:paraId="4ED95911" w14:textId="033AD34C" w:rsid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MTEF</w:t>
      </w:r>
      <w:r>
        <w:rPr>
          <w:rFonts w:ascii="Arial" w:hAnsi="Arial" w:cs="Arial"/>
          <w:sz w:val="20"/>
          <w:szCs w:val="20"/>
        </w:rPr>
        <w:tab/>
        <w:t>Medium Term Expenditures Framework</w:t>
      </w:r>
    </w:p>
    <w:p w14:paraId="6AC9EAA8" w14:textId="5F3C22CB"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MTRI</w:t>
      </w:r>
      <w:r>
        <w:rPr>
          <w:rFonts w:ascii="Arial" w:hAnsi="Arial" w:cs="Arial"/>
          <w:sz w:val="20"/>
          <w:szCs w:val="20"/>
        </w:rPr>
        <w:tab/>
        <w:t>Ministry of Transport and Road Infrastructure</w:t>
      </w:r>
    </w:p>
    <w:p w14:paraId="59A6A877" w14:textId="6999B605" w:rsidR="00153B36" w:rsidRP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NCSA</w:t>
      </w:r>
      <w:r>
        <w:rPr>
          <w:rFonts w:ascii="Arial" w:hAnsi="Arial" w:cs="Arial"/>
          <w:sz w:val="20"/>
          <w:szCs w:val="20"/>
        </w:rPr>
        <w:tab/>
        <w:t>National Capacity Self-Assessment</w:t>
      </w:r>
    </w:p>
    <w:p w14:paraId="21E93F20" w14:textId="0C277151"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NCSD</w:t>
      </w:r>
      <w:r>
        <w:rPr>
          <w:rFonts w:ascii="Arial" w:hAnsi="Arial" w:cs="Arial"/>
          <w:sz w:val="20"/>
          <w:szCs w:val="20"/>
        </w:rPr>
        <w:tab/>
        <w:t>National Commission for Sustainable Development</w:t>
      </w:r>
    </w:p>
    <w:p w14:paraId="524CCE21" w14:textId="678CBADA" w:rsidR="00153B36" w:rsidRPr="00153B36" w:rsidRDefault="00153B36"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NEF</w:t>
      </w:r>
      <w:r w:rsidRPr="00153B36">
        <w:rPr>
          <w:rFonts w:ascii="Arial" w:hAnsi="Arial" w:cs="Arial"/>
          <w:sz w:val="20"/>
          <w:szCs w:val="20"/>
        </w:rPr>
        <w:tab/>
        <w:t>National Environmental Fund</w:t>
      </w:r>
    </w:p>
    <w:p w14:paraId="5602C65A" w14:textId="77777777" w:rsidR="009B3BF9" w:rsidRPr="00C622D7" w:rsidRDefault="009B3BF9"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NIM</w:t>
      </w:r>
      <w:r w:rsidRPr="00C622D7">
        <w:rPr>
          <w:rFonts w:ascii="Arial" w:hAnsi="Arial" w:cs="Arial"/>
          <w:sz w:val="20"/>
          <w:szCs w:val="20"/>
        </w:rPr>
        <w:tab/>
        <w:t>National Implementation Modality</w:t>
      </w:r>
    </w:p>
    <w:p w14:paraId="407F7001" w14:textId="73F8ABB4" w:rsidR="00C622D7" w:rsidRPr="00C622D7" w:rsidRDefault="00C622D7"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NGO</w:t>
      </w:r>
      <w:r w:rsidRPr="00C622D7">
        <w:rPr>
          <w:rFonts w:ascii="Arial" w:hAnsi="Arial" w:cs="Arial"/>
          <w:sz w:val="20"/>
          <w:szCs w:val="20"/>
        </w:rPr>
        <w:tab/>
        <w:t>Non-Governmental Organization</w:t>
      </w:r>
    </w:p>
    <w:p w14:paraId="48E8C105" w14:textId="6DEF3B3A" w:rsidR="00153B36" w:rsidRDefault="00153B36"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OECD</w:t>
      </w:r>
      <w:r w:rsidRPr="00153B36">
        <w:rPr>
          <w:rFonts w:ascii="Arial" w:hAnsi="Arial" w:cs="Arial"/>
          <w:sz w:val="20"/>
          <w:szCs w:val="20"/>
        </w:rPr>
        <w:tab/>
        <w:t>Organization for Economic Co-operation and Development</w:t>
      </w:r>
    </w:p>
    <w:p w14:paraId="3C08E633" w14:textId="3C740699"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PA</w:t>
      </w:r>
      <w:r>
        <w:rPr>
          <w:rFonts w:ascii="Arial" w:hAnsi="Arial" w:cs="Arial"/>
          <w:sz w:val="20"/>
          <w:szCs w:val="20"/>
        </w:rPr>
        <w:tab/>
        <w:t>Project Assistant</w:t>
      </w:r>
    </w:p>
    <w:p w14:paraId="67E58447" w14:textId="6B108449"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PB</w:t>
      </w:r>
      <w:r>
        <w:rPr>
          <w:rFonts w:ascii="Arial" w:hAnsi="Arial" w:cs="Arial"/>
          <w:sz w:val="20"/>
          <w:szCs w:val="20"/>
        </w:rPr>
        <w:tab/>
        <w:t>Project Board</w:t>
      </w:r>
    </w:p>
    <w:p w14:paraId="02C8B03A" w14:textId="681D5B97" w:rsidR="00153B36" w:rsidRP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PBB</w:t>
      </w:r>
      <w:r>
        <w:rPr>
          <w:rFonts w:ascii="Arial" w:hAnsi="Arial" w:cs="Arial"/>
          <w:sz w:val="20"/>
          <w:szCs w:val="20"/>
        </w:rPr>
        <w:tab/>
        <w:t>Programme Based Budgeting</w:t>
      </w:r>
    </w:p>
    <w:p w14:paraId="0D8DADF9" w14:textId="0F57D1EC" w:rsidR="00A0386B" w:rsidRDefault="00A0386B" w:rsidP="00A52B28">
      <w:pPr>
        <w:widowControl/>
        <w:tabs>
          <w:tab w:val="left" w:pos="-720"/>
          <w:tab w:val="left" w:pos="1418"/>
        </w:tabs>
        <w:jc w:val="both"/>
        <w:rPr>
          <w:rFonts w:ascii="Arial" w:hAnsi="Arial" w:cs="Arial"/>
          <w:sz w:val="20"/>
          <w:szCs w:val="20"/>
        </w:rPr>
      </w:pPr>
      <w:r>
        <w:rPr>
          <w:rFonts w:ascii="Arial" w:hAnsi="Arial" w:cs="Arial"/>
          <w:sz w:val="20"/>
          <w:szCs w:val="20"/>
        </w:rPr>
        <w:t>PIR</w:t>
      </w:r>
      <w:r>
        <w:rPr>
          <w:rFonts w:ascii="Arial" w:hAnsi="Arial" w:cs="Arial"/>
          <w:sz w:val="20"/>
          <w:szCs w:val="20"/>
        </w:rPr>
        <w:tab/>
        <w:t>Project Implementation Review</w:t>
      </w:r>
    </w:p>
    <w:p w14:paraId="62A4BCB7" w14:textId="77777777" w:rsidR="006071F0" w:rsidRPr="00C622D7" w:rsidRDefault="006071F0"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PM</w:t>
      </w:r>
      <w:r w:rsidRPr="00C622D7">
        <w:rPr>
          <w:rFonts w:ascii="Arial" w:hAnsi="Arial" w:cs="Arial"/>
          <w:sz w:val="20"/>
          <w:szCs w:val="20"/>
        </w:rPr>
        <w:tab/>
        <w:t>Project Manager</w:t>
      </w:r>
    </w:p>
    <w:p w14:paraId="73AFE552" w14:textId="3DFD5DEB" w:rsidR="00C622D7" w:rsidRPr="00C622D7" w:rsidRDefault="00C622D7"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PT</w:t>
      </w:r>
      <w:r w:rsidRPr="00C622D7">
        <w:rPr>
          <w:rFonts w:ascii="Arial" w:hAnsi="Arial" w:cs="Arial"/>
          <w:sz w:val="20"/>
          <w:szCs w:val="20"/>
        </w:rPr>
        <w:tab/>
        <w:t>Project Team</w:t>
      </w:r>
    </w:p>
    <w:p w14:paraId="64E8A340" w14:textId="77777777" w:rsidR="00980F1A" w:rsidRPr="00DE6048" w:rsidRDefault="00980F1A" w:rsidP="00A52B28">
      <w:pPr>
        <w:widowControl/>
        <w:tabs>
          <w:tab w:val="left" w:pos="-720"/>
          <w:tab w:val="left" w:pos="1418"/>
        </w:tabs>
        <w:jc w:val="both"/>
        <w:rPr>
          <w:rFonts w:ascii="Arial" w:hAnsi="Arial" w:cs="Arial"/>
          <w:sz w:val="20"/>
          <w:szCs w:val="20"/>
        </w:rPr>
      </w:pPr>
      <w:r w:rsidRPr="00DE6048">
        <w:rPr>
          <w:rFonts w:ascii="Arial" w:hAnsi="Arial" w:cs="Arial"/>
          <w:sz w:val="20"/>
          <w:szCs w:val="20"/>
        </w:rPr>
        <w:t>RBM</w:t>
      </w:r>
      <w:r w:rsidRPr="00DE6048">
        <w:rPr>
          <w:rFonts w:ascii="Arial" w:hAnsi="Arial" w:cs="Arial"/>
          <w:sz w:val="20"/>
          <w:szCs w:val="20"/>
        </w:rPr>
        <w:tab/>
        <w:t>Results-Based Management</w:t>
      </w:r>
    </w:p>
    <w:p w14:paraId="25E01453" w14:textId="48B04031"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RDA</w:t>
      </w:r>
      <w:r>
        <w:rPr>
          <w:rFonts w:ascii="Arial" w:hAnsi="Arial" w:cs="Arial"/>
          <w:sz w:val="20"/>
          <w:szCs w:val="20"/>
        </w:rPr>
        <w:tab/>
        <w:t>Regional Development Agency</w:t>
      </w:r>
    </w:p>
    <w:p w14:paraId="2078786A" w14:textId="7302AB63"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RDC</w:t>
      </w:r>
      <w:r>
        <w:rPr>
          <w:rFonts w:ascii="Arial" w:hAnsi="Arial" w:cs="Arial"/>
          <w:sz w:val="20"/>
          <w:szCs w:val="20"/>
        </w:rPr>
        <w:tab/>
        <w:t>Regional Development Council</w:t>
      </w:r>
    </w:p>
    <w:p w14:paraId="4875F264" w14:textId="2D946793" w:rsidR="00C622D7"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t>REC</w:t>
      </w:r>
      <w:r>
        <w:rPr>
          <w:rFonts w:ascii="Arial" w:hAnsi="Arial" w:cs="Arial"/>
          <w:sz w:val="20"/>
          <w:szCs w:val="20"/>
        </w:rPr>
        <w:tab/>
        <w:t>Regional Environmental Center</w:t>
      </w:r>
    </w:p>
    <w:p w14:paraId="238CE852" w14:textId="6FB96841" w:rsidR="00E52CB9" w:rsidRDefault="00E52CB9" w:rsidP="00A52B28">
      <w:pPr>
        <w:widowControl/>
        <w:tabs>
          <w:tab w:val="left" w:pos="-720"/>
          <w:tab w:val="left" w:pos="1418"/>
        </w:tabs>
        <w:jc w:val="both"/>
        <w:rPr>
          <w:rFonts w:ascii="Arial" w:hAnsi="Arial" w:cs="Arial"/>
          <w:sz w:val="20"/>
          <w:szCs w:val="20"/>
        </w:rPr>
      </w:pPr>
      <w:r w:rsidRPr="00E52CB9">
        <w:rPr>
          <w:rFonts w:ascii="Arial" w:hAnsi="Arial" w:cs="Arial"/>
          <w:sz w:val="20"/>
          <w:szCs w:val="20"/>
        </w:rPr>
        <w:t>SBBA</w:t>
      </w:r>
      <w:r w:rsidRPr="00E52CB9">
        <w:rPr>
          <w:rFonts w:ascii="Arial" w:hAnsi="Arial" w:cs="Arial"/>
          <w:sz w:val="20"/>
          <w:szCs w:val="20"/>
        </w:rPr>
        <w:tab/>
        <w:t>Standard Basic Framework Agreement</w:t>
      </w:r>
    </w:p>
    <w:p w14:paraId="3B2DFE76" w14:textId="6E87CCD5" w:rsidR="00C622D7" w:rsidRPr="00E52CB9" w:rsidRDefault="00C622D7" w:rsidP="00A52B28">
      <w:pPr>
        <w:widowControl/>
        <w:tabs>
          <w:tab w:val="left" w:pos="-720"/>
          <w:tab w:val="left" w:pos="1418"/>
        </w:tabs>
        <w:jc w:val="both"/>
        <w:rPr>
          <w:rFonts w:ascii="Arial" w:hAnsi="Arial" w:cs="Arial"/>
          <w:sz w:val="20"/>
          <w:szCs w:val="20"/>
        </w:rPr>
      </w:pPr>
      <w:r>
        <w:rPr>
          <w:rFonts w:ascii="Arial" w:hAnsi="Arial" w:cs="Arial"/>
          <w:sz w:val="20"/>
          <w:szCs w:val="20"/>
        </w:rPr>
        <w:lastRenderedPageBreak/>
        <w:t>SEI</w:t>
      </w:r>
      <w:r>
        <w:rPr>
          <w:rFonts w:ascii="Arial" w:hAnsi="Arial" w:cs="Arial"/>
          <w:sz w:val="20"/>
          <w:szCs w:val="20"/>
        </w:rPr>
        <w:tab/>
        <w:t>State Ecological Inspectorate</w:t>
      </w:r>
    </w:p>
    <w:p w14:paraId="4BCBC83C" w14:textId="77777777" w:rsidR="00AF3DF3" w:rsidRPr="00A0386B" w:rsidRDefault="00AF3DF3" w:rsidP="00A52B28">
      <w:pPr>
        <w:widowControl/>
        <w:tabs>
          <w:tab w:val="left" w:pos="-720"/>
          <w:tab w:val="left" w:pos="1418"/>
        </w:tabs>
        <w:jc w:val="both"/>
        <w:rPr>
          <w:rFonts w:ascii="Arial" w:hAnsi="Arial" w:cs="Arial"/>
          <w:sz w:val="20"/>
          <w:szCs w:val="20"/>
        </w:rPr>
      </w:pPr>
      <w:r w:rsidRPr="00A0386B">
        <w:rPr>
          <w:rFonts w:ascii="Arial" w:hAnsi="Arial" w:cs="Arial"/>
          <w:sz w:val="20"/>
          <w:szCs w:val="20"/>
        </w:rPr>
        <w:t>SMART</w:t>
      </w:r>
      <w:r w:rsidRPr="00A0386B">
        <w:rPr>
          <w:rFonts w:ascii="Arial" w:hAnsi="Arial" w:cs="Arial"/>
          <w:sz w:val="20"/>
          <w:szCs w:val="20"/>
        </w:rPr>
        <w:tab/>
        <w:t>Specific, Measurable, Attainable, Relevant and Time-bound</w:t>
      </w:r>
    </w:p>
    <w:p w14:paraId="5BFCF507" w14:textId="77777777" w:rsidR="00A52B28" w:rsidRPr="00153B36" w:rsidRDefault="002831E0"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TOR</w:t>
      </w:r>
      <w:r w:rsidRPr="00153B36">
        <w:rPr>
          <w:rFonts w:ascii="Arial" w:hAnsi="Arial" w:cs="Arial"/>
          <w:sz w:val="20"/>
          <w:szCs w:val="20"/>
        </w:rPr>
        <w:tab/>
        <w:t>Terms of Reference</w:t>
      </w:r>
    </w:p>
    <w:p w14:paraId="1250E30A" w14:textId="77777777" w:rsidR="00A52B28" w:rsidRDefault="002831E0"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 xml:space="preserve">UN </w:t>
      </w:r>
      <w:r w:rsidRPr="00153B36">
        <w:rPr>
          <w:rFonts w:ascii="Arial" w:hAnsi="Arial" w:cs="Arial"/>
          <w:sz w:val="20"/>
          <w:szCs w:val="20"/>
        </w:rPr>
        <w:tab/>
        <w:t>United Nations</w:t>
      </w:r>
    </w:p>
    <w:p w14:paraId="388F0BB9" w14:textId="64FA4477" w:rsidR="00153B36" w:rsidRP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UNCCD</w:t>
      </w:r>
      <w:r>
        <w:rPr>
          <w:rFonts w:ascii="Arial" w:hAnsi="Arial" w:cs="Arial"/>
          <w:sz w:val="20"/>
          <w:szCs w:val="20"/>
        </w:rPr>
        <w:tab/>
        <w:t>United Nations Convention to Combat Desertification</w:t>
      </w:r>
    </w:p>
    <w:p w14:paraId="19367738" w14:textId="59885CB5" w:rsidR="00153B36" w:rsidRPr="00C622D7" w:rsidRDefault="006071F0"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UNDAF</w:t>
      </w:r>
      <w:r w:rsidRPr="00C622D7">
        <w:rPr>
          <w:rFonts w:ascii="Arial" w:hAnsi="Arial" w:cs="Arial"/>
          <w:sz w:val="20"/>
          <w:szCs w:val="20"/>
        </w:rPr>
        <w:tab/>
        <w:t>United Nations Development Assistance Framework</w:t>
      </w:r>
    </w:p>
    <w:p w14:paraId="0257952A" w14:textId="77777777" w:rsidR="00A52B28" w:rsidRDefault="002831E0"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 xml:space="preserve">UNDP </w:t>
      </w:r>
      <w:r w:rsidRPr="00153B36">
        <w:rPr>
          <w:rFonts w:ascii="Arial" w:hAnsi="Arial" w:cs="Arial"/>
          <w:sz w:val="20"/>
          <w:szCs w:val="20"/>
        </w:rPr>
        <w:tab/>
        <w:t>United Nations Development Programme</w:t>
      </w:r>
    </w:p>
    <w:p w14:paraId="753D718E" w14:textId="470FCCE7" w:rsidR="00652839" w:rsidRDefault="00652839" w:rsidP="00A52B28">
      <w:pPr>
        <w:widowControl/>
        <w:tabs>
          <w:tab w:val="left" w:pos="-720"/>
          <w:tab w:val="left" w:pos="1418"/>
        </w:tabs>
        <w:jc w:val="both"/>
        <w:rPr>
          <w:rFonts w:ascii="Arial" w:hAnsi="Arial" w:cs="Arial"/>
          <w:sz w:val="20"/>
          <w:szCs w:val="20"/>
        </w:rPr>
      </w:pPr>
      <w:r>
        <w:rPr>
          <w:rFonts w:ascii="Arial" w:hAnsi="Arial" w:cs="Arial"/>
          <w:sz w:val="20"/>
          <w:szCs w:val="20"/>
        </w:rPr>
        <w:t>UNECE</w:t>
      </w:r>
      <w:r>
        <w:rPr>
          <w:rFonts w:ascii="Arial" w:hAnsi="Arial" w:cs="Arial"/>
          <w:sz w:val="20"/>
          <w:szCs w:val="20"/>
        </w:rPr>
        <w:tab/>
        <w:t>United Nations Economic Commission for Europe</w:t>
      </w:r>
    </w:p>
    <w:p w14:paraId="1B53C43F" w14:textId="779C773B" w:rsidR="00652839" w:rsidRDefault="00652839" w:rsidP="00A52B28">
      <w:pPr>
        <w:widowControl/>
        <w:tabs>
          <w:tab w:val="left" w:pos="-720"/>
          <w:tab w:val="left" w:pos="1418"/>
        </w:tabs>
        <w:jc w:val="both"/>
        <w:rPr>
          <w:rFonts w:ascii="Arial" w:hAnsi="Arial" w:cs="Arial"/>
          <w:sz w:val="20"/>
          <w:szCs w:val="20"/>
        </w:rPr>
      </w:pPr>
      <w:r>
        <w:rPr>
          <w:rFonts w:ascii="Arial" w:hAnsi="Arial" w:cs="Arial"/>
          <w:sz w:val="20"/>
          <w:szCs w:val="20"/>
        </w:rPr>
        <w:t>UNEP</w:t>
      </w:r>
      <w:r>
        <w:rPr>
          <w:rFonts w:ascii="Arial" w:hAnsi="Arial" w:cs="Arial"/>
          <w:sz w:val="20"/>
          <w:szCs w:val="20"/>
        </w:rPr>
        <w:tab/>
        <w:t>United Nations Environment Programme</w:t>
      </w:r>
    </w:p>
    <w:p w14:paraId="5F5982E3" w14:textId="702176D9" w:rsidR="00153B36"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UNFCCC</w:t>
      </w:r>
      <w:r>
        <w:rPr>
          <w:rFonts w:ascii="Arial" w:hAnsi="Arial" w:cs="Arial"/>
          <w:sz w:val="20"/>
          <w:szCs w:val="20"/>
        </w:rPr>
        <w:tab/>
        <w:t>United Nations Framework Convention on Climate Change</w:t>
      </w:r>
    </w:p>
    <w:p w14:paraId="50C170B2" w14:textId="21605CF7" w:rsidR="00652839" w:rsidRPr="00153B36" w:rsidRDefault="00652839" w:rsidP="00A52B28">
      <w:pPr>
        <w:widowControl/>
        <w:tabs>
          <w:tab w:val="left" w:pos="-720"/>
          <w:tab w:val="left" w:pos="1418"/>
        </w:tabs>
        <w:jc w:val="both"/>
        <w:rPr>
          <w:rFonts w:ascii="Arial" w:hAnsi="Arial" w:cs="Arial"/>
          <w:sz w:val="20"/>
          <w:szCs w:val="20"/>
        </w:rPr>
      </w:pPr>
      <w:r>
        <w:rPr>
          <w:rFonts w:ascii="Arial" w:hAnsi="Arial" w:cs="Arial"/>
          <w:sz w:val="20"/>
          <w:szCs w:val="20"/>
        </w:rPr>
        <w:t>UNIDO</w:t>
      </w:r>
      <w:r>
        <w:rPr>
          <w:rFonts w:ascii="Arial" w:hAnsi="Arial" w:cs="Arial"/>
          <w:sz w:val="20"/>
          <w:szCs w:val="20"/>
        </w:rPr>
        <w:tab/>
        <w:t>United Nations Industrial Development Organization</w:t>
      </w:r>
    </w:p>
    <w:p w14:paraId="16AC4934" w14:textId="066BD1CC" w:rsidR="00C622D7" w:rsidRPr="00C622D7" w:rsidRDefault="00C622D7" w:rsidP="00A52B28">
      <w:pPr>
        <w:widowControl/>
        <w:tabs>
          <w:tab w:val="left" w:pos="-720"/>
          <w:tab w:val="left" w:pos="1418"/>
        </w:tabs>
        <w:jc w:val="both"/>
        <w:rPr>
          <w:rFonts w:ascii="Arial" w:hAnsi="Arial" w:cs="Arial"/>
          <w:sz w:val="20"/>
          <w:szCs w:val="20"/>
        </w:rPr>
      </w:pPr>
      <w:r w:rsidRPr="00C622D7">
        <w:rPr>
          <w:rFonts w:ascii="Arial" w:hAnsi="Arial" w:cs="Arial"/>
          <w:sz w:val="20"/>
          <w:szCs w:val="20"/>
        </w:rPr>
        <w:t>UNPF</w:t>
      </w:r>
      <w:r w:rsidRPr="00C622D7">
        <w:rPr>
          <w:rFonts w:ascii="Arial" w:hAnsi="Arial" w:cs="Arial"/>
          <w:sz w:val="20"/>
          <w:szCs w:val="20"/>
        </w:rPr>
        <w:tab/>
        <w:t>United Nations Partnership Framework</w:t>
      </w:r>
    </w:p>
    <w:p w14:paraId="6E48D84E" w14:textId="77777777" w:rsidR="00A52B28" w:rsidRPr="00153B36" w:rsidRDefault="00C250F4" w:rsidP="00A52B28">
      <w:pPr>
        <w:widowControl/>
        <w:tabs>
          <w:tab w:val="left" w:pos="-720"/>
          <w:tab w:val="left" w:pos="1418"/>
        </w:tabs>
        <w:jc w:val="both"/>
        <w:rPr>
          <w:rFonts w:ascii="Arial" w:hAnsi="Arial" w:cs="Arial"/>
          <w:sz w:val="20"/>
          <w:szCs w:val="20"/>
        </w:rPr>
      </w:pPr>
      <w:r w:rsidRPr="00153B36">
        <w:rPr>
          <w:rFonts w:ascii="Arial" w:hAnsi="Arial" w:cs="Arial"/>
          <w:sz w:val="20"/>
          <w:szCs w:val="20"/>
        </w:rPr>
        <w:t>USD</w:t>
      </w:r>
      <w:r w:rsidR="002831E0" w:rsidRPr="00153B36">
        <w:rPr>
          <w:rFonts w:ascii="Arial" w:hAnsi="Arial" w:cs="Arial"/>
          <w:sz w:val="20"/>
          <w:szCs w:val="20"/>
        </w:rPr>
        <w:tab/>
        <w:t>United States Dollar</w:t>
      </w:r>
    </w:p>
    <w:p w14:paraId="7B9F1128" w14:textId="432F4AF6" w:rsidR="008C49F9" w:rsidRDefault="00153B36" w:rsidP="00A52B28">
      <w:pPr>
        <w:widowControl/>
        <w:tabs>
          <w:tab w:val="left" w:pos="-720"/>
          <w:tab w:val="left" w:pos="1418"/>
        </w:tabs>
        <w:jc w:val="both"/>
        <w:rPr>
          <w:rFonts w:ascii="Arial" w:hAnsi="Arial" w:cs="Arial"/>
          <w:sz w:val="20"/>
          <w:szCs w:val="20"/>
        </w:rPr>
      </w:pPr>
      <w:r>
        <w:rPr>
          <w:rFonts w:ascii="Arial" w:hAnsi="Arial" w:cs="Arial"/>
          <w:sz w:val="20"/>
          <w:szCs w:val="20"/>
        </w:rPr>
        <w:t>VAT</w:t>
      </w:r>
      <w:r>
        <w:rPr>
          <w:rFonts w:ascii="Arial" w:hAnsi="Arial" w:cs="Arial"/>
          <w:sz w:val="20"/>
          <w:szCs w:val="20"/>
        </w:rPr>
        <w:tab/>
        <w:t>Value Added Tax</w:t>
      </w:r>
    </w:p>
    <w:p w14:paraId="2062303B" w14:textId="77777777" w:rsidR="00A52B28" w:rsidRPr="00FB6D4E" w:rsidRDefault="002831E0" w:rsidP="00A52B28">
      <w:pPr>
        <w:pStyle w:val="Heading1"/>
        <w:spacing w:after="120"/>
        <w:ind w:left="-11"/>
        <w:jc w:val="center"/>
        <w:rPr>
          <w:sz w:val="24"/>
          <w:szCs w:val="24"/>
        </w:rPr>
      </w:pPr>
      <w:r w:rsidRPr="00FB6D4E">
        <w:br w:type="page"/>
      </w:r>
      <w:bookmarkStart w:id="3" w:name="_Toc308103229"/>
      <w:r w:rsidRPr="00FB6D4E">
        <w:rPr>
          <w:sz w:val="24"/>
          <w:szCs w:val="24"/>
        </w:rPr>
        <w:lastRenderedPageBreak/>
        <w:t>Acknowledgements</w:t>
      </w:r>
      <w:bookmarkEnd w:id="3"/>
    </w:p>
    <w:p w14:paraId="71E11548" w14:textId="77777777" w:rsidR="00A52B28" w:rsidRPr="00FB6D4E" w:rsidRDefault="00A52B28" w:rsidP="00A52B28"/>
    <w:tbl>
      <w:tblPr>
        <w:tblW w:w="4521" w:type="pct"/>
        <w:jc w:val="center"/>
        <w:tblCellMar>
          <w:top w:w="113" w:type="dxa"/>
          <w:bottom w:w="113" w:type="dxa"/>
        </w:tblCellMar>
        <w:tblLook w:val="01E0" w:firstRow="1" w:lastRow="1" w:firstColumn="1" w:lastColumn="1" w:noHBand="0" w:noVBand="0"/>
      </w:tblPr>
      <w:tblGrid>
        <w:gridCol w:w="8911"/>
      </w:tblGrid>
      <w:tr w:rsidR="00A52B28" w:rsidRPr="00FB6D4E" w14:paraId="4149DB97" w14:textId="77777777" w:rsidTr="00C8780F">
        <w:trPr>
          <w:jc w:val="center"/>
        </w:trPr>
        <w:tc>
          <w:tcPr>
            <w:tcW w:w="8911" w:type="dxa"/>
          </w:tcPr>
          <w:p w14:paraId="62FA60CB" w14:textId="77777777" w:rsidR="00A52B28" w:rsidRPr="00FB6D4E" w:rsidRDefault="002831E0" w:rsidP="008A5909">
            <w:pPr>
              <w:jc w:val="both"/>
              <w:rPr>
                <w:rFonts w:ascii="Arial" w:hAnsi="Arial" w:cs="Arial"/>
                <w:i/>
                <w:sz w:val="20"/>
                <w:szCs w:val="20"/>
              </w:rPr>
            </w:pPr>
            <w:r w:rsidRPr="00FB6D4E">
              <w:rPr>
                <w:rFonts w:ascii="Arial" w:hAnsi="Arial" w:cs="Arial"/>
                <w:i/>
                <w:sz w:val="20"/>
                <w:szCs w:val="20"/>
              </w:rPr>
              <w:t xml:space="preserve">This report was prepared by Mr. Jean-Joseph Bellamy, </w:t>
            </w:r>
            <w:r w:rsidR="008A5909" w:rsidRPr="00FB6D4E">
              <w:rPr>
                <w:rFonts w:ascii="Arial" w:hAnsi="Arial" w:cs="Arial"/>
                <w:i/>
                <w:sz w:val="20"/>
                <w:szCs w:val="20"/>
              </w:rPr>
              <w:t xml:space="preserve">International </w:t>
            </w:r>
            <w:r w:rsidR="00B75ADD">
              <w:rPr>
                <w:rFonts w:ascii="Arial" w:hAnsi="Arial" w:cs="Arial"/>
                <w:i/>
                <w:sz w:val="20"/>
                <w:szCs w:val="20"/>
              </w:rPr>
              <w:t>Evaluator</w:t>
            </w:r>
            <w:r w:rsidRPr="00FB6D4E">
              <w:rPr>
                <w:rFonts w:ascii="Arial" w:hAnsi="Arial" w:cs="Arial"/>
                <w:i/>
                <w:sz w:val="20"/>
                <w:szCs w:val="20"/>
              </w:rPr>
              <w:t xml:space="preserve"> (</w:t>
            </w:r>
            <w:hyperlink r:id="rId14" w:history="1">
              <w:r w:rsidRPr="00FB6D4E">
                <w:rPr>
                  <w:rStyle w:val="Hyperlink"/>
                  <w:rFonts w:ascii="Arial" w:hAnsi="Arial" w:cs="Arial"/>
                  <w:i/>
                  <w:sz w:val="20"/>
                  <w:szCs w:val="20"/>
                </w:rPr>
                <w:t>JJ@Bellamy.net</w:t>
              </w:r>
            </w:hyperlink>
            <w:r w:rsidRPr="00FB6D4E">
              <w:rPr>
                <w:rFonts w:ascii="Arial" w:hAnsi="Arial" w:cs="Arial"/>
                <w:i/>
                <w:sz w:val="20"/>
                <w:szCs w:val="20"/>
              </w:rPr>
              <w:t>)</w:t>
            </w:r>
            <w:r w:rsidR="00C82D0F">
              <w:rPr>
                <w:rFonts w:ascii="Arial" w:hAnsi="Arial" w:cs="Arial"/>
                <w:i/>
                <w:sz w:val="20"/>
                <w:szCs w:val="20"/>
              </w:rPr>
              <w:t xml:space="preserve"> and </w:t>
            </w:r>
            <w:r w:rsidR="00B75ADD" w:rsidRPr="00B75ADD">
              <w:rPr>
                <w:rFonts w:ascii="Arial" w:hAnsi="Arial" w:cs="Arial"/>
                <w:i/>
                <w:sz w:val="20"/>
                <w:szCs w:val="20"/>
              </w:rPr>
              <w:t xml:space="preserve">Dr. </w:t>
            </w:r>
            <w:r w:rsidR="005435A1">
              <w:rPr>
                <w:rFonts w:ascii="Arial" w:hAnsi="Arial" w:cs="Arial"/>
                <w:i/>
                <w:sz w:val="20"/>
                <w:szCs w:val="20"/>
              </w:rPr>
              <w:t>Victor Cotruta</w:t>
            </w:r>
            <w:r w:rsidR="00B75ADD">
              <w:rPr>
                <w:rFonts w:ascii="Arial" w:hAnsi="Arial" w:cs="Arial"/>
                <w:i/>
                <w:sz w:val="20"/>
                <w:szCs w:val="20"/>
              </w:rPr>
              <w:t>, National Evaluator</w:t>
            </w:r>
            <w:r w:rsidR="00B75ADD" w:rsidRPr="00B75ADD">
              <w:rPr>
                <w:rFonts w:ascii="Arial" w:hAnsi="Arial" w:cs="Arial"/>
                <w:i/>
                <w:sz w:val="20"/>
                <w:szCs w:val="20"/>
              </w:rPr>
              <w:t xml:space="preserve"> </w:t>
            </w:r>
            <w:r w:rsidR="005435A1" w:rsidRPr="005435A1">
              <w:rPr>
                <w:rFonts w:ascii="Arial" w:hAnsi="Arial" w:cs="Arial"/>
                <w:i/>
                <w:sz w:val="20"/>
                <w:szCs w:val="20"/>
              </w:rPr>
              <w:t>(</w:t>
            </w:r>
            <w:hyperlink r:id="rId15" w:history="1">
              <w:r w:rsidR="005435A1" w:rsidRPr="00CA6F15">
                <w:rPr>
                  <w:rStyle w:val="Hyperlink"/>
                  <w:rFonts w:ascii="Arial" w:hAnsi="Arial" w:cs="Arial"/>
                  <w:i/>
                  <w:sz w:val="20"/>
                  <w:szCs w:val="20"/>
                </w:rPr>
                <w:t>victor@rec.md</w:t>
              </w:r>
            </w:hyperlink>
            <w:r w:rsidR="005435A1" w:rsidRPr="005435A1">
              <w:rPr>
                <w:rFonts w:ascii="Arial" w:hAnsi="Arial" w:cs="Arial"/>
                <w:i/>
                <w:sz w:val="20"/>
                <w:szCs w:val="20"/>
              </w:rPr>
              <w:t>)</w:t>
            </w:r>
            <w:r w:rsidRPr="00FB6D4E">
              <w:rPr>
                <w:rFonts w:ascii="Arial" w:hAnsi="Arial" w:cs="Arial"/>
                <w:i/>
                <w:sz w:val="20"/>
                <w:szCs w:val="20"/>
              </w:rPr>
              <w:t>. The Evaluat</w:t>
            </w:r>
            <w:r w:rsidR="00C82D0F">
              <w:rPr>
                <w:rFonts w:ascii="Arial" w:hAnsi="Arial" w:cs="Arial"/>
                <w:i/>
                <w:sz w:val="20"/>
                <w:szCs w:val="20"/>
              </w:rPr>
              <w:t>ion Team</w:t>
            </w:r>
            <w:r w:rsidR="008A5909" w:rsidRPr="00FB6D4E">
              <w:rPr>
                <w:rFonts w:ascii="Arial" w:hAnsi="Arial" w:cs="Arial"/>
                <w:i/>
                <w:sz w:val="20"/>
                <w:szCs w:val="20"/>
              </w:rPr>
              <w:t xml:space="preserve"> </w:t>
            </w:r>
            <w:r w:rsidRPr="00FB6D4E">
              <w:rPr>
                <w:rFonts w:ascii="Arial" w:hAnsi="Arial" w:cs="Arial"/>
                <w:i/>
                <w:sz w:val="20"/>
                <w:szCs w:val="20"/>
              </w:rPr>
              <w:t xml:space="preserve">would like to express its gratitude and appreciation to all stakeholders it interviewed. Their contributions were most appreciated, and the facts and opinions they shared played a critical part in the conduct of this evaluation. </w:t>
            </w:r>
          </w:p>
          <w:p w14:paraId="3A602C7B" w14:textId="77777777" w:rsidR="00A52B28" w:rsidRPr="00FB6D4E" w:rsidRDefault="00A52B28" w:rsidP="008A5909">
            <w:pPr>
              <w:jc w:val="both"/>
              <w:rPr>
                <w:rFonts w:ascii="Arial" w:hAnsi="Arial" w:cs="Arial"/>
                <w:i/>
                <w:sz w:val="20"/>
                <w:szCs w:val="20"/>
              </w:rPr>
            </w:pPr>
          </w:p>
          <w:p w14:paraId="16973145" w14:textId="3676C7F3" w:rsidR="00A52B28" w:rsidRPr="005E23A1" w:rsidRDefault="002831E0" w:rsidP="00C11CAF">
            <w:pPr>
              <w:jc w:val="both"/>
              <w:rPr>
                <w:rFonts w:ascii="Arial" w:hAnsi="Arial" w:cs="Arial"/>
                <w:i/>
                <w:sz w:val="20"/>
                <w:szCs w:val="20"/>
              </w:rPr>
            </w:pPr>
            <w:r w:rsidRPr="00FB6D4E">
              <w:rPr>
                <w:rFonts w:ascii="Arial" w:hAnsi="Arial" w:cs="Arial"/>
                <w:i/>
                <w:sz w:val="20"/>
                <w:szCs w:val="20"/>
              </w:rPr>
              <w:t>The Evaluat</w:t>
            </w:r>
            <w:r w:rsidR="00C82D0F">
              <w:rPr>
                <w:rFonts w:ascii="Arial" w:hAnsi="Arial" w:cs="Arial"/>
                <w:i/>
                <w:sz w:val="20"/>
                <w:szCs w:val="20"/>
              </w:rPr>
              <w:t xml:space="preserve">ion Team </w:t>
            </w:r>
            <w:r w:rsidRPr="00FB6D4E">
              <w:rPr>
                <w:rFonts w:ascii="Arial" w:hAnsi="Arial" w:cs="Arial"/>
                <w:i/>
                <w:sz w:val="20"/>
                <w:szCs w:val="20"/>
              </w:rPr>
              <w:t>would also like to extend special thanks to the personnel of the United Nations Development Programme (UNDP) and of the Project who supplied key information and key cont</w:t>
            </w:r>
            <w:r w:rsidR="008A5909" w:rsidRPr="00FB6D4E">
              <w:rPr>
                <w:rFonts w:ascii="Arial" w:hAnsi="Arial" w:cs="Arial"/>
                <w:i/>
                <w:sz w:val="20"/>
                <w:szCs w:val="20"/>
              </w:rPr>
              <w:t xml:space="preserve">acts. A special thank you </w:t>
            </w:r>
            <w:r w:rsidR="005435A1">
              <w:rPr>
                <w:rFonts w:ascii="Arial" w:hAnsi="Arial" w:cs="Arial"/>
                <w:i/>
                <w:sz w:val="20"/>
                <w:szCs w:val="20"/>
              </w:rPr>
              <w:t xml:space="preserve">to Mr. Mihai Roscovan, </w:t>
            </w:r>
            <w:r w:rsidR="0042306C">
              <w:rPr>
                <w:rFonts w:ascii="Arial" w:hAnsi="Arial" w:cs="Arial"/>
                <w:i/>
                <w:sz w:val="20"/>
                <w:szCs w:val="20"/>
              </w:rPr>
              <w:t xml:space="preserve">EFR </w:t>
            </w:r>
            <w:r w:rsidR="005435A1">
              <w:rPr>
                <w:rFonts w:ascii="Arial" w:hAnsi="Arial" w:cs="Arial"/>
                <w:i/>
                <w:sz w:val="20"/>
                <w:szCs w:val="20"/>
              </w:rPr>
              <w:t>Project Manager, Ms</w:t>
            </w:r>
            <w:r w:rsidR="008A5909" w:rsidRPr="00332D9A">
              <w:rPr>
                <w:rFonts w:ascii="Arial" w:hAnsi="Arial" w:cs="Arial"/>
                <w:i/>
                <w:sz w:val="20"/>
                <w:szCs w:val="20"/>
              </w:rPr>
              <w:t xml:space="preserve">. </w:t>
            </w:r>
            <w:r w:rsidR="005435A1">
              <w:rPr>
                <w:rFonts w:ascii="Arial" w:hAnsi="Arial" w:cs="Arial"/>
                <w:i/>
                <w:sz w:val="20"/>
                <w:szCs w:val="20"/>
              </w:rPr>
              <w:t>Valeria</w:t>
            </w:r>
            <w:r w:rsidR="00C11CAF">
              <w:rPr>
                <w:rFonts w:ascii="Arial" w:hAnsi="Arial" w:cs="Arial"/>
                <w:i/>
                <w:sz w:val="20"/>
                <w:szCs w:val="20"/>
              </w:rPr>
              <w:t xml:space="preserve"> I</w:t>
            </w:r>
            <w:r w:rsidR="0042306C">
              <w:rPr>
                <w:rFonts w:ascii="Arial" w:hAnsi="Arial" w:cs="Arial"/>
                <w:i/>
                <w:sz w:val="20"/>
                <w:szCs w:val="20"/>
              </w:rPr>
              <w:t>eseanu</w:t>
            </w:r>
            <w:r w:rsidR="005435A1">
              <w:rPr>
                <w:rFonts w:ascii="Arial" w:hAnsi="Arial" w:cs="Arial"/>
                <w:i/>
                <w:sz w:val="20"/>
                <w:szCs w:val="20"/>
              </w:rPr>
              <w:t xml:space="preserve">, </w:t>
            </w:r>
            <w:r w:rsidR="0042306C" w:rsidRPr="0042306C">
              <w:rPr>
                <w:rFonts w:ascii="Arial" w:hAnsi="Arial" w:cs="Arial"/>
                <w:i/>
                <w:sz w:val="20"/>
                <w:szCs w:val="20"/>
              </w:rPr>
              <w:t xml:space="preserve">Programme </w:t>
            </w:r>
            <w:r w:rsidR="00C11CAF">
              <w:rPr>
                <w:rFonts w:ascii="Arial" w:hAnsi="Arial" w:cs="Arial"/>
                <w:i/>
                <w:sz w:val="20"/>
                <w:szCs w:val="20"/>
              </w:rPr>
              <w:t>Specialist</w:t>
            </w:r>
            <w:r w:rsidR="0042306C" w:rsidRPr="0042306C">
              <w:rPr>
                <w:rFonts w:ascii="Arial" w:hAnsi="Arial" w:cs="Arial"/>
                <w:i/>
                <w:sz w:val="20"/>
                <w:szCs w:val="20"/>
              </w:rPr>
              <w:t>/Portfolio Manager</w:t>
            </w:r>
            <w:r w:rsidR="0042306C">
              <w:rPr>
                <w:rFonts w:ascii="Arial" w:hAnsi="Arial" w:cs="Arial"/>
                <w:i/>
                <w:sz w:val="20"/>
                <w:szCs w:val="20"/>
              </w:rPr>
              <w:t>,</w:t>
            </w:r>
            <w:r w:rsidR="0042306C" w:rsidRPr="00332D9A">
              <w:rPr>
                <w:rFonts w:ascii="Arial" w:hAnsi="Arial" w:cs="Arial"/>
                <w:i/>
                <w:sz w:val="20"/>
                <w:szCs w:val="20"/>
              </w:rPr>
              <w:t xml:space="preserve"> UNDP</w:t>
            </w:r>
            <w:r w:rsidR="0042306C">
              <w:rPr>
                <w:rFonts w:ascii="Arial" w:hAnsi="Arial" w:cs="Arial"/>
                <w:i/>
                <w:sz w:val="20"/>
                <w:szCs w:val="20"/>
              </w:rPr>
              <w:t>-Moldova</w:t>
            </w:r>
            <w:r w:rsidR="00D81D74">
              <w:rPr>
                <w:rFonts w:ascii="Arial" w:hAnsi="Arial" w:cs="Arial"/>
                <w:i/>
                <w:sz w:val="20"/>
                <w:szCs w:val="20"/>
              </w:rPr>
              <w:t xml:space="preserve"> and Mr. Valentin Rosca, </w:t>
            </w:r>
            <w:r w:rsidR="00D81D74" w:rsidRPr="00D81D74">
              <w:rPr>
                <w:rFonts w:ascii="Arial" w:hAnsi="Arial" w:cs="Arial"/>
                <w:i/>
                <w:sz w:val="20"/>
                <w:szCs w:val="20"/>
              </w:rPr>
              <w:t>Logistic and Administrative Assistant EFR Project</w:t>
            </w:r>
            <w:r w:rsidR="00D81D74">
              <w:rPr>
                <w:rFonts w:ascii="Arial" w:hAnsi="Arial" w:cs="Arial"/>
                <w:i/>
                <w:sz w:val="20"/>
                <w:szCs w:val="20"/>
              </w:rPr>
              <w:t xml:space="preserve"> who </w:t>
            </w:r>
            <w:r w:rsidRPr="00FB6D4E">
              <w:rPr>
                <w:rFonts w:ascii="Arial" w:hAnsi="Arial" w:cs="Arial"/>
                <w:i/>
                <w:sz w:val="20"/>
                <w:szCs w:val="20"/>
              </w:rPr>
              <w:t>help</w:t>
            </w:r>
            <w:r w:rsidR="00C250F4" w:rsidRPr="00FB6D4E">
              <w:rPr>
                <w:rFonts w:ascii="Arial" w:hAnsi="Arial" w:cs="Arial"/>
                <w:i/>
                <w:sz w:val="20"/>
                <w:szCs w:val="20"/>
              </w:rPr>
              <w:t>ed</w:t>
            </w:r>
            <w:r w:rsidRPr="00FB6D4E">
              <w:rPr>
                <w:rFonts w:ascii="Arial" w:hAnsi="Arial" w:cs="Arial"/>
                <w:i/>
                <w:sz w:val="20"/>
                <w:szCs w:val="20"/>
              </w:rPr>
              <w:t xml:space="preserve"> </w:t>
            </w:r>
            <w:r w:rsidR="00C82D0F">
              <w:rPr>
                <w:rFonts w:ascii="Arial" w:hAnsi="Arial" w:cs="Arial"/>
                <w:i/>
                <w:sz w:val="20"/>
                <w:szCs w:val="20"/>
              </w:rPr>
              <w:t>us</w:t>
            </w:r>
            <w:r w:rsidR="008A5909" w:rsidRPr="00FB6D4E">
              <w:rPr>
                <w:rFonts w:ascii="Arial" w:hAnsi="Arial" w:cs="Arial"/>
                <w:i/>
                <w:sz w:val="20"/>
                <w:szCs w:val="20"/>
              </w:rPr>
              <w:t xml:space="preserve"> </w:t>
            </w:r>
            <w:r w:rsidRPr="00FB6D4E">
              <w:rPr>
                <w:rFonts w:ascii="Arial" w:hAnsi="Arial" w:cs="Arial"/>
                <w:i/>
                <w:sz w:val="20"/>
                <w:szCs w:val="20"/>
              </w:rPr>
              <w:t xml:space="preserve">in </w:t>
            </w:r>
            <w:r w:rsidR="005E23A1" w:rsidRPr="00FB6D4E">
              <w:rPr>
                <w:rFonts w:ascii="Arial" w:hAnsi="Arial" w:cs="Arial"/>
                <w:i/>
                <w:sz w:val="20"/>
                <w:szCs w:val="20"/>
              </w:rPr>
              <w:t>organizing</w:t>
            </w:r>
            <w:r w:rsidR="00FC67FD" w:rsidRPr="00FB6D4E">
              <w:rPr>
                <w:rFonts w:ascii="Arial" w:hAnsi="Arial" w:cs="Arial"/>
                <w:i/>
                <w:sz w:val="20"/>
                <w:szCs w:val="20"/>
              </w:rPr>
              <w:t xml:space="preserve"> the </w:t>
            </w:r>
            <w:r w:rsidR="00D81D74">
              <w:rPr>
                <w:rFonts w:ascii="Arial" w:hAnsi="Arial" w:cs="Arial"/>
                <w:i/>
                <w:sz w:val="20"/>
                <w:szCs w:val="20"/>
              </w:rPr>
              <w:t>one</w:t>
            </w:r>
            <w:r w:rsidR="00C82D0F">
              <w:rPr>
                <w:rFonts w:ascii="Arial" w:hAnsi="Arial" w:cs="Arial"/>
                <w:i/>
                <w:sz w:val="20"/>
                <w:szCs w:val="20"/>
              </w:rPr>
              <w:t>-</w:t>
            </w:r>
            <w:r w:rsidR="00D81D74">
              <w:rPr>
                <w:rFonts w:ascii="Arial" w:hAnsi="Arial" w:cs="Arial"/>
                <w:i/>
                <w:sz w:val="20"/>
                <w:szCs w:val="20"/>
              </w:rPr>
              <w:t xml:space="preserve">week </w:t>
            </w:r>
            <w:r w:rsidR="00FC67FD" w:rsidRPr="00FB6D4E">
              <w:rPr>
                <w:rFonts w:ascii="Arial" w:hAnsi="Arial" w:cs="Arial"/>
                <w:i/>
                <w:sz w:val="20"/>
                <w:szCs w:val="20"/>
              </w:rPr>
              <w:t>fact-finding</w:t>
            </w:r>
            <w:r w:rsidRPr="00FB6D4E">
              <w:rPr>
                <w:rFonts w:ascii="Arial" w:hAnsi="Arial" w:cs="Arial"/>
                <w:i/>
                <w:sz w:val="20"/>
                <w:szCs w:val="20"/>
              </w:rPr>
              <w:t xml:space="preserve"> mission</w:t>
            </w:r>
            <w:r w:rsidR="00C250F4" w:rsidRPr="00FB6D4E">
              <w:rPr>
                <w:rFonts w:ascii="Arial" w:hAnsi="Arial" w:cs="Arial"/>
                <w:i/>
                <w:sz w:val="20"/>
                <w:szCs w:val="20"/>
              </w:rPr>
              <w:t xml:space="preserve"> in </w:t>
            </w:r>
            <w:r w:rsidR="00D81D74">
              <w:rPr>
                <w:rFonts w:ascii="Arial" w:hAnsi="Arial" w:cs="Arial"/>
                <w:i/>
                <w:sz w:val="20"/>
                <w:szCs w:val="20"/>
              </w:rPr>
              <w:t>Moldova</w:t>
            </w:r>
            <w:r w:rsidR="008A5909" w:rsidRPr="00FB6D4E">
              <w:rPr>
                <w:rFonts w:ascii="Arial" w:hAnsi="Arial" w:cs="Arial"/>
                <w:i/>
                <w:sz w:val="20"/>
                <w:szCs w:val="20"/>
              </w:rPr>
              <w:t>.</w:t>
            </w:r>
            <w:r w:rsidR="00C250F4" w:rsidRPr="00FB6D4E">
              <w:rPr>
                <w:rFonts w:ascii="Arial" w:hAnsi="Arial" w:cs="Arial"/>
                <w:i/>
                <w:sz w:val="20"/>
                <w:szCs w:val="20"/>
              </w:rPr>
              <w:t xml:space="preserve"> </w:t>
            </w:r>
            <w:r w:rsidR="006B3375">
              <w:rPr>
                <w:rFonts w:ascii="Arial" w:hAnsi="Arial" w:cs="Arial"/>
                <w:i/>
                <w:sz w:val="20"/>
                <w:szCs w:val="20"/>
              </w:rPr>
              <w:t xml:space="preserve">They </w:t>
            </w:r>
            <w:r w:rsidR="00C250F4" w:rsidRPr="00FB6D4E">
              <w:rPr>
                <w:rFonts w:ascii="Arial" w:hAnsi="Arial" w:cs="Arial"/>
                <w:i/>
                <w:sz w:val="20"/>
                <w:szCs w:val="20"/>
              </w:rPr>
              <w:t xml:space="preserve">provided </w:t>
            </w:r>
            <w:r w:rsidR="00FC67FD" w:rsidRPr="00FB6D4E">
              <w:rPr>
                <w:rFonts w:ascii="Arial" w:hAnsi="Arial" w:cs="Arial"/>
                <w:i/>
                <w:sz w:val="20"/>
                <w:szCs w:val="20"/>
              </w:rPr>
              <w:t>in</w:t>
            </w:r>
            <w:r w:rsidR="00C250F4" w:rsidRPr="00FB6D4E">
              <w:rPr>
                <w:rFonts w:ascii="Arial" w:hAnsi="Arial" w:cs="Arial"/>
                <w:i/>
                <w:sz w:val="20"/>
                <w:szCs w:val="20"/>
              </w:rPr>
              <w:t>valuable support that contributed to the s</w:t>
            </w:r>
            <w:r w:rsidR="00FC67FD" w:rsidRPr="00FB6D4E">
              <w:rPr>
                <w:rFonts w:ascii="Arial" w:hAnsi="Arial" w:cs="Arial"/>
                <w:i/>
                <w:sz w:val="20"/>
                <w:szCs w:val="20"/>
              </w:rPr>
              <w:t>uccessful fact-finding</w:t>
            </w:r>
            <w:r w:rsidR="00C250F4" w:rsidRPr="00FB6D4E">
              <w:rPr>
                <w:rFonts w:ascii="Arial" w:hAnsi="Arial" w:cs="Arial"/>
                <w:i/>
                <w:sz w:val="20"/>
                <w:szCs w:val="20"/>
              </w:rPr>
              <w:t xml:space="preserve"> mission</w:t>
            </w:r>
            <w:r w:rsidR="008A5909" w:rsidRPr="00FB6D4E">
              <w:rPr>
                <w:rFonts w:ascii="Arial" w:hAnsi="Arial" w:cs="Arial"/>
                <w:i/>
                <w:sz w:val="20"/>
                <w:szCs w:val="20"/>
              </w:rPr>
              <w:t>.</w:t>
            </w:r>
            <w:r w:rsidR="008A5909" w:rsidRPr="00FB6D4E">
              <w:rPr>
                <w:rFonts w:ascii="Arial" w:hAnsi="Arial" w:cs="Arial"/>
                <w:sz w:val="20"/>
                <w:szCs w:val="20"/>
              </w:rPr>
              <w:t xml:space="preserve"> </w:t>
            </w:r>
          </w:p>
        </w:tc>
      </w:tr>
    </w:tbl>
    <w:p w14:paraId="4979FA2F" w14:textId="77777777" w:rsidR="00A52B28" w:rsidRPr="00FB6D4E" w:rsidRDefault="00A52B28" w:rsidP="008A5909">
      <w:pPr>
        <w:jc w:val="both"/>
        <w:rPr>
          <w:sz w:val="22"/>
        </w:rPr>
      </w:pPr>
    </w:p>
    <w:p w14:paraId="677FBE1B" w14:textId="77777777" w:rsidR="00A52B28" w:rsidRPr="00FB6D4E" w:rsidRDefault="00A52B28" w:rsidP="00A52B28">
      <w:pPr>
        <w:rPr>
          <w:sz w:val="22"/>
        </w:rPr>
      </w:pPr>
    </w:p>
    <w:p w14:paraId="2AACF444" w14:textId="77777777" w:rsidR="00A52B28" w:rsidRPr="00FB6D4E" w:rsidRDefault="00A52B28" w:rsidP="00A52B28">
      <w:pPr>
        <w:rPr>
          <w:sz w:val="22"/>
        </w:rPr>
      </w:pPr>
    </w:p>
    <w:p w14:paraId="4823A21B" w14:textId="77777777" w:rsidR="00A52B28" w:rsidRPr="00FB6D4E" w:rsidRDefault="00A52B28" w:rsidP="00A52B28">
      <w:pPr>
        <w:rPr>
          <w:sz w:val="22"/>
        </w:rPr>
      </w:pPr>
    </w:p>
    <w:p w14:paraId="1A0EB1A3" w14:textId="77777777" w:rsidR="00A52B28" w:rsidRPr="00FB6D4E" w:rsidRDefault="00A52B28" w:rsidP="00A52B28">
      <w:pPr>
        <w:rPr>
          <w:sz w:val="22"/>
        </w:rPr>
      </w:pPr>
    </w:p>
    <w:p w14:paraId="40C18D29" w14:textId="77777777" w:rsidR="00A52B28" w:rsidRPr="00FB6D4E" w:rsidRDefault="00A52B28" w:rsidP="00A52B28">
      <w:pPr>
        <w:rPr>
          <w:sz w:val="22"/>
        </w:rPr>
      </w:pPr>
    </w:p>
    <w:p w14:paraId="5C513AA8" w14:textId="77777777" w:rsidR="00A52B28" w:rsidRPr="00FB6D4E" w:rsidRDefault="00A52B28" w:rsidP="00A52B28">
      <w:pPr>
        <w:rPr>
          <w:sz w:val="22"/>
        </w:rPr>
      </w:pPr>
    </w:p>
    <w:p w14:paraId="334413ED" w14:textId="77777777" w:rsidR="00A52B28" w:rsidRPr="00FB6D4E" w:rsidRDefault="00A52B28" w:rsidP="00A52B28">
      <w:pPr>
        <w:rPr>
          <w:sz w:val="22"/>
        </w:rPr>
      </w:pPr>
    </w:p>
    <w:p w14:paraId="55BD3D38" w14:textId="77777777" w:rsidR="00A52B28" w:rsidRPr="00FB6D4E" w:rsidRDefault="00A52B28" w:rsidP="00A52B28">
      <w:pPr>
        <w:rPr>
          <w:sz w:val="22"/>
        </w:rPr>
      </w:pPr>
    </w:p>
    <w:p w14:paraId="57E26A2E" w14:textId="77777777" w:rsidR="00A52B28" w:rsidRPr="00FB6D4E" w:rsidRDefault="00A52B28" w:rsidP="00A52B28">
      <w:pPr>
        <w:rPr>
          <w:sz w:val="22"/>
        </w:rPr>
      </w:pPr>
    </w:p>
    <w:p w14:paraId="24104293" w14:textId="77777777" w:rsidR="00A52B28" w:rsidRPr="00FB6D4E" w:rsidRDefault="00A52B28" w:rsidP="00A52B28">
      <w:pPr>
        <w:rPr>
          <w:sz w:val="22"/>
        </w:rPr>
      </w:pPr>
    </w:p>
    <w:p w14:paraId="1ED6CF68" w14:textId="77777777" w:rsidR="00A52B28" w:rsidRPr="00FB6D4E" w:rsidRDefault="00A52B28" w:rsidP="00A52B28">
      <w:pPr>
        <w:rPr>
          <w:sz w:val="22"/>
        </w:rPr>
      </w:pPr>
    </w:p>
    <w:p w14:paraId="31DF7FA1" w14:textId="77777777" w:rsidR="00A52B28" w:rsidRPr="00FB6D4E" w:rsidRDefault="00A52B28" w:rsidP="00A52B28">
      <w:pPr>
        <w:rPr>
          <w:sz w:val="22"/>
        </w:rPr>
      </w:pPr>
    </w:p>
    <w:p w14:paraId="66301BD4" w14:textId="77777777" w:rsidR="00A52B28" w:rsidRPr="00FB6D4E" w:rsidRDefault="00A52B28" w:rsidP="00A52B28">
      <w:pPr>
        <w:rPr>
          <w:sz w:val="22"/>
        </w:rPr>
      </w:pPr>
    </w:p>
    <w:p w14:paraId="5EA873C6" w14:textId="77777777" w:rsidR="00A52B28" w:rsidRPr="00FB6D4E" w:rsidRDefault="00A52B28" w:rsidP="00A52B28">
      <w:pPr>
        <w:rPr>
          <w:sz w:val="22"/>
        </w:rPr>
      </w:pPr>
    </w:p>
    <w:p w14:paraId="7F6E5203" w14:textId="77777777" w:rsidR="009E72A6" w:rsidRPr="00FB6D4E" w:rsidRDefault="009E72A6" w:rsidP="00A52B28">
      <w:pPr>
        <w:rPr>
          <w:sz w:val="22"/>
        </w:rPr>
      </w:pPr>
    </w:p>
    <w:p w14:paraId="464D2A2F" w14:textId="77777777" w:rsidR="009E72A6" w:rsidRPr="00FB6D4E" w:rsidRDefault="009E72A6" w:rsidP="00A52B28">
      <w:pPr>
        <w:rPr>
          <w:sz w:val="22"/>
        </w:rPr>
      </w:pPr>
    </w:p>
    <w:p w14:paraId="195838E6" w14:textId="77777777" w:rsidR="009E72A6" w:rsidRPr="00FB6D4E" w:rsidRDefault="009E72A6" w:rsidP="00A52B28">
      <w:pPr>
        <w:rPr>
          <w:sz w:val="22"/>
        </w:rPr>
      </w:pPr>
    </w:p>
    <w:p w14:paraId="688B91A4" w14:textId="77777777" w:rsidR="009E72A6" w:rsidRPr="00FB6D4E" w:rsidRDefault="009E72A6" w:rsidP="00A52B28">
      <w:pPr>
        <w:rPr>
          <w:sz w:val="22"/>
        </w:rPr>
      </w:pPr>
    </w:p>
    <w:p w14:paraId="4D5F225C" w14:textId="77777777" w:rsidR="00A52B28" w:rsidRPr="00FB6D4E" w:rsidRDefault="00A52B28" w:rsidP="00A52B28">
      <w:pPr>
        <w:rPr>
          <w:sz w:val="22"/>
        </w:rPr>
      </w:pPr>
    </w:p>
    <w:p w14:paraId="55B5FED5" w14:textId="77777777" w:rsidR="00A52B28" w:rsidRPr="00FB6D4E" w:rsidRDefault="00A52B28" w:rsidP="00A52B28">
      <w:pPr>
        <w:rPr>
          <w:sz w:val="22"/>
        </w:rPr>
      </w:pPr>
    </w:p>
    <w:p w14:paraId="41FE224C" w14:textId="77777777" w:rsidR="00A52B28" w:rsidRPr="00FB6D4E" w:rsidRDefault="00A52B28" w:rsidP="00A52B28">
      <w:pPr>
        <w:rPr>
          <w:sz w:val="22"/>
        </w:rPr>
      </w:pPr>
    </w:p>
    <w:p w14:paraId="4D768D2F" w14:textId="77777777" w:rsidR="00A52B28" w:rsidRPr="00FB6D4E" w:rsidRDefault="00A52B28" w:rsidP="00A52B28">
      <w:pPr>
        <w:rPr>
          <w:sz w:val="22"/>
        </w:rPr>
      </w:pPr>
    </w:p>
    <w:p w14:paraId="58131A2A" w14:textId="77777777" w:rsidR="00A52B28" w:rsidRPr="00FB6D4E" w:rsidRDefault="00A52B28" w:rsidP="00A52B28">
      <w:pPr>
        <w:rPr>
          <w:sz w:val="22"/>
        </w:rPr>
      </w:pPr>
    </w:p>
    <w:p w14:paraId="6FDFB225" w14:textId="77777777" w:rsidR="00A52B28" w:rsidRPr="00FB6D4E" w:rsidRDefault="00A52B28" w:rsidP="00A52B28">
      <w:pPr>
        <w:rPr>
          <w:sz w:val="22"/>
        </w:rPr>
      </w:pPr>
    </w:p>
    <w:p w14:paraId="73C21D10" w14:textId="77777777" w:rsidR="00A52B28" w:rsidRPr="00FB6D4E" w:rsidRDefault="00A52B28" w:rsidP="00A52B28">
      <w:pPr>
        <w:rPr>
          <w:sz w:val="22"/>
        </w:rPr>
      </w:pPr>
    </w:p>
    <w:p w14:paraId="78E1F71B" w14:textId="77777777" w:rsidR="00A52B28" w:rsidRPr="00FB6D4E" w:rsidRDefault="00A52B28" w:rsidP="00A52B28">
      <w:pPr>
        <w:rPr>
          <w:sz w:val="22"/>
        </w:rPr>
      </w:pPr>
    </w:p>
    <w:p w14:paraId="0FD1B03C" w14:textId="77777777" w:rsidR="00A52B28" w:rsidRPr="00FB6D4E" w:rsidRDefault="00A52B28" w:rsidP="00A52B28">
      <w:pPr>
        <w:rPr>
          <w:sz w:val="22"/>
        </w:rPr>
      </w:pPr>
    </w:p>
    <w:p w14:paraId="7A62B726" w14:textId="77777777" w:rsidR="00A52B28" w:rsidRPr="00FB6D4E" w:rsidRDefault="00A52B28" w:rsidP="00A52B28">
      <w:pPr>
        <w:rPr>
          <w:sz w:val="22"/>
        </w:rPr>
      </w:pPr>
    </w:p>
    <w:p w14:paraId="38192657" w14:textId="77777777" w:rsidR="00A52B28" w:rsidRPr="00FB6D4E" w:rsidRDefault="00A52B28" w:rsidP="00A52B28">
      <w:pPr>
        <w:rPr>
          <w:sz w:val="22"/>
        </w:rPr>
      </w:pPr>
    </w:p>
    <w:p w14:paraId="37E0A30F" w14:textId="77777777" w:rsidR="00A52B28" w:rsidRPr="00FB6D4E" w:rsidRDefault="00A52B28" w:rsidP="00A52B28">
      <w:pPr>
        <w:rPr>
          <w:sz w:val="22"/>
        </w:rPr>
      </w:pPr>
    </w:p>
    <w:p w14:paraId="3FDC4CEB" w14:textId="77777777" w:rsidR="00A52B28" w:rsidRPr="00FB6D4E" w:rsidRDefault="00A52B28" w:rsidP="00A52B28">
      <w:pPr>
        <w:rPr>
          <w:sz w:val="22"/>
        </w:rPr>
      </w:pPr>
    </w:p>
    <w:p w14:paraId="017F9E61" w14:textId="77777777" w:rsidR="00A52B28" w:rsidRPr="00FB6D4E" w:rsidRDefault="00A52B28" w:rsidP="00A52B28">
      <w:pPr>
        <w:rPr>
          <w:sz w:val="22"/>
        </w:rPr>
      </w:pPr>
    </w:p>
    <w:p w14:paraId="17EB9BE6" w14:textId="77777777" w:rsidR="00A52B28" w:rsidRPr="00FB6D4E" w:rsidRDefault="00A52B28" w:rsidP="00A52B28">
      <w:pPr>
        <w:rPr>
          <w:sz w:val="22"/>
        </w:rPr>
      </w:pPr>
    </w:p>
    <w:p w14:paraId="44C883EC" w14:textId="77777777" w:rsidR="00A52B28" w:rsidRPr="00FB6D4E" w:rsidRDefault="002831E0" w:rsidP="00A52B28">
      <w:pPr>
        <w:jc w:val="center"/>
        <w:rPr>
          <w:b/>
          <w:sz w:val="22"/>
        </w:rPr>
      </w:pPr>
      <w:r w:rsidRPr="00FB6D4E">
        <w:rPr>
          <w:b/>
          <w:sz w:val="22"/>
        </w:rPr>
        <w:t>DISCLAIMER</w:t>
      </w:r>
    </w:p>
    <w:p w14:paraId="5B79D102" w14:textId="77777777" w:rsidR="00A52B28" w:rsidRPr="00FB6D4E" w:rsidRDefault="00A52B28" w:rsidP="00A52B28">
      <w:pPr>
        <w:rPr>
          <w:sz w:val="22"/>
        </w:rPr>
      </w:pPr>
    </w:p>
    <w:p w14:paraId="6B541AD5" w14:textId="77777777" w:rsidR="00A52B28" w:rsidRPr="00FB6D4E" w:rsidRDefault="002831E0" w:rsidP="00A52B28">
      <w:pPr>
        <w:jc w:val="center"/>
        <w:rPr>
          <w:i/>
          <w:sz w:val="22"/>
        </w:rPr>
      </w:pPr>
      <w:r w:rsidRPr="00FB6D4E">
        <w:rPr>
          <w:i/>
          <w:sz w:val="22"/>
        </w:rPr>
        <w:t xml:space="preserve">This report is the work of </w:t>
      </w:r>
      <w:r w:rsidR="00331BFE" w:rsidRPr="00FB6D4E">
        <w:rPr>
          <w:i/>
          <w:sz w:val="22"/>
        </w:rPr>
        <w:t>independent consultant</w:t>
      </w:r>
      <w:r w:rsidR="00C82D0F">
        <w:rPr>
          <w:i/>
          <w:sz w:val="22"/>
        </w:rPr>
        <w:t>s</w:t>
      </w:r>
      <w:r w:rsidRPr="00FB6D4E">
        <w:rPr>
          <w:i/>
          <w:sz w:val="22"/>
        </w:rPr>
        <w:t xml:space="preserve"> and does not necessaril</w:t>
      </w:r>
      <w:r w:rsidR="00943484">
        <w:rPr>
          <w:i/>
          <w:sz w:val="22"/>
        </w:rPr>
        <w:t>y represent the views, or policies</w:t>
      </w:r>
      <w:r w:rsidRPr="00FB6D4E">
        <w:rPr>
          <w:i/>
          <w:sz w:val="22"/>
        </w:rPr>
        <w:t>, or intentions of the United Nations Development Programme (UNDP)</w:t>
      </w:r>
      <w:r w:rsidR="00C82D0F">
        <w:rPr>
          <w:i/>
          <w:sz w:val="22"/>
        </w:rPr>
        <w:t xml:space="preserve"> or of the Government of </w:t>
      </w:r>
      <w:r w:rsidR="00C076EC">
        <w:rPr>
          <w:i/>
          <w:sz w:val="22"/>
        </w:rPr>
        <w:t>Moldova</w:t>
      </w:r>
      <w:r w:rsidRPr="00FB6D4E">
        <w:rPr>
          <w:i/>
          <w:sz w:val="22"/>
        </w:rPr>
        <w:t>.</w:t>
      </w:r>
    </w:p>
    <w:p w14:paraId="149646CE" w14:textId="77777777" w:rsidR="00A52B28" w:rsidRPr="00FB6D4E" w:rsidRDefault="00A52B28" w:rsidP="00A52B28">
      <w:pPr>
        <w:rPr>
          <w:sz w:val="22"/>
        </w:rPr>
      </w:pPr>
    </w:p>
    <w:p w14:paraId="64271630" w14:textId="77777777" w:rsidR="008D6E6A" w:rsidRPr="00FB6D4E" w:rsidRDefault="008D6E6A" w:rsidP="003F23AA">
      <w:pPr>
        <w:pStyle w:val="Heading1"/>
        <w:numPr>
          <w:ilvl w:val="0"/>
          <w:numId w:val="1"/>
        </w:numPr>
        <w:tabs>
          <w:tab w:val="clear" w:pos="360"/>
          <w:tab w:val="num" w:pos="567"/>
        </w:tabs>
        <w:spacing w:before="120" w:after="120"/>
        <w:ind w:left="567" w:hanging="567"/>
        <w:rPr>
          <w:sz w:val="24"/>
          <w:szCs w:val="24"/>
        </w:rPr>
        <w:sectPr w:rsidR="008D6E6A" w:rsidRPr="00FB6D4E" w:rsidSect="003E5A05">
          <w:headerReference w:type="even" r:id="rId16"/>
          <w:headerReference w:type="default" r:id="rId17"/>
          <w:footerReference w:type="default" r:id="rId18"/>
          <w:headerReference w:type="first" r:id="rId19"/>
          <w:pgSz w:w="11907" w:h="16840" w:code="9"/>
          <w:pgMar w:top="1134" w:right="1134" w:bottom="1134" w:left="1134" w:header="851" w:footer="851" w:gutter="0"/>
          <w:pgNumType w:fmt="lowerRoman" w:start="1"/>
          <w:cols w:space="720"/>
          <w:noEndnote/>
        </w:sectPr>
      </w:pPr>
      <w:bookmarkStart w:id="4" w:name="_Ref249079560"/>
    </w:p>
    <w:p w14:paraId="4A8B28F9" w14:textId="77777777" w:rsidR="003F23AA" w:rsidRPr="00FB6D4E" w:rsidRDefault="003F23AA" w:rsidP="005174F4">
      <w:pPr>
        <w:pStyle w:val="Heading1"/>
        <w:numPr>
          <w:ilvl w:val="0"/>
          <w:numId w:val="1"/>
        </w:numPr>
        <w:tabs>
          <w:tab w:val="clear" w:pos="360"/>
          <w:tab w:val="num" w:pos="720"/>
        </w:tabs>
        <w:spacing w:before="0" w:after="0"/>
        <w:ind w:left="720" w:hanging="720"/>
        <w:rPr>
          <w:sz w:val="22"/>
          <w:szCs w:val="22"/>
        </w:rPr>
      </w:pPr>
      <w:bookmarkStart w:id="5" w:name="_Toc224175219"/>
      <w:bookmarkStart w:id="6" w:name="_Toc308103230"/>
      <w:bookmarkEnd w:id="4"/>
      <w:r w:rsidRPr="00FB6D4E">
        <w:rPr>
          <w:sz w:val="22"/>
          <w:szCs w:val="22"/>
        </w:rPr>
        <w:lastRenderedPageBreak/>
        <w:t>Main Conclusions and Recommendations</w:t>
      </w:r>
      <w:r w:rsidRPr="00FB6D4E">
        <w:rPr>
          <w:sz w:val="22"/>
          <w:szCs w:val="22"/>
          <w:vertAlign w:val="superscript"/>
        </w:rPr>
        <w:footnoteReference w:id="1"/>
      </w:r>
      <w:bookmarkEnd w:id="5"/>
      <w:bookmarkEnd w:id="6"/>
    </w:p>
    <w:p w14:paraId="57AFA3C2" w14:textId="77777777" w:rsidR="005174F4" w:rsidRPr="00FB6D4E" w:rsidRDefault="005174F4" w:rsidP="005174F4">
      <w:pPr>
        <w:pStyle w:val="Heading2"/>
        <w:spacing w:before="0" w:after="0"/>
        <w:ind w:left="720"/>
        <w:rPr>
          <w:i w:val="0"/>
          <w:sz w:val="22"/>
          <w:szCs w:val="22"/>
        </w:rPr>
      </w:pPr>
      <w:bookmarkStart w:id="7" w:name="_Toc224175220"/>
    </w:p>
    <w:p w14:paraId="082A3860" w14:textId="77777777" w:rsidR="003F23AA" w:rsidRPr="00FB6D4E" w:rsidRDefault="003F23AA" w:rsidP="005174F4">
      <w:pPr>
        <w:pStyle w:val="Heading2"/>
        <w:numPr>
          <w:ilvl w:val="1"/>
          <w:numId w:val="1"/>
        </w:numPr>
        <w:tabs>
          <w:tab w:val="clear" w:pos="792"/>
          <w:tab w:val="num" w:pos="709"/>
        </w:tabs>
        <w:spacing w:before="0" w:after="0"/>
        <w:ind w:left="720" w:hanging="720"/>
        <w:rPr>
          <w:i w:val="0"/>
          <w:sz w:val="22"/>
          <w:szCs w:val="22"/>
        </w:rPr>
      </w:pPr>
      <w:bookmarkStart w:id="8" w:name="_Toc308103231"/>
      <w:r w:rsidRPr="00FB6D4E">
        <w:rPr>
          <w:i w:val="0"/>
          <w:sz w:val="22"/>
          <w:szCs w:val="22"/>
        </w:rPr>
        <w:t>Background</w:t>
      </w:r>
      <w:bookmarkEnd w:id="7"/>
      <w:r w:rsidR="005174F4" w:rsidRPr="00FB6D4E">
        <w:rPr>
          <w:i w:val="0"/>
          <w:sz w:val="22"/>
          <w:szCs w:val="22"/>
        </w:rPr>
        <w:t xml:space="preserve"> - Introduction</w:t>
      </w:r>
      <w:bookmarkEnd w:id="8"/>
    </w:p>
    <w:p w14:paraId="56C167C2" w14:textId="77777777" w:rsidR="005174F4" w:rsidRPr="00FB6D4E" w:rsidRDefault="005174F4" w:rsidP="005174F4">
      <w:pPr>
        <w:pStyle w:val="ListParagraph"/>
        <w:ind w:left="360"/>
        <w:jc w:val="both"/>
        <w:rPr>
          <w:sz w:val="22"/>
          <w:szCs w:val="22"/>
        </w:rPr>
      </w:pPr>
    </w:p>
    <w:p w14:paraId="54B64FBF" w14:textId="77777777" w:rsidR="005174F4" w:rsidRDefault="005174F4" w:rsidP="00C82D0F">
      <w:pPr>
        <w:jc w:val="both"/>
        <w:rPr>
          <w:sz w:val="22"/>
        </w:rPr>
      </w:pPr>
      <w:r w:rsidRPr="007F5F36">
        <w:rPr>
          <w:sz w:val="22"/>
        </w:rPr>
        <w:t xml:space="preserve">This report presents the findings of the </w:t>
      </w:r>
      <w:r w:rsidR="00C82D0F" w:rsidRPr="007F5F36">
        <w:rPr>
          <w:sz w:val="22"/>
        </w:rPr>
        <w:t>Terminal</w:t>
      </w:r>
      <w:r w:rsidRPr="007F5F36">
        <w:rPr>
          <w:sz w:val="22"/>
        </w:rPr>
        <w:t xml:space="preserve"> Evaluation of the </w:t>
      </w:r>
      <w:r w:rsidR="00C076EC" w:rsidRPr="00C076EC">
        <w:rPr>
          <w:sz w:val="22"/>
        </w:rPr>
        <w:t>UNDP-supported-GEF-financed Project “</w:t>
      </w:r>
      <w:r w:rsidR="00C076EC" w:rsidRPr="00C076EC">
        <w:rPr>
          <w:i/>
          <w:sz w:val="22"/>
        </w:rPr>
        <w:t>Strengthening capacities to undertake environmental fiscal reform to meet national and global environmental priorities</w:t>
      </w:r>
      <w:r w:rsidR="00C076EC" w:rsidRPr="00C076EC">
        <w:rPr>
          <w:sz w:val="22"/>
        </w:rPr>
        <w:t>” (Moldova)</w:t>
      </w:r>
      <w:r w:rsidR="00313781" w:rsidRPr="007F5F36">
        <w:rPr>
          <w:sz w:val="22"/>
        </w:rPr>
        <w:t xml:space="preserve">. </w:t>
      </w:r>
      <w:r w:rsidRPr="007F5F36">
        <w:rPr>
          <w:sz w:val="22"/>
        </w:rPr>
        <w:t xml:space="preserve">This </w:t>
      </w:r>
      <w:r w:rsidR="00C82D0F" w:rsidRPr="007F5F36">
        <w:rPr>
          <w:sz w:val="22"/>
        </w:rPr>
        <w:t>terminal</w:t>
      </w:r>
      <w:r w:rsidRPr="007F5F36">
        <w:rPr>
          <w:sz w:val="22"/>
        </w:rPr>
        <w:t xml:space="preserve"> evaluation was performed by </w:t>
      </w:r>
      <w:r w:rsidR="00C82D0F" w:rsidRPr="007F5F36">
        <w:rPr>
          <w:sz w:val="22"/>
        </w:rPr>
        <w:t xml:space="preserve">an Evaluation Team composed of </w:t>
      </w:r>
      <w:r w:rsidRPr="007F5F36">
        <w:rPr>
          <w:sz w:val="22"/>
        </w:rPr>
        <w:t xml:space="preserve">Mr. Jean-Joseph Bellamy </w:t>
      </w:r>
      <w:r w:rsidR="007F5F36" w:rsidRPr="007F5F36">
        <w:rPr>
          <w:sz w:val="22"/>
        </w:rPr>
        <w:t xml:space="preserve">and Dr. </w:t>
      </w:r>
      <w:r w:rsidR="00C076EC">
        <w:rPr>
          <w:sz w:val="22"/>
        </w:rPr>
        <w:t>Victor Cotruta</w:t>
      </w:r>
      <w:r w:rsidR="007F5F36" w:rsidRPr="007F5F36">
        <w:rPr>
          <w:sz w:val="22"/>
        </w:rPr>
        <w:t xml:space="preserve"> </w:t>
      </w:r>
      <w:r w:rsidRPr="007F5F36">
        <w:rPr>
          <w:sz w:val="22"/>
        </w:rPr>
        <w:t>on behalf of the United Nations Development Programme (UNDP).</w:t>
      </w:r>
    </w:p>
    <w:p w14:paraId="711E3D28" w14:textId="77777777" w:rsidR="00B04FE4" w:rsidRDefault="00B04FE4" w:rsidP="00C82D0F">
      <w:pPr>
        <w:jc w:val="both"/>
        <w:rPr>
          <w:sz w:val="22"/>
        </w:rPr>
      </w:pPr>
    </w:p>
    <w:p w14:paraId="6E602C9D" w14:textId="6014A7E1" w:rsidR="00D80AC8" w:rsidRPr="00D80AC8" w:rsidRDefault="00D80AC8" w:rsidP="00D80AC8">
      <w:pPr>
        <w:jc w:val="both"/>
        <w:rPr>
          <w:sz w:val="22"/>
        </w:rPr>
      </w:pPr>
      <w:r w:rsidRPr="00942104">
        <w:rPr>
          <w:sz w:val="22"/>
        </w:rPr>
        <w:t>The budget for the environmental sector in Moldova was very limited</w:t>
      </w:r>
      <w:r w:rsidR="00E239E9" w:rsidRPr="00942104">
        <w:rPr>
          <w:sz w:val="22"/>
        </w:rPr>
        <w:t>; it</w:t>
      </w:r>
      <w:r w:rsidRPr="00942104">
        <w:rPr>
          <w:sz w:val="22"/>
        </w:rPr>
        <w:t xml:space="preserve"> constituted </w:t>
      </w:r>
      <w:r w:rsidR="00E239E9" w:rsidRPr="00942104">
        <w:rPr>
          <w:sz w:val="22"/>
        </w:rPr>
        <w:t>just under 0.5</w:t>
      </w:r>
      <w:r w:rsidRPr="00942104">
        <w:rPr>
          <w:sz w:val="22"/>
        </w:rPr>
        <w:t>% of th</w:t>
      </w:r>
      <w:r w:rsidR="00E239E9" w:rsidRPr="00942104">
        <w:rPr>
          <w:sz w:val="22"/>
        </w:rPr>
        <w:t xml:space="preserve">e total national budget in 2009 and </w:t>
      </w:r>
      <w:r w:rsidRPr="00942104">
        <w:rPr>
          <w:sz w:val="22"/>
        </w:rPr>
        <w:t xml:space="preserve">2010 </w:t>
      </w:r>
      <w:r w:rsidR="00E239E9" w:rsidRPr="00942104">
        <w:rPr>
          <w:sz w:val="22"/>
        </w:rPr>
        <w:t xml:space="preserve">and </w:t>
      </w:r>
      <w:r w:rsidRPr="00942104">
        <w:rPr>
          <w:sz w:val="22"/>
        </w:rPr>
        <w:t xml:space="preserve">was </w:t>
      </w:r>
      <w:r w:rsidR="00E239E9" w:rsidRPr="00942104">
        <w:rPr>
          <w:sz w:val="22"/>
        </w:rPr>
        <w:t>0.69% in</w:t>
      </w:r>
      <w:r w:rsidRPr="00942104">
        <w:rPr>
          <w:sz w:val="22"/>
        </w:rPr>
        <w:t xml:space="preserve"> 2011.</w:t>
      </w:r>
      <w:r w:rsidR="00D14DF4" w:rsidRPr="00942104">
        <w:rPr>
          <w:sz w:val="22"/>
        </w:rPr>
        <w:t xml:space="preserve"> M</w:t>
      </w:r>
      <w:r w:rsidRPr="00942104">
        <w:rPr>
          <w:sz w:val="22"/>
        </w:rPr>
        <w:t>ost of this funding covered staff costs and did not allow the Ministry of Environment (MOE) to implement its core activities nor to promote necessary</w:t>
      </w:r>
      <w:r w:rsidRPr="00D80AC8">
        <w:rPr>
          <w:sz w:val="22"/>
        </w:rPr>
        <w:t xml:space="preserve"> policies. In the other sectors, environmental concerns were virtually non-existent. Although the agriculture sector benefited from 3.1% of the national budget in 2009, only limited environmental issues figure on the sector’s development plan. In addition, existing environmental pollution charges earmarked in the Law on Payment for Environmental Pollution that constitute the revenues of the National and Local Environmental Funds have mobilized only around US$ 15.6 million of revenues for the NEF’s, and around US$ 685,000 of revenues for the LEFs in 2009.  These limited resources </w:t>
      </w:r>
      <w:r>
        <w:rPr>
          <w:sz w:val="22"/>
        </w:rPr>
        <w:t xml:space="preserve">did not </w:t>
      </w:r>
      <w:r w:rsidRPr="00D80AC8">
        <w:rPr>
          <w:sz w:val="22"/>
        </w:rPr>
        <w:t>allow important environmental investments in Moldova in order to support the implementation of national and local environmental policies that have demonstrable benefits for the global environment.</w:t>
      </w:r>
      <w:r w:rsidR="00FB413F">
        <w:rPr>
          <w:sz w:val="22"/>
        </w:rPr>
        <w:t xml:space="preserve"> It was found that this </w:t>
      </w:r>
      <w:r w:rsidRPr="00D80AC8">
        <w:rPr>
          <w:sz w:val="22"/>
        </w:rPr>
        <w:t xml:space="preserve">lack of resource allocation to the environmental sector was attributed to three main root causes: </w:t>
      </w:r>
    </w:p>
    <w:p w14:paraId="427D68EE" w14:textId="77777777" w:rsidR="00D80AC8" w:rsidRDefault="00D80AC8" w:rsidP="00D80AC8">
      <w:pPr>
        <w:pStyle w:val="ListParagraph"/>
        <w:numPr>
          <w:ilvl w:val="0"/>
          <w:numId w:val="38"/>
        </w:numPr>
        <w:ind w:left="851" w:hanging="284"/>
        <w:jc w:val="both"/>
        <w:rPr>
          <w:sz w:val="22"/>
        </w:rPr>
      </w:pPr>
      <w:r w:rsidRPr="00D80AC8">
        <w:rPr>
          <w:sz w:val="22"/>
        </w:rPr>
        <w:t>Failure to integrate environmental concerns in sectoral policies and plans</w:t>
      </w:r>
      <w:r>
        <w:rPr>
          <w:sz w:val="22"/>
        </w:rPr>
        <w:t>;</w:t>
      </w:r>
    </w:p>
    <w:p w14:paraId="11CE34CD" w14:textId="77777777" w:rsidR="00D80AC8" w:rsidRDefault="00D80AC8" w:rsidP="00D80AC8">
      <w:pPr>
        <w:pStyle w:val="ListParagraph"/>
        <w:numPr>
          <w:ilvl w:val="0"/>
          <w:numId w:val="38"/>
        </w:numPr>
        <w:ind w:left="851" w:hanging="284"/>
        <w:jc w:val="both"/>
        <w:rPr>
          <w:sz w:val="22"/>
        </w:rPr>
      </w:pPr>
      <w:r w:rsidRPr="00D80AC8">
        <w:rPr>
          <w:sz w:val="22"/>
        </w:rPr>
        <w:t>Failure to allocate resources to environmental protection</w:t>
      </w:r>
      <w:r>
        <w:rPr>
          <w:sz w:val="22"/>
        </w:rPr>
        <w:t xml:space="preserve">; and </w:t>
      </w:r>
    </w:p>
    <w:p w14:paraId="06B68574" w14:textId="289716AE" w:rsidR="00D80AC8" w:rsidRPr="00D80AC8" w:rsidRDefault="00D80AC8" w:rsidP="00D80AC8">
      <w:pPr>
        <w:pStyle w:val="ListParagraph"/>
        <w:numPr>
          <w:ilvl w:val="0"/>
          <w:numId w:val="38"/>
        </w:numPr>
        <w:ind w:left="851" w:hanging="284"/>
        <w:jc w:val="both"/>
        <w:rPr>
          <w:sz w:val="22"/>
        </w:rPr>
      </w:pPr>
      <w:r w:rsidRPr="00D80AC8">
        <w:rPr>
          <w:sz w:val="22"/>
        </w:rPr>
        <w:t>Weak national cooperation and partnerships related to EFR</w:t>
      </w:r>
      <w:r>
        <w:rPr>
          <w:sz w:val="22"/>
        </w:rPr>
        <w:t>.</w:t>
      </w:r>
    </w:p>
    <w:p w14:paraId="232A796D" w14:textId="77777777" w:rsidR="00D80AC8" w:rsidRDefault="00D80AC8" w:rsidP="00D80AC8">
      <w:pPr>
        <w:jc w:val="both"/>
        <w:rPr>
          <w:sz w:val="22"/>
        </w:rPr>
      </w:pPr>
    </w:p>
    <w:p w14:paraId="295DE60C" w14:textId="5C7F1363" w:rsidR="00FB413F" w:rsidRPr="00FB413F" w:rsidRDefault="00FB413F" w:rsidP="00FB413F">
      <w:pPr>
        <w:jc w:val="both"/>
        <w:rPr>
          <w:sz w:val="22"/>
        </w:rPr>
      </w:pPr>
      <w:r w:rsidRPr="00FB413F">
        <w:rPr>
          <w:sz w:val="22"/>
        </w:rPr>
        <w:t xml:space="preserve">One of the top priorities identified through the National Capacity Self-Assessment (NCSA) conducted in Moldova in 2004-2005 was a call to launch an economic fiscal reform programme for </w:t>
      </w:r>
      <w:r>
        <w:rPr>
          <w:sz w:val="22"/>
        </w:rPr>
        <w:t>global environmental management</w:t>
      </w:r>
      <w:r w:rsidRPr="00FB413F">
        <w:rPr>
          <w:sz w:val="22"/>
        </w:rPr>
        <w:t xml:space="preserve"> meeting national and global environmental commitments. </w:t>
      </w:r>
      <w:r w:rsidR="00D15F54">
        <w:rPr>
          <w:sz w:val="22"/>
        </w:rPr>
        <w:t xml:space="preserve">This assessment found four </w:t>
      </w:r>
      <w:r>
        <w:rPr>
          <w:sz w:val="22"/>
        </w:rPr>
        <w:t>main constraints: (i) a tax system whereby t</w:t>
      </w:r>
      <w:r w:rsidRPr="00FB413F">
        <w:rPr>
          <w:sz w:val="22"/>
        </w:rPr>
        <w:t>he payment of charges for environmental pollution was not specified within the Tax Code</w:t>
      </w:r>
      <w:r>
        <w:rPr>
          <w:sz w:val="22"/>
        </w:rPr>
        <w:t>; (ii) an assessment of n</w:t>
      </w:r>
      <w:r w:rsidRPr="00FB413F">
        <w:rPr>
          <w:sz w:val="22"/>
        </w:rPr>
        <w:t>atural resource</w:t>
      </w:r>
      <w:r>
        <w:rPr>
          <w:sz w:val="22"/>
        </w:rPr>
        <w:t xml:space="preserve">s that </w:t>
      </w:r>
      <w:r w:rsidRPr="00FB413F">
        <w:rPr>
          <w:sz w:val="22"/>
        </w:rPr>
        <w:t>was under-developed</w:t>
      </w:r>
      <w:r>
        <w:rPr>
          <w:sz w:val="22"/>
        </w:rPr>
        <w:t xml:space="preserve">, whereby </w:t>
      </w:r>
      <w:r w:rsidRPr="00FB413F">
        <w:rPr>
          <w:sz w:val="22"/>
        </w:rPr>
        <w:t xml:space="preserve">the market price did not reflect the </w:t>
      </w:r>
      <w:r>
        <w:rPr>
          <w:sz w:val="22"/>
        </w:rPr>
        <w:t xml:space="preserve">real economic value of land; (iii) </w:t>
      </w:r>
      <w:r w:rsidR="00D15F54">
        <w:rPr>
          <w:sz w:val="22"/>
        </w:rPr>
        <w:t>a weak e</w:t>
      </w:r>
      <w:r w:rsidRPr="00FB413F">
        <w:rPr>
          <w:sz w:val="22"/>
        </w:rPr>
        <w:t>nvironme</w:t>
      </w:r>
      <w:r w:rsidR="00D15F54">
        <w:rPr>
          <w:sz w:val="22"/>
        </w:rPr>
        <w:t xml:space="preserve">ntal penalties and compensations scheme that prevents to be a </w:t>
      </w:r>
      <w:r w:rsidRPr="00FB413F">
        <w:rPr>
          <w:sz w:val="22"/>
        </w:rPr>
        <w:t>deterrent to reduce pollution, de</w:t>
      </w:r>
      <w:r w:rsidR="00D15F54">
        <w:rPr>
          <w:sz w:val="22"/>
        </w:rPr>
        <w:t>gradation, or over-exploitation; and (iv) an inadequate f</w:t>
      </w:r>
      <w:r w:rsidRPr="00FB413F">
        <w:rPr>
          <w:sz w:val="22"/>
        </w:rPr>
        <w:t>inancing for environment</w:t>
      </w:r>
      <w:r w:rsidR="00D15F54">
        <w:rPr>
          <w:sz w:val="22"/>
        </w:rPr>
        <w:t>al</w:t>
      </w:r>
      <w:r w:rsidRPr="00FB413F">
        <w:rPr>
          <w:sz w:val="22"/>
        </w:rPr>
        <w:t xml:space="preserve"> protection</w:t>
      </w:r>
      <w:r w:rsidR="00D15F54">
        <w:rPr>
          <w:sz w:val="22"/>
        </w:rPr>
        <w:t>.</w:t>
      </w:r>
    </w:p>
    <w:p w14:paraId="79022524" w14:textId="77777777" w:rsidR="00FB413F" w:rsidRDefault="00FB413F" w:rsidP="00D80AC8">
      <w:pPr>
        <w:jc w:val="both"/>
        <w:rPr>
          <w:sz w:val="22"/>
        </w:rPr>
      </w:pPr>
    </w:p>
    <w:p w14:paraId="5C65B076" w14:textId="28F32DCF" w:rsidR="001634FE" w:rsidRPr="001634FE" w:rsidRDefault="00D15F54" w:rsidP="001634FE">
      <w:pPr>
        <w:jc w:val="both"/>
        <w:rPr>
          <w:sz w:val="22"/>
        </w:rPr>
      </w:pPr>
      <w:r>
        <w:rPr>
          <w:sz w:val="22"/>
        </w:rPr>
        <w:t xml:space="preserve">On the basis of this assessment, </w:t>
      </w:r>
      <w:r w:rsidR="003B4244">
        <w:rPr>
          <w:sz w:val="22"/>
        </w:rPr>
        <w:t>3</w:t>
      </w:r>
      <w:r>
        <w:rPr>
          <w:sz w:val="22"/>
        </w:rPr>
        <w:t xml:space="preserve"> main areas were identified for </w:t>
      </w:r>
      <w:r w:rsidR="001634FE" w:rsidRPr="001634FE">
        <w:rPr>
          <w:sz w:val="22"/>
        </w:rPr>
        <w:t>priority capacity development objectives:</w:t>
      </w:r>
    </w:p>
    <w:p w14:paraId="6E50113D" w14:textId="1D291D74" w:rsidR="001634FE" w:rsidRDefault="00531B55" w:rsidP="001634FE">
      <w:pPr>
        <w:pStyle w:val="ListParagraph"/>
        <w:numPr>
          <w:ilvl w:val="0"/>
          <w:numId w:val="38"/>
        </w:numPr>
        <w:ind w:left="851" w:hanging="284"/>
        <w:jc w:val="both"/>
        <w:rPr>
          <w:sz w:val="22"/>
        </w:rPr>
      </w:pPr>
      <w:r w:rsidRPr="00531B55">
        <w:rPr>
          <w:sz w:val="22"/>
        </w:rPr>
        <w:t>Develop e</w:t>
      </w:r>
      <w:r w:rsidR="001634FE" w:rsidRPr="00531B55">
        <w:rPr>
          <w:sz w:val="22"/>
        </w:rPr>
        <w:t>conomic instruments</w:t>
      </w:r>
      <w:r>
        <w:rPr>
          <w:sz w:val="22"/>
        </w:rPr>
        <w:t xml:space="preserve"> to </w:t>
      </w:r>
      <w:r w:rsidR="001634FE" w:rsidRPr="00531B55">
        <w:rPr>
          <w:sz w:val="22"/>
        </w:rPr>
        <w:t xml:space="preserve">generate revenues from activities which </w:t>
      </w:r>
      <w:r>
        <w:rPr>
          <w:sz w:val="22"/>
        </w:rPr>
        <w:t xml:space="preserve">have a negative </w:t>
      </w:r>
      <w:r w:rsidR="001634FE" w:rsidRPr="00531B55">
        <w:rPr>
          <w:sz w:val="22"/>
        </w:rPr>
        <w:t xml:space="preserve">impact </w:t>
      </w:r>
      <w:r>
        <w:rPr>
          <w:sz w:val="22"/>
        </w:rPr>
        <w:t xml:space="preserve">on </w:t>
      </w:r>
      <w:r w:rsidR="001634FE" w:rsidRPr="00531B55">
        <w:rPr>
          <w:sz w:val="22"/>
        </w:rPr>
        <w:t>the environment;</w:t>
      </w:r>
    </w:p>
    <w:p w14:paraId="362731E2" w14:textId="39DD3C54" w:rsidR="000A0F8D" w:rsidRDefault="00531B55" w:rsidP="001634FE">
      <w:pPr>
        <w:pStyle w:val="ListParagraph"/>
        <w:numPr>
          <w:ilvl w:val="0"/>
          <w:numId w:val="38"/>
        </w:numPr>
        <w:ind w:left="851" w:hanging="284"/>
        <w:jc w:val="both"/>
        <w:rPr>
          <w:sz w:val="22"/>
        </w:rPr>
      </w:pPr>
      <w:r w:rsidRPr="00531B55">
        <w:rPr>
          <w:sz w:val="22"/>
        </w:rPr>
        <w:lastRenderedPageBreak/>
        <w:t>Develop f</w:t>
      </w:r>
      <w:r w:rsidR="001634FE" w:rsidRPr="00531B55">
        <w:rPr>
          <w:sz w:val="22"/>
        </w:rPr>
        <w:t>inancial instruments</w:t>
      </w:r>
      <w:r w:rsidRPr="00531B55">
        <w:rPr>
          <w:sz w:val="22"/>
        </w:rPr>
        <w:t xml:space="preserve"> to</w:t>
      </w:r>
      <w:r w:rsidR="001634FE" w:rsidRPr="00531B55">
        <w:rPr>
          <w:sz w:val="22"/>
        </w:rPr>
        <w:t xml:space="preserve"> establish </w:t>
      </w:r>
      <w:r w:rsidRPr="00531B55">
        <w:rPr>
          <w:sz w:val="22"/>
        </w:rPr>
        <w:t xml:space="preserve">new </w:t>
      </w:r>
      <w:r w:rsidR="001634FE" w:rsidRPr="00531B55">
        <w:rPr>
          <w:sz w:val="22"/>
        </w:rPr>
        <w:t xml:space="preserve">sources of environment funding </w:t>
      </w:r>
      <w:r w:rsidR="00C11CAF">
        <w:rPr>
          <w:sz w:val="22"/>
        </w:rPr>
        <w:t>and strengthen</w:t>
      </w:r>
      <w:r w:rsidRPr="00531B55">
        <w:rPr>
          <w:sz w:val="22"/>
        </w:rPr>
        <w:t xml:space="preserve"> the </w:t>
      </w:r>
      <w:r w:rsidR="000A0F8D">
        <w:rPr>
          <w:sz w:val="22"/>
        </w:rPr>
        <w:t>National Environmental Fund (</w:t>
      </w:r>
      <w:r w:rsidRPr="00531B55">
        <w:rPr>
          <w:sz w:val="22"/>
        </w:rPr>
        <w:t>NEF</w:t>
      </w:r>
      <w:r w:rsidR="000A0F8D">
        <w:rPr>
          <w:sz w:val="22"/>
        </w:rPr>
        <w:t>);</w:t>
      </w:r>
    </w:p>
    <w:p w14:paraId="5F0D19F4" w14:textId="7270F392" w:rsidR="001634FE" w:rsidRPr="000A0F8D" w:rsidRDefault="000A0F8D" w:rsidP="001634FE">
      <w:pPr>
        <w:pStyle w:val="ListParagraph"/>
        <w:numPr>
          <w:ilvl w:val="0"/>
          <w:numId w:val="38"/>
        </w:numPr>
        <w:ind w:left="851" w:hanging="284"/>
        <w:jc w:val="both"/>
        <w:rPr>
          <w:sz w:val="22"/>
        </w:rPr>
      </w:pPr>
      <w:r w:rsidRPr="000A0F8D">
        <w:rPr>
          <w:sz w:val="22"/>
        </w:rPr>
        <w:t>S</w:t>
      </w:r>
      <w:r w:rsidR="001634FE" w:rsidRPr="000A0F8D">
        <w:rPr>
          <w:sz w:val="22"/>
        </w:rPr>
        <w:t xml:space="preserve">trengthen the investment climate in order to </w:t>
      </w:r>
      <w:r>
        <w:rPr>
          <w:sz w:val="22"/>
        </w:rPr>
        <w:t xml:space="preserve">identify </w:t>
      </w:r>
      <w:r w:rsidR="001634FE" w:rsidRPr="000A0F8D">
        <w:rPr>
          <w:sz w:val="22"/>
        </w:rPr>
        <w:t>investments for environment protection activities.</w:t>
      </w:r>
    </w:p>
    <w:p w14:paraId="14A9A03A" w14:textId="77777777" w:rsidR="001634FE" w:rsidRPr="001634FE" w:rsidRDefault="001634FE" w:rsidP="001634FE">
      <w:pPr>
        <w:jc w:val="both"/>
        <w:rPr>
          <w:sz w:val="22"/>
        </w:rPr>
      </w:pPr>
    </w:p>
    <w:p w14:paraId="20BAB99D" w14:textId="0B03E9A7" w:rsidR="001634FE" w:rsidRPr="00AA0E73" w:rsidRDefault="00AA0E73" w:rsidP="001634FE">
      <w:pPr>
        <w:jc w:val="both"/>
        <w:rPr>
          <w:sz w:val="22"/>
        </w:rPr>
      </w:pPr>
      <w:r w:rsidRPr="00AA0E73">
        <w:rPr>
          <w:sz w:val="22"/>
        </w:rPr>
        <w:t xml:space="preserve">As a response to these issues, constraints and priorities, this project was developed to create </w:t>
      </w:r>
      <w:r w:rsidR="001634FE" w:rsidRPr="00AA0E73">
        <w:rPr>
          <w:sz w:val="22"/>
        </w:rPr>
        <w:t xml:space="preserve">conditions, financial incentives and disincentives, and decreased opportunity costs to undertake actions that deliver </w:t>
      </w:r>
      <w:r w:rsidRPr="00AA0E73">
        <w:rPr>
          <w:sz w:val="22"/>
        </w:rPr>
        <w:t xml:space="preserve">global environmental outcomes. </w:t>
      </w:r>
      <w:r w:rsidR="001634FE" w:rsidRPr="00AA0E73">
        <w:rPr>
          <w:sz w:val="22"/>
        </w:rPr>
        <w:t>The project was to initiate and pilot EFR instruments targeted to meet Rio Convention objectives and ensure their integration within national plans and policies, especially in national taxation and within the decent</w:t>
      </w:r>
      <w:r w:rsidRPr="00AA0E73">
        <w:rPr>
          <w:sz w:val="22"/>
        </w:rPr>
        <w:t xml:space="preserve">ralization process in Moldova. </w:t>
      </w:r>
      <w:r w:rsidR="001634FE" w:rsidRPr="00AA0E73">
        <w:rPr>
          <w:sz w:val="22"/>
        </w:rPr>
        <w:t xml:space="preserve">The project was to establish a strong basis for the institutionalization of an EFR programme at the national level with the support of concerned governmental institutions such as MOE, the Ministry of Finance, and other line Ministries through the establishment of </w:t>
      </w:r>
      <w:r w:rsidRPr="00AA0E73">
        <w:rPr>
          <w:sz w:val="22"/>
        </w:rPr>
        <w:t>a</w:t>
      </w:r>
      <w:r w:rsidR="001634FE" w:rsidRPr="00AA0E73">
        <w:rPr>
          <w:sz w:val="22"/>
        </w:rPr>
        <w:t xml:space="preserve"> Moldovan EFR Commission that </w:t>
      </w:r>
      <w:r w:rsidRPr="00AA0E73">
        <w:rPr>
          <w:sz w:val="22"/>
        </w:rPr>
        <w:t>would</w:t>
      </w:r>
      <w:r w:rsidR="001634FE" w:rsidRPr="00AA0E73">
        <w:rPr>
          <w:sz w:val="22"/>
        </w:rPr>
        <w:t xml:space="preserve"> initially be established as a project steering committee and eventually evolve to continue as Moldovan EFR Commission.</w:t>
      </w:r>
    </w:p>
    <w:p w14:paraId="2D302FA3" w14:textId="77777777" w:rsidR="001634FE" w:rsidRPr="00D80AC8" w:rsidRDefault="001634FE" w:rsidP="00D80AC8">
      <w:pPr>
        <w:jc w:val="both"/>
        <w:rPr>
          <w:sz w:val="22"/>
        </w:rPr>
      </w:pPr>
    </w:p>
    <w:p w14:paraId="337E368F" w14:textId="77777777" w:rsidR="00CB4D4E" w:rsidRDefault="00CB4D4E" w:rsidP="00313781">
      <w:pPr>
        <w:jc w:val="both"/>
        <w:rPr>
          <w:sz w:val="22"/>
        </w:rPr>
      </w:pPr>
      <w:r w:rsidRPr="00CB4D4E">
        <w:rPr>
          <w:sz w:val="22"/>
        </w:rPr>
        <w:t xml:space="preserve">The Environmental Fiscal Reform (EFR) project </w:t>
      </w:r>
      <w:r>
        <w:rPr>
          <w:sz w:val="22"/>
        </w:rPr>
        <w:t>was</w:t>
      </w:r>
      <w:r w:rsidRPr="00CB4D4E">
        <w:rPr>
          <w:sz w:val="22"/>
        </w:rPr>
        <w:t xml:space="preserve"> a UNDP supported, GEF and the Government of Moldova financed project. It </w:t>
      </w:r>
      <w:r>
        <w:rPr>
          <w:sz w:val="22"/>
        </w:rPr>
        <w:t>was</w:t>
      </w:r>
      <w:r w:rsidRPr="00CB4D4E">
        <w:rPr>
          <w:sz w:val="22"/>
        </w:rPr>
        <w:t xml:space="preserve"> funded by a grant from GEF of USD 510,450, a grant from UNDP of USD 110,000 and an in-kind contribution estimated at USD 500,000 from the Government</w:t>
      </w:r>
      <w:r>
        <w:rPr>
          <w:sz w:val="22"/>
        </w:rPr>
        <w:t xml:space="preserve"> of Moldova</w:t>
      </w:r>
      <w:r w:rsidRPr="00CB4D4E">
        <w:rPr>
          <w:sz w:val="22"/>
        </w:rPr>
        <w:t>, OECD and UNDP. It started in November 2011 and will end at the end of September 2015 after a 9-month time extension. The Ministry of M</w:t>
      </w:r>
      <w:r>
        <w:rPr>
          <w:sz w:val="22"/>
        </w:rPr>
        <w:t>inistry of Environment and OECD were</w:t>
      </w:r>
      <w:r w:rsidRPr="00CB4D4E">
        <w:rPr>
          <w:sz w:val="22"/>
        </w:rPr>
        <w:t xml:space="preserve"> the implementing partners of this project.</w:t>
      </w:r>
    </w:p>
    <w:p w14:paraId="0BFFE172" w14:textId="77777777" w:rsidR="00A6436E" w:rsidRPr="00313781" w:rsidRDefault="00A6436E" w:rsidP="00313781">
      <w:pPr>
        <w:jc w:val="both"/>
        <w:rPr>
          <w:sz w:val="22"/>
          <w:highlight w:val="yellow"/>
        </w:rPr>
      </w:pPr>
    </w:p>
    <w:p w14:paraId="72788F8E" w14:textId="77777777" w:rsidR="00CB4D4E" w:rsidRPr="00CB4D4E" w:rsidRDefault="00CB4D4E" w:rsidP="00CB4D4E">
      <w:pPr>
        <w:jc w:val="both"/>
        <w:rPr>
          <w:sz w:val="22"/>
        </w:rPr>
      </w:pPr>
      <w:r w:rsidRPr="00CB4D4E">
        <w:rPr>
          <w:sz w:val="22"/>
        </w:rPr>
        <w:t xml:space="preserve">The objective of the project </w:t>
      </w:r>
      <w:r w:rsidRPr="00F654DF">
        <w:rPr>
          <w:sz w:val="22"/>
        </w:rPr>
        <w:t>was to build capacities for implementing environmental fiscal reforms (EFR) that would produce increased national and global environmental benefits through the adoption of selected subsidies, fees, fines, taxes and other appropriate fiscal instruments. This</w:t>
      </w:r>
      <w:r w:rsidRPr="00CB4D4E">
        <w:rPr>
          <w:sz w:val="22"/>
        </w:rPr>
        <w:t xml:space="preserve"> objective was to be achieved through three outcomes </w:t>
      </w:r>
      <w:r>
        <w:rPr>
          <w:sz w:val="22"/>
        </w:rPr>
        <w:t xml:space="preserve">(and </w:t>
      </w:r>
      <w:r w:rsidRPr="00CB4D4E">
        <w:rPr>
          <w:sz w:val="22"/>
        </w:rPr>
        <w:t>8 outputs</w:t>
      </w:r>
      <w:r>
        <w:rPr>
          <w:sz w:val="22"/>
        </w:rPr>
        <w:t>)</w:t>
      </w:r>
      <w:r w:rsidRPr="00CB4D4E">
        <w:rPr>
          <w:sz w:val="22"/>
        </w:rPr>
        <w:t>:</w:t>
      </w:r>
    </w:p>
    <w:p w14:paraId="16281CD2" w14:textId="77777777" w:rsidR="00CB4D4E" w:rsidRPr="00CB4D4E" w:rsidRDefault="00CB4D4E" w:rsidP="00DC1947">
      <w:pPr>
        <w:pStyle w:val="ListParagraph"/>
        <w:numPr>
          <w:ilvl w:val="0"/>
          <w:numId w:val="26"/>
        </w:numPr>
        <w:jc w:val="both"/>
        <w:rPr>
          <w:sz w:val="22"/>
          <w:lang w:val="en-CA"/>
        </w:rPr>
      </w:pPr>
      <w:r w:rsidRPr="00CB4D4E">
        <w:rPr>
          <w:sz w:val="22"/>
          <w:lang w:val="en-CA"/>
        </w:rPr>
        <w:t>Reform of environmentally harmful subsidies, green subsidies, as well as environmental charges within the agricultural and energy sectors: a) Introduce policy reform in the area of environmentally harmful subsidies; b) Reform of environmental charges and facilitation of eco-technology investments; and c) Improved regulations and operational management of the National and Local Ecological Funds (NEF/LEFs)</w:t>
      </w:r>
    </w:p>
    <w:p w14:paraId="1BE65CDD" w14:textId="77777777" w:rsidR="00CB4D4E" w:rsidRPr="00CB4D4E" w:rsidRDefault="00CB4D4E" w:rsidP="00DC1947">
      <w:pPr>
        <w:pStyle w:val="ListParagraph"/>
        <w:numPr>
          <w:ilvl w:val="0"/>
          <w:numId w:val="26"/>
        </w:numPr>
        <w:jc w:val="both"/>
        <w:rPr>
          <w:sz w:val="22"/>
          <w:lang w:val="en-CA"/>
        </w:rPr>
      </w:pPr>
      <w:r w:rsidRPr="00CB4D4E">
        <w:rPr>
          <w:sz w:val="22"/>
          <w:lang w:val="en-CA"/>
        </w:rPr>
        <w:t>Capacity development for EFR to build consensus among concerned stakeholders: a) Capacity building for EFR; b) Communication and awareness; and c) A political dialogue is established</w:t>
      </w:r>
    </w:p>
    <w:p w14:paraId="6F854314" w14:textId="77777777" w:rsidR="00CB4D4E" w:rsidRPr="00CB4D4E" w:rsidRDefault="00CB4D4E" w:rsidP="00DC1947">
      <w:pPr>
        <w:pStyle w:val="ListParagraph"/>
        <w:numPr>
          <w:ilvl w:val="0"/>
          <w:numId w:val="26"/>
        </w:numPr>
        <w:jc w:val="both"/>
        <w:rPr>
          <w:sz w:val="22"/>
          <w:lang w:val="en-CA"/>
        </w:rPr>
      </w:pPr>
      <w:r w:rsidRPr="00CB4D4E">
        <w:rPr>
          <w:sz w:val="22"/>
          <w:lang w:val="en-CA"/>
        </w:rPr>
        <w:t>Integration of EFR in local and central planning processes: a) EFR instruments integrated in the decentralization process; and b) EFR instruments integrated into governmental budgeting and MTEF processes.</w:t>
      </w:r>
    </w:p>
    <w:p w14:paraId="666B4A54" w14:textId="77777777" w:rsidR="005174F4" w:rsidRPr="00BE45F5" w:rsidRDefault="005174F4" w:rsidP="005174F4">
      <w:pPr>
        <w:pStyle w:val="ListParagraph"/>
        <w:ind w:left="0"/>
        <w:jc w:val="both"/>
        <w:rPr>
          <w:sz w:val="22"/>
          <w:highlight w:val="yellow"/>
        </w:rPr>
      </w:pPr>
    </w:p>
    <w:p w14:paraId="3D0F604B" w14:textId="77777777" w:rsidR="005174F4" w:rsidRPr="00491B8C" w:rsidRDefault="005174F4" w:rsidP="00575AA2">
      <w:pPr>
        <w:pStyle w:val="ListParagraph"/>
        <w:ind w:left="0"/>
        <w:jc w:val="both"/>
        <w:rPr>
          <w:sz w:val="22"/>
        </w:rPr>
      </w:pPr>
      <w:r w:rsidRPr="008967A5">
        <w:rPr>
          <w:sz w:val="22"/>
        </w:rPr>
        <w:t xml:space="preserve">This </w:t>
      </w:r>
      <w:r w:rsidR="00E063E4" w:rsidRPr="008967A5">
        <w:rPr>
          <w:sz w:val="22"/>
        </w:rPr>
        <w:t>terminal</w:t>
      </w:r>
      <w:r w:rsidR="00491B8C" w:rsidRPr="008967A5">
        <w:rPr>
          <w:sz w:val="22"/>
        </w:rPr>
        <w:t xml:space="preserve"> </w:t>
      </w:r>
      <w:r w:rsidRPr="008967A5">
        <w:rPr>
          <w:sz w:val="22"/>
        </w:rPr>
        <w:t xml:space="preserve">evaluation report documents the achievements of the project and includes </w:t>
      </w:r>
      <w:r w:rsidR="00491B8C" w:rsidRPr="008967A5">
        <w:rPr>
          <w:sz w:val="22"/>
        </w:rPr>
        <w:t>five</w:t>
      </w:r>
      <w:r w:rsidRPr="008967A5">
        <w:rPr>
          <w:sz w:val="22"/>
        </w:rPr>
        <w:t xml:space="preserve"> chapters. </w:t>
      </w:r>
      <w:r w:rsidR="00491B8C" w:rsidRPr="008967A5">
        <w:rPr>
          <w:sz w:val="22"/>
        </w:rPr>
        <w:t>Chapter 1 presents the main conclusion</w:t>
      </w:r>
      <w:r w:rsidR="00FF0915" w:rsidRPr="008967A5">
        <w:rPr>
          <w:sz w:val="22"/>
        </w:rPr>
        <w:t>s</w:t>
      </w:r>
      <w:r w:rsidR="00491B8C" w:rsidRPr="008967A5">
        <w:rPr>
          <w:sz w:val="22"/>
        </w:rPr>
        <w:t xml:space="preserve"> and recommendations; c</w:t>
      </w:r>
      <w:r w:rsidRPr="008967A5">
        <w:rPr>
          <w:sz w:val="22"/>
        </w:rPr>
        <w:t xml:space="preserve">hapter 2 presents an overview of the project; chapter 3 briefly describes the objective, scope, methodology, evaluation users and </w:t>
      </w:r>
      <w:r w:rsidRPr="008967A5">
        <w:rPr>
          <w:sz w:val="22"/>
        </w:rPr>
        <w:lastRenderedPageBreak/>
        <w:t>limitations of the evaluation; chapter 4 presents the findings of the evaluation</w:t>
      </w:r>
      <w:r w:rsidR="00491B8C" w:rsidRPr="008967A5">
        <w:rPr>
          <w:sz w:val="22"/>
        </w:rPr>
        <w:t>. L</w:t>
      </w:r>
      <w:r w:rsidRPr="008967A5">
        <w:rPr>
          <w:sz w:val="22"/>
        </w:rPr>
        <w:t>essons learned</w:t>
      </w:r>
      <w:r w:rsidR="00491B8C" w:rsidRPr="008967A5">
        <w:rPr>
          <w:sz w:val="22"/>
        </w:rPr>
        <w:t xml:space="preserve"> </w:t>
      </w:r>
      <w:r w:rsidRPr="008967A5">
        <w:rPr>
          <w:sz w:val="22"/>
        </w:rPr>
        <w:t>are presented in Chapters 5 and relevant annexes are found at the back end of the report.</w:t>
      </w:r>
    </w:p>
    <w:p w14:paraId="11EDE6AE" w14:textId="77777777" w:rsidR="007B4A3D" w:rsidRPr="00FB6D4E" w:rsidRDefault="007B4A3D" w:rsidP="003F23AA">
      <w:pPr>
        <w:pStyle w:val="ListParagraph"/>
        <w:ind w:left="0"/>
        <w:jc w:val="both"/>
        <w:rPr>
          <w:sz w:val="22"/>
          <w:szCs w:val="22"/>
        </w:rPr>
      </w:pPr>
    </w:p>
    <w:p w14:paraId="6EB754FC" w14:textId="77777777" w:rsidR="003F23AA" w:rsidRDefault="003F23AA" w:rsidP="005174F4">
      <w:pPr>
        <w:pStyle w:val="Heading2"/>
        <w:numPr>
          <w:ilvl w:val="1"/>
          <w:numId w:val="1"/>
        </w:numPr>
        <w:tabs>
          <w:tab w:val="clear" w:pos="792"/>
          <w:tab w:val="num" w:pos="709"/>
        </w:tabs>
        <w:spacing w:before="0" w:after="0"/>
        <w:ind w:left="720" w:hanging="720"/>
        <w:rPr>
          <w:i w:val="0"/>
          <w:sz w:val="22"/>
          <w:szCs w:val="22"/>
        </w:rPr>
      </w:pPr>
      <w:bookmarkStart w:id="9" w:name="_Toc224175221"/>
      <w:bookmarkStart w:id="10" w:name="_Toc308103232"/>
      <w:r w:rsidRPr="00FB6D4E">
        <w:rPr>
          <w:i w:val="0"/>
          <w:sz w:val="22"/>
          <w:szCs w:val="22"/>
        </w:rPr>
        <w:t>Conclusions</w:t>
      </w:r>
      <w:bookmarkEnd w:id="9"/>
      <w:bookmarkEnd w:id="10"/>
    </w:p>
    <w:p w14:paraId="0A443518" w14:textId="77777777" w:rsidR="00F624E2" w:rsidRPr="00F624E2" w:rsidRDefault="00F624E2" w:rsidP="00F624E2"/>
    <w:p w14:paraId="75B5A2C5" w14:textId="77777777" w:rsidR="003F23AA" w:rsidRPr="00FB6D4E" w:rsidRDefault="00F624E2" w:rsidP="002F2A20">
      <w:pPr>
        <w:spacing w:after="120"/>
        <w:rPr>
          <w:b/>
          <w:i/>
          <w:sz w:val="22"/>
          <w:szCs w:val="22"/>
        </w:rPr>
      </w:pPr>
      <w:r w:rsidRPr="00F624E2">
        <w:rPr>
          <w:b/>
          <w:i/>
          <w:sz w:val="22"/>
          <w:szCs w:val="22"/>
        </w:rPr>
        <w:t>Project Design / Formulation</w:t>
      </w:r>
    </w:p>
    <w:p w14:paraId="54326397" w14:textId="586A12E5" w:rsidR="003D051B" w:rsidRPr="00C87EEB" w:rsidRDefault="004E655E" w:rsidP="002F2A20">
      <w:pPr>
        <w:pStyle w:val="ListParagraph"/>
        <w:shd w:val="clear" w:color="auto" w:fill="E0E0E0"/>
        <w:ind w:left="0"/>
        <w:contextualSpacing w:val="0"/>
        <w:rPr>
          <w:b/>
          <w:sz w:val="22"/>
        </w:rPr>
      </w:pPr>
      <w:r>
        <w:rPr>
          <w:b/>
          <w:sz w:val="22"/>
          <w:szCs w:val="22"/>
        </w:rPr>
        <w:t>a)</w:t>
      </w:r>
      <w:r w:rsidR="008802CA" w:rsidRPr="00F52E04">
        <w:rPr>
          <w:b/>
          <w:sz w:val="22"/>
          <w:szCs w:val="22"/>
        </w:rPr>
        <w:t xml:space="preserve"> </w:t>
      </w:r>
      <w:r w:rsidR="00544B59" w:rsidRPr="00F52E04">
        <w:rPr>
          <w:b/>
          <w:sz w:val="22"/>
          <w:szCs w:val="22"/>
        </w:rPr>
        <w:t xml:space="preserve">The project </w:t>
      </w:r>
      <w:r w:rsidR="00A80E8E" w:rsidRPr="00F52E04">
        <w:rPr>
          <w:b/>
          <w:sz w:val="22"/>
          <w:szCs w:val="22"/>
        </w:rPr>
        <w:t>was</w:t>
      </w:r>
      <w:r w:rsidR="00E934FA">
        <w:rPr>
          <w:b/>
          <w:sz w:val="22"/>
          <w:szCs w:val="22"/>
        </w:rPr>
        <w:t xml:space="preserve"> highly relevant for Moldova to support the development of a national EFR agenda.</w:t>
      </w:r>
    </w:p>
    <w:p w14:paraId="5404BE5E" w14:textId="77777777" w:rsidR="00E934FA" w:rsidRDefault="00E934FA" w:rsidP="00C575B0">
      <w:pPr>
        <w:jc w:val="both"/>
        <w:rPr>
          <w:sz w:val="22"/>
          <w:szCs w:val="22"/>
        </w:rPr>
      </w:pPr>
    </w:p>
    <w:p w14:paraId="10D45AED" w14:textId="3BD15BFA" w:rsidR="00E934FA" w:rsidRPr="00E934FA" w:rsidRDefault="00E934FA" w:rsidP="00E934FA">
      <w:pPr>
        <w:jc w:val="both"/>
        <w:rPr>
          <w:sz w:val="22"/>
          <w:szCs w:val="22"/>
        </w:rPr>
      </w:pPr>
      <w:r w:rsidRPr="00E934FA">
        <w:rPr>
          <w:sz w:val="22"/>
          <w:szCs w:val="22"/>
        </w:rPr>
        <w:t>Its timing was good; it provided the Government of Moldova with additional res</w:t>
      </w:r>
      <w:r>
        <w:rPr>
          <w:sz w:val="22"/>
          <w:szCs w:val="22"/>
        </w:rPr>
        <w:t>ources to develop an EFR agenda at a time when it was needed. The</w:t>
      </w:r>
      <w:r w:rsidRPr="00E934FA">
        <w:rPr>
          <w:sz w:val="22"/>
          <w:szCs w:val="22"/>
        </w:rPr>
        <w:t xml:space="preserve"> project </w:t>
      </w:r>
      <w:r>
        <w:rPr>
          <w:sz w:val="22"/>
          <w:szCs w:val="22"/>
        </w:rPr>
        <w:t xml:space="preserve">was a direct </w:t>
      </w:r>
      <w:r w:rsidRPr="00E934FA">
        <w:rPr>
          <w:sz w:val="22"/>
          <w:szCs w:val="22"/>
        </w:rPr>
        <w:t>response to a national priority that was identified during the National Capacity Self-Assessment (NCSA) con</w:t>
      </w:r>
      <w:r>
        <w:rPr>
          <w:sz w:val="22"/>
          <w:szCs w:val="22"/>
        </w:rPr>
        <w:t xml:space="preserve">ducted in 2004-2005 in Moldova, which was calling for the </w:t>
      </w:r>
      <w:r w:rsidRPr="00E934FA">
        <w:rPr>
          <w:sz w:val="22"/>
          <w:szCs w:val="22"/>
        </w:rPr>
        <w:t xml:space="preserve">launch </w:t>
      </w:r>
      <w:r>
        <w:rPr>
          <w:sz w:val="22"/>
          <w:szCs w:val="22"/>
        </w:rPr>
        <w:t xml:space="preserve">of </w:t>
      </w:r>
      <w:r w:rsidRPr="00E934FA">
        <w:rPr>
          <w:sz w:val="22"/>
          <w:szCs w:val="22"/>
        </w:rPr>
        <w:t>an economic fiscal reform programme for global environmental management meeting national and global environmental commitments.</w:t>
      </w:r>
      <w:r>
        <w:rPr>
          <w:sz w:val="22"/>
          <w:szCs w:val="22"/>
        </w:rPr>
        <w:t xml:space="preserve"> T</w:t>
      </w:r>
      <w:r w:rsidRPr="00E934FA">
        <w:rPr>
          <w:sz w:val="22"/>
          <w:szCs w:val="22"/>
        </w:rPr>
        <w:t xml:space="preserve">hree main priority capacity development needs were identified: (a) implement economic instruments to generate additional revenues for the environmental sector; (b) implement financial instruments to establish additional sources of funding for the environmental sector; and (c) improve the investment climate to increase investments for protecting the environment. As a result, this project was conceptualized </w:t>
      </w:r>
      <w:r>
        <w:rPr>
          <w:sz w:val="22"/>
          <w:szCs w:val="22"/>
        </w:rPr>
        <w:t xml:space="preserve">to create </w:t>
      </w:r>
      <w:r w:rsidRPr="00E934FA">
        <w:rPr>
          <w:sz w:val="22"/>
          <w:szCs w:val="22"/>
        </w:rPr>
        <w:t xml:space="preserve">conditions, financial incentives and disincentives, and decreased opportunity costs to undertake actions to meet Rio Convention objectives and ensure their integration within national plans and policies, especially in national taxation and within the decentralization process in Moldova.  </w:t>
      </w:r>
    </w:p>
    <w:p w14:paraId="1F4EB3CD" w14:textId="77777777" w:rsidR="00E934FA" w:rsidRDefault="00E934FA" w:rsidP="00E934FA">
      <w:pPr>
        <w:jc w:val="both"/>
        <w:rPr>
          <w:sz w:val="22"/>
          <w:szCs w:val="22"/>
        </w:rPr>
      </w:pPr>
    </w:p>
    <w:p w14:paraId="517F8D16" w14:textId="7DBA57E8" w:rsidR="00E934FA" w:rsidRDefault="00F70AAE" w:rsidP="00C575B0">
      <w:pPr>
        <w:jc w:val="both"/>
        <w:rPr>
          <w:sz w:val="22"/>
          <w:szCs w:val="22"/>
        </w:rPr>
      </w:pPr>
      <w:r>
        <w:rPr>
          <w:sz w:val="22"/>
          <w:szCs w:val="22"/>
        </w:rPr>
        <w:t xml:space="preserve">The project has also been part of the green growth and sustainable development roadmap of Moldova and was </w:t>
      </w:r>
      <w:r w:rsidR="00E934FA">
        <w:rPr>
          <w:sz w:val="22"/>
          <w:szCs w:val="22"/>
        </w:rPr>
        <w:t>implemented within the context of the</w:t>
      </w:r>
      <w:r w:rsidR="00E934FA" w:rsidRPr="00E934FA">
        <w:rPr>
          <w:sz w:val="22"/>
          <w:szCs w:val="22"/>
        </w:rPr>
        <w:t xml:space="preserve"> Association Agreement (AA) with the EU</w:t>
      </w:r>
      <w:r w:rsidR="00E934FA">
        <w:rPr>
          <w:sz w:val="22"/>
          <w:szCs w:val="22"/>
        </w:rPr>
        <w:t xml:space="preserve"> that was signed in Ju</w:t>
      </w:r>
      <w:r w:rsidR="00E934FA" w:rsidRPr="00E934FA">
        <w:rPr>
          <w:sz w:val="22"/>
          <w:szCs w:val="22"/>
        </w:rPr>
        <w:t xml:space="preserve">ne 2014, </w:t>
      </w:r>
      <w:r w:rsidR="00E934FA">
        <w:rPr>
          <w:sz w:val="22"/>
          <w:szCs w:val="22"/>
        </w:rPr>
        <w:t>to promote</w:t>
      </w:r>
      <w:r w:rsidR="00E934FA" w:rsidRPr="00E934FA">
        <w:rPr>
          <w:sz w:val="22"/>
          <w:szCs w:val="22"/>
        </w:rPr>
        <w:t xml:space="preserve"> economic integration and political association. </w:t>
      </w:r>
      <w:r w:rsidR="00C16209">
        <w:rPr>
          <w:sz w:val="22"/>
          <w:szCs w:val="22"/>
        </w:rPr>
        <w:t>Under this agreement, Moldova must</w:t>
      </w:r>
      <w:r w:rsidR="00E934FA" w:rsidRPr="00E934FA">
        <w:rPr>
          <w:sz w:val="22"/>
          <w:szCs w:val="22"/>
        </w:rPr>
        <w:t xml:space="preserve"> harmonize/approximate its environmental legislation with the EU Directives (Acts) and international agreements (AA: Article 91 and Article 97) but also other Articles such as </w:t>
      </w:r>
      <w:r w:rsidR="00C16209">
        <w:rPr>
          <w:sz w:val="22"/>
          <w:szCs w:val="22"/>
        </w:rPr>
        <w:t xml:space="preserve">Article 195 on Fees and Charges that </w:t>
      </w:r>
      <w:r w:rsidR="00E934FA" w:rsidRPr="00E934FA">
        <w:rPr>
          <w:sz w:val="22"/>
          <w:szCs w:val="22"/>
        </w:rPr>
        <w:t>needs to be taken into account when reforming the NEF, Annex XI to Chapter 16 (Environment) and Annex XII to Chapter 17 (Climate Action) stipulating a full range of conditions to be met in the environmental area.</w:t>
      </w:r>
      <w:r w:rsidR="00C16209">
        <w:rPr>
          <w:sz w:val="22"/>
          <w:szCs w:val="22"/>
        </w:rPr>
        <w:t xml:space="preserve"> The project has been very relevant to support the government in implementing its Action Plan 2014-2018 that is part of this AA in areas such as environmental </w:t>
      </w:r>
      <w:r w:rsidR="00C16209" w:rsidRPr="00E934FA">
        <w:rPr>
          <w:sz w:val="22"/>
          <w:szCs w:val="22"/>
        </w:rPr>
        <w:t>legislation related to environmental taxa</w:t>
      </w:r>
      <w:r w:rsidR="00C16209">
        <w:rPr>
          <w:sz w:val="22"/>
          <w:szCs w:val="22"/>
        </w:rPr>
        <w:t>tion and regulations.</w:t>
      </w:r>
    </w:p>
    <w:p w14:paraId="671E07B6" w14:textId="77777777" w:rsidR="00992CEF" w:rsidRPr="00FB6D4E" w:rsidRDefault="00992CEF" w:rsidP="003F23AA">
      <w:pPr>
        <w:jc w:val="both"/>
        <w:rPr>
          <w:sz w:val="22"/>
          <w:szCs w:val="22"/>
        </w:rPr>
      </w:pPr>
    </w:p>
    <w:p w14:paraId="061AD093" w14:textId="7A47EF05" w:rsidR="00C87EEB" w:rsidRPr="00C87EEB" w:rsidRDefault="002F2A20" w:rsidP="002F2A20">
      <w:pPr>
        <w:pStyle w:val="ListParagraph"/>
        <w:shd w:val="clear" w:color="auto" w:fill="E0E0E0"/>
        <w:ind w:left="0"/>
        <w:jc w:val="both"/>
        <w:rPr>
          <w:b/>
          <w:sz w:val="22"/>
          <w:szCs w:val="22"/>
        </w:rPr>
      </w:pPr>
      <w:r>
        <w:rPr>
          <w:b/>
          <w:sz w:val="22"/>
          <w:szCs w:val="22"/>
        </w:rPr>
        <w:t>b)</w:t>
      </w:r>
      <w:r w:rsidR="003F23AA" w:rsidRPr="00FB6D4E">
        <w:rPr>
          <w:b/>
          <w:sz w:val="22"/>
          <w:szCs w:val="22"/>
        </w:rPr>
        <w:t xml:space="preserve"> </w:t>
      </w:r>
      <w:r w:rsidR="00544B59">
        <w:rPr>
          <w:b/>
          <w:sz w:val="22"/>
          <w:szCs w:val="22"/>
        </w:rPr>
        <w:t>The project</w:t>
      </w:r>
      <w:r w:rsidR="00CB4D4E">
        <w:rPr>
          <w:b/>
          <w:sz w:val="22"/>
          <w:szCs w:val="22"/>
        </w:rPr>
        <w:t xml:space="preserve"> had</w:t>
      </w:r>
      <w:r w:rsidR="00B1055F">
        <w:rPr>
          <w:b/>
          <w:sz w:val="22"/>
          <w:szCs w:val="22"/>
        </w:rPr>
        <w:t xml:space="preserve"> </w:t>
      </w:r>
      <w:r w:rsidR="00B1055F" w:rsidRPr="00B1055F">
        <w:rPr>
          <w:b/>
          <w:sz w:val="22"/>
          <w:szCs w:val="22"/>
        </w:rPr>
        <w:t xml:space="preserve">a good and logical strategy (Strategic Results Framework) </w:t>
      </w:r>
      <w:r w:rsidR="00B1055F">
        <w:rPr>
          <w:b/>
          <w:sz w:val="22"/>
          <w:szCs w:val="22"/>
        </w:rPr>
        <w:t>but</w:t>
      </w:r>
      <w:r w:rsidR="00FB18C5">
        <w:rPr>
          <w:b/>
          <w:sz w:val="22"/>
          <w:szCs w:val="22"/>
        </w:rPr>
        <w:t xml:space="preserve"> necessitated a strong political commitment to be fully successful.</w:t>
      </w:r>
    </w:p>
    <w:p w14:paraId="4DC049C1" w14:textId="77777777" w:rsidR="000B6BBC" w:rsidRDefault="000B6BBC" w:rsidP="003F23AA">
      <w:pPr>
        <w:pStyle w:val="ListParagraph"/>
        <w:ind w:left="0"/>
        <w:jc w:val="both"/>
        <w:rPr>
          <w:sz w:val="22"/>
          <w:szCs w:val="22"/>
        </w:rPr>
      </w:pPr>
    </w:p>
    <w:p w14:paraId="24FA0900" w14:textId="143DA0BD" w:rsidR="00FB18C5" w:rsidRDefault="00FB18C5" w:rsidP="003F23AA">
      <w:pPr>
        <w:pStyle w:val="ListParagraph"/>
        <w:ind w:left="0"/>
        <w:jc w:val="both"/>
        <w:rPr>
          <w:sz w:val="22"/>
          <w:szCs w:val="22"/>
        </w:rPr>
      </w:pPr>
      <w:r>
        <w:rPr>
          <w:sz w:val="22"/>
          <w:szCs w:val="22"/>
        </w:rPr>
        <w:t xml:space="preserve">The project </w:t>
      </w:r>
      <w:r w:rsidRPr="00FB18C5">
        <w:rPr>
          <w:sz w:val="22"/>
          <w:szCs w:val="22"/>
        </w:rPr>
        <w:t>was a coherent model that was developed to “</w:t>
      </w:r>
      <w:r w:rsidRPr="003A6E4D">
        <w:rPr>
          <w:i/>
          <w:sz w:val="22"/>
          <w:szCs w:val="22"/>
        </w:rPr>
        <w:t>build capacities for implementing environmental fiscal reforms (EFR) that will produce increased national and global environmental benefits through the adoption of selected subsidies, fees, fines, taxes and other appropriate fiscal instruments</w:t>
      </w:r>
      <w:r w:rsidR="003A6E4D">
        <w:rPr>
          <w:sz w:val="22"/>
          <w:szCs w:val="22"/>
        </w:rPr>
        <w:t>”. It included</w:t>
      </w:r>
      <w:r>
        <w:rPr>
          <w:sz w:val="22"/>
          <w:szCs w:val="22"/>
        </w:rPr>
        <w:t xml:space="preserve"> a good </w:t>
      </w:r>
      <w:r w:rsidRPr="00102090">
        <w:rPr>
          <w:sz w:val="22"/>
          <w:szCs w:val="22"/>
        </w:rPr>
        <w:t>set of expected results</w:t>
      </w:r>
      <w:r>
        <w:rPr>
          <w:sz w:val="22"/>
          <w:szCs w:val="22"/>
        </w:rPr>
        <w:t xml:space="preserve"> with a</w:t>
      </w:r>
      <w:r w:rsidRPr="00102090">
        <w:rPr>
          <w:sz w:val="22"/>
          <w:szCs w:val="22"/>
        </w:rPr>
        <w:t xml:space="preserve"> logical “</w:t>
      </w:r>
      <w:r w:rsidRPr="00102090">
        <w:rPr>
          <w:i/>
          <w:sz w:val="22"/>
          <w:szCs w:val="22"/>
        </w:rPr>
        <w:t>chain of results</w:t>
      </w:r>
      <w:r w:rsidRPr="00102090">
        <w:rPr>
          <w:sz w:val="22"/>
          <w:szCs w:val="22"/>
        </w:rPr>
        <w:t xml:space="preserve">” – </w:t>
      </w:r>
      <w:r>
        <w:rPr>
          <w:sz w:val="22"/>
          <w:szCs w:val="22"/>
        </w:rPr>
        <w:t>8 Outputs</w:t>
      </w:r>
      <w:r w:rsidRPr="00102090">
        <w:rPr>
          <w:sz w:val="22"/>
          <w:szCs w:val="22"/>
        </w:rPr>
        <w:t xml:space="preserve"> </w:t>
      </w:r>
      <w:r w:rsidRPr="00102090">
        <w:rPr>
          <w:rFonts w:ascii="Wingdings" w:hAnsi="Wingdings"/>
          <w:sz w:val="20"/>
          <w:szCs w:val="20"/>
        </w:rPr>
        <w:t></w:t>
      </w:r>
      <w:r>
        <w:rPr>
          <w:rFonts w:ascii="Wingdings" w:hAnsi="Wingdings"/>
          <w:sz w:val="20"/>
          <w:szCs w:val="20"/>
        </w:rPr>
        <w:t></w:t>
      </w:r>
      <w:r>
        <w:rPr>
          <w:sz w:val="22"/>
          <w:szCs w:val="22"/>
        </w:rPr>
        <w:t>3 O</w:t>
      </w:r>
      <w:r w:rsidRPr="00102090">
        <w:rPr>
          <w:sz w:val="22"/>
          <w:szCs w:val="22"/>
        </w:rPr>
        <w:t xml:space="preserve">utcomes </w:t>
      </w:r>
      <w:r w:rsidRPr="00102090">
        <w:rPr>
          <w:rFonts w:ascii="Wingdings" w:hAnsi="Wingdings"/>
          <w:noProof/>
          <w:sz w:val="20"/>
          <w:szCs w:val="20"/>
        </w:rPr>
        <w:t></w:t>
      </w:r>
      <w:r w:rsidRPr="00102090">
        <w:rPr>
          <w:rFonts w:ascii="Wingdings" w:hAnsi="Wingdings"/>
          <w:noProof/>
          <w:sz w:val="20"/>
          <w:szCs w:val="20"/>
        </w:rPr>
        <w:t></w:t>
      </w:r>
      <w:r>
        <w:rPr>
          <w:sz w:val="22"/>
          <w:szCs w:val="22"/>
        </w:rPr>
        <w:t>Objective.</w:t>
      </w:r>
    </w:p>
    <w:p w14:paraId="27380404" w14:textId="77777777" w:rsidR="00FB18C5" w:rsidRDefault="00FB18C5" w:rsidP="003F23AA">
      <w:pPr>
        <w:pStyle w:val="ListParagraph"/>
        <w:ind w:left="0"/>
        <w:jc w:val="both"/>
        <w:rPr>
          <w:sz w:val="22"/>
          <w:szCs w:val="22"/>
        </w:rPr>
      </w:pPr>
    </w:p>
    <w:p w14:paraId="511E1104" w14:textId="41D0028B" w:rsidR="00B1055F" w:rsidRDefault="00B1055F" w:rsidP="003F23AA">
      <w:pPr>
        <w:pStyle w:val="ListParagraph"/>
        <w:ind w:left="0"/>
        <w:jc w:val="both"/>
        <w:rPr>
          <w:sz w:val="22"/>
          <w:szCs w:val="22"/>
        </w:rPr>
      </w:pPr>
      <w:r w:rsidRPr="00B1055F">
        <w:rPr>
          <w:sz w:val="22"/>
          <w:szCs w:val="22"/>
        </w:rPr>
        <w:t>However, the nature of this project is such that from the outset it implied a strong political commitment from the government for the project to be fully successful and produce changes in the EFR area. Reforming environmental harmful subsidies, introducing green subsidies, strengthen</w:t>
      </w:r>
      <w:r w:rsidR="00C11CAF">
        <w:rPr>
          <w:sz w:val="22"/>
          <w:szCs w:val="22"/>
        </w:rPr>
        <w:t xml:space="preserve">ing </w:t>
      </w:r>
      <w:r w:rsidRPr="00B1055F">
        <w:rPr>
          <w:sz w:val="22"/>
          <w:szCs w:val="22"/>
        </w:rPr>
        <w:t>environmental charges and reforming an environmental fund are part of a complicated national fiscal reform agenda that may impact the economy and the social stability of Moldova. Therefore, as much as this coherent project was a direct response to national priorities, from a political point of view it was an ambitious project to kick-start the environmental f</w:t>
      </w:r>
      <w:r w:rsidR="003A6E4D">
        <w:rPr>
          <w:sz w:val="22"/>
          <w:szCs w:val="22"/>
        </w:rPr>
        <w:t xml:space="preserve">iscal reform process in Moldova and its progress was hampered by </w:t>
      </w:r>
      <w:r w:rsidR="003A6E4D" w:rsidRPr="00216676">
        <w:rPr>
          <w:sz w:val="22"/>
        </w:rPr>
        <w:t>the political uncertainty of the last 18 months: three governments, four different Ministers of Environment, 5 Deputy Ministers and two State Secretaries</w:t>
      </w:r>
      <w:r w:rsidR="003A6E4D">
        <w:rPr>
          <w:sz w:val="22"/>
        </w:rPr>
        <w:t>.</w:t>
      </w:r>
    </w:p>
    <w:p w14:paraId="1D0B9003" w14:textId="77777777" w:rsidR="000A69A9" w:rsidRDefault="000A69A9" w:rsidP="003F23AA">
      <w:pPr>
        <w:pStyle w:val="ListParagraph"/>
        <w:ind w:left="0"/>
        <w:jc w:val="both"/>
        <w:rPr>
          <w:sz w:val="22"/>
          <w:szCs w:val="22"/>
        </w:rPr>
      </w:pPr>
    </w:p>
    <w:p w14:paraId="64DA4D59" w14:textId="5FA08F97" w:rsidR="00DE2CE2" w:rsidRPr="000A69A9" w:rsidRDefault="000A69A9" w:rsidP="000A69A9">
      <w:pPr>
        <w:spacing w:after="120"/>
        <w:rPr>
          <w:b/>
          <w:i/>
          <w:sz w:val="22"/>
          <w:szCs w:val="22"/>
        </w:rPr>
      </w:pPr>
      <w:r w:rsidRPr="00F624E2">
        <w:rPr>
          <w:b/>
          <w:i/>
          <w:sz w:val="22"/>
          <w:szCs w:val="22"/>
        </w:rPr>
        <w:t xml:space="preserve">Project </w:t>
      </w:r>
      <w:r>
        <w:rPr>
          <w:b/>
          <w:i/>
          <w:sz w:val="22"/>
          <w:szCs w:val="22"/>
        </w:rPr>
        <w:t>Implementation</w:t>
      </w:r>
    </w:p>
    <w:p w14:paraId="25D6402D" w14:textId="137D0FBC" w:rsidR="00DE2CE2" w:rsidRPr="00FB615C" w:rsidRDefault="00F70AAE" w:rsidP="00DE2CE2">
      <w:pPr>
        <w:pStyle w:val="ListParagraph"/>
        <w:shd w:val="clear" w:color="auto" w:fill="E0E0E0"/>
        <w:ind w:left="0"/>
        <w:rPr>
          <w:b/>
          <w:sz w:val="22"/>
          <w:szCs w:val="22"/>
        </w:rPr>
      </w:pPr>
      <w:r>
        <w:rPr>
          <w:b/>
          <w:sz w:val="22"/>
          <w:szCs w:val="22"/>
        </w:rPr>
        <w:t xml:space="preserve">c) Key stakeholders have been engaged from the outset of the project, providing a good country ownership and efficient management arrangements. </w:t>
      </w:r>
    </w:p>
    <w:p w14:paraId="2768C6F4" w14:textId="77777777" w:rsidR="00FB2D9A" w:rsidRDefault="00FB2D9A" w:rsidP="003F23AA">
      <w:pPr>
        <w:pStyle w:val="ListParagraph"/>
        <w:ind w:left="0"/>
        <w:jc w:val="both"/>
        <w:rPr>
          <w:sz w:val="22"/>
          <w:szCs w:val="22"/>
        </w:rPr>
      </w:pPr>
    </w:p>
    <w:p w14:paraId="3C9CFA5B" w14:textId="19D82D4B" w:rsidR="000A69A9" w:rsidRDefault="00F70AAE" w:rsidP="000A69A9">
      <w:pPr>
        <w:jc w:val="both"/>
        <w:rPr>
          <w:sz w:val="22"/>
          <w:szCs w:val="22"/>
        </w:rPr>
      </w:pPr>
      <w:r>
        <w:rPr>
          <w:sz w:val="22"/>
          <w:szCs w:val="22"/>
        </w:rPr>
        <w:t xml:space="preserve">Project stakeholders, including their roles and responsibilities, </w:t>
      </w:r>
      <w:r w:rsidRPr="00F70AAE">
        <w:rPr>
          <w:sz w:val="22"/>
          <w:szCs w:val="22"/>
        </w:rPr>
        <w:t xml:space="preserve">were clearly identified during the formulation phase </w:t>
      </w:r>
      <w:r>
        <w:rPr>
          <w:sz w:val="22"/>
          <w:szCs w:val="22"/>
        </w:rPr>
        <w:t>of the project under the leadership of MOE</w:t>
      </w:r>
      <w:r w:rsidR="000A69A9">
        <w:rPr>
          <w:sz w:val="22"/>
          <w:szCs w:val="22"/>
        </w:rPr>
        <w:t xml:space="preserve"> and stayed engaged throughout the implementation. It </w:t>
      </w:r>
      <w:r w:rsidR="00B649D8">
        <w:rPr>
          <w:sz w:val="22"/>
          <w:szCs w:val="22"/>
        </w:rPr>
        <w:t xml:space="preserve">also </w:t>
      </w:r>
      <w:r w:rsidR="000A69A9">
        <w:rPr>
          <w:sz w:val="22"/>
          <w:szCs w:val="22"/>
        </w:rPr>
        <w:t xml:space="preserve">provided a good participation of stakeholders to capacity development activities supported by the project and adequate </w:t>
      </w:r>
      <w:r w:rsidR="000A69A9" w:rsidRPr="000A69A9">
        <w:rPr>
          <w:sz w:val="22"/>
          <w:szCs w:val="22"/>
        </w:rPr>
        <w:t xml:space="preserve">management arrangements </w:t>
      </w:r>
      <w:r w:rsidR="000A69A9">
        <w:rPr>
          <w:sz w:val="22"/>
          <w:szCs w:val="22"/>
        </w:rPr>
        <w:t xml:space="preserve">for an </w:t>
      </w:r>
      <w:r w:rsidR="000A69A9" w:rsidRPr="000A69A9">
        <w:rPr>
          <w:sz w:val="22"/>
          <w:szCs w:val="22"/>
        </w:rPr>
        <w:t xml:space="preserve">effective implementation of the project. </w:t>
      </w:r>
    </w:p>
    <w:p w14:paraId="62791133" w14:textId="77777777" w:rsidR="000A69A9" w:rsidRDefault="000A69A9" w:rsidP="000A69A9">
      <w:pPr>
        <w:jc w:val="both"/>
        <w:rPr>
          <w:sz w:val="22"/>
          <w:szCs w:val="22"/>
        </w:rPr>
      </w:pPr>
    </w:p>
    <w:p w14:paraId="7D335E91" w14:textId="77777777" w:rsidR="00CC540A" w:rsidRDefault="000A69A9" w:rsidP="00CC540A">
      <w:pPr>
        <w:jc w:val="both"/>
        <w:rPr>
          <w:sz w:val="22"/>
          <w:szCs w:val="22"/>
        </w:rPr>
      </w:pPr>
      <w:r>
        <w:rPr>
          <w:sz w:val="22"/>
          <w:szCs w:val="22"/>
        </w:rPr>
        <w:t xml:space="preserve">The project benefited from a </w:t>
      </w:r>
      <w:r w:rsidRPr="000A69A9">
        <w:rPr>
          <w:sz w:val="22"/>
          <w:szCs w:val="22"/>
        </w:rPr>
        <w:t xml:space="preserve">valuable </w:t>
      </w:r>
      <w:r>
        <w:rPr>
          <w:sz w:val="22"/>
          <w:szCs w:val="22"/>
        </w:rPr>
        <w:t xml:space="preserve">partnership </w:t>
      </w:r>
      <w:r w:rsidRPr="000A69A9">
        <w:rPr>
          <w:sz w:val="22"/>
          <w:szCs w:val="22"/>
        </w:rPr>
        <w:t>between the project Team, MOE, MOF and MOEco</w:t>
      </w:r>
      <w:r>
        <w:rPr>
          <w:sz w:val="22"/>
          <w:szCs w:val="22"/>
        </w:rPr>
        <w:t xml:space="preserve">; leading project activities in their respective areas. </w:t>
      </w:r>
      <w:r w:rsidRPr="000A69A9">
        <w:rPr>
          <w:sz w:val="22"/>
          <w:szCs w:val="22"/>
        </w:rPr>
        <w:t xml:space="preserve">They participated </w:t>
      </w:r>
      <w:r>
        <w:rPr>
          <w:sz w:val="22"/>
          <w:szCs w:val="22"/>
        </w:rPr>
        <w:t xml:space="preserve">actively </w:t>
      </w:r>
      <w:r w:rsidRPr="000A69A9">
        <w:rPr>
          <w:sz w:val="22"/>
          <w:szCs w:val="22"/>
        </w:rPr>
        <w:t xml:space="preserve">to the Project Board and provided overall guidance to the implementation of project activities. </w:t>
      </w:r>
      <w:r>
        <w:rPr>
          <w:sz w:val="22"/>
          <w:szCs w:val="22"/>
        </w:rPr>
        <w:t xml:space="preserve">Considering the </w:t>
      </w:r>
      <w:r w:rsidRPr="000A69A9">
        <w:rPr>
          <w:sz w:val="22"/>
          <w:szCs w:val="22"/>
        </w:rPr>
        <w:t>nature of this project – environmental fiscal reform – any proposal</w:t>
      </w:r>
      <w:r>
        <w:rPr>
          <w:sz w:val="22"/>
          <w:szCs w:val="22"/>
        </w:rPr>
        <w:t>s had a political side</w:t>
      </w:r>
      <w:r w:rsidR="00CC540A">
        <w:rPr>
          <w:sz w:val="22"/>
          <w:szCs w:val="22"/>
        </w:rPr>
        <w:t xml:space="preserve"> to be approved and implemented</w:t>
      </w:r>
      <w:r>
        <w:rPr>
          <w:sz w:val="22"/>
          <w:szCs w:val="22"/>
        </w:rPr>
        <w:t xml:space="preserve">; these stakeholders </w:t>
      </w:r>
      <w:r w:rsidRPr="000A69A9">
        <w:rPr>
          <w:sz w:val="22"/>
          <w:szCs w:val="22"/>
        </w:rPr>
        <w:t xml:space="preserve">provided the </w:t>
      </w:r>
      <w:r w:rsidR="00CC540A">
        <w:rPr>
          <w:sz w:val="22"/>
          <w:szCs w:val="22"/>
        </w:rPr>
        <w:t xml:space="preserve">necessary </w:t>
      </w:r>
      <w:r w:rsidRPr="000A69A9">
        <w:rPr>
          <w:sz w:val="22"/>
          <w:szCs w:val="22"/>
        </w:rPr>
        <w:t xml:space="preserve">political links between project activities and </w:t>
      </w:r>
      <w:r>
        <w:rPr>
          <w:sz w:val="22"/>
          <w:szCs w:val="22"/>
        </w:rPr>
        <w:t xml:space="preserve">higher </w:t>
      </w:r>
      <w:r w:rsidRPr="000A69A9">
        <w:rPr>
          <w:sz w:val="22"/>
          <w:szCs w:val="22"/>
        </w:rPr>
        <w:t>level</w:t>
      </w:r>
      <w:r>
        <w:rPr>
          <w:sz w:val="22"/>
          <w:szCs w:val="22"/>
        </w:rPr>
        <w:t>s</w:t>
      </w:r>
      <w:r w:rsidRPr="000A69A9">
        <w:rPr>
          <w:sz w:val="22"/>
          <w:szCs w:val="22"/>
        </w:rPr>
        <w:t xml:space="preserve"> of government. </w:t>
      </w:r>
      <w:r w:rsidR="00CC540A">
        <w:rPr>
          <w:sz w:val="22"/>
          <w:szCs w:val="22"/>
        </w:rPr>
        <w:t xml:space="preserve">They </w:t>
      </w:r>
      <w:r w:rsidR="00CC540A" w:rsidRPr="000A69A9">
        <w:rPr>
          <w:sz w:val="22"/>
          <w:szCs w:val="22"/>
        </w:rPr>
        <w:t xml:space="preserve">provided the project with a good “conduit” to communicate and collaborate with key government services. </w:t>
      </w:r>
    </w:p>
    <w:p w14:paraId="5601F283" w14:textId="337D46BC" w:rsidR="000A69A9" w:rsidRDefault="000A69A9" w:rsidP="000A69A9">
      <w:pPr>
        <w:jc w:val="both"/>
        <w:rPr>
          <w:sz w:val="22"/>
          <w:szCs w:val="22"/>
        </w:rPr>
      </w:pPr>
    </w:p>
    <w:p w14:paraId="3AB1C9A2" w14:textId="154E5DBB" w:rsidR="00B649D8" w:rsidRDefault="00B649D8" w:rsidP="000A69A9">
      <w:pPr>
        <w:jc w:val="both"/>
        <w:rPr>
          <w:sz w:val="22"/>
          <w:szCs w:val="22"/>
        </w:rPr>
      </w:pPr>
      <w:r>
        <w:rPr>
          <w:sz w:val="22"/>
          <w:szCs w:val="22"/>
        </w:rPr>
        <w:t xml:space="preserve">However, </w:t>
      </w:r>
      <w:r w:rsidRPr="000A69A9">
        <w:rPr>
          <w:sz w:val="22"/>
          <w:szCs w:val="22"/>
        </w:rPr>
        <w:t>the project document was developed with the concept that all these partners will be brought together in a national commission on EFR</w:t>
      </w:r>
      <w:r>
        <w:rPr>
          <w:sz w:val="22"/>
          <w:szCs w:val="22"/>
        </w:rPr>
        <w:t>. Despite a good stakeholder engagement, discussions and development of proposals to set up this commission,</w:t>
      </w:r>
      <w:r w:rsidRPr="000A69A9">
        <w:rPr>
          <w:sz w:val="22"/>
          <w:szCs w:val="22"/>
        </w:rPr>
        <w:t xml:space="preserve"> the political instability of the last few years in Moldova has so far prevented the creation of such body. </w:t>
      </w:r>
      <w:r>
        <w:rPr>
          <w:sz w:val="22"/>
          <w:szCs w:val="22"/>
        </w:rPr>
        <w:t xml:space="preserve">Nevertheless, </w:t>
      </w:r>
      <w:r w:rsidRPr="000A69A9">
        <w:rPr>
          <w:sz w:val="22"/>
          <w:szCs w:val="22"/>
        </w:rPr>
        <w:t xml:space="preserve">the concept is not “buried” and the topic of EFR </w:t>
      </w:r>
      <w:r>
        <w:rPr>
          <w:sz w:val="22"/>
          <w:szCs w:val="22"/>
        </w:rPr>
        <w:t>should</w:t>
      </w:r>
      <w:r w:rsidRPr="000A69A9">
        <w:rPr>
          <w:sz w:val="22"/>
          <w:szCs w:val="22"/>
        </w:rPr>
        <w:t xml:space="preserve"> end up in a new commission or in an existing body</w:t>
      </w:r>
      <w:r>
        <w:rPr>
          <w:sz w:val="22"/>
          <w:szCs w:val="22"/>
        </w:rPr>
        <w:t xml:space="preserve"> in the near future to carry out the necessary reforms to comply with </w:t>
      </w:r>
      <w:r w:rsidRPr="000A69A9">
        <w:rPr>
          <w:sz w:val="22"/>
          <w:szCs w:val="22"/>
        </w:rPr>
        <w:t>EU regulations in the context of implementing the Association Agreement (AA)</w:t>
      </w:r>
      <w:r>
        <w:rPr>
          <w:sz w:val="22"/>
          <w:szCs w:val="22"/>
        </w:rPr>
        <w:t>.</w:t>
      </w:r>
      <w:r w:rsidRPr="000A69A9">
        <w:rPr>
          <w:sz w:val="22"/>
          <w:szCs w:val="22"/>
        </w:rPr>
        <w:t xml:space="preserve"> </w:t>
      </w:r>
    </w:p>
    <w:p w14:paraId="79A558DA" w14:textId="77777777" w:rsidR="00DE2CE2" w:rsidRDefault="00DE2CE2" w:rsidP="003F23AA">
      <w:pPr>
        <w:pStyle w:val="ListParagraph"/>
        <w:ind w:left="0"/>
        <w:jc w:val="both"/>
        <w:rPr>
          <w:sz w:val="22"/>
          <w:szCs w:val="22"/>
        </w:rPr>
      </w:pPr>
    </w:p>
    <w:p w14:paraId="7D1EE5F9" w14:textId="0B2B966D" w:rsidR="007848E4" w:rsidRPr="00FB6D4E" w:rsidRDefault="00DE2CE2" w:rsidP="002F2A20">
      <w:pPr>
        <w:pStyle w:val="ListParagraph"/>
        <w:shd w:val="clear" w:color="auto" w:fill="E0E0E0"/>
        <w:ind w:left="0"/>
        <w:rPr>
          <w:b/>
          <w:sz w:val="22"/>
          <w:szCs w:val="22"/>
        </w:rPr>
      </w:pPr>
      <w:r>
        <w:rPr>
          <w:b/>
          <w:sz w:val="22"/>
          <w:szCs w:val="22"/>
        </w:rPr>
        <w:t>d</w:t>
      </w:r>
      <w:r w:rsidR="002F2A20">
        <w:rPr>
          <w:b/>
          <w:sz w:val="22"/>
          <w:szCs w:val="22"/>
        </w:rPr>
        <w:t>)</w:t>
      </w:r>
      <w:r w:rsidR="008802CA">
        <w:rPr>
          <w:b/>
          <w:sz w:val="22"/>
          <w:szCs w:val="22"/>
        </w:rPr>
        <w:t xml:space="preserve"> </w:t>
      </w:r>
      <w:r w:rsidR="00341776" w:rsidRPr="00341776">
        <w:rPr>
          <w:b/>
          <w:sz w:val="22"/>
          <w:szCs w:val="22"/>
        </w:rPr>
        <w:t xml:space="preserve">The project </w:t>
      </w:r>
      <w:r w:rsidR="005F5A47" w:rsidRPr="005F5A47">
        <w:rPr>
          <w:b/>
          <w:sz w:val="22"/>
          <w:szCs w:val="22"/>
        </w:rPr>
        <w:t>used adaptive management extensively to secure project deliverables while maintaining adherence to the overall project design.</w:t>
      </w:r>
    </w:p>
    <w:p w14:paraId="25697EE4" w14:textId="77777777" w:rsidR="00846F7B" w:rsidRDefault="00846F7B" w:rsidP="007848E4">
      <w:pPr>
        <w:jc w:val="both"/>
        <w:rPr>
          <w:sz w:val="22"/>
        </w:rPr>
      </w:pPr>
    </w:p>
    <w:p w14:paraId="557EEE99" w14:textId="77777777" w:rsidR="00FC6A8E" w:rsidRDefault="00FC6A8E" w:rsidP="007848E4">
      <w:pPr>
        <w:jc w:val="both"/>
        <w:rPr>
          <w:sz w:val="22"/>
        </w:rPr>
      </w:pPr>
      <w:r w:rsidRPr="00CB503C">
        <w:rPr>
          <w:sz w:val="22"/>
        </w:rPr>
        <w:t>A</w:t>
      </w:r>
      <w:r w:rsidR="00025771" w:rsidRPr="00CB503C">
        <w:rPr>
          <w:sz w:val="22"/>
        </w:rPr>
        <w:t xml:space="preserve">daptive management was used as a management approach to particularly allocate effectively and efficiently project financial resources, including the provision of international and national technical expertise. On one </w:t>
      </w:r>
      <w:r w:rsidR="00025771" w:rsidRPr="00CB503C">
        <w:rPr>
          <w:sz w:val="22"/>
        </w:rPr>
        <w:lastRenderedPageBreak/>
        <w:t>hand, the log-frame gave the project team an overall plan to guide the implementation and on the other hand the project management team used adaptive management to properly allocate the financial resources available and find ways to stay on time.</w:t>
      </w:r>
    </w:p>
    <w:p w14:paraId="575D848B" w14:textId="77777777" w:rsidR="004F525B" w:rsidRPr="004F525B" w:rsidRDefault="004F525B" w:rsidP="004F525B">
      <w:pPr>
        <w:jc w:val="both"/>
        <w:rPr>
          <w:sz w:val="22"/>
        </w:rPr>
      </w:pPr>
    </w:p>
    <w:p w14:paraId="39B29D77" w14:textId="2F0A1E8A" w:rsidR="004F525B" w:rsidRPr="004F525B" w:rsidRDefault="009317B7" w:rsidP="004F525B">
      <w:pPr>
        <w:jc w:val="both"/>
        <w:rPr>
          <w:sz w:val="22"/>
        </w:rPr>
      </w:pPr>
      <w:r>
        <w:rPr>
          <w:sz w:val="22"/>
        </w:rPr>
        <w:t>Following a</w:t>
      </w:r>
      <w:r w:rsidR="004F525B" w:rsidRPr="004F525B">
        <w:rPr>
          <w:sz w:val="22"/>
        </w:rPr>
        <w:t xml:space="preserve"> difficult first half</w:t>
      </w:r>
      <w:r>
        <w:rPr>
          <w:sz w:val="22"/>
        </w:rPr>
        <w:t xml:space="preserve"> with </w:t>
      </w:r>
      <w:r w:rsidR="004F525B" w:rsidRPr="004F525B">
        <w:rPr>
          <w:sz w:val="22"/>
        </w:rPr>
        <w:t>very limited progress made</w:t>
      </w:r>
      <w:r>
        <w:rPr>
          <w:sz w:val="22"/>
        </w:rPr>
        <w:t>, a new Project Manager</w:t>
      </w:r>
      <w:r w:rsidR="00CB503C">
        <w:rPr>
          <w:sz w:val="22"/>
        </w:rPr>
        <w:t xml:space="preserve"> (PM)</w:t>
      </w:r>
      <w:r>
        <w:rPr>
          <w:sz w:val="22"/>
        </w:rPr>
        <w:t xml:space="preserve"> </w:t>
      </w:r>
      <w:r w:rsidR="004F525B" w:rsidRPr="004F525B">
        <w:rPr>
          <w:sz w:val="22"/>
        </w:rPr>
        <w:t xml:space="preserve">was hired in January 2014 with excellent credentials, including experience as a Deputy Minister of Economy in the government and also as a highly performing PM for another UNDP funded project. </w:t>
      </w:r>
      <w:r w:rsidR="00CB503C">
        <w:rPr>
          <w:sz w:val="22"/>
        </w:rPr>
        <w:t xml:space="preserve">It </w:t>
      </w:r>
      <w:r w:rsidR="004F525B" w:rsidRPr="004F525B">
        <w:rPr>
          <w:sz w:val="22"/>
        </w:rPr>
        <w:t xml:space="preserve">was </w:t>
      </w:r>
      <w:r w:rsidR="00CB503C">
        <w:rPr>
          <w:sz w:val="22"/>
        </w:rPr>
        <w:t xml:space="preserve">one of the most critical decisions made on this project </w:t>
      </w:r>
      <w:r w:rsidR="004F525B" w:rsidRPr="004F525B">
        <w:rPr>
          <w:sz w:val="22"/>
        </w:rPr>
        <w:t>that allowed the project implementation to get back on track and</w:t>
      </w:r>
      <w:r w:rsidR="00CB503C">
        <w:rPr>
          <w:sz w:val="22"/>
        </w:rPr>
        <w:t xml:space="preserve"> </w:t>
      </w:r>
      <w:r w:rsidR="004F525B" w:rsidRPr="004F525B">
        <w:rPr>
          <w:sz w:val="22"/>
        </w:rPr>
        <w:t xml:space="preserve">catch up with the planned implementation timeline. </w:t>
      </w:r>
      <w:r w:rsidR="00CB503C">
        <w:rPr>
          <w:sz w:val="22"/>
        </w:rPr>
        <w:t>As a result, the</w:t>
      </w:r>
      <w:r w:rsidR="004F525B" w:rsidRPr="004F525B">
        <w:rPr>
          <w:sz w:val="22"/>
        </w:rPr>
        <w:t xml:space="preserve"> project delivered most of the planned activities. </w:t>
      </w:r>
      <w:r w:rsidR="00CB503C">
        <w:rPr>
          <w:sz w:val="22"/>
        </w:rPr>
        <w:t>The</w:t>
      </w:r>
      <w:r w:rsidR="004F525B" w:rsidRPr="004F525B">
        <w:rPr>
          <w:sz w:val="22"/>
        </w:rPr>
        <w:t xml:space="preserve"> project did not succeed yet to get the proposed reforms approved and endorsed by the government and Parliament but an Environmental Fiscal Reform (EFR) process has been definitely launched in Moldova as a result of the project. It has been a catalyst to put EFR on the national agenda.</w:t>
      </w:r>
    </w:p>
    <w:p w14:paraId="017E5433" w14:textId="77777777" w:rsidR="00CB503C" w:rsidRDefault="00CB503C" w:rsidP="009317B7">
      <w:pPr>
        <w:jc w:val="both"/>
        <w:rPr>
          <w:sz w:val="22"/>
        </w:rPr>
      </w:pPr>
    </w:p>
    <w:p w14:paraId="22367E75" w14:textId="0563DA14" w:rsidR="005F5A47" w:rsidRDefault="009317B7" w:rsidP="007848E4">
      <w:pPr>
        <w:jc w:val="both"/>
        <w:rPr>
          <w:sz w:val="22"/>
        </w:rPr>
      </w:pPr>
      <w:r w:rsidRPr="004F525B">
        <w:rPr>
          <w:sz w:val="22"/>
        </w:rPr>
        <w:t xml:space="preserve">Adaptive management was </w:t>
      </w:r>
      <w:r w:rsidR="00CB503C">
        <w:rPr>
          <w:sz w:val="22"/>
        </w:rPr>
        <w:t xml:space="preserve">also </w:t>
      </w:r>
      <w:r w:rsidRPr="004F525B">
        <w:rPr>
          <w:sz w:val="22"/>
        </w:rPr>
        <w:t xml:space="preserve">used regularly to adapt to a constantly changing environment, particularly the political environment with four different governments over the lifetime of the project, and including several changes at the Ministry of Environment with four different Ministers, 5 Deputy Ministers and two State Secretaries in the last 18 months. </w:t>
      </w:r>
      <w:r w:rsidR="00CB503C">
        <w:rPr>
          <w:sz w:val="22"/>
        </w:rPr>
        <w:t xml:space="preserve">Finally, </w:t>
      </w:r>
      <w:r w:rsidR="004F525B" w:rsidRPr="004F525B">
        <w:rPr>
          <w:sz w:val="22"/>
        </w:rPr>
        <w:t xml:space="preserve">adaptive management was used when the </w:t>
      </w:r>
      <w:r w:rsidR="00CB503C">
        <w:rPr>
          <w:sz w:val="22"/>
        </w:rPr>
        <w:t>Project Board (</w:t>
      </w:r>
      <w:r w:rsidR="004F525B" w:rsidRPr="004F525B">
        <w:rPr>
          <w:sz w:val="22"/>
        </w:rPr>
        <w:t>PB</w:t>
      </w:r>
      <w:r w:rsidR="00CB503C">
        <w:rPr>
          <w:sz w:val="22"/>
        </w:rPr>
        <w:t>)</w:t>
      </w:r>
      <w:r w:rsidR="004F525B" w:rsidRPr="004F525B">
        <w:rPr>
          <w:sz w:val="22"/>
        </w:rPr>
        <w:t xml:space="preserve"> decided to request a time extension of 9 months for the project at </w:t>
      </w:r>
      <w:r w:rsidR="00CB503C">
        <w:rPr>
          <w:sz w:val="22"/>
        </w:rPr>
        <w:t>its</w:t>
      </w:r>
      <w:r w:rsidR="004F525B" w:rsidRPr="004F525B">
        <w:rPr>
          <w:sz w:val="22"/>
        </w:rPr>
        <w:t xml:space="preserve"> June 20, 2014 meeting. </w:t>
      </w:r>
      <w:r w:rsidR="00C64721">
        <w:rPr>
          <w:sz w:val="22"/>
        </w:rPr>
        <w:t xml:space="preserve">This request was based on </w:t>
      </w:r>
      <w:r w:rsidR="004F525B" w:rsidRPr="004F525B">
        <w:rPr>
          <w:sz w:val="22"/>
        </w:rPr>
        <w:t xml:space="preserve">a very low </w:t>
      </w:r>
      <w:r w:rsidR="00C64721">
        <w:rPr>
          <w:sz w:val="22"/>
        </w:rPr>
        <w:t xml:space="preserve">financial </w:t>
      </w:r>
      <w:r w:rsidR="004F525B" w:rsidRPr="004F525B">
        <w:rPr>
          <w:sz w:val="22"/>
        </w:rPr>
        <w:t>disbursement during th</w:t>
      </w:r>
      <w:r w:rsidR="00CB503C">
        <w:rPr>
          <w:sz w:val="22"/>
        </w:rPr>
        <w:t xml:space="preserve">e first 2 years of the project and a risk of delays for some project activities such as </w:t>
      </w:r>
      <w:r w:rsidR="00CB503C" w:rsidRPr="004F525B">
        <w:rPr>
          <w:sz w:val="22"/>
        </w:rPr>
        <w:t>those related to the reform of the NEF and the reform of the a</w:t>
      </w:r>
      <w:r w:rsidR="00CB503C">
        <w:rPr>
          <w:sz w:val="22"/>
        </w:rPr>
        <w:t xml:space="preserve">griculture and energy subsidies due to the November 2014 </w:t>
      </w:r>
      <w:r w:rsidR="00CB503C" w:rsidRPr="004F525B">
        <w:rPr>
          <w:sz w:val="22"/>
        </w:rPr>
        <w:t>Parliamentary election</w:t>
      </w:r>
      <w:r w:rsidR="00C64721">
        <w:rPr>
          <w:sz w:val="22"/>
        </w:rPr>
        <w:t xml:space="preserve">. The </w:t>
      </w:r>
      <w:r w:rsidR="00CB503C">
        <w:rPr>
          <w:sz w:val="22"/>
        </w:rPr>
        <w:t>decision to request a 9-month time ext</w:t>
      </w:r>
      <w:r w:rsidR="00C64721">
        <w:rPr>
          <w:sz w:val="22"/>
        </w:rPr>
        <w:t>ension to end of September 2015</w:t>
      </w:r>
      <w:r w:rsidR="00CB503C">
        <w:rPr>
          <w:sz w:val="22"/>
        </w:rPr>
        <w:t xml:space="preserve"> allowed the Project Team to complete </w:t>
      </w:r>
      <w:r w:rsidR="00C64721">
        <w:rPr>
          <w:sz w:val="22"/>
        </w:rPr>
        <w:t>the project implementation plan.</w:t>
      </w:r>
    </w:p>
    <w:p w14:paraId="5B35A700" w14:textId="77777777" w:rsidR="00846F7B" w:rsidRPr="00FB6D4E" w:rsidRDefault="00846F7B" w:rsidP="007848E4">
      <w:pPr>
        <w:jc w:val="both"/>
        <w:rPr>
          <w:sz w:val="22"/>
        </w:rPr>
      </w:pPr>
    </w:p>
    <w:p w14:paraId="2B59082E" w14:textId="643B741D" w:rsidR="0064443D" w:rsidRDefault="00DE2CE2" w:rsidP="00A63862">
      <w:pPr>
        <w:pStyle w:val="ListParagraph"/>
        <w:shd w:val="clear" w:color="auto" w:fill="E0E0E0"/>
        <w:ind w:left="0"/>
        <w:rPr>
          <w:sz w:val="22"/>
        </w:rPr>
      </w:pPr>
      <w:r>
        <w:rPr>
          <w:b/>
          <w:sz w:val="22"/>
          <w:szCs w:val="22"/>
        </w:rPr>
        <w:t>e</w:t>
      </w:r>
      <w:r w:rsidR="002F2A20">
        <w:rPr>
          <w:b/>
          <w:sz w:val="22"/>
          <w:szCs w:val="22"/>
        </w:rPr>
        <w:t>)</w:t>
      </w:r>
      <w:r w:rsidR="00496432" w:rsidRPr="00FB6D4E">
        <w:rPr>
          <w:b/>
          <w:sz w:val="22"/>
          <w:szCs w:val="22"/>
        </w:rPr>
        <w:t xml:space="preserve"> </w:t>
      </w:r>
      <w:r w:rsidR="00B6029E">
        <w:rPr>
          <w:b/>
          <w:sz w:val="22"/>
          <w:szCs w:val="22"/>
        </w:rPr>
        <w:t>Th</w:t>
      </w:r>
      <w:r w:rsidR="00D7276B">
        <w:rPr>
          <w:b/>
          <w:sz w:val="22"/>
          <w:szCs w:val="22"/>
        </w:rPr>
        <w:t xml:space="preserve">e </w:t>
      </w:r>
      <w:r w:rsidR="00725811">
        <w:rPr>
          <w:b/>
          <w:sz w:val="22"/>
          <w:szCs w:val="22"/>
        </w:rPr>
        <w:t>o</w:t>
      </w:r>
      <w:r w:rsidR="00725811" w:rsidRPr="00725811">
        <w:rPr>
          <w:b/>
          <w:sz w:val="22"/>
          <w:szCs w:val="22"/>
        </w:rPr>
        <w:t xml:space="preserve">verall quality of </w:t>
      </w:r>
      <w:r w:rsidR="00A63862">
        <w:rPr>
          <w:b/>
          <w:sz w:val="22"/>
          <w:szCs w:val="22"/>
        </w:rPr>
        <w:t>monitoring and e</w:t>
      </w:r>
      <w:r w:rsidR="00A63862" w:rsidRPr="00A63862">
        <w:rPr>
          <w:b/>
          <w:sz w:val="22"/>
          <w:szCs w:val="22"/>
        </w:rPr>
        <w:t xml:space="preserve">valuation (M&amp;E) </w:t>
      </w:r>
      <w:r w:rsidR="00A63862">
        <w:rPr>
          <w:b/>
          <w:sz w:val="22"/>
          <w:szCs w:val="22"/>
        </w:rPr>
        <w:t xml:space="preserve">of the project </w:t>
      </w:r>
      <w:r w:rsidR="00A63862" w:rsidRPr="00A63862">
        <w:rPr>
          <w:b/>
          <w:sz w:val="22"/>
          <w:szCs w:val="22"/>
        </w:rPr>
        <w:t xml:space="preserve">was marginally satisfactory due </w:t>
      </w:r>
      <w:r w:rsidR="00A63862">
        <w:rPr>
          <w:b/>
          <w:sz w:val="22"/>
          <w:szCs w:val="22"/>
        </w:rPr>
        <w:t xml:space="preserve">mostly to </w:t>
      </w:r>
      <w:r w:rsidR="00DE770C">
        <w:rPr>
          <w:b/>
          <w:sz w:val="22"/>
          <w:szCs w:val="22"/>
        </w:rPr>
        <w:t>a weak set of indicators and targets to measure the performance of the project.</w:t>
      </w:r>
    </w:p>
    <w:p w14:paraId="15B5B830" w14:textId="77777777" w:rsidR="00A63862" w:rsidRDefault="00A63862" w:rsidP="00A63862">
      <w:pPr>
        <w:pStyle w:val="ListParagraph"/>
        <w:ind w:left="0"/>
        <w:jc w:val="both"/>
        <w:rPr>
          <w:sz w:val="22"/>
        </w:rPr>
      </w:pPr>
    </w:p>
    <w:p w14:paraId="39FD4762" w14:textId="42DD21AC" w:rsidR="00FF4E08" w:rsidRPr="00FF4E08" w:rsidRDefault="00FF4E08" w:rsidP="00A63862">
      <w:pPr>
        <w:jc w:val="both"/>
        <w:rPr>
          <w:sz w:val="22"/>
        </w:rPr>
      </w:pPr>
      <w:r w:rsidRPr="00FF4E08">
        <w:rPr>
          <w:sz w:val="22"/>
        </w:rPr>
        <w:t xml:space="preserve">A comprehensive M&amp;E plan was </w:t>
      </w:r>
      <w:r>
        <w:rPr>
          <w:sz w:val="22"/>
        </w:rPr>
        <w:t>developed</w:t>
      </w:r>
      <w:r w:rsidRPr="00FF4E08">
        <w:rPr>
          <w:sz w:val="22"/>
        </w:rPr>
        <w:t xml:space="preserve"> during the formulation of the project </w:t>
      </w:r>
      <w:r>
        <w:rPr>
          <w:sz w:val="22"/>
        </w:rPr>
        <w:t xml:space="preserve">with a budget </w:t>
      </w:r>
      <w:r w:rsidRPr="00FF4E08">
        <w:rPr>
          <w:sz w:val="22"/>
        </w:rPr>
        <w:t>of USD 25,000 representing about 4.9% of the GEF grant.</w:t>
      </w:r>
      <w:r>
        <w:rPr>
          <w:sz w:val="22"/>
        </w:rPr>
        <w:t xml:space="preserve"> It included a </w:t>
      </w:r>
      <w:r w:rsidRPr="00FF4E08">
        <w:rPr>
          <w:sz w:val="22"/>
        </w:rPr>
        <w:t>set of 24 indicators and 20 targets</w:t>
      </w:r>
      <w:r>
        <w:rPr>
          <w:sz w:val="22"/>
        </w:rPr>
        <w:t xml:space="preserve"> </w:t>
      </w:r>
      <w:r w:rsidRPr="00FF4E08">
        <w:rPr>
          <w:sz w:val="22"/>
        </w:rPr>
        <w:t>to monitor</w:t>
      </w:r>
      <w:r>
        <w:rPr>
          <w:sz w:val="22"/>
        </w:rPr>
        <w:t xml:space="preserve"> the performance of the project.</w:t>
      </w:r>
      <w:r w:rsidR="00A63862">
        <w:rPr>
          <w:sz w:val="22"/>
        </w:rPr>
        <w:t xml:space="preserve"> However, </w:t>
      </w:r>
      <w:r w:rsidRPr="00FF4E08">
        <w:rPr>
          <w:sz w:val="22"/>
        </w:rPr>
        <w:t xml:space="preserve">these indicators </w:t>
      </w:r>
      <w:r w:rsidR="00A63862">
        <w:rPr>
          <w:sz w:val="22"/>
        </w:rPr>
        <w:t xml:space="preserve">were </w:t>
      </w:r>
      <w:r w:rsidRPr="00FF4E08">
        <w:rPr>
          <w:sz w:val="22"/>
        </w:rPr>
        <w:t>not really SMART indicators</w:t>
      </w:r>
      <w:r w:rsidR="00A63862">
        <w:rPr>
          <w:sz w:val="22"/>
        </w:rPr>
        <w:t>; i</w:t>
      </w:r>
      <w:r w:rsidRPr="00FF4E08">
        <w:rPr>
          <w:sz w:val="22"/>
        </w:rPr>
        <w:t xml:space="preserve">n most cases, these indicators were </w:t>
      </w:r>
      <w:r w:rsidR="00A63862">
        <w:rPr>
          <w:sz w:val="22"/>
        </w:rPr>
        <w:t>somewhat</w:t>
      </w:r>
      <w:r w:rsidRPr="00FF4E08">
        <w:rPr>
          <w:sz w:val="22"/>
        </w:rPr>
        <w:t xml:space="preserve"> ambiguous</w:t>
      </w:r>
      <w:r w:rsidR="00A63862">
        <w:rPr>
          <w:sz w:val="22"/>
        </w:rPr>
        <w:t xml:space="preserve"> and </w:t>
      </w:r>
      <w:r w:rsidRPr="00FF4E08">
        <w:rPr>
          <w:sz w:val="22"/>
        </w:rPr>
        <w:t>not specific enough</w:t>
      </w:r>
      <w:r w:rsidR="00A63862">
        <w:rPr>
          <w:sz w:val="22"/>
        </w:rPr>
        <w:t>. There were also</w:t>
      </w:r>
      <w:r w:rsidRPr="00FF4E08">
        <w:rPr>
          <w:sz w:val="22"/>
        </w:rPr>
        <w:t xml:space="preserve"> diff</w:t>
      </w:r>
      <w:r w:rsidR="00A63862">
        <w:rPr>
          <w:sz w:val="22"/>
        </w:rPr>
        <w:t>icult to measure and</w:t>
      </w:r>
      <w:r w:rsidRPr="00FF4E08">
        <w:rPr>
          <w:sz w:val="22"/>
        </w:rPr>
        <w:t xml:space="preserve"> not relevant enough to monitor the performance of the project</w:t>
      </w:r>
      <w:r w:rsidR="00A63862">
        <w:rPr>
          <w:sz w:val="22"/>
        </w:rPr>
        <w:t>; some of them were too focused on activities to be conducted</w:t>
      </w:r>
      <w:r w:rsidR="004649AC">
        <w:rPr>
          <w:sz w:val="22"/>
        </w:rPr>
        <w:t xml:space="preserve"> – such as indicators to monitor the second outcome -</w:t>
      </w:r>
      <w:r w:rsidR="00A63862">
        <w:rPr>
          <w:sz w:val="22"/>
        </w:rPr>
        <w:t xml:space="preserve"> and not enough on expected development results</w:t>
      </w:r>
      <w:r w:rsidR="004649AC">
        <w:rPr>
          <w:sz w:val="22"/>
        </w:rPr>
        <w:t>.</w:t>
      </w:r>
      <w:r w:rsidRPr="00FF4E08">
        <w:rPr>
          <w:sz w:val="22"/>
        </w:rPr>
        <w:t xml:space="preserve"> </w:t>
      </w:r>
      <w:r w:rsidR="00A63862" w:rsidRPr="00FF4E08">
        <w:rPr>
          <w:sz w:val="22"/>
        </w:rPr>
        <w:t>Furthermore, indicators at the objective level were somewhat too general and in most cases difficult to be attained during the lifetime of t</w:t>
      </w:r>
      <w:r w:rsidR="00A63862">
        <w:rPr>
          <w:sz w:val="22"/>
        </w:rPr>
        <w:t xml:space="preserve">he project. Finally, the targets identified in this M&amp;E plan were </w:t>
      </w:r>
      <w:r w:rsidRPr="00FF4E08">
        <w:rPr>
          <w:sz w:val="22"/>
        </w:rPr>
        <w:t>not fully re</w:t>
      </w:r>
      <w:r w:rsidR="00A63862">
        <w:rPr>
          <w:sz w:val="22"/>
        </w:rPr>
        <w:t xml:space="preserve">lated to the list of indicators, but could be </w:t>
      </w:r>
      <w:r w:rsidRPr="00FF4E08">
        <w:rPr>
          <w:sz w:val="22"/>
        </w:rPr>
        <w:t xml:space="preserve">seen as another set of indicators to be monitored. </w:t>
      </w:r>
    </w:p>
    <w:p w14:paraId="6EDD63F2" w14:textId="77777777" w:rsidR="00FF4E08" w:rsidRPr="004649AC" w:rsidRDefault="00FF4E08" w:rsidP="004649AC">
      <w:pPr>
        <w:jc w:val="both"/>
        <w:rPr>
          <w:sz w:val="22"/>
        </w:rPr>
      </w:pPr>
    </w:p>
    <w:p w14:paraId="133D600A" w14:textId="4E4D7FAC" w:rsidR="004649AC" w:rsidRDefault="004649AC" w:rsidP="004649AC">
      <w:pPr>
        <w:jc w:val="both"/>
        <w:rPr>
          <w:sz w:val="22"/>
        </w:rPr>
      </w:pPr>
      <w:r>
        <w:rPr>
          <w:sz w:val="22"/>
        </w:rPr>
        <w:t xml:space="preserve">Using this monitoring framework, PIRs reported progress against identified targets but not against indicators; additionally, since no targets existed at </w:t>
      </w:r>
      <w:r>
        <w:rPr>
          <w:sz w:val="22"/>
        </w:rPr>
        <w:lastRenderedPageBreak/>
        <w:t xml:space="preserve">the objective level, no progress reporting was done at this level. </w:t>
      </w:r>
      <w:r w:rsidRPr="00FF4E08">
        <w:rPr>
          <w:sz w:val="22"/>
        </w:rPr>
        <w:t>As a result, annual progress reports were produced timely but somewhat cumbersome to complete and not focused enough on the measurement of progress made at the strategic level: outcomes and objective.</w:t>
      </w:r>
    </w:p>
    <w:p w14:paraId="119BA86D" w14:textId="77777777" w:rsidR="00442723" w:rsidRDefault="00442723" w:rsidP="00496432">
      <w:pPr>
        <w:pStyle w:val="ListParagraph"/>
        <w:ind w:left="0"/>
        <w:jc w:val="both"/>
        <w:rPr>
          <w:sz w:val="22"/>
        </w:rPr>
      </w:pPr>
    </w:p>
    <w:p w14:paraId="1B991DAA" w14:textId="77777777" w:rsidR="00AF4A4E" w:rsidRPr="00442723" w:rsidRDefault="00442723" w:rsidP="00442723">
      <w:pPr>
        <w:spacing w:after="120"/>
        <w:rPr>
          <w:b/>
          <w:i/>
          <w:sz w:val="22"/>
          <w:szCs w:val="22"/>
        </w:rPr>
      </w:pPr>
      <w:r w:rsidRPr="00F624E2">
        <w:rPr>
          <w:b/>
          <w:i/>
          <w:sz w:val="22"/>
          <w:szCs w:val="22"/>
        </w:rPr>
        <w:t xml:space="preserve">Project </w:t>
      </w:r>
      <w:r>
        <w:rPr>
          <w:b/>
          <w:i/>
          <w:sz w:val="22"/>
          <w:szCs w:val="22"/>
        </w:rPr>
        <w:t>Results</w:t>
      </w:r>
    </w:p>
    <w:p w14:paraId="5C13C1D9" w14:textId="6B0B465E" w:rsidR="00496432" w:rsidRPr="00FB6D4E" w:rsidRDefault="00DE2CE2" w:rsidP="002F2A20">
      <w:pPr>
        <w:pStyle w:val="ListParagraph"/>
        <w:shd w:val="clear" w:color="auto" w:fill="E0E0E0"/>
        <w:ind w:left="0"/>
        <w:rPr>
          <w:b/>
          <w:sz w:val="22"/>
          <w:szCs w:val="22"/>
        </w:rPr>
      </w:pPr>
      <w:r>
        <w:rPr>
          <w:b/>
          <w:sz w:val="22"/>
          <w:szCs w:val="22"/>
        </w:rPr>
        <w:t>f</w:t>
      </w:r>
      <w:r w:rsidR="002F2A20">
        <w:rPr>
          <w:b/>
          <w:sz w:val="22"/>
          <w:szCs w:val="22"/>
        </w:rPr>
        <w:t>)</w:t>
      </w:r>
      <w:r w:rsidR="00496432" w:rsidRPr="00FB6D4E">
        <w:rPr>
          <w:b/>
          <w:sz w:val="22"/>
          <w:szCs w:val="22"/>
        </w:rPr>
        <w:t xml:space="preserve"> </w:t>
      </w:r>
      <w:r w:rsidR="00D9069A">
        <w:rPr>
          <w:b/>
          <w:sz w:val="22"/>
          <w:szCs w:val="22"/>
        </w:rPr>
        <w:t>An effective project that delivered key outputs for developing an EFR agenda</w:t>
      </w:r>
      <w:r w:rsidR="00885C8C">
        <w:rPr>
          <w:b/>
          <w:sz w:val="22"/>
          <w:szCs w:val="22"/>
        </w:rPr>
        <w:t xml:space="preserve"> in Moldova.</w:t>
      </w:r>
    </w:p>
    <w:p w14:paraId="7D00796B" w14:textId="77777777" w:rsidR="00CC61F0" w:rsidRDefault="00CC61F0" w:rsidP="007848E4">
      <w:pPr>
        <w:pStyle w:val="ListParagraph"/>
        <w:ind w:left="0"/>
        <w:jc w:val="both"/>
        <w:rPr>
          <w:sz w:val="22"/>
        </w:rPr>
      </w:pPr>
    </w:p>
    <w:p w14:paraId="652D406B" w14:textId="2E2A41DA" w:rsidR="00885C8C" w:rsidRPr="00885C8C" w:rsidRDefault="00332021" w:rsidP="00885C8C">
      <w:pPr>
        <w:jc w:val="both"/>
        <w:rPr>
          <w:sz w:val="22"/>
        </w:rPr>
      </w:pPr>
      <w:r>
        <w:rPr>
          <w:sz w:val="22"/>
        </w:rPr>
        <w:t xml:space="preserve">The </w:t>
      </w:r>
      <w:r w:rsidR="00885C8C" w:rsidRPr="00885C8C">
        <w:rPr>
          <w:sz w:val="22"/>
        </w:rPr>
        <w:t xml:space="preserve">project delivered </w:t>
      </w:r>
      <w:r>
        <w:rPr>
          <w:sz w:val="22"/>
        </w:rPr>
        <w:t xml:space="preserve">a </w:t>
      </w:r>
      <w:r w:rsidR="00885C8C" w:rsidRPr="00885C8C">
        <w:rPr>
          <w:sz w:val="22"/>
        </w:rPr>
        <w:t>rather long list of deliverables.</w:t>
      </w:r>
      <w:r>
        <w:rPr>
          <w:sz w:val="22"/>
        </w:rPr>
        <w:t xml:space="preserve"> It</w:t>
      </w:r>
      <w:r w:rsidR="00885C8C" w:rsidRPr="00885C8C">
        <w:rPr>
          <w:sz w:val="22"/>
        </w:rPr>
        <w:t xml:space="preserve"> provided support to a broad range of activities that include several assessments, analyses, studies, stakeholder consultations, development of proposals, collaboration mechanisms (working groups, committees, commissions), as well as training, information material and study tours to raise skills and knowledge of relevant stakeholders, and finally technical assistance to MOE to implement the MTEF guidelines and the related three-year budgetary system at both the central level and local levels with the support to 6 towns, including the granting of o</w:t>
      </w:r>
      <w:r w:rsidR="003B4244">
        <w:rPr>
          <w:sz w:val="22"/>
        </w:rPr>
        <w:t>ne priority project per town</w:t>
      </w:r>
      <w:r>
        <w:rPr>
          <w:sz w:val="22"/>
        </w:rPr>
        <w:t>.</w:t>
      </w:r>
      <w:r w:rsidR="00885C8C" w:rsidRPr="00885C8C">
        <w:rPr>
          <w:sz w:val="22"/>
        </w:rPr>
        <w:t xml:space="preserve"> </w:t>
      </w:r>
    </w:p>
    <w:p w14:paraId="140D257C" w14:textId="77777777" w:rsidR="00885C8C" w:rsidRPr="00885C8C" w:rsidRDefault="00885C8C" w:rsidP="00885C8C">
      <w:pPr>
        <w:pStyle w:val="ListParagraph"/>
        <w:jc w:val="both"/>
        <w:rPr>
          <w:sz w:val="22"/>
        </w:rPr>
      </w:pPr>
    </w:p>
    <w:p w14:paraId="5763CD01" w14:textId="3104804B" w:rsidR="00885C8C" w:rsidRPr="00885C8C" w:rsidRDefault="00885C8C" w:rsidP="00885C8C">
      <w:pPr>
        <w:jc w:val="both"/>
        <w:rPr>
          <w:sz w:val="22"/>
        </w:rPr>
      </w:pPr>
      <w:r w:rsidRPr="00885C8C">
        <w:rPr>
          <w:sz w:val="22"/>
        </w:rPr>
        <w:t>As a result of th</w:t>
      </w:r>
      <w:r w:rsidR="00332021">
        <w:rPr>
          <w:sz w:val="22"/>
        </w:rPr>
        <w:t xml:space="preserve">is support, </w:t>
      </w:r>
      <w:r w:rsidRPr="00885C8C">
        <w:rPr>
          <w:sz w:val="22"/>
        </w:rPr>
        <w:t xml:space="preserve">Moldova is now better equipped with more valid information on EFR, relevant stakeholders – particularly staff at MOE, MOF and MOEco – with better skills and knowledge on EFR and environmental fiscal instruments available to the government to move the EFR agenda forward. </w:t>
      </w:r>
      <w:r w:rsidR="00332021">
        <w:rPr>
          <w:sz w:val="22"/>
        </w:rPr>
        <w:t>T</w:t>
      </w:r>
      <w:r w:rsidRPr="00885C8C">
        <w:rPr>
          <w:sz w:val="22"/>
        </w:rPr>
        <w:t xml:space="preserve">he project certainly delivered critical results against </w:t>
      </w:r>
      <w:r w:rsidR="00332021">
        <w:rPr>
          <w:sz w:val="22"/>
        </w:rPr>
        <w:t>its</w:t>
      </w:r>
      <w:r w:rsidR="00332021" w:rsidRPr="00885C8C">
        <w:rPr>
          <w:sz w:val="22"/>
        </w:rPr>
        <w:t xml:space="preserve"> expected outputs and outcomes</w:t>
      </w:r>
      <w:r w:rsidR="00332021">
        <w:rPr>
          <w:sz w:val="22"/>
        </w:rPr>
        <w:t xml:space="preserve">. </w:t>
      </w:r>
      <w:r w:rsidRPr="00885C8C">
        <w:rPr>
          <w:sz w:val="22"/>
        </w:rPr>
        <w:t>It provided assessments, analyses, studies and proposals necessary to “</w:t>
      </w:r>
      <w:r w:rsidRPr="00332021">
        <w:rPr>
          <w:i/>
          <w:sz w:val="22"/>
        </w:rPr>
        <w:t>reform environmentally harmful subsidies, green subsidies, environmental charges and a better functioning NEF</w:t>
      </w:r>
      <w:r w:rsidRPr="00885C8C">
        <w:rPr>
          <w:sz w:val="22"/>
        </w:rPr>
        <w:t>” (outcome 1); it supported the implementation of “</w:t>
      </w:r>
      <w:r w:rsidRPr="00332021">
        <w:rPr>
          <w:i/>
          <w:sz w:val="22"/>
        </w:rPr>
        <w:t>capacity development (</w:t>
      </w:r>
      <w:r w:rsidRPr="00332021">
        <w:rPr>
          <w:sz w:val="22"/>
        </w:rPr>
        <w:t>activities</w:t>
      </w:r>
      <w:r w:rsidRPr="00332021">
        <w:rPr>
          <w:i/>
          <w:sz w:val="22"/>
        </w:rPr>
        <w:t>) to engage and build consensus among all stakeholders</w:t>
      </w:r>
      <w:r w:rsidRPr="00885C8C">
        <w:rPr>
          <w:sz w:val="22"/>
        </w:rPr>
        <w:t>” (outcome 2); and finally it supported activities to “</w:t>
      </w:r>
      <w:r w:rsidR="00332021">
        <w:rPr>
          <w:i/>
          <w:sz w:val="22"/>
        </w:rPr>
        <w:t>i</w:t>
      </w:r>
      <w:r w:rsidRPr="00332021">
        <w:rPr>
          <w:i/>
          <w:sz w:val="22"/>
        </w:rPr>
        <w:t>ntegrate EFR in local and central planning processes</w:t>
      </w:r>
      <w:r w:rsidRPr="00885C8C">
        <w:rPr>
          <w:sz w:val="22"/>
        </w:rPr>
        <w:t xml:space="preserve">” (outcome 3). </w:t>
      </w:r>
    </w:p>
    <w:p w14:paraId="163F0B0A" w14:textId="77777777" w:rsidR="00A67B08" w:rsidRPr="00FB6D4E" w:rsidRDefault="00A67B08" w:rsidP="003F23AA">
      <w:pPr>
        <w:pStyle w:val="ListParagraph"/>
        <w:ind w:left="0"/>
        <w:jc w:val="both"/>
        <w:rPr>
          <w:sz w:val="22"/>
        </w:rPr>
      </w:pPr>
    </w:p>
    <w:p w14:paraId="0B973A34" w14:textId="40C09F78" w:rsidR="003F23AA" w:rsidRPr="00F07003" w:rsidRDefault="00442723" w:rsidP="002F2A20">
      <w:pPr>
        <w:pStyle w:val="ListParagraph"/>
        <w:shd w:val="clear" w:color="auto" w:fill="E0E0E0"/>
        <w:ind w:left="0"/>
        <w:rPr>
          <w:sz w:val="22"/>
          <w:szCs w:val="22"/>
        </w:rPr>
      </w:pPr>
      <w:r>
        <w:rPr>
          <w:b/>
          <w:sz w:val="22"/>
          <w:szCs w:val="22"/>
        </w:rPr>
        <w:t>g</w:t>
      </w:r>
      <w:r w:rsidR="002F2A20">
        <w:rPr>
          <w:b/>
          <w:sz w:val="22"/>
          <w:szCs w:val="22"/>
        </w:rPr>
        <w:t>)</w:t>
      </w:r>
      <w:r w:rsidR="00DA2D2D">
        <w:rPr>
          <w:b/>
          <w:sz w:val="22"/>
          <w:szCs w:val="22"/>
        </w:rPr>
        <w:t xml:space="preserve"> </w:t>
      </w:r>
      <w:r w:rsidR="00D2464C">
        <w:rPr>
          <w:b/>
          <w:sz w:val="22"/>
          <w:szCs w:val="22"/>
        </w:rPr>
        <w:t>Two main “</w:t>
      </w:r>
      <w:r w:rsidR="00D2464C" w:rsidRPr="00D2464C">
        <w:rPr>
          <w:b/>
          <w:i/>
          <w:sz w:val="22"/>
          <w:szCs w:val="22"/>
        </w:rPr>
        <w:t>Impact Drivers</w:t>
      </w:r>
      <w:r w:rsidR="00D2464C">
        <w:rPr>
          <w:b/>
          <w:sz w:val="22"/>
          <w:szCs w:val="22"/>
        </w:rPr>
        <w:t xml:space="preserve">” </w:t>
      </w:r>
      <w:r w:rsidR="00F174C1">
        <w:rPr>
          <w:b/>
          <w:sz w:val="22"/>
          <w:szCs w:val="22"/>
        </w:rPr>
        <w:t xml:space="preserve">impacted </w:t>
      </w:r>
      <w:r w:rsidR="00DB3AEA">
        <w:rPr>
          <w:b/>
          <w:sz w:val="22"/>
          <w:szCs w:val="22"/>
        </w:rPr>
        <w:t xml:space="preserve">positively </w:t>
      </w:r>
      <w:r w:rsidR="00D2464C">
        <w:rPr>
          <w:b/>
          <w:sz w:val="22"/>
          <w:szCs w:val="22"/>
        </w:rPr>
        <w:t xml:space="preserve">the project </w:t>
      </w:r>
      <w:r w:rsidR="00F174C1">
        <w:rPr>
          <w:b/>
          <w:sz w:val="22"/>
          <w:szCs w:val="22"/>
        </w:rPr>
        <w:t xml:space="preserve">but the </w:t>
      </w:r>
      <w:r w:rsidR="00885C8C">
        <w:rPr>
          <w:b/>
          <w:sz w:val="22"/>
          <w:szCs w:val="22"/>
        </w:rPr>
        <w:t xml:space="preserve">overall success of the </w:t>
      </w:r>
      <w:r w:rsidR="00DA2D2D">
        <w:rPr>
          <w:b/>
          <w:sz w:val="22"/>
          <w:szCs w:val="22"/>
        </w:rPr>
        <w:t xml:space="preserve">project </w:t>
      </w:r>
      <w:r w:rsidR="00885C8C">
        <w:rPr>
          <w:b/>
          <w:sz w:val="22"/>
          <w:szCs w:val="22"/>
        </w:rPr>
        <w:t>was hampered by two main factors.</w:t>
      </w:r>
    </w:p>
    <w:p w14:paraId="43A09FE0" w14:textId="77777777" w:rsidR="00CC61F0" w:rsidRDefault="00CC61F0" w:rsidP="003F23AA">
      <w:pPr>
        <w:jc w:val="both"/>
        <w:rPr>
          <w:sz w:val="22"/>
        </w:rPr>
      </w:pPr>
    </w:p>
    <w:p w14:paraId="151E2226" w14:textId="18192FB2" w:rsidR="00F174C1" w:rsidRPr="00F174C1" w:rsidRDefault="00DB3AEA" w:rsidP="00F174C1">
      <w:pPr>
        <w:jc w:val="both"/>
        <w:rPr>
          <w:sz w:val="22"/>
        </w:rPr>
      </w:pPr>
      <w:r w:rsidRPr="00FA286C">
        <w:rPr>
          <w:sz w:val="22"/>
        </w:rPr>
        <w:t xml:space="preserve">The EFR agenda on Moldova was greatly strengthened with more information available, </w:t>
      </w:r>
      <w:r>
        <w:rPr>
          <w:sz w:val="22"/>
        </w:rPr>
        <w:t xml:space="preserve">better </w:t>
      </w:r>
      <w:r w:rsidRPr="00FA286C">
        <w:rPr>
          <w:sz w:val="22"/>
        </w:rPr>
        <w:t>access to environmental economic instruments, and better skills and knowledge of key stakeholders to undertake environmental fiscal reform activities.</w:t>
      </w:r>
      <w:r>
        <w:rPr>
          <w:sz w:val="22"/>
        </w:rPr>
        <w:t xml:space="preserve"> </w:t>
      </w:r>
      <w:r w:rsidR="00C4603E">
        <w:rPr>
          <w:sz w:val="22"/>
        </w:rPr>
        <w:t xml:space="preserve">Using the </w:t>
      </w:r>
      <w:r w:rsidR="00C4603E" w:rsidRPr="00C4603E">
        <w:rPr>
          <w:i/>
          <w:sz w:val="22"/>
        </w:rPr>
        <w:t>Theory of Change</w:t>
      </w:r>
      <w:r w:rsidR="00C4603E">
        <w:rPr>
          <w:sz w:val="22"/>
        </w:rPr>
        <w:t xml:space="preserve"> approach to analyze the progress made by the project, t</w:t>
      </w:r>
      <w:r w:rsidR="00F174C1">
        <w:rPr>
          <w:sz w:val="22"/>
        </w:rPr>
        <w:t>wo “</w:t>
      </w:r>
      <w:r w:rsidR="00F174C1" w:rsidRPr="00F174C1">
        <w:rPr>
          <w:i/>
          <w:sz w:val="22"/>
        </w:rPr>
        <w:t>drivers for change</w:t>
      </w:r>
      <w:r w:rsidR="00F174C1">
        <w:rPr>
          <w:sz w:val="22"/>
        </w:rPr>
        <w:t xml:space="preserve">” contributed to the </w:t>
      </w:r>
      <w:r w:rsidR="00C4603E">
        <w:rPr>
          <w:sz w:val="22"/>
        </w:rPr>
        <w:t>achievement</w:t>
      </w:r>
      <w:r w:rsidR="00F174C1">
        <w:rPr>
          <w:sz w:val="22"/>
        </w:rPr>
        <w:t xml:space="preserve"> of </w:t>
      </w:r>
      <w:r>
        <w:rPr>
          <w:sz w:val="22"/>
        </w:rPr>
        <w:t>these results</w:t>
      </w:r>
      <w:r w:rsidR="00F174C1" w:rsidRPr="00F174C1">
        <w:rPr>
          <w:sz w:val="22"/>
        </w:rPr>
        <w:t>:</w:t>
      </w:r>
    </w:p>
    <w:p w14:paraId="4DA32474" w14:textId="79D0AEC4" w:rsidR="00DB3AEA" w:rsidRDefault="00F174C1" w:rsidP="00F174C1">
      <w:pPr>
        <w:pStyle w:val="ListParagraph"/>
        <w:numPr>
          <w:ilvl w:val="0"/>
          <w:numId w:val="78"/>
        </w:numPr>
        <w:jc w:val="both"/>
        <w:rPr>
          <w:sz w:val="22"/>
        </w:rPr>
      </w:pPr>
      <w:r w:rsidRPr="00DB3AEA">
        <w:rPr>
          <w:sz w:val="22"/>
        </w:rPr>
        <w:t xml:space="preserve">The existence of the Association Agreement (AA) between Moldova and the EU that was signed in June 2014. </w:t>
      </w:r>
      <w:r w:rsidR="00DB3AEA" w:rsidRPr="00DB3AEA">
        <w:rPr>
          <w:sz w:val="22"/>
        </w:rPr>
        <w:t>In order to comply with this agreement</w:t>
      </w:r>
      <w:r w:rsidR="00DB3AEA">
        <w:rPr>
          <w:sz w:val="22"/>
        </w:rPr>
        <w:t>, which is</w:t>
      </w:r>
      <w:r w:rsidR="00DB3AEA" w:rsidRPr="00DB3AEA">
        <w:rPr>
          <w:sz w:val="22"/>
        </w:rPr>
        <w:t xml:space="preserve"> to promote economic integration and political association, </w:t>
      </w:r>
      <w:r w:rsidRPr="00DB3AEA">
        <w:rPr>
          <w:sz w:val="22"/>
        </w:rPr>
        <w:t xml:space="preserve">Moldova must align the country’s policies, legislation, standards, norms, etc. with those of the EU. </w:t>
      </w:r>
      <w:r w:rsidR="00DB3AEA">
        <w:rPr>
          <w:sz w:val="22"/>
        </w:rPr>
        <w:t xml:space="preserve">EFR </w:t>
      </w:r>
      <w:r w:rsidR="00C4603E">
        <w:rPr>
          <w:sz w:val="22"/>
        </w:rPr>
        <w:t>has been</w:t>
      </w:r>
      <w:r w:rsidR="00DB3AEA">
        <w:rPr>
          <w:sz w:val="22"/>
        </w:rPr>
        <w:t xml:space="preserve"> part of the </w:t>
      </w:r>
      <w:r w:rsidR="00C4603E">
        <w:rPr>
          <w:sz w:val="22"/>
        </w:rPr>
        <w:t>process</w:t>
      </w:r>
      <w:r w:rsidR="00DB3AEA">
        <w:rPr>
          <w:sz w:val="22"/>
        </w:rPr>
        <w:t xml:space="preserve"> to </w:t>
      </w:r>
      <w:r w:rsidRPr="00DB3AEA">
        <w:rPr>
          <w:sz w:val="22"/>
        </w:rPr>
        <w:t>harmonize/approximate its environmental legislati</w:t>
      </w:r>
      <w:r w:rsidR="00DB3AEA">
        <w:rPr>
          <w:sz w:val="22"/>
        </w:rPr>
        <w:t>on with the EU Directives</w:t>
      </w:r>
      <w:r w:rsidRPr="00DB3AEA">
        <w:rPr>
          <w:sz w:val="22"/>
        </w:rPr>
        <w:t xml:space="preserve"> and international agreements.</w:t>
      </w:r>
    </w:p>
    <w:p w14:paraId="5B97DD99" w14:textId="2244541A" w:rsidR="00F174C1" w:rsidRPr="00DB3AEA" w:rsidRDefault="00F174C1" w:rsidP="003F23AA">
      <w:pPr>
        <w:pStyle w:val="ListParagraph"/>
        <w:numPr>
          <w:ilvl w:val="0"/>
          <w:numId w:val="78"/>
        </w:numPr>
        <w:jc w:val="both"/>
        <w:rPr>
          <w:sz w:val="22"/>
        </w:rPr>
      </w:pPr>
      <w:r w:rsidRPr="00DB3AEA">
        <w:rPr>
          <w:sz w:val="22"/>
        </w:rPr>
        <w:t>Moldova made EU integration a priority,</w:t>
      </w:r>
      <w:r w:rsidR="00DB3AEA">
        <w:rPr>
          <w:sz w:val="22"/>
        </w:rPr>
        <w:t xml:space="preserve"> which </w:t>
      </w:r>
      <w:r w:rsidR="00C4603E">
        <w:rPr>
          <w:sz w:val="22"/>
        </w:rPr>
        <w:t>implies that the government of Moldova must</w:t>
      </w:r>
      <w:r w:rsidRPr="00DB3AEA">
        <w:rPr>
          <w:sz w:val="22"/>
        </w:rPr>
        <w:t xml:space="preserve"> align its environmental management framework with the </w:t>
      </w:r>
      <w:r w:rsidR="00DB3AEA">
        <w:rPr>
          <w:sz w:val="22"/>
        </w:rPr>
        <w:t>EU</w:t>
      </w:r>
      <w:r w:rsidRPr="00DB3AEA">
        <w:rPr>
          <w:sz w:val="22"/>
        </w:rPr>
        <w:t xml:space="preserve">, including its environmental fiscal </w:t>
      </w:r>
      <w:r w:rsidR="00DB3AEA">
        <w:rPr>
          <w:sz w:val="22"/>
        </w:rPr>
        <w:t>area</w:t>
      </w:r>
      <w:r w:rsidRPr="00DB3AEA">
        <w:rPr>
          <w:sz w:val="22"/>
        </w:rPr>
        <w:t xml:space="preserve">. </w:t>
      </w:r>
    </w:p>
    <w:p w14:paraId="6C1D2ACB" w14:textId="77777777" w:rsidR="00F174C1" w:rsidRDefault="00F174C1" w:rsidP="003F23AA">
      <w:pPr>
        <w:jc w:val="both"/>
        <w:rPr>
          <w:sz w:val="22"/>
        </w:rPr>
      </w:pPr>
    </w:p>
    <w:p w14:paraId="77418754" w14:textId="325B222B" w:rsidR="00FA286C" w:rsidRDefault="00FA286C" w:rsidP="003F23AA">
      <w:pPr>
        <w:jc w:val="both"/>
        <w:rPr>
          <w:sz w:val="22"/>
        </w:rPr>
      </w:pPr>
      <w:r>
        <w:rPr>
          <w:sz w:val="22"/>
        </w:rPr>
        <w:lastRenderedPageBreak/>
        <w:t>However, to be fully successful</w:t>
      </w:r>
      <w:r w:rsidR="00C4603E">
        <w:rPr>
          <w:sz w:val="22"/>
        </w:rPr>
        <w:t>,</w:t>
      </w:r>
      <w:r>
        <w:rPr>
          <w:sz w:val="22"/>
        </w:rPr>
        <w:t xml:space="preserve"> the project needed to achieve</w:t>
      </w:r>
      <w:r w:rsidRPr="00FA286C">
        <w:rPr>
          <w:sz w:val="22"/>
        </w:rPr>
        <w:t xml:space="preserve"> “</w:t>
      </w:r>
      <w:r w:rsidRPr="00FA286C">
        <w:rPr>
          <w:i/>
          <w:sz w:val="22"/>
        </w:rPr>
        <w:t xml:space="preserve">the </w:t>
      </w:r>
      <w:r w:rsidRPr="00C4603E">
        <w:rPr>
          <w:i/>
          <w:sz w:val="22"/>
          <w:u w:val="single"/>
        </w:rPr>
        <w:t>adoption</w:t>
      </w:r>
      <w:r w:rsidRPr="00FA286C">
        <w:rPr>
          <w:i/>
          <w:sz w:val="22"/>
        </w:rPr>
        <w:t xml:space="preserve"> of selected subsidies, fees, fines, taxes and other appropriate fiscal instruments</w:t>
      </w:r>
      <w:r w:rsidRPr="00FA286C">
        <w:rPr>
          <w:sz w:val="22"/>
        </w:rPr>
        <w:t xml:space="preserve">”. </w:t>
      </w:r>
      <w:r>
        <w:rPr>
          <w:sz w:val="22"/>
        </w:rPr>
        <w:t xml:space="preserve">Instead, key deliverables ended up as </w:t>
      </w:r>
      <w:r w:rsidRPr="00FA286C">
        <w:rPr>
          <w:sz w:val="22"/>
        </w:rPr>
        <w:t>proposals that were submitted to the re</w:t>
      </w:r>
      <w:r>
        <w:rPr>
          <w:sz w:val="22"/>
        </w:rPr>
        <w:t>levant government authoriti</w:t>
      </w:r>
      <w:r w:rsidR="00216676">
        <w:rPr>
          <w:sz w:val="22"/>
        </w:rPr>
        <w:t>es for approval and endorsement; there are not adopted yet</w:t>
      </w:r>
      <w:r w:rsidR="00DB3AEA">
        <w:rPr>
          <w:sz w:val="22"/>
        </w:rPr>
        <w:t xml:space="preserve">. It is </w:t>
      </w:r>
      <w:r w:rsidR="00216676">
        <w:rPr>
          <w:sz w:val="22"/>
        </w:rPr>
        <w:t xml:space="preserve">due </w:t>
      </w:r>
      <w:r>
        <w:rPr>
          <w:sz w:val="22"/>
        </w:rPr>
        <w:t>to two main factors:</w:t>
      </w:r>
    </w:p>
    <w:p w14:paraId="5C4A9629" w14:textId="38CDB06E" w:rsidR="00FA286C" w:rsidRPr="00216676" w:rsidRDefault="00FA286C" w:rsidP="00216676">
      <w:pPr>
        <w:pStyle w:val="ListParagraph"/>
        <w:numPr>
          <w:ilvl w:val="0"/>
          <w:numId w:val="77"/>
        </w:numPr>
        <w:jc w:val="both"/>
        <w:rPr>
          <w:sz w:val="22"/>
        </w:rPr>
      </w:pPr>
      <w:r w:rsidRPr="00FA286C">
        <w:rPr>
          <w:sz w:val="22"/>
        </w:rPr>
        <w:t>The implementation of the project during the first half was very slow</w:t>
      </w:r>
      <w:r>
        <w:rPr>
          <w:sz w:val="22"/>
        </w:rPr>
        <w:t xml:space="preserve"> with only 17% of the budget disbursed during the first 2 years (66% of the time). </w:t>
      </w:r>
      <w:r w:rsidRPr="00216676">
        <w:rPr>
          <w:sz w:val="22"/>
        </w:rPr>
        <w:t xml:space="preserve">The volume of activities increased substantially in 2014 following the hiring of a new Project Manager. The project was able to catch up on most of its deadlines but it did not have enough time to “push” further </w:t>
      </w:r>
      <w:r w:rsidR="00216676">
        <w:rPr>
          <w:sz w:val="22"/>
        </w:rPr>
        <w:t xml:space="preserve">the </w:t>
      </w:r>
      <w:r w:rsidRPr="00216676">
        <w:rPr>
          <w:sz w:val="22"/>
        </w:rPr>
        <w:t>proposals</w:t>
      </w:r>
      <w:r w:rsidR="00216676">
        <w:rPr>
          <w:sz w:val="22"/>
        </w:rPr>
        <w:t xml:space="preserve"> developed</w:t>
      </w:r>
      <w:r w:rsidRPr="00216676">
        <w:rPr>
          <w:sz w:val="22"/>
        </w:rPr>
        <w:t>.</w:t>
      </w:r>
    </w:p>
    <w:p w14:paraId="690BEC51" w14:textId="71034046" w:rsidR="00216676" w:rsidRPr="00216676" w:rsidRDefault="00216676" w:rsidP="00216676">
      <w:pPr>
        <w:pStyle w:val="ListParagraph"/>
        <w:numPr>
          <w:ilvl w:val="0"/>
          <w:numId w:val="77"/>
        </w:numPr>
        <w:jc w:val="both"/>
        <w:rPr>
          <w:sz w:val="22"/>
        </w:rPr>
      </w:pPr>
      <w:r>
        <w:rPr>
          <w:sz w:val="22"/>
        </w:rPr>
        <w:t>T</w:t>
      </w:r>
      <w:r w:rsidR="00FA286C" w:rsidRPr="00FA286C">
        <w:rPr>
          <w:sz w:val="22"/>
        </w:rPr>
        <w:t xml:space="preserve">he nature of this project </w:t>
      </w:r>
      <w:r>
        <w:rPr>
          <w:sz w:val="22"/>
        </w:rPr>
        <w:t>implied</w:t>
      </w:r>
      <w:r w:rsidR="00FA286C" w:rsidRPr="00FA286C">
        <w:rPr>
          <w:sz w:val="22"/>
        </w:rPr>
        <w:t xml:space="preserve"> a strong political commitment from the government </w:t>
      </w:r>
      <w:r>
        <w:rPr>
          <w:sz w:val="22"/>
        </w:rPr>
        <w:t xml:space="preserve">to </w:t>
      </w:r>
      <w:r w:rsidR="00FA286C" w:rsidRPr="00FA286C">
        <w:rPr>
          <w:sz w:val="22"/>
        </w:rPr>
        <w:t xml:space="preserve">produce significant changes in the EFR area. Reforming environmental harmful subsidies, introducing green subsidies, strengthen environmental charges and reforming an environmental fund are part of a complicated national fiscal reform agenda that may impact the economy and the social stability of Moldova. </w:t>
      </w:r>
      <w:r w:rsidR="00805CBF">
        <w:rPr>
          <w:sz w:val="22"/>
        </w:rPr>
        <w:t>D</w:t>
      </w:r>
      <w:r w:rsidRPr="00216676">
        <w:rPr>
          <w:sz w:val="22"/>
        </w:rPr>
        <w:t xml:space="preserve">espite that the </w:t>
      </w:r>
      <w:r w:rsidR="00FA286C" w:rsidRPr="00216676">
        <w:rPr>
          <w:sz w:val="22"/>
        </w:rPr>
        <w:t>project was successful in initiating an environmental fiscal reform process</w:t>
      </w:r>
      <w:r w:rsidR="00805CBF">
        <w:rPr>
          <w:sz w:val="22"/>
        </w:rPr>
        <w:t xml:space="preserve"> in Moldova</w:t>
      </w:r>
      <w:r w:rsidRPr="00216676">
        <w:rPr>
          <w:sz w:val="22"/>
        </w:rPr>
        <w:t>, the</w:t>
      </w:r>
      <w:r w:rsidR="00FA286C" w:rsidRPr="00216676">
        <w:rPr>
          <w:sz w:val="22"/>
        </w:rPr>
        <w:t xml:space="preserve"> political uncertainty of the last 18 months</w:t>
      </w:r>
      <w:r w:rsidRPr="00216676">
        <w:rPr>
          <w:sz w:val="22"/>
        </w:rPr>
        <w:t xml:space="preserve">: </w:t>
      </w:r>
      <w:r w:rsidR="00FA286C" w:rsidRPr="00216676">
        <w:rPr>
          <w:sz w:val="22"/>
        </w:rPr>
        <w:t>three governments, four different Ministers of Environment, 5 Deputy Ministers and two State Secretaries</w:t>
      </w:r>
      <w:r w:rsidRPr="00216676">
        <w:rPr>
          <w:sz w:val="22"/>
        </w:rPr>
        <w:t xml:space="preserve"> hampered the progress to adopt these proposals</w:t>
      </w:r>
      <w:r w:rsidR="00805CBF">
        <w:rPr>
          <w:sz w:val="22"/>
        </w:rPr>
        <w:t xml:space="preserve"> at the political level during the timeframe of the project</w:t>
      </w:r>
      <w:r w:rsidRPr="00216676">
        <w:rPr>
          <w:sz w:val="22"/>
        </w:rPr>
        <w:t>.</w:t>
      </w:r>
    </w:p>
    <w:p w14:paraId="37E137D1" w14:textId="77777777" w:rsidR="00FA286C" w:rsidRDefault="00FA286C" w:rsidP="003F23AA">
      <w:pPr>
        <w:jc w:val="both"/>
        <w:rPr>
          <w:sz w:val="22"/>
        </w:rPr>
      </w:pPr>
    </w:p>
    <w:p w14:paraId="308CEC0C" w14:textId="149A3AB8" w:rsidR="009F398B" w:rsidRPr="00F07003" w:rsidRDefault="00442723" w:rsidP="002F2A20">
      <w:pPr>
        <w:pStyle w:val="ListParagraph"/>
        <w:shd w:val="clear" w:color="auto" w:fill="E0E0E0"/>
        <w:ind w:left="0"/>
        <w:rPr>
          <w:sz w:val="22"/>
          <w:szCs w:val="22"/>
        </w:rPr>
      </w:pPr>
      <w:r>
        <w:rPr>
          <w:b/>
          <w:sz w:val="22"/>
          <w:szCs w:val="22"/>
        </w:rPr>
        <w:t>h</w:t>
      </w:r>
      <w:r w:rsidR="002F2A20">
        <w:rPr>
          <w:b/>
          <w:sz w:val="22"/>
          <w:szCs w:val="22"/>
        </w:rPr>
        <w:t>)</w:t>
      </w:r>
      <w:r w:rsidR="009F398B">
        <w:rPr>
          <w:b/>
          <w:sz w:val="22"/>
          <w:szCs w:val="22"/>
        </w:rPr>
        <w:t xml:space="preserve"> </w:t>
      </w:r>
      <w:r w:rsidR="00E8617D">
        <w:rPr>
          <w:b/>
          <w:sz w:val="22"/>
          <w:szCs w:val="22"/>
        </w:rPr>
        <w:t>T</w:t>
      </w:r>
      <w:r w:rsidR="0003119F">
        <w:rPr>
          <w:b/>
          <w:sz w:val="22"/>
          <w:szCs w:val="22"/>
        </w:rPr>
        <w:t>he prospect</w:t>
      </w:r>
      <w:r w:rsidR="00E8617D" w:rsidRPr="00E8617D">
        <w:rPr>
          <w:b/>
          <w:sz w:val="22"/>
          <w:szCs w:val="22"/>
        </w:rPr>
        <w:t xml:space="preserve"> for the long-term sustainability of project achievements </w:t>
      </w:r>
      <w:r w:rsidR="0003119F">
        <w:rPr>
          <w:b/>
          <w:sz w:val="22"/>
          <w:szCs w:val="22"/>
        </w:rPr>
        <w:t>is</w:t>
      </w:r>
      <w:r w:rsidR="00DB3AEA">
        <w:rPr>
          <w:b/>
          <w:sz w:val="22"/>
          <w:szCs w:val="22"/>
        </w:rPr>
        <w:t xml:space="preserve"> good.</w:t>
      </w:r>
    </w:p>
    <w:p w14:paraId="29485769" w14:textId="77777777" w:rsidR="009F398B" w:rsidRDefault="009F398B" w:rsidP="003F23AA">
      <w:pPr>
        <w:jc w:val="both"/>
        <w:rPr>
          <w:sz w:val="22"/>
        </w:rPr>
      </w:pPr>
    </w:p>
    <w:p w14:paraId="06E69124" w14:textId="06223EBF" w:rsidR="00DB3AEA" w:rsidRPr="00DB3AEA" w:rsidRDefault="00DB3AEA" w:rsidP="00DB3AEA">
      <w:pPr>
        <w:jc w:val="both"/>
        <w:rPr>
          <w:sz w:val="22"/>
        </w:rPr>
      </w:pPr>
      <w:r w:rsidRPr="00DB3AEA">
        <w:rPr>
          <w:sz w:val="22"/>
        </w:rPr>
        <w:t xml:space="preserve">The project was a direct response to national priorities and highly relevant in the context of an overall government strategy to promote a green economy and sustainable development in Moldova. </w:t>
      </w:r>
      <w:r w:rsidR="00667DBE">
        <w:rPr>
          <w:sz w:val="22"/>
        </w:rPr>
        <w:t>It</w:t>
      </w:r>
      <w:r w:rsidRPr="00DB3AEA">
        <w:rPr>
          <w:sz w:val="22"/>
        </w:rPr>
        <w:t xml:space="preserve"> definitely contributed to moving the EFR agenda forward; it strengthened Moldova’s capacity with more information available on EFR, access to environmental economic instruments, and better skills and knowledge of key stakeholders to pursue environmental fiscal reform activities. It is anticipated that the government will continue with its EFR agenda in the foreseeable future using the various outputs of the project as a basis for implementing these reforms. Therefore, project achievements should be sustained in the medium-term and used as a base to continue the reform process of environmental taxation, charges and regulations of the NEF. </w:t>
      </w:r>
    </w:p>
    <w:p w14:paraId="565ACB79" w14:textId="77777777" w:rsidR="00DB3AEA" w:rsidRPr="00DB3AEA" w:rsidRDefault="00DB3AEA" w:rsidP="00DB3AEA">
      <w:pPr>
        <w:jc w:val="both"/>
        <w:rPr>
          <w:sz w:val="22"/>
        </w:rPr>
      </w:pPr>
    </w:p>
    <w:p w14:paraId="6126956C" w14:textId="7AAF2E6A" w:rsidR="00DB3AEA" w:rsidRDefault="00667DBE" w:rsidP="003F23AA">
      <w:pPr>
        <w:jc w:val="both"/>
        <w:rPr>
          <w:sz w:val="22"/>
        </w:rPr>
      </w:pPr>
      <w:r>
        <w:rPr>
          <w:sz w:val="22"/>
        </w:rPr>
        <w:t>A</w:t>
      </w:r>
      <w:r w:rsidR="00DB3AEA" w:rsidRPr="00DB3AEA">
        <w:rPr>
          <w:sz w:val="22"/>
        </w:rPr>
        <w:t xml:space="preserve"> good sustainability strategy </w:t>
      </w:r>
      <w:r>
        <w:rPr>
          <w:sz w:val="22"/>
        </w:rPr>
        <w:t xml:space="preserve">was developed </w:t>
      </w:r>
      <w:r w:rsidR="00DB3AEA" w:rsidRPr="00DB3AEA">
        <w:rPr>
          <w:sz w:val="22"/>
        </w:rPr>
        <w:t xml:space="preserve">in the project document. It recognized </w:t>
      </w:r>
      <w:r>
        <w:rPr>
          <w:sz w:val="22"/>
        </w:rPr>
        <w:t xml:space="preserve">from the outset </w:t>
      </w:r>
      <w:r w:rsidR="00DB3AEA" w:rsidRPr="00DB3AEA">
        <w:rPr>
          <w:sz w:val="22"/>
        </w:rPr>
        <w:t>that environmental fiscal reform falls within the field of public finance management, requiring very specialized skills. As a result, in order</w:t>
      </w:r>
      <w:r>
        <w:rPr>
          <w:sz w:val="22"/>
        </w:rPr>
        <w:t xml:space="preserve"> for the project to achieve sustainable results,</w:t>
      </w:r>
      <w:r w:rsidR="00DB3AEA" w:rsidRPr="00DB3AEA">
        <w:rPr>
          <w:sz w:val="22"/>
        </w:rPr>
        <w:t xml:space="preserve"> the project was to institutionalize the availability and access to this expertise within key organizations such as MOE, MOF, MOEco, MAFI and ANRE a</w:t>
      </w:r>
      <w:r w:rsidR="004407D9">
        <w:rPr>
          <w:sz w:val="22"/>
        </w:rPr>
        <w:t xml:space="preserve">s well as Local Administrations, as well as developing </w:t>
      </w:r>
      <w:r w:rsidR="00DB3AEA" w:rsidRPr="00DB3AEA">
        <w:rPr>
          <w:sz w:val="22"/>
        </w:rPr>
        <w:t>fiscal measures that will be applied and tested in two particular sectors and a particular sub-region in Moldova</w:t>
      </w:r>
      <w:r w:rsidR="004407D9">
        <w:rPr>
          <w:sz w:val="22"/>
        </w:rPr>
        <w:t xml:space="preserve">. </w:t>
      </w:r>
      <w:r w:rsidR="004407D9" w:rsidRPr="00DB3AEA">
        <w:rPr>
          <w:sz w:val="22"/>
        </w:rPr>
        <w:t xml:space="preserve">It was also anticipated </w:t>
      </w:r>
      <w:r w:rsidR="004407D9">
        <w:rPr>
          <w:sz w:val="22"/>
        </w:rPr>
        <w:t xml:space="preserve">that the project would support </w:t>
      </w:r>
      <w:r w:rsidR="004407D9" w:rsidRPr="00DB3AEA">
        <w:rPr>
          <w:sz w:val="22"/>
        </w:rPr>
        <w:t xml:space="preserve">the sharing of similar experiences with other countries in the region and the development of user-friendly manuals and guidelines on EFR, which were used to provide training to a large complement of staff that was responsible for EFR in their respective organizations. This </w:t>
      </w:r>
      <w:r w:rsidR="004407D9">
        <w:rPr>
          <w:sz w:val="22"/>
        </w:rPr>
        <w:t xml:space="preserve">sustainability </w:t>
      </w:r>
      <w:r w:rsidR="004407D9">
        <w:rPr>
          <w:sz w:val="22"/>
        </w:rPr>
        <w:lastRenderedPageBreak/>
        <w:t>strategy was adopted by the project and will certainly contribute to</w:t>
      </w:r>
      <w:r w:rsidR="004407D9" w:rsidRPr="00DB3AEA">
        <w:rPr>
          <w:sz w:val="22"/>
        </w:rPr>
        <w:t xml:space="preserve"> the long-term sustainability of project achievements.</w:t>
      </w:r>
      <w:r w:rsidR="004407D9">
        <w:rPr>
          <w:sz w:val="22"/>
        </w:rPr>
        <w:t xml:space="preserve"> T</w:t>
      </w:r>
      <w:r w:rsidR="00DB3AEA" w:rsidRPr="00DB3AEA">
        <w:rPr>
          <w:sz w:val="22"/>
        </w:rPr>
        <w:t>he EFR project facilitated the government's long-term commitment to environmental fiscal reform, including the development of the supporting policy/programmatic framework. Capacities were strengthened and should be used in the future to pursue reforms of environmental taxation, charges as well as regulations of NEF.</w:t>
      </w:r>
    </w:p>
    <w:p w14:paraId="259AE3B7" w14:textId="77777777" w:rsidR="005E3F26" w:rsidRPr="00FB6D4E" w:rsidRDefault="005E3F26" w:rsidP="003F23AA">
      <w:pPr>
        <w:widowControl/>
        <w:jc w:val="both"/>
        <w:rPr>
          <w:sz w:val="22"/>
        </w:rPr>
      </w:pPr>
    </w:p>
    <w:p w14:paraId="6B9ABDA9" w14:textId="16B44D65" w:rsidR="003F23AA" w:rsidRPr="000138CC" w:rsidRDefault="00442723" w:rsidP="002F2A20">
      <w:pPr>
        <w:pStyle w:val="ListParagraph"/>
        <w:shd w:val="clear" w:color="auto" w:fill="E0E0E0"/>
        <w:ind w:left="0"/>
        <w:rPr>
          <w:sz w:val="22"/>
          <w:szCs w:val="22"/>
        </w:rPr>
      </w:pPr>
      <w:r>
        <w:rPr>
          <w:b/>
          <w:sz w:val="22"/>
          <w:szCs w:val="22"/>
        </w:rPr>
        <w:t>i</w:t>
      </w:r>
      <w:r w:rsidR="002F2A20">
        <w:rPr>
          <w:b/>
          <w:sz w:val="22"/>
          <w:szCs w:val="22"/>
        </w:rPr>
        <w:t>)</w:t>
      </w:r>
      <w:r w:rsidR="003807D5">
        <w:rPr>
          <w:b/>
          <w:sz w:val="22"/>
          <w:szCs w:val="22"/>
        </w:rPr>
        <w:t xml:space="preserve"> </w:t>
      </w:r>
      <w:r w:rsidR="00060646">
        <w:rPr>
          <w:b/>
          <w:sz w:val="22"/>
          <w:szCs w:val="22"/>
        </w:rPr>
        <w:t>The project had a catalytic role to initiate an EFR agenda in Moldova.</w:t>
      </w:r>
      <w:r w:rsidR="00E8617D">
        <w:rPr>
          <w:b/>
          <w:sz w:val="22"/>
          <w:szCs w:val="22"/>
        </w:rPr>
        <w:t xml:space="preserve"> </w:t>
      </w:r>
    </w:p>
    <w:p w14:paraId="1EDCB3AA" w14:textId="77777777" w:rsidR="00CD7B8A" w:rsidRDefault="00CD7B8A" w:rsidP="003F23AA">
      <w:pPr>
        <w:pStyle w:val="ListParagraph"/>
        <w:ind w:left="0"/>
        <w:jc w:val="both"/>
        <w:rPr>
          <w:sz w:val="22"/>
          <w:szCs w:val="22"/>
        </w:rPr>
      </w:pPr>
    </w:p>
    <w:p w14:paraId="3EE29B03" w14:textId="77777777" w:rsidR="00177965" w:rsidRDefault="00060646" w:rsidP="00DD4C10">
      <w:pPr>
        <w:jc w:val="both"/>
        <w:rPr>
          <w:sz w:val="22"/>
          <w:szCs w:val="22"/>
        </w:rPr>
      </w:pPr>
      <w:r w:rsidRPr="00060646">
        <w:rPr>
          <w:sz w:val="22"/>
          <w:szCs w:val="22"/>
        </w:rPr>
        <w:t xml:space="preserve">Using </w:t>
      </w:r>
      <w:r w:rsidR="00DD4C10">
        <w:rPr>
          <w:sz w:val="22"/>
          <w:szCs w:val="22"/>
        </w:rPr>
        <w:t xml:space="preserve">the interpretation </w:t>
      </w:r>
      <w:r w:rsidRPr="00060646">
        <w:rPr>
          <w:sz w:val="22"/>
          <w:szCs w:val="22"/>
        </w:rPr>
        <w:t xml:space="preserve">of the catalytic role of projects </w:t>
      </w:r>
      <w:r w:rsidR="00DD4C10">
        <w:rPr>
          <w:sz w:val="22"/>
          <w:szCs w:val="22"/>
        </w:rPr>
        <w:t xml:space="preserve">of </w:t>
      </w:r>
      <w:r w:rsidRPr="00060646">
        <w:rPr>
          <w:sz w:val="22"/>
          <w:szCs w:val="22"/>
        </w:rPr>
        <w:t>the Global Environment Facility (GEF), th</w:t>
      </w:r>
      <w:r w:rsidR="00DD4C10">
        <w:rPr>
          <w:sz w:val="22"/>
          <w:szCs w:val="22"/>
        </w:rPr>
        <w:t xml:space="preserve">e achievements of this project will attract additional resources and </w:t>
      </w:r>
      <w:r w:rsidRPr="00060646">
        <w:rPr>
          <w:sz w:val="22"/>
          <w:szCs w:val="22"/>
        </w:rPr>
        <w:t>greater result</w:t>
      </w:r>
      <w:r w:rsidR="00DD4C10">
        <w:rPr>
          <w:sz w:val="22"/>
          <w:szCs w:val="22"/>
        </w:rPr>
        <w:t>s</w:t>
      </w:r>
      <w:r w:rsidRPr="00060646">
        <w:rPr>
          <w:sz w:val="22"/>
          <w:szCs w:val="22"/>
        </w:rPr>
        <w:t xml:space="preserve"> </w:t>
      </w:r>
      <w:r w:rsidR="00DD4C10">
        <w:rPr>
          <w:sz w:val="22"/>
          <w:szCs w:val="22"/>
        </w:rPr>
        <w:t>are expected in the foreseeable future. T</w:t>
      </w:r>
      <w:r w:rsidR="00DD4C10" w:rsidRPr="00060646">
        <w:rPr>
          <w:sz w:val="22"/>
          <w:szCs w:val="22"/>
        </w:rPr>
        <w:t>he EFR project produced public goods with the provision of assessments, analyses, studies, recommendations, proposals, support to develop a new budget system</w:t>
      </w:r>
      <w:r w:rsidR="00DD4C10">
        <w:rPr>
          <w:sz w:val="22"/>
          <w:szCs w:val="22"/>
        </w:rPr>
        <w:t xml:space="preserve"> aligned with the MTEF guidelines</w:t>
      </w:r>
      <w:r w:rsidR="00DD4C10" w:rsidRPr="00060646">
        <w:rPr>
          <w:sz w:val="22"/>
          <w:szCs w:val="22"/>
        </w:rPr>
        <w:t xml:space="preserve">, capacity development activities, etc. It initiated a national EFR agenda; it contributed to building foundations for reforming environmental taxation, environmental charges and reforming the NEF regulations. Moldova is now equipped with more valid information on EFR, relevant stakeholders – particularly staff at MOE, MOF and MOEco – with better skills and knowledge on EFR and environmental fiscal instruments available to the government to move the EFR agenda forward. </w:t>
      </w:r>
    </w:p>
    <w:p w14:paraId="37C7C0BB" w14:textId="77777777" w:rsidR="00177965" w:rsidRDefault="00177965" w:rsidP="00DD4C10">
      <w:pPr>
        <w:jc w:val="both"/>
        <w:rPr>
          <w:sz w:val="22"/>
          <w:szCs w:val="22"/>
        </w:rPr>
      </w:pPr>
    </w:p>
    <w:p w14:paraId="12D8F8DF" w14:textId="57689AF7" w:rsidR="00060646" w:rsidRPr="00DD4C10" w:rsidRDefault="00DD4C10" w:rsidP="00DD4C10">
      <w:pPr>
        <w:jc w:val="both"/>
        <w:rPr>
          <w:sz w:val="22"/>
          <w:szCs w:val="22"/>
        </w:rPr>
      </w:pPr>
      <w:r w:rsidRPr="00060646">
        <w:rPr>
          <w:sz w:val="22"/>
          <w:szCs w:val="22"/>
        </w:rPr>
        <w:t xml:space="preserve">The project is ending but the EFR agenda is </w:t>
      </w:r>
      <w:r>
        <w:rPr>
          <w:sz w:val="22"/>
          <w:szCs w:val="22"/>
        </w:rPr>
        <w:t xml:space="preserve">well positioned </w:t>
      </w:r>
      <w:r w:rsidRPr="00060646">
        <w:rPr>
          <w:sz w:val="22"/>
          <w:szCs w:val="22"/>
        </w:rPr>
        <w:t>with</w:t>
      </w:r>
      <w:r>
        <w:rPr>
          <w:sz w:val="22"/>
          <w:szCs w:val="22"/>
        </w:rPr>
        <w:t>in</w:t>
      </w:r>
      <w:r w:rsidRPr="00060646">
        <w:rPr>
          <w:sz w:val="22"/>
          <w:szCs w:val="22"/>
        </w:rPr>
        <w:t xml:space="preserve"> key </w:t>
      </w:r>
      <w:r>
        <w:rPr>
          <w:sz w:val="22"/>
          <w:szCs w:val="22"/>
        </w:rPr>
        <w:t xml:space="preserve">government </w:t>
      </w:r>
      <w:r w:rsidRPr="00060646">
        <w:rPr>
          <w:sz w:val="22"/>
          <w:szCs w:val="22"/>
        </w:rPr>
        <w:t>organizations and</w:t>
      </w:r>
      <w:r>
        <w:rPr>
          <w:sz w:val="22"/>
          <w:szCs w:val="22"/>
        </w:rPr>
        <w:t xml:space="preserve"> will continue to move forward.</w:t>
      </w:r>
      <w:r w:rsidR="00177965">
        <w:rPr>
          <w:sz w:val="22"/>
          <w:szCs w:val="22"/>
        </w:rPr>
        <w:t xml:space="preserve"> A good example is the recent </w:t>
      </w:r>
      <w:r w:rsidR="00177965" w:rsidRPr="00177965">
        <w:rPr>
          <w:sz w:val="22"/>
          <w:szCs w:val="22"/>
        </w:rPr>
        <w:t>Cabinet Decision No 376 of June 16, 2015</w:t>
      </w:r>
      <w:r w:rsidR="00177965">
        <w:rPr>
          <w:sz w:val="22"/>
          <w:szCs w:val="22"/>
        </w:rPr>
        <w:t xml:space="preserve"> that created </w:t>
      </w:r>
      <w:r w:rsidR="00177965" w:rsidRPr="00177965">
        <w:rPr>
          <w:sz w:val="22"/>
          <w:szCs w:val="22"/>
        </w:rPr>
        <w:t>an inter-ministerial working group to review the Law 1540 on environmental charges, including the environmental pollution payments and the regulations of NEF. This working group was tasked to propose to the government necessary changes to update the Law 1540 with a 4-month timeframe and including the necessity that these proposed changes be aligned/comply with Article 195 on “Fees and Charges” of the Associ</w:t>
      </w:r>
      <w:r w:rsidR="00177965">
        <w:rPr>
          <w:sz w:val="22"/>
          <w:szCs w:val="22"/>
        </w:rPr>
        <w:t xml:space="preserve">ation Agreement with the EU. This process was </w:t>
      </w:r>
      <w:r w:rsidR="00177965" w:rsidRPr="00177965">
        <w:rPr>
          <w:sz w:val="22"/>
          <w:szCs w:val="22"/>
        </w:rPr>
        <w:t>ongoing at the time of this evaluation.</w:t>
      </w:r>
    </w:p>
    <w:p w14:paraId="0AAA80C8" w14:textId="77777777" w:rsidR="00060646" w:rsidRPr="00FB6D4E" w:rsidRDefault="00060646" w:rsidP="003F23AA">
      <w:pPr>
        <w:pStyle w:val="ListParagraph"/>
        <w:ind w:left="0"/>
        <w:jc w:val="both"/>
        <w:rPr>
          <w:sz w:val="22"/>
          <w:szCs w:val="22"/>
        </w:rPr>
      </w:pPr>
    </w:p>
    <w:p w14:paraId="13E54B9D" w14:textId="77777777" w:rsidR="003F23AA" w:rsidRPr="00FB6D4E" w:rsidRDefault="003F23AA" w:rsidP="005174F4">
      <w:pPr>
        <w:pStyle w:val="Heading2"/>
        <w:numPr>
          <w:ilvl w:val="1"/>
          <w:numId w:val="1"/>
        </w:numPr>
        <w:tabs>
          <w:tab w:val="clear" w:pos="792"/>
          <w:tab w:val="num" w:pos="709"/>
        </w:tabs>
        <w:spacing w:before="0" w:after="0"/>
        <w:ind w:left="720" w:hanging="720"/>
        <w:rPr>
          <w:i w:val="0"/>
          <w:sz w:val="22"/>
          <w:szCs w:val="22"/>
        </w:rPr>
      </w:pPr>
      <w:bookmarkStart w:id="11" w:name="_Toc224175222"/>
      <w:bookmarkStart w:id="12" w:name="_Toc308103233"/>
      <w:r w:rsidRPr="00FB6D4E">
        <w:rPr>
          <w:i w:val="0"/>
          <w:sz w:val="22"/>
          <w:szCs w:val="22"/>
        </w:rPr>
        <w:t>Recommendations</w:t>
      </w:r>
      <w:bookmarkEnd w:id="11"/>
      <w:bookmarkEnd w:id="12"/>
    </w:p>
    <w:p w14:paraId="5E928B1E" w14:textId="77777777" w:rsidR="005174F4" w:rsidRPr="00FB6D4E" w:rsidRDefault="005174F4" w:rsidP="003F23AA">
      <w:pPr>
        <w:pStyle w:val="ListParagraph"/>
        <w:ind w:left="0"/>
        <w:jc w:val="both"/>
        <w:rPr>
          <w:sz w:val="22"/>
        </w:rPr>
      </w:pPr>
    </w:p>
    <w:p w14:paraId="36EFE9DF" w14:textId="77777777" w:rsidR="003F23AA" w:rsidRPr="00FB6D4E" w:rsidRDefault="003F23AA" w:rsidP="003F23AA">
      <w:pPr>
        <w:pStyle w:val="ListParagraph"/>
        <w:ind w:left="0"/>
        <w:jc w:val="both"/>
        <w:rPr>
          <w:sz w:val="22"/>
        </w:rPr>
      </w:pPr>
      <w:r w:rsidRPr="00FB6D4E">
        <w:rPr>
          <w:sz w:val="22"/>
        </w:rPr>
        <w:t xml:space="preserve">Based on the findings of this </w:t>
      </w:r>
      <w:r w:rsidR="008D15A9">
        <w:rPr>
          <w:sz w:val="22"/>
        </w:rPr>
        <w:t xml:space="preserve">terminal </w:t>
      </w:r>
      <w:r w:rsidRPr="00FB6D4E">
        <w:rPr>
          <w:sz w:val="22"/>
        </w:rPr>
        <w:t>evaluation, the following recommendations are suggested</w:t>
      </w:r>
      <w:r w:rsidR="00D00260" w:rsidRPr="00FB6D4E">
        <w:rPr>
          <w:sz w:val="22"/>
        </w:rPr>
        <w:t>.</w:t>
      </w:r>
      <w:r w:rsidRPr="00FB6D4E">
        <w:rPr>
          <w:sz w:val="22"/>
        </w:rPr>
        <w:t xml:space="preserve"> </w:t>
      </w:r>
    </w:p>
    <w:p w14:paraId="2CEBE009" w14:textId="77777777" w:rsidR="009367DB" w:rsidRDefault="009367DB" w:rsidP="00F6694E">
      <w:pPr>
        <w:pStyle w:val="ListParagraph"/>
        <w:ind w:left="0"/>
        <w:jc w:val="both"/>
        <w:rPr>
          <w:sz w:val="22"/>
        </w:rPr>
      </w:pPr>
    </w:p>
    <w:p w14:paraId="6FFE92CE" w14:textId="56898057" w:rsidR="006A73E2" w:rsidRPr="00FE3156" w:rsidRDefault="006A73E2" w:rsidP="006A73E2">
      <w:pPr>
        <w:pStyle w:val="ListParagraph"/>
        <w:pBdr>
          <w:top w:val="single" w:sz="4" w:space="1" w:color="auto"/>
          <w:left w:val="single" w:sz="4" w:space="4" w:color="auto"/>
          <w:bottom w:val="single" w:sz="4" w:space="1" w:color="auto"/>
          <w:right w:val="single" w:sz="4" w:space="4" w:color="auto"/>
        </w:pBdr>
        <w:shd w:val="clear" w:color="auto" w:fill="E0E0E0"/>
        <w:ind w:left="0"/>
        <w:rPr>
          <w:b/>
          <w:sz w:val="22"/>
          <w:szCs w:val="22"/>
        </w:rPr>
      </w:pPr>
      <w:r w:rsidRPr="00FE3156">
        <w:rPr>
          <w:b/>
          <w:sz w:val="22"/>
          <w:szCs w:val="22"/>
        </w:rPr>
        <w:t xml:space="preserve">Recommendation 1: It is recommended to </w:t>
      </w:r>
      <w:r w:rsidR="00033613" w:rsidRPr="00FE3156">
        <w:rPr>
          <w:b/>
          <w:sz w:val="22"/>
          <w:szCs w:val="22"/>
        </w:rPr>
        <w:t xml:space="preserve">explore opportunities to incorporate the EFR agenda in another project </w:t>
      </w:r>
      <w:r w:rsidR="0065508E" w:rsidRPr="00FE3156">
        <w:rPr>
          <w:b/>
          <w:sz w:val="22"/>
          <w:szCs w:val="22"/>
        </w:rPr>
        <w:t xml:space="preserve">or to find funds for a new project </w:t>
      </w:r>
      <w:r w:rsidR="00033613" w:rsidRPr="00FE3156">
        <w:rPr>
          <w:b/>
          <w:sz w:val="22"/>
          <w:szCs w:val="22"/>
        </w:rPr>
        <w:t>to provide</w:t>
      </w:r>
      <w:r w:rsidR="008B2041" w:rsidRPr="00FE3156">
        <w:rPr>
          <w:b/>
          <w:sz w:val="22"/>
          <w:szCs w:val="22"/>
        </w:rPr>
        <w:t xml:space="preserve"> more support to the government in this area.</w:t>
      </w:r>
    </w:p>
    <w:p w14:paraId="1452EB5D" w14:textId="77777777" w:rsidR="006A73E2" w:rsidRPr="00FE3156" w:rsidRDefault="006A73E2" w:rsidP="006A73E2">
      <w:pPr>
        <w:pStyle w:val="ListParagraph"/>
        <w:spacing w:before="120" w:after="120"/>
        <w:ind w:left="0"/>
        <w:contextualSpacing w:val="0"/>
        <w:jc w:val="both"/>
        <w:rPr>
          <w:b/>
          <w:i/>
          <w:sz w:val="22"/>
        </w:rPr>
      </w:pPr>
      <w:r w:rsidRPr="00FE3156">
        <w:rPr>
          <w:b/>
          <w:i/>
          <w:sz w:val="22"/>
        </w:rPr>
        <w:t>Issue to Address</w:t>
      </w:r>
    </w:p>
    <w:p w14:paraId="626FEBAB" w14:textId="32426AD3" w:rsidR="00397B0C" w:rsidRDefault="00013C80" w:rsidP="00397B0C">
      <w:pPr>
        <w:jc w:val="both"/>
        <w:rPr>
          <w:sz w:val="22"/>
        </w:rPr>
      </w:pPr>
      <w:r>
        <w:rPr>
          <w:sz w:val="22"/>
        </w:rPr>
        <w:t>T</w:t>
      </w:r>
      <w:r w:rsidR="00397B0C" w:rsidRPr="00FE3156">
        <w:rPr>
          <w:sz w:val="22"/>
        </w:rPr>
        <w:t xml:space="preserve">he EFR project delivered a long list of deliverables. </w:t>
      </w:r>
      <w:r w:rsidR="00FE3156">
        <w:rPr>
          <w:sz w:val="22"/>
        </w:rPr>
        <w:t>As a result,</w:t>
      </w:r>
      <w:r w:rsidR="00397B0C" w:rsidRPr="00FE3156">
        <w:rPr>
          <w:sz w:val="22"/>
        </w:rPr>
        <w:t xml:space="preserve"> Moldova is now better equipped with more valid information on EFR,</w:t>
      </w:r>
      <w:r w:rsidR="00397B0C" w:rsidRPr="00397B0C">
        <w:rPr>
          <w:sz w:val="22"/>
        </w:rPr>
        <w:t xml:space="preserve"> relevant stakeholders – particularly staff at MOE, MOF and MOEco – with better skills and knowledge on EFR and environmental fiscal instruments available to the government to move the EFR agenda forward.</w:t>
      </w:r>
      <w:r w:rsidR="00397B0C">
        <w:rPr>
          <w:sz w:val="22"/>
        </w:rPr>
        <w:t xml:space="preserve"> The project had a definite catalytic role in establishing an EFR agenda in Moldova</w:t>
      </w:r>
      <w:r w:rsidR="00FE3156">
        <w:rPr>
          <w:sz w:val="22"/>
        </w:rPr>
        <w:t xml:space="preserve"> and </w:t>
      </w:r>
      <w:r w:rsidR="00FE3156">
        <w:rPr>
          <w:sz w:val="22"/>
          <w:szCs w:val="22"/>
        </w:rPr>
        <w:t xml:space="preserve">this </w:t>
      </w:r>
      <w:r w:rsidR="00FE3156" w:rsidRPr="00060646">
        <w:rPr>
          <w:sz w:val="22"/>
          <w:szCs w:val="22"/>
        </w:rPr>
        <w:t xml:space="preserve">agenda is </w:t>
      </w:r>
      <w:r w:rsidR="00FE3156">
        <w:rPr>
          <w:sz w:val="22"/>
          <w:szCs w:val="22"/>
        </w:rPr>
        <w:t xml:space="preserve">well positioned </w:t>
      </w:r>
      <w:r w:rsidR="00FE3156" w:rsidRPr="00060646">
        <w:rPr>
          <w:sz w:val="22"/>
          <w:szCs w:val="22"/>
        </w:rPr>
        <w:t>with</w:t>
      </w:r>
      <w:r w:rsidR="00FE3156">
        <w:rPr>
          <w:sz w:val="22"/>
          <w:szCs w:val="22"/>
        </w:rPr>
        <w:t>in</w:t>
      </w:r>
      <w:r w:rsidR="00FE3156" w:rsidRPr="00060646">
        <w:rPr>
          <w:sz w:val="22"/>
          <w:szCs w:val="22"/>
        </w:rPr>
        <w:t xml:space="preserve"> key </w:t>
      </w:r>
      <w:r w:rsidR="00FE3156">
        <w:rPr>
          <w:sz w:val="22"/>
          <w:szCs w:val="22"/>
        </w:rPr>
        <w:t xml:space="preserve">government </w:t>
      </w:r>
      <w:r w:rsidR="00FE3156" w:rsidRPr="00060646">
        <w:rPr>
          <w:sz w:val="22"/>
          <w:szCs w:val="22"/>
        </w:rPr>
        <w:t>organizations</w:t>
      </w:r>
      <w:r w:rsidR="00397B0C">
        <w:rPr>
          <w:sz w:val="22"/>
        </w:rPr>
        <w:t xml:space="preserve">. However, </w:t>
      </w:r>
      <w:r w:rsidR="00397B0C">
        <w:rPr>
          <w:sz w:val="22"/>
        </w:rPr>
        <w:lastRenderedPageBreak/>
        <w:t xml:space="preserve">it is still a work in progress and </w:t>
      </w:r>
      <w:r w:rsidR="00FE3156">
        <w:rPr>
          <w:sz w:val="22"/>
        </w:rPr>
        <w:t xml:space="preserve">more activities need to be implemented </w:t>
      </w:r>
      <w:r w:rsidR="00397B0C">
        <w:rPr>
          <w:sz w:val="22"/>
        </w:rPr>
        <w:t>in the years to come</w:t>
      </w:r>
      <w:r w:rsidR="00FE3156" w:rsidRPr="00FE3156">
        <w:rPr>
          <w:sz w:val="22"/>
        </w:rPr>
        <w:t xml:space="preserve"> </w:t>
      </w:r>
      <w:r w:rsidR="00FE3156">
        <w:rPr>
          <w:sz w:val="22"/>
        </w:rPr>
        <w:t>for fulfilling this EFR agenda. The government has now a better capacity to continue this EFR agenda but still lack</w:t>
      </w:r>
      <w:r w:rsidR="00C11CAF">
        <w:rPr>
          <w:sz w:val="22"/>
        </w:rPr>
        <w:t>s</w:t>
      </w:r>
      <w:r w:rsidR="00FE3156">
        <w:rPr>
          <w:sz w:val="22"/>
        </w:rPr>
        <w:t xml:space="preserve"> extra resources to access technical assistance, develop proposals and implement capacity development activities. The government needs additional support to move this EFR agenda forward. </w:t>
      </w:r>
    </w:p>
    <w:p w14:paraId="02913165" w14:textId="77777777" w:rsidR="00397B0C" w:rsidRPr="005E3F26" w:rsidRDefault="00397B0C" w:rsidP="006A73E2">
      <w:pPr>
        <w:jc w:val="both"/>
        <w:rPr>
          <w:sz w:val="22"/>
        </w:rPr>
      </w:pPr>
    </w:p>
    <w:p w14:paraId="6BFC7A13" w14:textId="59C64092" w:rsidR="00E55436" w:rsidRPr="00EA0830" w:rsidRDefault="00E55436" w:rsidP="00E55436">
      <w:pPr>
        <w:pStyle w:val="ListParagraph"/>
        <w:pBdr>
          <w:top w:val="single" w:sz="4" w:space="1" w:color="auto"/>
          <w:left w:val="single" w:sz="4" w:space="4" w:color="auto"/>
          <w:bottom w:val="single" w:sz="4" w:space="1" w:color="auto"/>
          <w:right w:val="single" w:sz="4" w:space="4" w:color="auto"/>
        </w:pBdr>
        <w:shd w:val="clear" w:color="auto" w:fill="E0E0E0"/>
        <w:ind w:left="0"/>
        <w:rPr>
          <w:b/>
          <w:sz w:val="22"/>
          <w:szCs w:val="22"/>
        </w:rPr>
      </w:pPr>
      <w:r w:rsidRPr="00EA0830">
        <w:rPr>
          <w:b/>
          <w:sz w:val="22"/>
          <w:szCs w:val="22"/>
        </w:rPr>
        <w:t xml:space="preserve">Recommendation 2: It is recommended to </w:t>
      </w:r>
      <w:r w:rsidR="008C13D9" w:rsidRPr="00EA0830">
        <w:rPr>
          <w:b/>
          <w:sz w:val="22"/>
          <w:szCs w:val="22"/>
        </w:rPr>
        <w:t xml:space="preserve">transfer the </w:t>
      </w:r>
      <w:r w:rsidR="00942104" w:rsidRPr="00EA0830">
        <w:rPr>
          <w:b/>
          <w:sz w:val="22"/>
          <w:szCs w:val="22"/>
        </w:rPr>
        <w:t xml:space="preserve">ownership and future maintenance of the </w:t>
      </w:r>
      <w:r w:rsidR="008C13D9" w:rsidRPr="00EA0830">
        <w:rPr>
          <w:b/>
          <w:sz w:val="22"/>
          <w:szCs w:val="22"/>
        </w:rPr>
        <w:t xml:space="preserve">website </w:t>
      </w:r>
      <w:hyperlink r:id="rId20" w:history="1">
        <w:r w:rsidR="0065508E" w:rsidRPr="00EA0830">
          <w:rPr>
            <w:rStyle w:val="Hyperlink"/>
            <w:b/>
            <w:sz w:val="22"/>
            <w:szCs w:val="22"/>
          </w:rPr>
          <w:t>www.green.gov.md</w:t>
        </w:r>
      </w:hyperlink>
      <w:r w:rsidR="0065508E" w:rsidRPr="00EA0830">
        <w:rPr>
          <w:b/>
          <w:sz w:val="22"/>
          <w:szCs w:val="22"/>
        </w:rPr>
        <w:t xml:space="preserve"> </w:t>
      </w:r>
      <w:r w:rsidR="008C13D9" w:rsidRPr="00EA0830">
        <w:rPr>
          <w:b/>
          <w:sz w:val="22"/>
          <w:szCs w:val="22"/>
        </w:rPr>
        <w:t xml:space="preserve">to a government </w:t>
      </w:r>
      <w:r w:rsidR="00942104" w:rsidRPr="00EA0830">
        <w:rPr>
          <w:b/>
          <w:sz w:val="22"/>
          <w:szCs w:val="22"/>
        </w:rPr>
        <w:t xml:space="preserve">entity </w:t>
      </w:r>
      <w:r w:rsidR="008C13D9" w:rsidRPr="00EA0830">
        <w:rPr>
          <w:b/>
          <w:sz w:val="22"/>
          <w:szCs w:val="22"/>
        </w:rPr>
        <w:t>to sustain its operations.</w:t>
      </w:r>
    </w:p>
    <w:p w14:paraId="4FE422DD" w14:textId="77777777" w:rsidR="00E55436" w:rsidRPr="005E3F26" w:rsidRDefault="00E55436" w:rsidP="00E55436">
      <w:pPr>
        <w:pStyle w:val="ListParagraph"/>
        <w:spacing w:before="120" w:after="120"/>
        <w:ind w:left="0"/>
        <w:contextualSpacing w:val="0"/>
        <w:jc w:val="both"/>
        <w:rPr>
          <w:b/>
          <w:i/>
          <w:sz w:val="22"/>
        </w:rPr>
      </w:pPr>
      <w:r w:rsidRPr="00EA0830">
        <w:rPr>
          <w:b/>
          <w:i/>
          <w:sz w:val="22"/>
        </w:rPr>
        <w:t>Issue to Address</w:t>
      </w:r>
    </w:p>
    <w:p w14:paraId="5A351B79" w14:textId="3CFB53E0" w:rsidR="00EB5F23" w:rsidRDefault="00EB5F23" w:rsidP="00EB5F23">
      <w:pPr>
        <w:jc w:val="both"/>
        <w:rPr>
          <w:sz w:val="22"/>
        </w:rPr>
      </w:pPr>
      <w:r w:rsidRPr="00EB5F23">
        <w:rPr>
          <w:sz w:val="22"/>
        </w:rPr>
        <w:t xml:space="preserve">This website was created </w:t>
      </w:r>
      <w:r w:rsidR="00013C80">
        <w:rPr>
          <w:sz w:val="22"/>
        </w:rPr>
        <w:t>with the support of</w:t>
      </w:r>
      <w:r w:rsidRPr="00EB5F23">
        <w:rPr>
          <w:sz w:val="22"/>
        </w:rPr>
        <w:t xml:space="preserve"> the UNDP/GEF Project "</w:t>
      </w:r>
      <w:r w:rsidRPr="00942104">
        <w:rPr>
          <w:i/>
          <w:sz w:val="22"/>
        </w:rPr>
        <w:t>Environmental Fiscal Reform</w:t>
      </w:r>
      <w:r w:rsidRPr="00EB5F23">
        <w:rPr>
          <w:sz w:val="22"/>
        </w:rPr>
        <w:t>" and represents a platform to promote the concepts of sustainable development and green economy, decentralization policies and other sectorial reforms, all together with the aim to ensure sustainable and green development of the Republic of Moldova.</w:t>
      </w:r>
      <w:r w:rsidR="004924C8">
        <w:rPr>
          <w:sz w:val="22"/>
        </w:rPr>
        <w:t xml:space="preserve"> </w:t>
      </w:r>
      <w:r w:rsidRPr="00EB5F23">
        <w:rPr>
          <w:sz w:val="22"/>
        </w:rPr>
        <w:t xml:space="preserve">The site </w:t>
      </w:r>
      <w:r w:rsidR="004924C8">
        <w:rPr>
          <w:sz w:val="22"/>
        </w:rPr>
        <w:t xml:space="preserve">is also used to </w:t>
      </w:r>
      <w:r w:rsidRPr="00EB5F23">
        <w:rPr>
          <w:sz w:val="22"/>
        </w:rPr>
        <w:t>popularize the "</w:t>
      </w:r>
      <w:r w:rsidRPr="004924C8">
        <w:rPr>
          <w:i/>
          <w:sz w:val="22"/>
        </w:rPr>
        <w:t xml:space="preserve">green </w:t>
      </w:r>
      <w:r w:rsidR="004924C8" w:rsidRPr="004924C8">
        <w:rPr>
          <w:i/>
          <w:sz w:val="22"/>
        </w:rPr>
        <w:t>concept</w:t>
      </w:r>
      <w:r w:rsidR="004924C8">
        <w:rPr>
          <w:sz w:val="22"/>
        </w:rPr>
        <w:t>"; it is</w:t>
      </w:r>
      <w:r w:rsidRPr="00EB5F23">
        <w:rPr>
          <w:sz w:val="22"/>
        </w:rPr>
        <w:t xml:space="preserve"> a platform for communication and information about the efforts of all partners constituting the institutional framework for sustainable development and greening the economy.</w:t>
      </w:r>
      <w:r w:rsidR="004924C8">
        <w:rPr>
          <w:sz w:val="22"/>
        </w:rPr>
        <w:t xml:space="preserve"> </w:t>
      </w:r>
      <w:r w:rsidRPr="00EB5F23">
        <w:rPr>
          <w:sz w:val="22"/>
        </w:rPr>
        <w:t>It is a library of legal and normative acts regulating the "greening" of fiscal and sectorial policies</w:t>
      </w:r>
      <w:r w:rsidR="004924C8">
        <w:rPr>
          <w:sz w:val="22"/>
        </w:rPr>
        <w:t>; including the draft legislation that are under public review</w:t>
      </w:r>
      <w:r w:rsidRPr="00EB5F23">
        <w:rPr>
          <w:sz w:val="22"/>
        </w:rPr>
        <w:t>.</w:t>
      </w:r>
      <w:r w:rsidR="005E3F26">
        <w:rPr>
          <w:sz w:val="22"/>
        </w:rPr>
        <w:t xml:space="preserve"> </w:t>
      </w:r>
      <w:r w:rsidRPr="00EB5F23">
        <w:rPr>
          <w:sz w:val="22"/>
        </w:rPr>
        <w:t>It is a library o</w:t>
      </w:r>
      <w:r w:rsidR="005E3F26">
        <w:rPr>
          <w:sz w:val="22"/>
        </w:rPr>
        <w:t>f relevant studies and analyses,</w:t>
      </w:r>
      <w:r w:rsidRPr="00EB5F23">
        <w:rPr>
          <w:sz w:val="22"/>
        </w:rPr>
        <w:t xml:space="preserve"> a virtual support for the national coverage of "green" public events, such as conferences, seminars, public consultations, </w:t>
      </w:r>
      <w:r w:rsidR="005E3F26">
        <w:rPr>
          <w:sz w:val="22"/>
        </w:rPr>
        <w:t xml:space="preserve">and round tables; and a </w:t>
      </w:r>
      <w:r w:rsidRPr="00EB5F23">
        <w:rPr>
          <w:sz w:val="22"/>
        </w:rPr>
        <w:t>database of useful and frequently updated information for local authorities and local initiative groups.</w:t>
      </w:r>
    </w:p>
    <w:p w14:paraId="6036AC28" w14:textId="77777777" w:rsidR="005E3F26" w:rsidRDefault="005E3F26" w:rsidP="00EB5F23">
      <w:pPr>
        <w:jc w:val="both"/>
        <w:rPr>
          <w:sz w:val="22"/>
        </w:rPr>
      </w:pPr>
    </w:p>
    <w:p w14:paraId="2C775A37" w14:textId="23E83FF7" w:rsidR="005E3F26" w:rsidRPr="00EB5F23" w:rsidRDefault="005E3F26" w:rsidP="00EB5F23">
      <w:pPr>
        <w:jc w:val="both"/>
        <w:rPr>
          <w:sz w:val="22"/>
        </w:rPr>
      </w:pPr>
      <w:r>
        <w:rPr>
          <w:sz w:val="22"/>
        </w:rPr>
        <w:t>It is already set up with a government domain name (gov.md)</w:t>
      </w:r>
      <w:r w:rsidR="00942104">
        <w:rPr>
          <w:sz w:val="22"/>
        </w:rPr>
        <w:t xml:space="preserve"> and hosted on a government server</w:t>
      </w:r>
      <w:r>
        <w:rPr>
          <w:sz w:val="22"/>
        </w:rPr>
        <w:t xml:space="preserve">. </w:t>
      </w:r>
      <w:r w:rsidR="00942104">
        <w:rPr>
          <w:sz w:val="22"/>
        </w:rPr>
        <w:t>However, a full transfer of ownership and future maintenance is needed;</w:t>
      </w:r>
      <w:r>
        <w:rPr>
          <w:sz w:val="22"/>
        </w:rPr>
        <w:t xml:space="preserve"> preferably </w:t>
      </w:r>
      <w:r w:rsidR="00942104">
        <w:rPr>
          <w:sz w:val="22"/>
        </w:rPr>
        <w:t xml:space="preserve">within </w:t>
      </w:r>
      <w:r>
        <w:rPr>
          <w:sz w:val="22"/>
        </w:rPr>
        <w:t xml:space="preserve">the ministry of environment. </w:t>
      </w:r>
    </w:p>
    <w:p w14:paraId="4E597562" w14:textId="77777777" w:rsidR="00CE23A6" w:rsidRPr="00126D12" w:rsidRDefault="00CE23A6" w:rsidP="00E55436">
      <w:pPr>
        <w:jc w:val="both"/>
        <w:rPr>
          <w:sz w:val="22"/>
        </w:rPr>
      </w:pPr>
    </w:p>
    <w:p w14:paraId="51B3B3F8" w14:textId="754D58F4" w:rsidR="00BA65EB" w:rsidRPr="00126D12" w:rsidRDefault="00D473D0" w:rsidP="00BA65EB">
      <w:pPr>
        <w:pStyle w:val="ListParagraph"/>
        <w:pBdr>
          <w:top w:val="single" w:sz="4" w:space="1" w:color="auto"/>
          <w:left w:val="single" w:sz="4" w:space="4" w:color="auto"/>
          <w:bottom w:val="single" w:sz="4" w:space="1" w:color="auto"/>
          <w:right w:val="single" w:sz="4" w:space="4" w:color="auto"/>
        </w:pBdr>
        <w:shd w:val="clear" w:color="auto" w:fill="E0E0E0"/>
        <w:ind w:left="0"/>
        <w:rPr>
          <w:b/>
          <w:sz w:val="22"/>
          <w:szCs w:val="22"/>
        </w:rPr>
      </w:pPr>
      <w:r w:rsidRPr="00126D12">
        <w:rPr>
          <w:b/>
          <w:sz w:val="22"/>
          <w:szCs w:val="22"/>
        </w:rPr>
        <w:t>Recommendation 3</w:t>
      </w:r>
      <w:r w:rsidR="00BA65EB" w:rsidRPr="00126D12">
        <w:rPr>
          <w:b/>
          <w:sz w:val="22"/>
          <w:szCs w:val="22"/>
        </w:rPr>
        <w:t xml:space="preserve">: </w:t>
      </w:r>
      <w:r w:rsidR="00545449" w:rsidRPr="00126D12">
        <w:rPr>
          <w:b/>
          <w:sz w:val="22"/>
          <w:szCs w:val="22"/>
        </w:rPr>
        <w:t xml:space="preserve">It is recommended that </w:t>
      </w:r>
      <w:r w:rsidR="008C13D9" w:rsidRPr="00126D12">
        <w:rPr>
          <w:b/>
          <w:sz w:val="22"/>
          <w:szCs w:val="22"/>
        </w:rPr>
        <w:t xml:space="preserve">the revised regulations for the NEF be compliant with the possibility of NEF to </w:t>
      </w:r>
      <w:r w:rsidR="004C01B5" w:rsidRPr="00126D12">
        <w:rPr>
          <w:b/>
          <w:sz w:val="22"/>
          <w:szCs w:val="22"/>
        </w:rPr>
        <w:t xml:space="preserve">be accredited as a </w:t>
      </w:r>
      <w:r w:rsidR="004C01B5" w:rsidRPr="00126D12">
        <w:rPr>
          <w:b/>
          <w:i/>
          <w:sz w:val="22"/>
          <w:szCs w:val="22"/>
        </w:rPr>
        <w:t>National Implementing Entity</w:t>
      </w:r>
      <w:r w:rsidR="008B2041" w:rsidRPr="00126D12">
        <w:rPr>
          <w:b/>
          <w:sz w:val="22"/>
          <w:szCs w:val="22"/>
        </w:rPr>
        <w:t xml:space="preserve"> </w:t>
      </w:r>
      <w:r w:rsidR="004C01B5" w:rsidRPr="00126D12">
        <w:rPr>
          <w:b/>
          <w:sz w:val="22"/>
          <w:szCs w:val="22"/>
        </w:rPr>
        <w:t>(</w:t>
      </w:r>
      <w:r w:rsidR="008B2041" w:rsidRPr="00126D12">
        <w:rPr>
          <w:b/>
          <w:sz w:val="22"/>
          <w:szCs w:val="22"/>
        </w:rPr>
        <w:t>NIE</w:t>
      </w:r>
      <w:r w:rsidR="004C01B5" w:rsidRPr="00126D12">
        <w:rPr>
          <w:b/>
          <w:sz w:val="22"/>
          <w:szCs w:val="22"/>
        </w:rPr>
        <w:t>)</w:t>
      </w:r>
      <w:r w:rsidR="008B2041" w:rsidRPr="00126D12">
        <w:rPr>
          <w:b/>
          <w:sz w:val="22"/>
          <w:szCs w:val="22"/>
        </w:rPr>
        <w:t xml:space="preserve"> </w:t>
      </w:r>
      <w:r w:rsidR="00B234B6">
        <w:rPr>
          <w:b/>
          <w:sz w:val="22"/>
          <w:szCs w:val="22"/>
        </w:rPr>
        <w:t xml:space="preserve">in order </w:t>
      </w:r>
      <w:r w:rsidR="008B2041" w:rsidRPr="00126D12">
        <w:rPr>
          <w:b/>
          <w:sz w:val="22"/>
          <w:szCs w:val="22"/>
        </w:rPr>
        <w:t xml:space="preserve">to </w:t>
      </w:r>
      <w:r w:rsidR="005E3F26" w:rsidRPr="00126D12">
        <w:rPr>
          <w:b/>
          <w:sz w:val="22"/>
          <w:szCs w:val="22"/>
        </w:rPr>
        <w:t xml:space="preserve">be able to </w:t>
      </w:r>
      <w:r w:rsidR="008C13D9" w:rsidRPr="00126D12">
        <w:rPr>
          <w:b/>
          <w:sz w:val="22"/>
          <w:szCs w:val="22"/>
        </w:rPr>
        <w:t>receive external funds such as t</w:t>
      </w:r>
      <w:r w:rsidR="008B2041" w:rsidRPr="00126D12">
        <w:rPr>
          <w:b/>
          <w:sz w:val="22"/>
          <w:szCs w:val="22"/>
        </w:rPr>
        <w:t xml:space="preserve">he recently </w:t>
      </w:r>
      <w:r w:rsidR="005E3F26" w:rsidRPr="00126D12">
        <w:rPr>
          <w:b/>
          <w:sz w:val="22"/>
          <w:szCs w:val="22"/>
        </w:rPr>
        <w:t xml:space="preserve">set up </w:t>
      </w:r>
      <w:r w:rsidR="008B2041" w:rsidRPr="00126D12">
        <w:rPr>
          <w:b/>
          <w:sz w:val="22"/>
          <w:szCs w:val="22"/>
        </w:rPr>
        <w:t>green climate fund</w:t>
      </w:r>
      <w:r w:rsidR="005E3F26" w:rsidRPr="00126D12">
        <w:rPr>
          <w:b/>
          <w:sz w:val="22"/>
          <w:szCs w:val="22"/>
        </w:rPr>
        <w:t xml:space="preserve"> (GCF), the Adaptation Fund</w:t>
      </w:r>
      <w:r w:rsidR="008B2041" w:rsidRPr="00126D12">
        <w:rPr>
          <w:b/>
          <w:sz w:val="22"/>
          <w:szCs w:val="22"/>
        </w:rPr>
        <w:t xml:space="preserve"> and </w:t>
      </w:r>
      <w:r w:rsidR="005E3F26" w:rsidRPr="00126D12">
        <w:rPr>
          <w:b/>
          <w:sz w:val="22"/>
          <w:szCs w:val="22"/>
        </w:rPr>
        <w:t xml:space="preserve">other funds such as </w:t>
      </w:r>
      <w:r w:rsidR="008B2041" w:rsidRPr="00126D12">
        <w:rPr>
          <w:b/>
          <w:sz w:val="22"/>
          <w:szCs w:val="22"/>
        </w:rPr>
        <w:t>possibly EU funds.</w:t>
      </w:r>
    </w:p>
    <w:p w14:paraId="760C1EB6" w14:textId="77777777" w:rsidR="00BA65EB" w:rsidRPr="00126D12" w:rsidRDefault="00BA65EB" w:rsidP="00BA65EB">
      <w:pPr>
        <w:pStyle w:val="ListParagraph"/>
        <w:spacing w:before="120" w:after="120"/>
        <w:ind w:left="0"/>
        <w:contextualSpacing w:val="0"/>
        <w:jc w:val="both"/>
        <w:rPr>
          <w:b/>
          <w:i/>
          <w:sz w:val="22"/>
        </w:rPr>
      </w:pPr>
      <w:r w:rsidRPr="00126D12">
        <w:rPr>
          <w:b/>
          <w:i/>
          <w:sz w:val="22"/>
        </w:rPr>
        <w:t>Issue to Address</w:t>
      </w:r>
    </w:p>
    <w:p w14:paraId="2B56A91D" w14:textId="77777777" w:rsidR="002D4665" w:rsidRDefault="00136C0F" w:rsidP="00F6694E">
      <w:pPr>
        <w:pStyle w:val="ListParagraph"/>
        <w:ind w:left="0"/>
        <w:jc w:val="both"/>
        <w:rPr>
          <w:sz w:val="22"/>
        </w:rPr>
      </w:pPr>
      <w:r w:rsidRPr="00126D12">
        <w:rPr>
          <w:sz w:val="22"/>
        </w:rPr>
        <w:t xml:space="preserve">To access these funds directly, a </w:t>
      </w:r>
      <w:r w:rsidR="00126D12" w:rsidRPr="00126D12">
        <w:rPr>
          <w:sz w:val="22"/>
        </w:rPr>
        <w:t xml:space="preserve">national entity needs to be accredited as an NIE through an assessment against a set of criteria, which are often around fiduciary standards, environmental and social safeguards and gender policy. </w:t>
      </w:r>
      <w:r w:rsidR="00377F2A">
        <w:rPr>
          <w:sz w:val="22"/>
        </w:rPr>
        <w:t>Each fund would have its own set of criteria; however, a review of all these criteria would reveal that l</w:t>
      </w:r>
      <w:r w:rsidR="002D4665">
        <w:rPr>
          <w:sz w:val="22"/>
        </w:rPr>
        <w:t xml:space="preserve">ots of them are similar. </w:t>
      </w:r>
    </w:p>
    <w:p w14:paraId="13D00F7E" w14:textId="77777777" w:rsidR="002D4665" w:rsidRDefault="002D4665" w:rsidP="00F6694E">
      <w:pPr>
        <w:pStyle w:val="ListParagraph"/>
        <w:ind w:left="0"/>
        <w:jc w:val="both"/>
        <w:rPr>
          <w:sz w:val="22"/>
        </w:rPr>
      </w:pPr>
    </w:p>
    <w:p w14:paraId="4A03225B" w14:textId="0BBD7D58" w:rsidR="00BA65EB" w:rsidRPr="00126D12" w:rsidRDefault="002D4665" w:rsidP="00F6694E">
      <w:pPr>
        <w:pStyle w:val="ListParagraph"/>
        <w:ind w:left="0"/>
        <w:jc w:val="both"/>
        <w:rPr>
          <w:sz w:val="22"/>
        </w:rPr>
      </w:pPr>
      <w:r>
        <w:rPr>
          <w:sz w:val="22"/>
        </w:rPr>
        <w:t>It is recommended that such a</w:t>
      </w:r>
      <w:r w:rsidR="00377F2A">
        <w:rPr>
          <w:sz w:val="22"/>
        </w:rPr>
        <w:t xml:space="preserve"> review </w:t>
      </w:r>
      <w:r>
        <w:rPr>
          <w:sz w:val="22"/>
        </w:rPr>
        <w:t xml:space="preserve">be conducted before any </w:t>
      </w:r>
      <w:r w:rsidR="00377F2A">
        <w:rPr>
          <w:sz w:val="22"/>
        </w:rPr>
        <w:t xml:space="preserve">revisions </w:t>
      </w:r>
      <w:r>
        <w:rPr>
          <w:sz w:val="22"/>
        </w:rPr>
        <w:t xml:space="preserve">are </w:t>
      </w:r>
      <w:r w:rsidR="00377F2A">
        <w:rPr>
          <w:sz w:val="22"/>
        </w:rPr>
        <w:t>made to the regulations of NEF, in order for this entity to</w:t>
      </w:r>
      <w:r>
        <w:rPr>
          <w:sz w:val="22"/>
        </w:rPr>
        <w:t xml:space="preserve"> also be able to</w:t>
      </w:r>
      <w:r w:rsidR="00377F2A">
        <w:rPr>
          <w:sz w:val="22"/>
        </w:rPr>
        <w:t xml:space="preserve"> apply for any of these accreditations</w:t>
      </w:r>
      <w:r>
        <w:rPr>
          <w:sz w:val="22"/>
        </w:rPr>
        <w:t xml:space="preserve"> and access directly these funds</w:t>
      </w:r>
      <w:r w:rsidR="00377F2A">
        <w:rPr>
          <w:sz w:val="22"/>
        </w:rPr>
        <w:t>.</w:t>
      </w:r>
    </w:p>
    <w:p w14:paraId="58F916CD" w14:textId="77777777" w:rsidR="00CE23A6" w:rsidRPr="00126D12" w:rsidRDefault="00CE23A6" w:rsidP="00F6694E">
      <w:pPr>
        <w:pStyle w:val="ListParagraph"/>
        <w:ind w:left="0"/>
        <w:jc w:val="both"/>
        <w:rPr>
          <w:sz w:val="22"/>
        </w:rPr>
      </w:pPr>
    </w:p>
    <w:p w14:paraId="7549C8CF" w14:textId="019868B0" w:rsidR="009C01A8" w:rsidRPr="0071275D" w:rsidRDefault="009C01A8" w:rsidP="009C01A8">
      <w:pPr>
        <w:pStyle w:val="ListParagraph"/>
        <w:pBdr>
          <w:top w:val="single" w:sz="4" w:space="1" w:color="auto"/>
          <w:left w:val="single" w:sz="4" w:space="4" w:color="auto"/>
          <w:bottom w:val="single" w:sz="4" w:space="1" w:color="auto"/>
          <w:right w:val="single" w:sz="4" w:space="4" w:color="auto"/>
        </w:pBdr>
        <w:shd w:val="clear" w:color="auto" w:fill="E0E0E0"/>
        <w:ind w:left="0"/>
        <w:rPr>
          <w:b/>
          <w:sz w:val="22"/>
          <w:szCs w:val="22"/>
        </w:rPr>
      </w:pPr>
      <w:r w:rsidRPr="0071275D">
        <w:rPr>
          <w:b/>
          <w:sz w:val="22"/>
          <w:szCs w:val="22"/>
        </w:rPr>
        <w:t xml:space="preserve">Recommendation 4: </w:t>
      </w:r>
      <w:r w:rsidR="0071275D" w:rsidRPr="0071275D">
        <w:rPr>
          <w:b/>
          <w:sz w:val="22"/>
          <w:szCs w:val="22"/>
        </w:rPr>
        <w:t xml:space="preserve">The Evaluation Team supports the Project Team to present the </w:t>
      </w:r>
      <w:r w:rsidR="008B2041" w:rsidRPr="0071275D">
        <w:rPr>
          <w:b/>
          <w:sz w:val="22"/>
          <w:szCs w:val="22"/>
        </w:rPr>
        <w:t xml:space="preserve">project achievements </w:t>
      </w:r>
      <w:r w:rsidR="0071275D" w:rsidRPr="0071275D">
        <w:rPr>
          <w:b/>
          <w:sz w:val="22"/>
          <w:szCs w:val="22"/>
        </w:rPr>
        <w:t xml:space="preserve">at </w:t>
      </w:r>
      <w:r w:rsidR="008B2041" w:rsidRPr="0071275D">
        <w:rPr>
          <w:b/>
          <w:sz w:val="22"/>
          <w:szCs w:val="22"/>
        </w:rPr>
        <w:t xml:space="preserve">the international conference on decentralization planned in November 2015. </w:t>
      </w:r>
    </w:p>
    <w:p w14:paraId="2AA99F8B" w14:textId="77777777" w:rsidR="009C01A8" w:rsidRPr="0071275D" w:rsidRDefault="009C01A8" w:rsidP="009C01A8">
      <w:pPr>
        <w:pStyle w:val="ListParagraph"/>
        <w:spacing w:before="120" w:after="120"/>
        <w:ind w:left="0"/>
        <w:contextualSpacing w:val="0"/>
        <w:jc w:val="both"/>
        <w:rPr>
          <w:b/>
          <w:i/>
          <w:sz w:val="22"/>
        </w:rPr>
      </w:pPr>
      <w:r w:rsidRPr="0071275D">
        <w:rPr>
          <w:b/>
          <w:i/>
          <w:sz w:val="22"/>
        </w:rPr>
        <w:lastRenderedPageBreak/>
        <w:t>Issue to Address</w:t>
      </w:r>
    </w:p>
    <w:p w14:paraId="081E026C" w14:textId="45AE2CA2" w:rsidR="0071275D" w:rsidRPr="0071275D" w:rsidRDefault="0071275D" w:rsidP="009C01A8">
      <w:pPr>
        <w:pStyle w:val="ListParagraph"/>
        <w:ind w:left="0"/>
        <w:jc w:val="both"/>
        <w:rPr>
          <w:sz w:val="22"/>
        </w:rPr>
      </w:pPr>
      <w:r w:rsidRPr="0071275D">
        <w:rPr>
          <w:sz w:val="22"/>
        </w:rPr>
        <w:t xml:space="preserve">It is not a recommendation as such but based on the review conducted by the Evaluation Team, it supports the </w:t>
      </w:r>
      <w:r>
        <w:rPr>
          <w:sz w:val="22"/>
        </w:rPr>
        <w:t xml:space="preserve">existing </w:t>
      </w:r>
      <w:r w:rsidRPr="0071275D">
        <w:rPr>
          <w:sz w:val="22"/>
        </w:rPr>
        <w:t xml:space="preserve">plan to present the project achievements at the international conference on decentralization planned in November 2015. It will be a good opportunity to showcase </w:t>
      </w:r>
      <w:r>
        <w:rPr>
          <w:sz w:val="22"/>
        </w:rPr>
        <w:t>these achievements; particularly the achievements made at the local level. It is a good opportunity to seek replication and scaling up of project achievements to other local public administrations throughout Moldova.</w:t>
      </w:r>
    </w:p>
    <w:p w14:paraId="66ECAD62" w14:textId="77777777" w:rsidR="00CE23A6" w:rsidRPr="0071275D" w:rsidRDefault="00CE23A6" w:rsidP="009C01A8">
      <w:pPr>
        <w:pStyle w:val="ListParagraph"/>
        <w:ind w:left="0"/>
        <w:jc w:val="both"/>
        <w:rPr>
          <w:sz w:val="22"/>
        </w:rPr>
      </w:pPr>
    </w:p>
    <w:p w14:paraId="4C0EF7B7" w14:textId="600BF07C" w:rsidR="00BA65EB" w:rsidRPr="0071275D" w:rsidRDefault="009C01A8" w:rsidP="00545449">
      <w:pPr>
        <w:pStyle w:val="ListParagraph"/>
        <w:pBdr>
          <w:top w:val="single" w:sz="4" w:space="1" w:color="auto"/>
          <w:left w:val="single" w:sz="4" w:space="4" w:color="auto"/>
          <w:bottom w:val="single" w:sz="4" w:space="1" w:color="auto"/>
          <w:right w:val="single" w:sz="4" w:space="4" w:color="auto"/>
        </w:pBdr>
        <w:shd w:val="clear" w:color="auto" w:fill="E0E0E0"/>
        <w:ind w:left="0"/>
        <w:rPr>
          <w:b/>
          <w:sz w:val="22"/>
          <w:szCs w:val="22"/>
        </w:rPr>
      </w:pPr>
      <w:r w:rsidRPr="0071275D">
        <w:rPr>
          <w:b/>
          <w:sz w:val="22"/>
          <w:szCs w:val="22"/>
        </w:rPr>
        <w:t>Recommendation 5</w:t>
      </w:r>
      <w:r w:rsidR="00BA65EB" w:rsidRPr="0071275D">
        <w:rPr>
          <w:b/>
          <w:sz w:val="22"/>
          <w:szCs w:val="22"/>
        </w:rPr>
        <w:t xml:space="preserve">: It is recommended to </w:t>
      </w:r>
      <w:r w:rsidR="008B2041" w:rsidRPr="0071275D">
        <w:rPr>
          <w:b/>
          <w:sz w:val="22"/>
          <w:szCs w:val="22"/>
        </w:rPr>
        <w:t>showcas</w:t>
      </w:r>
      <w:r w:rsidR="0071275D" w:rsidRPr="0071275D">
        <w:rPr>
          <w:b/>
          <w:sz w:val="22"/>
          <w:szCs w:val="22"/>
        </w:rPr>
        <w:t>e</w:t>
      </w:r>
      <w:r w:rsidR="008B2041" w:rsidRPr="0071275D">
        <w:rPr>
          <w:b/>
          <w:sz w:val="22"/>
          <w:szCs w:val="22"/>
        </w:rPr>
        <w:t xml:space="preserve"> </w:t>
      </w:r>
      <w:r w:rsidR="0071275D" w:rsidRPr="0071275D">
        <w:rPr>
          <w:b/>
          <w:sz w:val="22"/>
          <w:szCs w:val="22"/>
        </w:rPr>
        <w:t xml:space="preserve">the achievements made in </w:t>
      </w:r>
      <w:r w:rsidR="008B2041" w:rsidRPr="0071275D">
        <w:rPr>
          <w:b/>
          <w:sz w:val="22"/>
          <w:szCs w:val="22"/>
        </w:rPr>
        <w:t xml:space="preserve">the 6 towns through </w:t>
      </w:r>
      <w:r w:rsidR="0071275D" w:rsidRPr="0071275D">
        <w:rPr>
          <w:b/>
          <w:sz w:val="22"/>
          <w:szCs w:val="22"/>
        </w:rPr>
        <w:t xml:space="preserve">national </w:t>
      </w:r>
      <w:r w:rsidR="008B2041" w:rsidRPr="0071275D">
        <w:rPr>
          <w:b/>
          <w:sz w:val="22"/>
          <w:szCs w:val="22"/>
        </w:rPr>
        <w:t xml:space="preserve">bodies such as the Congress of </w:t>
      </w:r>
      <w:r w:rsidR="00C11CAF">
        <w:rPr>
          <w:b/>
          <w:sz w:val="22"/>
          <w:szCs w:val="22"/>
        </w:rPr>
        <w:t>Local Authorities</w:t>
      </w:r>
      <w:r w:rsidR="008B2041" w:rsidRPr="0071275D">
        <w:rPr>
          <w:b/>
          <w:sz w:val="22"/>
          <w:szCs w:val="22"/>
        </w:rPr>
        <w:t xml:space="preserve"> that includes 600</w:t>
      </w:r>
      <w:r w:rsidR="008C642A" w:rsidRPr="0071275D">
        <w:rPr>
          <w:b/>
          <w:sz w:val="22"/>
          <w:szCs w:val="22"/>
        </w:rPr>
        <w:t xml:space="preserve"> Mayor members (out o</w:t>
      </w:r>
      <w:r w:rsidR="00C11CAF">
        <w:rPr>
          <w:b/>
          <w:sz w:val="22"/>
          <w:szCs w:val="22"/>
        </w:rPr>
        <w:t>f 898</w:t>
      </w:r>
      <w:r w:rsidR="008C642A" w:rsidRPr="0071275D">
        <w:rPr>
          <w:b/>
          <w:sz w:val="22"/>
          <w:szCs w:val="22"/>
        </w:rPr>
        <w:t xml:space="preserve"> municipalities) and the Convention (Assembly) of Mayors. </w:t>
      </w:r>
    </w:p>
    <w:p w14:paraId="7541F4E1" w14:textId="77777777" w:rsidR="00376C21" w:rsidRPr="009C01A8" w:rsidRDefault="00BA65EB" w:rsidP="009C01A8">
      <w:pPr>
        <w:pStyle w:val="ListParagraph"/>
        <w:spacing w:before="120" w:after="120"/>
        <w:ind w:left="0"/>
        <w:contextualSpacing w:val="0"/>
        <w:jc w:val="both"/>
        <w:rPr>
          <w:b/>
          <w:i/>
          <w:sz w:val="22"/>
        </w:rPr>
      </w:pPr>
      <w:r w:rsidRPr="0071275D">
        <w:rPr>
          <w:b/>
          <w:i/>
          <w:sz w:val="22"/>
        </w:rPr>
        <w:t>Issue to Address</w:t>
      </w:r>
    </w:p>
    <w:p w14:paraId="20B69943" w14:textId="5DCDF366" w:rsidR="006F6E60" w:rsidRDefault="0071275D" w:rsidP="00BA65EB">
      <w:pPr>
        <w:jc w:val="both"/>
        <w:rPr>
          <w:sz w:val="22"/>
        </w:rPr>
      </w:pPr>
      <w:r>
        <w:rPr>
          <w:sz w:val="22"/>
        </w:rPr>
        <w:t xml:space="preserve">Similar to the previous recommendation, </w:t>
      </w:r>
      <w:r w:rsidR="005837A8">
        <w:rPr>
          <w:sz w:val="22"/>
        </w:rPr>
        <w:t xml:space="preserve">there are other opportunities to showcase project achievements </w:t>
      </w:r>
      <w:r w:rsidR="00A273BE">
        <w:rPr>
          <w:sz w:val="22"/>
        </w:rPr>
        <w:t xml:space="preserve">– mostly the integration of environmental considerations in local plans and budgets according to MTEF guidelines - </w:t>
      </w:r>
      <w:r w:rsidR="005837A8">
        <w:rPr>
          <w:sz w:val="22"/>
        </w:rPr>
        <w:t>made at the local level and seek their replication</w:t>
      </w:r>
      <w:r>
        <w:rPr>
          <w:sz w:val="22"/>
        </w:rPr>
        <w:t xml:space="preserve"> </w:t>
      </w:r>
      <w:r w:rsidR="00095758">
        <w:rPr>
          <w:sz w:val="22"/>
        </w:rPr>
        <w:t xml:space="preserve">and scaling-up throughout Moldova. Local administrations have at least 2 processes where they come together. The Congress of </w:t>
      </w:r>
      <w:r w:rsidR="00C11CAF">
        <w:rPr>
          <w:sz w:val="22"/>
        </w:rPr>
        <w:t>Local Authorities</w:t>
      </w:r>
      <w:r w:rsidR="00095758">
        <w:rPr>
          <w:sz w:val="22"/>
        </w:rPr>
        <w:t xml:space="preserve"> regrouping 600 Mayors and the Convention (Assembly) of Mayors. These enti</w:t>
      </w:r>
      <w:r w:rsidR="00B811D8">
        <w:rPr>
          <w:sz w:val="22"/>
        </w:rPr>
        <w:t>ties are meeting regularly and regular communications happened among</w:t>
      </w:r>
      <w:r w:rsidR="00A273BE">
        <w:rPr>
          <w:sz w:val="22"/>
        </w:rPr>
        <w:t xml:space="preserve"> their members through networks.</w:t>
      </w:r>
      <w:r w:rsidR="00B811D8">
        <w:rPr>
          <w:sz w:val="22"/>
        </w:rPr>
        <w:t xml:space="preserve"> The Congress of </w:t>
      </w:r>
      <w:r w:rsidR="00C11CAF">
        <w:rPr>
          <w:sz w:val="22"/>
        </w:rPr>
        <w:t>Local Authorities</w:t>
      </w:r>
      <w:r w:rsidR="00B811D8">
        <w:rPr>
          <w:sz w:val="22"/>
        </w:rPr>
        <w:t xml:space="preserve"> organize</w:t>
      </w:r>
      <w:r w:rsidR="00013C80">
        <w:rPr>
          <w:sz w:val="22"/>
        </w:rPr>
        <w:t>s</w:t>
      </w:r>
      <w:r w:rsidR="00B811D8">
        <w:rPr>
          <w:sz w:val="22"/>
        </w:rPr>
        <w:t xml:space="preserve"> 2-3 seminars per year on different topics of interest to Mayors and </w:t>
      </w:r>
      <w:r w:rsidR="00013C80">
        <w:rPr>
          <w:sz w:val="22"/>
        </w:rPr>
        <w:t xml:space="preserve">regularly </w:t>
      </w:r>
      <w:r w:rsidR="00B811D8">
        <w:rPr>
          <w:sz w:val="22"/>
        </w:rPr>
        <w:t>send</w:t>
      </w:r>
      <w:r w:rsidR="00013C80">
        <w:rPr>
          <w:sz w:val="22"/>
        </w:rPr>
        <w:t>s</w:t>
      </w:r>
      <w:r w:rsidR="00B811D8">
        <w:rPr>
          <w:sz w:val="22"/>
        </w:rPr>
        <w:t xml:space="preserve"> relevant information to members by email. </w:t>
      </w:r>
      <w:r w:rsidR="00F8605E">
        <w:rPr>
          <w:sz w:val="22"/>
        </w:rPr>
        <w:t xml:space="preserve">This entity is also used to consult Mayors on national and local issues. </w:t>
      </w:r>
      <w:r w:rsidR="00013C80">
        <w:rPr>
          <w:sz w:val="22"/>
        </w:rPr>
        <w:t>They are</w:t>
      </w:r>
      <w:r w:rsidR="00F8605E">
        <w:rPr>
          <w:sz w:val="22"/>
        </w:rPr>
        <w:t>, therefore, relevant entities that should be used to channel project achievements to local public administrations.</w:t>
      </w:r>
    </w:p>
    <w:p w14:paraId="5BA29571" w14:textId="77777777" w:rsidR="00A273BE" w:rsidRPr="0071275D" w:rsidRDefault="00A273BE" w:rsidP="00A273BE">
      <w:pPr>
        <w:pStyle w:val="ListParagraph"/>
        <w:ind w:left="0"/>
        <w:jc w:val="both"/>
        <w:rPr>
          <w:sz w:val="22"/>
        </w:rPr>
      </w:pPr>
    </w:p>
    <w:p w14:paraId="074C017F" w14:textId="6B93BB1C" w:rsidR="00A273BE" w:rsidRPr="0071275D" w:rsidRDefault="00A273BE" w:rsidP="00A273BE">
      <w:pPr>
        <w:pStyle w:val="ListParagraph"/>
        <w:pBdr>
          <w:top w:val="single" w:sz="4" w:space="1" w:color="auto"/>
          <w:left w:val="single" w:sz="4" w:space="4" w:color="auto"/>
          <w:bottom w:val="single" w:sz="4" w:space="1" w:color="auto"/>
          <w:right w:val="single" w:sz="4" w:space="4" w:color="auto"/>
        </w:pBdr>
        <w:shd w:val="clear" w:color="auto" w:fill="E0E0E0"/>
        <w:ind w:left="0"/>
        <w:rPr>
          <w:b/>
          <w:sz w:val="22"/>
          <w:szCs w:val="22"/>
        </w:rPr>
      </w:pPr>
      <w:r w:rsidRPr="0071275D">
        <w:rPr>
          <w:b/>
          <w:sz w:val="22"/>
          <w:szCs w:val="22"/>
        </w:rPr>
        <w:t xml:space="preserve">Recommendation </w:t>
      </w:r>
      <w:r>
        <w:rPr>
          <w:b/>
          <w:sz w:val="22"/>
          <w:szCs w:val="22"/>
        </w:rPr>
        <w:t>6</w:t>
      </w:r>
      <w:r w:rsidRPr="0071275D">
        <w:rPr>
          <w:b/>
          <w:sz w:val="22"/>
          <w:szCs w:val="22"/>
        </w:rPr>
        <w:t xml:space="preserve">: It is recommended to </w:t>
      </w:r>
      <w:r>
        <w:rPr>
          <w:b/>
          <w:sz w:val="22"/>
          <w:szCs w:val="22"/>
        </w:rPr>
        <w:t>establish a</w:t>
      </w:r>
      <w:r w:rsidR="00B234B6">
        <w:rPr>
          <w:b/>
          <w:sz w:val="22"/>
          <w:szCs w:val="22"/>
        </w:rPr>
        <w:t xml:space="preserve"> national</w:t>
      </w:r>
      <w:r w:rsidR="00D802B9">
        <w:rPr>
          <w:b/>
          <w:sz w:val="22"/>
          <w:szCs w:val="22"/>
        </w:rPr>
        <w:t xml:space="preserve"> action</w:t>
      </w:r>
      <w:r>
        <w:rPr>
          <w:b/>
          <w:sz w:val="22"/>
          <w:szCs w:val="22"/>
        </w:rPr>
        <w:t xml:space="preserve"> plan to integrate environmental considerations in local plans and budgets according to MTEF guidelines in order to replicate the project achievements in the 6 towns.</w:t>
      </w:r>
      <w:r w:rsidRPr="0071275D">
        <w:rPr>
          <w:b/>
          <w:sz w:val="22"/>
          <w:szCs w:val="22"/>
        </w:rPr>
        <w:t xml:space="preserve"> </w:t>
      </w:r>
    </w:p>
    <w:p w14:paraId="09E218C4" w14:textId="77777777" w:rsidR="00A273BE" w:rsidRPr="009C01A8" w:rsidRDefault="00A273BE" w:rsidP="00A273BE">
      <w:pPr>
        <w:pStyle w:val="ListParagraph"/>
        <w:spacing w:before="120" w:after="120"/>
        <w:ind w:left="0"/>
        <w:contextualSpacing w:val="0"/>
        <w:jc w:val="both"/>
        <w:rPr>
          <w:b/>
          <w:i/>
          <w:sz w:val="22"/>
        </w:rPr>
      </w:pPr>
      <w:r w:rsidRPr="0071275D">
        <w:rPr>
          <w:b/>
          <w:i/>
          <w:sz w:val="22"/>
        </w:rPr>
        <w:t>Issue to Address</w:t>
      </w:r>
    </w:p>
    <w:p w14:paraId="4F359CED" w14:textId="24295B2B" w:rsidR="00A273BE" w:rsidRDefault="00A273BE" w:rsidP="00A273BE">
      <w:pPr>
        <w:jc w:val="both"/>
        <w:rPr>
          <w:sz w:val="22"/>
        </w:rPr>
      </w:pPr>
      <w:r>
        <w:rPr>
          <w:sz w:val="22"/>
        </w:rPr>
        <w:t>The project supported the</w:t>
      </w:r>
      <w:r w:rsidRPr="00A273BE">
        <w:rPr>
          <w:sz w:val="22"/>
        </w:rPr>
        <w:t xml:space="preserve"> mainstreaming </w:t>
      </w:r>
      <w:r>
        <w:rPr>
          <w:sz w:val="22"/>
        </w:rPr>
        <w:t xml:space="preserve">of </w:t>
      </w:r>
      <w:r w:rsidRPr="00A273BE">
        <w:rPr>
          <w:sz w:val="22"/>
        </w:rPr>
        <w:t xml:space="preserve">environmental programmes into </w:t>
      </w:r>
      <w:r>
        <w:rPr>
          <w:sz w:val="22"/>
        </w:rPr>
        <w:t xml:space="preserve">local </w:t>
      </w:r>
      <w:r w:rsidRPr="00A273BE">
        <w:rPr>
          <w:sz w:val="22"/>
        </w:rPr>
        <w:t>public budgets</w:t>
      </w:r>
      <w:r>
        <w:rPr>
          <w:sz w:val="22"/>
        </w:rPr>
        <w:t xml:space="preserve"> </w:t>
      </w:r>
      <w:r w:rsidR="00D802B9" w:rsidRPr="00A273BE">
        <w:rPr>
          <w:sz w:val="22"/>
        </w:rPr>
        <w:t>in 6 towns across Moldova</w:t>
      </w:r>
      <w:r w:rsidR="00D802B9">
        <w:rPr>
          <w:sz w:val="22"/>
        </w:rPr>
        <w:t xml:space="preserve"> </w:t>
      </w:r>
      <w:r>
        <w:rPr>
          <w:sz w:val="22"/>
        </w:rPr>
        <w:t>within the context of the</w:t>
      </w:r>
      <w:r w:rsidRPr="00A273BE">
        <w:rPr>
          <w:sz w:val="22"/>
        </w:rPr>
        <w:t xml:space="preserve"> new three-year budget system according to MTEF guidelines</w:t>
      </w:r>
      <w:r>
        <w:rPr>
          <w:sz w:val="22"/>
        </w:rPr>
        <w:t xml:space="preserve">. These achievements were a </w:t>
      </w:r>
      <w:r w:rsidR="00D802B9">
        <w:rPr>
          <w:sz w:val="22"/>
        </w:rPr>
        <w:t>successful</w:t>
      </w:r>
      <w:r>
        <w:rPr>
          <w:sz w:val="22"/>
        </w:rPr>
        <w:t xml:space="preserve"> demonstration of </w:t>
      </w:r>
      <w:r w:rsidRPr="00A273BE">
        <w:rPr>
          <w:sz w:val="22"/>
        </w:rPr>
        <w:t xml:space="preserve">this new budgetary approach at the local level, including the implementation of environment </w:t>
      </w:r>
      <w:r w:rsidR="00D802B9">
        <w:rPr>
          <w:sz w:val="22"/>
        </w:rPr>
        <w:t>projects</w:t>
      </w:r>
      <w:r w:rsidRPr="00A273BE">
        <w:rPr>
          <w:sz w:val="22"/>
        </w:rPr>
        <w:t xml:space="preserve">. </w:t>
      </w:r>
      <w:r>
        <w:rPr>
          <w:sz w:val="22"/>
        </w:rPr>
        <w:t>However, it is only the</w:t>
      </w:r>
      <w:r w:rsidRPr="00A273BE">
        <w:rPr>
          <w:sz w:val="22"/>
        </w:rPr>
        <w:t xml:space="preserve"> first step of a process that will take a longer time to be completed/mainstreamed throughout the </w:t>
      </w:r>
      <w:r>
        <w:rPr>
          <w:sz w:val="22"/>
        </w:rPr>
        <w:t>local government system in Moldova</w:t>
      </w:r>
      <w:r w:rsidRPr="00A273BE">
        <w:rPr>
          <w:sz w:val="22"/>
        </w:rPr>
        <w:t xml:space="preserve">. </w:t>
      </w:r>
      <w:r>
        <w:rPr>
          <w:sz w:val="22"/>
        </w:rPr>
        <w:t>Using the opportunity of presenting these achievements to all Mayors in Moldova (</w:t>
      </w:r>
      <w:r w:rsidRPr="00D802B9">
        <w:rPr>
          <w:i/>
          <w:sz w:val="22"/>
        </w:rPr>
        <w:t>see Recommendation #5 above</w:t>
      </w:r>
      <w:r>
        <w:rPr>
          <w:sz w:val="22"/>
        </w:rPr>
        <w:t xml:space="preserve">), </w:t>
      </w:r>
      <w:r w:rsidR="00D802B9">
        <w:rPr>
          <w:sz w:val="22"/>
        </w:rPr>
        <w:t xml:space="preserve">it is recommended to formulate an action plan to replicate/mainstream these achievements throughout the country. It is suggested that during a seminar organized by either the Congress of Local Authorities or the Convention of Mayors, project achievements be presented and an initial debate/consultation be conducted on the formulation of such an action plan. </w:t>
      </w:r>
    </w:p>
    <w:p w14:paraId="20118831" w14:textId="77777777" w:rsidR="00A273BE" w:rsidRDefault="00A273BE" w:rsidP="00BA65EB">
      <w:pPr>
        <w:jc w:val="both"/>
        <w:rPr>
          <w:sz w:val="22"/>
        </w:rPr>
      </w:pPr>
    </w:p>
    <w:p w14:paraId="33B43A32" w14:textId="77777777" w:rsidR="00D802B9" w:rsidRDefault="00D802B9" w:rsidP="00BA65EB">
      <w:pPr>
        <w:jc w:val="both"/>
        <w:rPr>
          <w:sz w:val="22"/>
        </w:rPr>
      </w:pPr>
    </w:p>
    <w:p w14:paraId="18226D7E" w14:textId="77777777" w:rsidR="006C4C2A" w:rsidRDefault="006C4C2A" w:rsidP="006C4C2A">
      <w:pPr>
        <w:pStyle w:val="Heading2"/>
        <w:numPr>
          <w:ilvl w:val="1"/>
          <w:numId w:val="1"/>
        </w:numPr>
        <w:tabs>
          <w:tab w:val="clear" w:pos="792"/>
          <w:tab w:val="num" w:pos="709"/>
        </w:tabs>
        <w:spacing w:before="0" w:after="0"/>
        <w:ind w:left="720" w:hanging="720"/>
        <w:rPr>
          <w:i w:val="0"/>
          <w:sz w:val="22"/>
          <w:szCs w:val="22"/>
        </w:rPr>
      </w:pPr>
      <w:bookmarkStart w:id="13" w:name="_Toc308103234"/>
      <w:r>
        <w:rPr>
          <w:i w:val="0"/>
          <w:sz w:val="22"/>
          <w:szCs w:val="22"/>
        </w:rPr>
        <w:lastRenderedPageBreak/>
        <w:t>Rating Table</w:t>
      </w:r>
      <w:bookmarkEnd w:id="13"/>
    </w:p>
    <w:p w14:paraId="7BCF3F8E" w14:textId="77777777" w:rsidR="006C4C2A" w:rsidRPr="00F624E2" w:rsidRDefault="006C4C2A" w:rsidP="006C4C2A"/>
    <w:p w14:paraId="58C6210C" w14:textId="77777777" w:rsidR="00D373E5" w:rsidRDefault="00D373E5" w:rsidP="003F23AA">
      <w:pPr>
        <w:pStyle w:val="ListParagraph"/>
        <w:ind w:left="0"/>
        <w:jc w:val="both"/>
        <w:rPr>
          <w:sz w:val="22"/>
          <w:szCs w:val="22"/>
        </w:rPr>
      </w:pPr>
      <w:r>
        <w:rPr>
          <w:sz w:val="22"/>
          <w:szCs w:val="22"/>
        </w:rPr>
        <w:t>Below is the rating table as requested in the TORs. It includes all the required performance criteria rated as per the rating s</w:t>
      </w:r>
      <w:r w:rsidR="00A506D6">
        <w:rPr>
          <w:sz w:val="22"/>
          <w:szCs w:val="22"/>
        </w:rPr>
        <w:t xml:space="preserve">cales </w:t>
      </w:r>
      <w:r w:rsidR="00A506D6" w:rsidRPr="00A37D54">
        <w:rPr>
          <w:sz w:val="22"/>
          <w:szCs w:val="22"/>
        </w:rPr>
        <w:t xml:space="preserve">presented in </w:t>
      </w:r>
      <w:r w:rsidRPr="00A37D54">
        <w:rPr>
          <w:sz w:val="22"/>
          <w:szCs w:val="22"/>
        </w:rPr>
        <w:t>the TORs.</w:t>
      </w:r>
      <w:r>
        <w:rPr>
          <w:sz w:val="22"/>
          <w:szCs w:val="22"/>
        </w:rPr>
        <w:t xml:space="preserve">  </w:t>
      </w:r>
      <w:r w:rsidR="007410C2">
        <w:rPr>
          <w:sz w:val="22"/>
          <w:szCs w:val="22"/>
        </w:rPr>
        <w:t xml:space="preserve">Supportive information is provided throughout this report in the respective sections. </w:t>
      </w:r>
    </w:p>
    <w:p w14:paraId="43EEA9F1" w14:textId="77777777" w:rsidR="00D373E5" w:rsidRPr="00FB6D4E" w:rsidRDefault="00D373E5" w:rsidP="003F23AA">
      <w:pPr>
        <w:pStyle w:val="ListParagraph"/>
        <w:ind w:left="0"/>
        <w:jc w:val="both"/>
        <w:rPr>
          <w:sz w:val="22"/>
          <w:szCs w:val="22"/>
        </w:rPr>
      </w:pPr>
    </w:p>
    <w:p w14:paraId="35FA6190" w14:textId="77777777" w:rsidR="000A4724" w:rsidRPr="00F624E2" w:rsidRDefault="00F624E2" w:rsidP="00F624E2">
      <w:pPr>
        <w:pStyle w:val="Caption"/>
        <w:keepNext/>
        <w:jc w:val="center"/>
        <w:rPr>
          <w:rFonts w:ascii="Arial" w:hAnsi="Arial"/>
          <w:b w:val="0"/>
        </w:rPr>
      </w:pPr>
      <w:bookmarkStart w:id="14" w:name="_Toc305531029"/>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1</w:t>
      </w:r>
      <w:r w:rsidRPr="00FB6D4E">
        <w:fldChar w:fldCharType="end"/>
      </w:r>
      <w:r w:rsidRPr="00FB6D4E">
        <w:rPr>
          <w:rFonts w:ascii="Arial" w:hAnsi="Arial"/>
        </w:rPr>
        <w:t xml:space="preserve">:  </w:t>
      </w:r>
      <w:r>
        <w:rPr>
          <w:rFonts w:ascii="Arial" w:hAnsi="Arial"/>
          <w:b w:val="0"/>
        </w:rPr>
        <w:t>Rating Table</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794"/>
        <w:gridCol w:w="5062"/>
        <w:gridCol w:w="794"/>
      </w:tblGrid>
      <w:tr w:rsidR="000A4724" w:rsidRPr="00FB6D4E" w14:paraId="293375D9" w14:textId="77777777" w:rsidTr="00771835">
        <w:trPr>
          <w:trHeight w:val="206"/>
          <w:tblHeader/>
        </w:trPr>
        <w:tc>
          <w:tcPr>
            <w:tcW w:w="5000" w:type="pct"/>
            <w:gridSpan w:val="4"/>
            <w:vAlign w:val="center"/>
          </w:tcPr>
          <w:p w14:paraId="617D9113" w14:textId="77777777" w:rsidR="000A4724" w:rsidRPr="00FB6D4E" w:rsidRDefault="000A4724" w:rsidP="00113A74">
            <w:pPr>
              <w:tabs>
                <w:tab w:val="right" w:pos="0"/>
              </w:tabs>
              <w:jc w:val="both"/>
              <w:rPr>
                <w:rFonts w:cs="Calibri"/>
                <w:b/>
                <w:color w:val="000000"/>
                <w:sz w:val="20"/>
                <w:szCs w:val="20"/>
              </w:rPr>
            </w:pPr>
            <w:r w:rsidRPr="00FB6D4E">
              <w:rPr>
                <w:rFonts w:cs="Calibri"/>
                <w:b/>
                <w:color w:val="000000"/>
                <w:sz w:val="20"/>
                <w:szCs w:val="20"/>
              </w:rPr>
              <w:t>Evaluation Ratings:</w:t>
            </w:r>
          </w:p>
        </w:tc>
      </w:tr>
      <w:tr w:rsidR="000A4724" w:rsidRPr="00FB6D4E" w14:paraId="7B36394D" w14:textId="77777777" w:rsidTr="00771835">
        <w:tblPrEx>
          <w:shd w:val="clear" w:color="auto" w:fill="4F81BD"/>
        </w:tblPrEx>
        <w:tc>
          <w:tcPr>
            <w:tcW w:w="1652" w:type="pct"/>
            <w:shd w:val="clear" w:color="auto" w:fill="7F7F7F"/>
          </w:tcPr>
          <w:p w14:paraId="363CC78C" w14:textId="77777777" w:rsidR="000A4724" w:rsidRPr="00FB6D4E" w:rsidRDefault="000A4724" w:rsidP="00113A74">
            <w:pPr>
              <w:jc w:val="both"/>
              <w:rPr>
                <w:rFonts w:cs="Calibri"/>
                <w:b/>
                <w:bCs/>
                <w:color w:val="FFFFFF"/>
                <w:sz w:val="20"/>
                <w:szCs w:val="20"/>
              </w:rPr>
            </w:pPr>
            <w:r w:rsidRPr="00FB6D4E">
              <w:rPr>
                <w:rFonts w:cs="Calibri"/>
                <w:b/>
                <w:color w:val="FFFFFF"/>
                <w:sz w:val="20"/>
                <w:szCs w:val="20"/>
              </w:rPr>
              <w:t>1. Monitoring and Evaluation</w:t>
            </w:r>
          </w:p>
        </w:tc>
        <w:tc>
          <w:tcPr>
            <w:tcW w:w="375" w:type="pct"/>
            <w:shd w:val="clear" w:color="auto" w:fill="7F7F7F"/>
          </w:tcPr>
          <w:p w14:paraId="54C004CC" w14:textId="77777777" w:rsidR="000A4724" w:rsidRPr="00FB6D4E" w:rsidRDefault="000A4724" w:rsidP="00113A74">
            <w:pPr>
              <w:jc w:val="both"/>
              <w:rPr>
                <w:rFonts w:cs="Calibri"/>
                <w:b/>
                <w:bCs/>
                <w:color w:val="FFFFFF"/>
                <w:sz w:val="20"/>
                <w:szCs w:val="20"/>
              </w:rPr>
            </w:pPr>
            <w:r w:rsidRPr="00FB6D4E">
              <w:rPr>
                <w:rFonts w:cs="Calibri"/>
                <w:b/>
                <w:i/>
                <w:color w:val="FFFFFF"/>
                <w:sz w:val="20"/>
                <w:szCs w:val="20"/>
              </w:rPr>
              <w:t>Rating</w:t>
            </w:r>
          </w:p>
        </w:tc>
        <w:tc>
          <w:tcPr>
            <w:tcW w:w="2598" w:type="pct"/>
            <w:shd w:val="clear" w:color="auto" w:fill="7F7F7F"/>
          </w:tcPr>
          <w:p w14:paraId="6584F620" w14:textId="77777777" w:rsidR="000A4724" w:rsidRPr="00FB6D4E" w:rsidRDefault="000A4724" w:rsidP="00113A74">
            <w:pPr>
              <w:jc w:val="both"/>
              <w:rPr>
                <w:rFonts w:cs="Calibri"/>
                <w:b/>
                <w:i/>
                <w:color w:val="FFFFFF"/>
                <w:sz w:val="20"/>
                <w:szCs w:val="20"/>
              </w:rPr>
            </w:pPr>
            <w:r w:rsidRPr="00FB6D4E">
              <w:rPr>
                <w:rFonts w:cs="Calibri"/>
                <w:b/>
                <w:color w:val="FFFFFF"/>
                <w:sz w:val="20"/>
                <w:szCs w:val="20"/>
              </w:rPr>
              <w:t>2. IA&amp; EA Execution</w:t>
            </w:r>
          </w:p>
        </w:tc>
        <w:tc>
          <w:tcPr>
            <w:tcW w:w="375" w:type="pct"/>
            <w:shd w:val="clear" w:color="auto" w:fill="7F7F7F"/>
          </w:tcPr>
          <w:p w14:paraId="38E318AB" w14:textId="77777777" w:rsidR="000A4724" w:rsidRPr="00FB6D4E" w:rsidRDefault="000A4724" w:rsidP="00113A74">
            <w:pPr>
              <w:jc w:val="both"/>
              <w:rPr>
                <w:rFonts w:cs="Calibri"/>
                <w:b/>
                <w:i/>
                <w:color w:val="FFFFFF"/>
                <w:sz w:val="20"/>
                <w:szCs w:val="20"/>
              </w:rPr>
            </w:pPr>
            <w:r w:rsidRPr="00FB6D4E">
              <w:rPr>
                <w:rFonts w:cs="Calibri"/>
                <w:b/>
                <w:i/>
                <w:color w:val="FFFFFF"/>
                <w:sz w:val="20"/>
                <w:szCs w:val="20"/>
              </w:rPr>
              <w:t>Rating</w:t>
            </w:r>
          </w:p>
        </w:tc>
      </w:tr>
      <w:tr w:rsidR="000A4724" w:rsidRPr="00FB6D4E" w14:paraId="5D927A94"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A412F5D" w14:textId="77777777" w:rsidR="000A4724" w:rsidRPr="00FB6D4E" w:rsidRDefault="000A4724" w:rsidP="00113A74">
            <w:pPr>
              <w:jc w:val="both"/>
              <w:rPr>
                <w:rFonts w:cs="Calibri"/>
                <w:sz w:val="20"/>
                <w:szCs w:val="20"/>
              </w:rPr>
            </w:pPr>
            <w:r w:rsidRPr="00FB6D4E">
              <w:rPr>
                <w:rFonts w:cs="Calibri"/>
                <w:sz w:val="20"/>
                <w:szCs w:val="20"/>
              </w:rPr>
              <w:t>M&amp;E design at entry</w:t>
            </w:r>
          </w:p>
        </w:tc>
        <w:tc>
          <w:tcPr>
            <w:tcW w:w="375" w:type="pct"/>
            <w:tcBorders>
              <w:bottom w:val="single" w:sz="4" w:space="0" w:color="auto"/>
            </w:tcBorders>
          </w:tcPr>
          <w:p w14:paraId="61C2EE4E" w14:textId="29F9CD8F" w:rsidR="000A4724" w:rsidRPr="00FE5CA9" w:rsidRDefault="00713506" w:rsidP="000A4724">
            <w:pPr>
              <w:jc w:val="center"/>
              <w:rPr>
                <w:rFonts w:cs="Calibri"/>
                <w:sz w:val="20"/>
                <w:szCs w:val="20"/>
              </w:rPr>
            </w:pPr>
            <w:r>
              <w:rPr>
                <w:rFonts w:cs="Calibri"/>
                <w:sz w:val="20"/>
                <w:szCs w:val="20"/>
              </w:rPr>
              <w:t>S</w:t>
            </w:r>
          </w:p>
        </w:tc>
        <w:tc>
          <w:tcPr>
            <w:tcW w:w="2598" w:type="pct"/>
            <w:tcBorders>
              <w:bottom w:val="single" w:sz="4" w:space="0" w:color="auto"/>
            </w:tcBorders>
          </w:tcPr>
          <w:p w14:paraId="0E3D1948" w14:textId="77777777" w:rsidR="000A4724" w:rsidRPr="00FB6D4E" w:rsidRDefault="000A4724" w:rsidP="00113A74">
            <w:pPr>
              <w:jc w:val="both"/>
              <w:rPr>
                <w:rFonts w:cs="Calibri"/>
                <w:sz w:val="20"/>
                <w:szCs w:val="20"/>
              </w:rPr>
            </w:pPr>
            <w:r w:rsidRPr="00FB6D4E">
              <w:rPr>
                <w:rFonts w:cs="Calibri"/>
                <w:sz w:val="20"/>
                <w:szCs w:val="20"/>
              </w:rPr>
              <w:t>Quality of UNDP Implementation</w:t>
            </w:r>
          </w:p>
        </w:tc>
        <w:tc>
          <w:tcPr>
            <w:tcW w:w="375" w:type="pct"/>
            <w:tcBorders>
              <w:bottom w:val="single" w:sz="4" w:space="0" w:color="auto"/>
            </w:tcBorders>
          </w:tcPr>
          <w:p w14:paraId="58FF84B2" w14:textId="179CCB2D" w:rsidR="000A4724" w:rsidRPr="00FE5CA9" w:rsidRDefault="00713506" w:rsidP="000A4724">
            <w:pPr>
              <w:jc w:val="center"/>
              <w:rPr>
                <w:rFonts w:cs="Calibri"/>
                <w:sz w:val="20"/>
                <w:szCs w:val="20"/>
              </w:rPr>
            </w:pPr>
            <w:r>
              <w:rPr>
                <w:rFonts w:cs="Calibri"/>
                <w:sz w:val="20"/>
                <w:szCs w:val="20"/>
              </w:rPr>
              <w:t>S</w:t>
            </w:r>
          </w:p>
        </w:tc>
      </w:tr>
      <w:tr w:rsidR="000A4724" w:rsidRPr="00FB6D4E" w14:paraId="5D025D56"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7755868" w14:textId="77777777" w:rsidR="000A4724" w:rsidRPr="00FB6D4E" w:rsidRDefault="000A4724" w:rsidP="00113A74">
            <w:pPr>
              <w:jc w:val="both"/>
              <w:rPr>
                <w:rFonts w:cs="Calibri"/>
                <w:sz w:val="20"/>
                <w:szCs w:val="20"/>
              </w:rPr>
            </w:pPr>
            <w:r w:rsidRPr="00FB6D4E">
              <w:rPr>
                <w:rFonts w:cs="Calibri"/>
                <w:sz w:val="20"/>
                <w:szCs w:val="20"/>
              </w:rPr>
              <w:t>M&amp;E Plan Implementation</w:t>
            </w:r>
          </w:p>
        </w:tc>
        <w:tc>
          <w:tcPr>
            <w:tcW w:w="375" w:type="pct"/>
            <w:tcBorders>
              <w:bottom w:val="single" w:sz="4" w:space="0" w:color="auto"/>
            </w:tcBorders>
          </w:tcPr>
          <w:p w14:paraId="4BCD630D" w14:textId="32B6CD96" w:rsidR="000A4724" w:rsidRPr="00FE5CA9" w:rsidRDefault="00713506" w:rsidP="000A4724">
            <w:pPr>
              <w:jc w:val="center"/>
              <w:rPr>
                <w:rFonts w:cs="Calibri"/>
                <w:sz w:val="20"/>
                <w:szCs w:val="20"/>
              </w:rPr>
            </w:pPr>
            <w:r>
              <w:rPr>
                <w:rFonts w:cs="Calibri"/>
                <w:sz w:val="20"/>
                <w:szCs w:val="20"/>
              </w:rPr>
              <w:t>MS</w:t>
            </w:r>
          </w:p>
        </w:tc>
        <w:tc>
          <w:tcPr>
            <w:tcW w:w="2598" w:type="pct"/>
            <w:tcBorders>
              <w:bottom w:val="single" w:sz="4" w:space="0" w:color="auto"/>
            </w:tcBorders>
          </w:tcPr>
          <w:p w14:paraId="215DB853" w14:textId="77777777" w:rsidR="000A4724" w:rsidRPr="00FB6D4E" w:rsidRDefault="000A4724" w:rsidP="00113A74">
            <w:pPr>
              <w:jc w:val="both"/>
              <w:rPr>
                <w:rFonts w:cs="Calibri"/>
                <w:sz w:val="20"/>
                <w:szCs w:val="20"/>
              </w:rPr>
            </w:pPr>
            <w:r w:rsidRPr="00FB6D4E">
              <w:rPr>
                <w:rFonts w:cs="Calibri"/>
                <w:sz w:val="20"/>
                <w:szCs w:val="20"/>
              </w:rPr>
              <w:t xml:space="preserve">Quality of Execution - Executing Agency </w:t>
            </w:r>
          </w:p>
        </w:tc>
        <w:tc>
          <w:tcPr>
            <w:tcW w:w="375" w:type="pct"/>
            <w:tcBorders>
              <w:bottom w:val="single" w:sz="4" w:space="0" w:color="auto"/>
            </w:tcBorders>
          </w:tcPr>
          <w:p w14:paraId="23751063" w14:textId="752B4AD2" w:rsidR="000A4724" w:rsidRPr="00FE5CA9" w:rsidRDefault="00713506" w:rsidP="000A4724">
            <w:pPr>
              <w:jc w:val="center"/>
              <w:rPr>
                <w:rFonts w:cs="Calibri"/>
                <w:sz w:val="20"/>
                <w:szCs w:val="20"/>
              </w:rPr>
            </w:pPr>
            <w:r>
              <w:rPr>
                <w:rFonts w:cs="Calibri"/>
                <w:sz w:val="20"/>
                <w:szCs w:val="20"/>
              </w:rPr>
              <w:t>S</w:t>
            </w:r>
          </w:p>
        </w:tc>
      </w:tr>
      <w:tr w:rsidR="000A4724" w:rsidRPr="00FB6D4E" w14:paraId="62CB55C0"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EC38F00" w14:textId="77777777" w:rsidR="000A4724" w:rsidRPr="00FB6D4E" w:rsidRDefault="000A4724" w:rsidP="00113A74">
            <w:pPr>
              <w:jc w:val="both"/>
              <w:rPr>
                <w:rFonts w:cs="Calibri"/>
                <w:sz w:val="20"/>
                <w:szCs w:val="20"/>
              </w:rPr>
            </w:pPr>
            <w:r w:rsidRPr="00FB6D4E">
              <w:rPr>
                <w:rFonts w:cs="Calibri"/>
                <w:sz w:val="20"/>
                <w:szCs w:val="20"/>
              </w:rPr>
              <w:t>Overall quality of M&amp;E</w:t>
            </w:r>
          </w:p>
        </w:tc>
        <w:tc>
          <w:tcPr>
            <w:tcW w:w="375" w:type="pct"/>
            <w:tcBorders>
              <w:bottom w:val="single" w:sz="4" w:space="0" w:color="auto"/>
            </w:tcBorders>
          </w:tcPr>
          <w:p w14:paraId="6F51B5E9" w14:textId="674A9158" w:rsidR="000A4724" w:rsidRPr="00FE5CA9" w:rsidRDefault="00713506" w:rsidP="000A4724">
            <w:pPr>
              <w:jc w:val="center"/>
              <w:rPr>
                <w:rFonts w:cs="Calibri"/>
                <w:sz w:val="20"/>
                <w:szCs w:val="20"/>
              </w:rPr>
            </w:pPr>
            <w:r>
              <w:rPr>
                <w:rFonts w:cs="Calibri"/>
                <w:sz w:val="20"/>
                <w:szCs w:val="20"/>
              </w:rPr>
              <w:t>MS</w:t>
            </w:r>
          </w:p>
        </w:tc>
        <w:tc>
          <w:tcPr>
            <w:tcW w:w="2598" w:type="pct"/>
            <w:tcBorders>
              <w:bottom w:val="single" w:sz="4" w:space="0" w:color="auto"/>
            </w:tcBorders>
          </w:tcPr>
          <w:p w14:paraId="2CBC8D5A" w14:textId="77777777" w:rsidR="000A4724" w:rsidRPr="00FB6D4E" w:rsidRDefault="000A4724" w:rsidP="00113A74">
            <w:pPr>
              <w:jc w:val="both"/>
              <w:rPr>
                <w:rFonts w:cs="Calibri"/>
                <w:sz w:val="20"/>
                <w:szCs w:val="20"/>
              </w:rPr>
            </w:pPr>
            <w:r w:rsidRPr="00FB6D4E">
              <w:rPr>
                <w:rFonts w:cs="Calibri"/>
                <w:sz w:val="20"/>
                <w:szCs w:val="20"/>
              </w:rPr>
              <w:t>Overall quality of Implementation / Execution</w:t>
            </w:r>
          </w:p>
        </w:tc>
        <w:tc>
          <w:tcPr>
            <w:tcW w:w="375" w:type="pct"/>
            <w:tcBorders>
              <w:bottom w:val="single" w:sz="4" w:space="0" w:color="auto"/>
            </w:tcBorders>
          </w:tcPr>
          <w:p w14:paraId="58878A23" w14:textId="18E25373" w:rsidR="000A4724" w:rsidRPr="00FE5CA9" w:rsidRDefault="00713506" w:rsidP="000A4724">
            <w:pPr>
              <w:jc w:val="center"/>
              <w:rPr>
                <w:rFonts w:cs="Calibri"/>
                <w:sz w:val="20"/>
                <w:szCs w:val="20"/>
              </w:rPr>
            </w:pPr>
            <w:r>
              <w:rPr>
                <w:rFonts w:cs="Calibri"/>
                <w:sz w:val="20"/>
                <w:szCs w:val="20"/>
              </w:rPr>
              <w:t>S</w:t>
            </w:r>
          </w:p>
        </w:tc>
      </w:tr>
      <w:tr w:rsidR="000A4724" w:rsidRPr="00FB6D4E" w14:paraId="16065182" w14:textId="77777777" w:rsidTr="00771835">
        <w:tblPrEx>
          <w:shd w:val="clear" w:color="auto" w:fill="4F81BD"/>
        </w:tblPrEx>
        <w:tc>
          <w:tcPr>
            <w:tcW w:w="1652" w:type="pct"/>
            <w:shd w:val="clear" w:color="auto" w:fill="7F7F7F"/>
          </w:tcPr>
          <w:p w14:paraId="2DA59C50" w14:textId="77777777" w:rsidR="000A4724" w:rsidRPr="00FB6D4E" w:rsidRDefault="000A4724" w:rsidP="00113A74">
            <w:pPr>
              <w:contextualSpacing/>
              <w:jc w:val="both"/>
              <w:rPr>
                <w:rFonts w:cs="Calibri"/>
                <w:b/>
                <w:bCs/>
                <w:color w:val="FFFFFF"/>
                <w:sz w:val="20"/>
                <w:szCs w:val="20"/>
              </w:rPr>
            </w:pPr>
            <w:r w:rsidRPr="00FB6D4E">
              <w:rPr>
                <w:rFonts w:cs="Calibri"/>
                <w:b/>
                <w:bCs/>
                <w:color w:val="FFFFFF"/>
                <w:sz w:val="20"/>
                <w:szCs w:val="20"/>
              </w:rPr>
              <w:t xml:space="preserve">3. Assessment of Outcomes </w:t>
            </w:r>
          </w:p>
        </w:tc>
        <w:tc>
          <w:tcPr>
            <w:tcW w:w="375" w:type="pct"/>
            <w:shd w:val="clear" w:color="auto" w:fill="7F7F7F"/>
          </w:tcPr>
          <w:p w14:paraId="456A82AD" w14:textId="77777777" w:rsidR="000A4724" w:rsidRPr="00FE5CA9" w:rsidRDefault="000A4724" w:rsidP="00113A74">
            <w:pPr>
              <w:contextualSpacing/>
              <w:jc w:val="both"/>
              <w:rPr>
                <w:rFonts w:cs="Calibri"/>
                <w:b/>
                <w:bCs/>
                <w:color w:val="FFFFFF"/>
                <w:sz w:val="20"/>
                <w:szCs w:val="20"/>
              </w:rPr>
            </w:pPr>
            <w:r w:rsidRPr="00FE5CA9">
              <w:rPr>
                <w:rFonts w:cs="Calibri"/>
                <w:b/>
                <w:bCs/>
                <w:color w:val="FFFFFF"/>
                <w:sz w:val="20"/>
                <w:szCs w:val="20"/>
              </w:rPr>
              <w:t>Rating</w:t>
            </w:r>
          </w:p>
        </w:tc>
        <w:tc>
          <w:tcPr>
            <w:tcW w:w="2598" w:type="pct"/>
            <w:shd w:val="clear" w:color="auto" w:fill="7F7F7F"/>
          </w:tcPr>
          <w:p w14:paraId="222409FB" w14:textId="77777777" w:rsidR="000A4724" w:rsidRPr="00FB6D4E" w:rsidRDefault="000A4724" w:rsidP="00113A74">
            <w:pPr>
              <w:contextualSpacing/>
              <w:jc w:val="both"/>
              <w:rPr>
                <w:rFonts w:cs="Calibri"/>
                <w:b/>
                <w:bCs/>
                <w:color w:val="FFFFFF"/>
                <w:sz w:val="20"/>
                <w:szCs w:val="20"/>
              </w:rPr>
            </w:pPr>
            <w:r w:rsidRPr="00FB6D4E">
              <w:rPr>
                <w:rFonts w:cs="Calibri"/>
                <w:b/>
                <w:bCs/>
                <w:color w:val="FFFFFF"/>
                <w:sz w:val="20"/>
                <w:szCs w:val="20"/>
              </w:rPr>
              <w:t>4. Sustainability</w:t>
            </w:r>
          </w:p>
        </w:tc>
        <w:tc>
          <w:tcPr>
            <w:tcW w:w="375" w:type="pct"/>
            <w:shd w:val="clear" w:color="auto" w:fill="7F7F7F"/>
          </w:tcPr>
          <w:p w14:paraId="5B9FA192" w14:textId="77777777" w:rsidR="000A4724" w:rsidRPr="00FE5CA9" w:rsidRDefault="000A4724" w:rsidP="000A4724">
            <w:pPr>
              <w:contextualSpacing/>
              <w:jc w:val="center"/>
              <w:rPr>
                <w:rFonts w:cs="Calibri"/>
                <w:b/>
                <w:bCs/>
                <w:color w:val="FFFFFF"/>
                <w:sz w:val="20"/>
                <w:szCs w:val="20"/>
              </w:rPr>
            </w:pPr>
            <w:r w:rsidRPr="00FE5CA9">
              <w:rPr>
                <w:rFonts w:cs="Calibri"/>
                <w:b/>
                <w:bCs/>
                <w:color w:val="FFFFFF"/>
                <w:sz w:val="20"/>
                <w:szCs w:val="20"/>
              </w:rPr>
              <w:t>Rating</w:t>
            </w:r>
          </w:p>
        </w:tc>
      </w:tr>
      <w:tr w:rsidR="000A4724" w:rsidRPr="00FB6D4E" w14:paraId="26B24E4F"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B71982F" w14:textId="77777777" w:rsidR="000A4724" w:rsidRPr="00FB6D4E" w:rsidRDefault="000A4724" w:rsidP="00113A74">
            <w:pPr>
              <w:jc w:val="both"/>
              <w:rPr>
                <w:rFonts w:cs="Calibri"/>
                <w:sz w:val="20"/>
                <w:szCs w:val="20"/>
              </w:rPr>
            </w:pPr>
            <w:r w:rsidRPr="00FB6D4E">
              <w:rPr>
                <w:rFonts w:cs="Calibri"/>
                <w:sz w:val="20"/>
                <w:szCs w:val="20"/>
              </w:rPr>
              <w:t xml:space="preserve">Relevance </w:t>
            </w:r>
          </w:p>
        </w:tc>
        <w:tc>
          <w:tcPr>
            <w:tcW w:w="375" w:type="pct"/>
          </w:tcPr>
          <w:p w14:paraId="1FE80025" w14:textId="46828107" w:rsidR="000A4724" w:rsidRPr="00FE5CA9" w:rsidRDefault="00713506" w:rsidP="000A4724">
            <w:pPr>
              <w:jc w:val="center"/>
              <w:rPr>
                <w:rFonts w:cs="Calibri"/>
                <w:sz w:val="20"/>
                <w:szCs w:val="20"/>
              </w:rPr>
            </w:pPr>
            <w:r>
              <w:rPr>
                <w:rFonts w:cs="Calibri"/>
                <w:sz w:val="20"/>
                <w:szCs w:val="20"/>
              </w:rPr>
              <w:t>R</w:t>
            </w:r>
          </w:p>
        </w:tc>
        <w:tc>
          <w:tcPr>
            <w:tcW w:w="2598" w:type="pct"/>
          </w:tcPr>
          <w:p w14:paraId="225A4058" w14:textId="77777777" w:rsidR="000A4724" w:rsidRPr="00FB6D4E" w:rsidRDefault="000A4724" w:rsidP="00113A74">
            <w:pPr>
              <w:jc w:val="both"/>
              <w:rPr>
                <w:rFonts w:cs="Calibri"/>
                <w:sz w:val="20"/>
                <w:szCs w:val="20"/>
              </w:rPr>
            </w:pPr>
            <w:r w:rsidRPr="00FB6D4E">
              <w:rPr>
                <w:rFonts w:cs="Calibri"/>
                <w:sz w:val="20"/>
                <w:szCs w:val="20"/>
              </w:rPr>
              <w:t>Financial resources:</w:t>
            </w:r>
          </w:p>
        </w:tc>
        <w:tc>
          <w:tcPr>
            <w:tcW w:w="375" w:type="pct"/>
          </w:tcPr>
          <w:p w14:paraId="7B632C95" w14:textId="76861D27" w:rsidR="000A4724" w:rsidRPr="00FE5CA9" w:rsidRDefault="00713506" w:rsidP="000A4724">
            <w:pPr>
              <w:jc w:val="center"/>
              <w:rPr>
                <w:rFonts w:cs="Calibri"/>
                <w:sz w:val="20"/>
                <w:szCs w:val="20"/>
              </w:rPr>
            </w:pPr>
            <w:r>
              <w:rPr>
                <w:rFonts w:cs="Calibri"/>
                <w:sz w:val="20"/>
                <w:szCs w:val="20"/>
              </w:rPr>
              <w:t>L</w:t>
            </w:r>
          </w:p>
        </w:tc>
      </w:tr>
      <w:tr w:rsidR="000A4724" w:rsidRPr="00FB6D4E" w14:paraId="2F6BB139"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173020B" w14:textId="77777777" w:rsidR="000A4724" w:rsidRPr="00FB6D4E" w:rsidRDefault="000A4724" w:rsidP="00113A74">
            <w:pPr>
              <w:jc w:val="both"/>
              <w:rPr>
                <w:rFonts w:cs="Calibri"/>
                <w:sz w:val="20"/>
                <w:szCs w:val="20"/>
              </w:rPr>
            </w:pPr>
            <w:r w:rsidRPr="00FB6D4E">
              <w:rPr>
                <w:rFonts w:cs="Calibri"/>
                <w:sz w:val="20"/>
                <w:szCs w:val="20"/>
              </w:rPr>
              <w:t>Effectiveness</w:t>
            </w:r>
          </w:p>
        </w:tc>
        <w:tc>
          <w:tcPr>
            <w:tcW w:w="375" w:type="pct"/>
          </w:tcPr>
          <w:p w14:paraId="54223590" w14:textId="78869DF3" w:rsidR="000A4724" w:rsidRPr="00FE5CA9" w:rsidRDefault="00713506" w:rsidP="000A4724">
            <w:pPr>
              <w:jc w:val="center"/>
              <w:rPr>
                <w:rFonts w:cs="Calibri"/>
                <w:sz w:val="20"/>
                <w:szCs w:val="20"/>
              </w:rPr>
            </w:pPr>
            <w:r>
              <w:rPr>
                <w:rFonts w:cs="Calibri"/>
                <w:sz w:val="20"/>
                <w:szCs w:val="20"/>
              </w:rPr>
              <w:t>S</w:t>
            </w:r>
          </w:p>
        </w:tc>
        <w:tc>
          <w:tcPr>
            <w:tcW w:w="2598" w:type="pct"/>
          </w:tcPr>
          <w:p w14:paraId="3F6DBFC9" w14:textId="77777777" w:rsidR="000A4724" w:rsidRPr="00FB6D4E" w:rsidRDefault="000A4724" w:rsidP="00113A74">
            <w:pPr>
              <w:jc w:val="both"/>
              <w:rPr>
                <w:rFonts w:cs="Calibri"/>
                <w:sz w:val="20"/>
                <w:szCs w:val="20"/>
              </w:rPr>
            </w:pPr>
            <w:r w:rsidRPr="00FB6D4E">
              <w:rPr>
                <w:rFonts w:cs="Calibri"/>
                <w:sz w:val="20"/>
                <w:szCs w:val="20"/>
              </w:rPr>
              <w:t>Socio-political:</w:t>
            </w:r>
          </w:p>
        </w:tc>
        <w:tc>
          <w:tcPr>
            <w:tcW w:w="375" w:type="pct"/>
          </w:tcPr>
          <w:p w14:paraId="70636020" w14:textId="46F5C85D" w:rsidR="000A4724" w:rsidRPr="00FE5CA9" w:rsidRDefault="00713506" w:rsidP="000A4724">
            <w:pPr>
              <w:jc w:val="center"/>
              <w:rPr>
                <w:rFonts w:cs="Calibri"/>
                <w:sz w:val="20"/>
                <w:szCs w:val="20"/>
              </w:rPr>
            </w:pPr>
            <w:r>
              <w:rPr>
                <w:rFonts w:cs="Calibri"/>
                <w:sz w:val="20"/>
                <w:szCs w:val="20"/>
              </w:rPr>
              <w:t>ML</w:t>
            </w:r>
          </w:p>
        </w:tc>
      </w:tr>
      <w:tr w:rsidR="000A4724" w:rsidRPr="00FB6D4E" w14:paraId="57B560E7"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17AAC73" w14:textId="77777777" w:rsidR="000A4724" w:rsidRPr="00FB6D4E" w:rsidRDefault="000A4724" w:rsidP="00113A74">
            <w:pPr>
              <w:jc w:val="both"/>
              <w:rPr>
                <w:rFonts w:cs="Calibri"/>
                <w:sz w:val="20"/>
                <w:szCs w:val="20"/>
              </w:rPr>
            </w:pPr>
            <w:r w:rsidRPr="00FB6D4E">
              <w:rPr>
                <w:rFonts w:cs="Calibri"/>
                <w:sz w:val="20"/>
                <w:szCs w:val="20"/>
              </w:rPr>
              <w:t xml:space="preserve">Efficiency </w:t>
            </w:r>
          </w:p>
        </w:tc>
        <w:tc>
          <w:tcPr>
            <w:tcW w:w="375" w:type="pct"/>
          </w:tcPr>
          <w:p w14:paraId="6A36A253" w14:textId="3DA831AD" w:rsidR="000A4724" w:rsidRPr="00FE5CA9" w:rsidRDefault="00713506" w:rsidP="000A4724">
            <w:pPr>
              <w:jc w:val="center"/>
              <w:rPr>
                <w:rFonts w:cs="Calibri"/>
                <w:sz w:val="20"/>
                <w:szCs w:val="20"/>
              </w:rPr>
            </w:pPr>
            <w:r>
              <w:rPr>
                <w:rFonts w:cs="Calibri"/>
                <w:sz w:val="20"/>
                <w:szCs w:val="20"/>
              </w:rPr>
              <w:t>S</w:t>
            </w:r>
          </w:p>
        </w:tc>
        <w:tc>
          <w:tcPr>
            <w:tcW w:w="2598" w:type="pct"/>
          </w:tcPr>
          <w:p w14:paraId="4CFE2F3B" w14:textId="77777777" w:rsidR="000A4724" w:rsidRPr="00FB6D4E" w:rsidRDefault="000A4724" w:rsidP="00113A74">
            <w:pPr>
              <w:jc w:val="both"/>
              <w:rPr>
                <w:rFonts w:cs="Calibri"/>
                <w:sz w:val="20"/>
                <w:szCs w:val="20"/>
              </w:rPr>
            </w:pPr>
            <w:r w:rsidRPr="00FB6D4E">
              <w:rPr>
                <w:rFonts w:cs="Calibri"/>
                <w:sz w:val="20"/>
                <w:szCs w:val="20"/>
              </w:rPr>
              <w:t>Institutional framework and governance:</w:t>
            </w:r>
          </w:p>
        </w:tc>
        <w:tc>
          <w:tcPr>
            <w:tcW w:w="375" w:type="pct"/>
          </w:tcPr>
          <w:p w14:paraId="4E66C58C" w14:textId="5E146316" w:rsidR="000A4724" w:rsidRPr="00FE5CA9" w:rsidRDefault="00713506" w:rsidP="000A4724">
            <w:pPr>
              <w:jc w:val="center"/>
              <w:rPr>
                <w:rFonts w:cs="Calibri"/>
                <w:sz w:val="20"/>
                <w:szCs w:val="20"/>
              </w:rPr>
            </w:pPr>
            <w:r>
              <w:rPr>
                <w:rFonts w:cs="Calibri"/>
                <w:sz w:val="20"/>
                <w:szCs w:val="20"/>
              </w:rPr>
              <w:t>L</w:t>
            </w:r>
          </w:p>
        </w:tc>
      </w:tr>
      <w:tr w:rsidR="000A4724" w:rsidRPr="00FB6D4E" w14:paraId="4013D5B5"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4535DF9" w14:textId="77777777" w:rsidR="000A4724" w:rsidRPr="00FB6D4E" w:rsidRDefault="000A4724" w:rsidP="00113A74">
            <w:pPr>
              <w:jc w:val="both"/>
              <w:rPr>
                <w:rFonts w:cs="Calibri"/>
                <w:sz w:val="20"/>
                <w:szCs w:val="20"/>
              </w:rPr>
            </w:pPr>
            <w:r w:rsidRPr="00FB6D4E">
              <w:rPr>
                <w:rFonts w:cs="Calibri"/>
                <w:sz w:val="20"/>
                <w:szCs w:val="20"/>
              </w:rPr>
              <w:t>Overall Project Outcome Rating</w:t>
            </w:r>
          </w:p>
        </w:tc>
        <w:tc>
          <w:tcPr>
            <w:tcW w:w="375" w:type="pct"/>
          </w:tcPr>
          <w:p w14:paraId="6D491469" w14:textId="5F6666E4" w:rsidR="000A4724" w:rsidRPr="00FE5CA9" w:rsidRDefault="00713506" w:rsidP="000A4724">
            <w:pPr>
              <w:jc w:val="center"/>
              <w:rPr>
                <w:rFonts w:cs="Calibri"/>
                <w:sz w:val="20"/>
                <w:szCs w:val="20"/>
              </w:rPr>
            </w:pPr>
            <w:r>
              <w:rPr>
                <w:rFonts w:cs="Calibri"/>
                <w:sz w:val="20"/>
                <w:szCs w:val="20"/>
              </w:rPr>
              <w:t>S</w:t>
            </w:r>
          </w:p>
        </w:tc>
        <w:tc>
          <w:tcPr>
            <w:tcW w:w="2598" w:type="pct"/>
          </w:tcPr>
          <w:p w14:paraId="27A1031F" w14:textId="77777777" w:rsidR="000A4724" w:rsidRPr="00FB6D4E" w:rsidRDefault="000A4724" w:rsidP="00113A74">
            <w:pPr>
              <w:jc w:val="both"/>
              <w:rPr>
                <w:rFonts w:cs="Calibri"/>
                <w:sz w:val="20"/>
                <w:szCs w:val="20"/>
              </w:rPr>
            </w:pPr>
            <w:r w:rsidRPr="00FB6D4E">
              <w:rPr>
                <w:rFonts w:cs="Calibri"/>
                <w:sz w:val="20"/>
                <w:szCs w:val="20"/>
              </w:rPr>
              <w:t>Environmental:</w:t>
            </w:r>
          </w:p>
        </w:tc>
        <w:tc>
          <w:tcPr>
            <w:tcW w:w="375" w:type="pct"/>
          </w:tcPr>
          <w:p w14:paraId="67018337" w14:textId="04AEF4E6" w:rsidR="000A4724" w:rsidRPr="00FE5CA9" w:rsidRDefault="00713506" w:rsidP="000A4724">
            <w:pPr>
              <w:jc w:val="center"/>
              <w:rPr>
                <w:rFonts w:cs="Calibri"/>
                <w:sz w:val="20"/>
                <w:szCs w:val="20"/>
              </w:rPr>
            </w:pPr>
            <w:r>
              <w:rPr>
                <w:rFonts w:cs="Calibri"/>
                <w:sz w:val="20"/>
                <w:szCs w:val="20"/>
              </w:rPr>
              <w:t>L</w:t>
            </w:r>
          </w:p>
        </w:tc>
      </w:tr>
      <w:tr w:rsidR="000A4724" w:rsidRPr="00FB6D4E" w14:paraId="1004A9DD" w14:textId="77777777" w:rsidTr="00771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3FA5CD7" w14:textId="77777777" w:rsidR="000A4724" w:rsidRPr="00FB6D4E" w:rsidRDefault="000A4724" w:rsidP="00113A74">
            <w:pPr>
              <w:jc w:val="both"/>
              <w:rPr>
                <w:rFonts w:cs="Calibri"/>
                <w:sz w:val="20"/>
                <w:szCs w:val="20"/>
              </w:rPr>
            </w:pPr>
          </w:p>
        </w:tc>
        <w:tc>
          <w:tcPr>
            <w:tcW w:w="375" w:type="pct"/>
          </w:tcPr>
          <w:p w14:paraId="46C88703" w14:textId="77777777" w:rsidR="000A4724" w:rsidRPr="00FB6D4E" w:rsidRDefault="000A4724" w:rsidP="000A4724">
            <w:pPr>
              <w:rPr>
                <w:rFonts w:cs="Calibri"/>
                <w:sz w:val="20"/>
                <w:szCs w:val="20"/>
              </w:rPr>
            </w:pPr>
          </w:p>
        </w:tc>
        <w:tc>
          <w:tcPr>
            <w:tcW w:w="2598" w:type="pct"/>
          </w:tcPr>
          <w:p w14:paraId="15F04EF1" w14:textId="77777777" w:rsidR="000A4724" w:rsidRPr="00FB6D4E" w:rsidRDefault="000A4724" w:rsidP="00113A74">
            <w:pPr>
              <w:jc w:val="both"/>
              <w:rPr>
                <w:rFonts w:cs="Calibri"/>
                <w:sz w:val="20"/>
                <w:szCs w:val="20"/>
              </w:rPr>
            </w:pPr>
            <w:r w:rsidRPr="00FB6D4E">
              <w:rPr>
                <w:rFonts w:cs="Calibri"/>
                <w:sz w:val="20"/>
                <w:szCs w:val="20"/>
              </w:rPr>
              <w:t>Overall likelihood of sustainability:</w:t>
            </w:r>
          </w:p>
        </w:tc>
        <w:tc>
          <w:tcPr>
            <w:tcW w:w="375" w:type="pct"/>
          </w:tcPr>
          <w:p w14:paraId="3F1126A7" w14:textId="4F2A31E3" w:rsidR="000A4724" w:rsidRPr="00FE5CA9" w:rsidRDefault="00713506" w:rsidP="000A4724">
            <w:pPr>
              <w:jc w:val="center"/>
              <w:rPr>
                <w:rFonts w:cs="Calibri"/>
                <w:sz w:val="20"/>
                <w:szCs w:val="20"/>
              </w:rPr>
            </w:pPr>
            <w:r>
              <w:rPr>
                <w:rFonts w:cs="Calibri"/>
                <w:sz w:val="20"/>
                <w:szCs w:val="20"/>
              </w:rPr>
              <w:t>L</w:t>
            </w:r>
          </w:p>
        </w:tc>
      </w:tr>
    </w:tbl>
    <w:p w14:paraId="1DF54AEB" w14:textId="77777777" w:rsidR="007D0E28" w:rsidRDefault="007D0E28" w:rsidP="007D0E28">
      <w:pPr>
        <w:pStyle w:val="ListParagraph"/>
        <w:ind w:left="0"/>
        <w:jc w:val="both"/>
        <w:rPr>
          <w:sz w:val="22"/>
          <w:szCs w:val="22"/>
        </w:rPr>
      </w:pPr>
    </w:p>
    <w:p w14:paraId="6647E5B9" w14:textId="77777777" w:rsidR="00771835" w:rsidRPr="00771835" w:rsidRDefault="00771835" w:rsidP="007D0E28">
      <w:pPr>
        <w:pStyle w:val="ListParagraph"/>
        <w:ind w:left="0"/>
        <w:jc w:val="both"/>
        <w:rPr>
          <w:b/>
          <w:i/>
          <w:sz w:val="22"/>
          <w:szCs w:val="22"/>
        </w:rPr>
      </w:pPr>
      <w:r w:rsidRPr="00771835">
        <w:rPr>
          <w:b/>
          <w:i/>
          <w:sz w:val="22"/>
          <w:szCs w:val="22"/>
        </w:rPr>
        <w:t>Rating Scales</w:t>
      </w:r>
    </w:p>
    <w:tbl>
      <w:tblPr>
        <w:tblW w:w="5000" w:type="pct"/>
        <w:tblInd w:w="6" w:type="dxa"/>
        <w:tblLayout w:type="fixed"/>
        <w:tblCellMar>
          <w:top w:w="85" w:type="dxa"/>
          <w:left w:w="85" w:type="dxa"/>
          <w:bottom w:w="85" w:type="dxa"/>
          <w:right w:w="85" w:type="dxa"/>
        </w:tblCellMar>
        <w:tblLook w:val="01E0" w:firstRow="1" w:lastRow="1" w:firstColumn="1" w:lastColumn="1" w:noHBand="0" w:noVBand="0"/>
      </w:tblPr>
      <w:tblGrid>
        <w:gridCol w:w="5041"/>
        <w:gridCol w:w="4761"/>
      </w:tblGrid>
      <w:tr w:rsidR="00771835" w14:paraId="3770C73C" w14:textId="77777777" w:rsidTr="004F7CBC">
        <w:tc>
          <w:tcPr>
            <w:tcW w:w="5041" w:type="dxa"/>
            <w:tcBorders>
              <w:top w:val="single" w:sz="5" w:space="0" w:color="000000"/>
              <w:left w:val="single" w:sz="5" w:space="0" w:color="000000"/>
              <w:bottom w:val="nil"/>
              <w:right w:val="single" w:sz="5" w:space="0" w:color="000000"/>
            </w:tcBorders>
            <w:vAlign w:val="center"/>
          </w:tcPr>
          <w:p w14:paraId="6F44C791" w14:textId="77777777" w:rsidR="00ED6F34" w:rsidRPr="00771835" w:rsidRDefault="00ED6F34" w:rsidP="00771835">
            <w:pPr>
              <w:pStyle w:val="TableParagraph"/>
              <w:spacing w:line="241" w:lineRule="auto"/>
              <w:ind w:left="102" w:right="102"/>
              <w:rPr>
                <w:rFonts w:ascii="Times New Roman" w:eastAsia="Times New Roman" w:hAnsi="Times New Roman" w:cs="Times New Roman"/>
                <w:sz w:val="20"/>
                <w:szCs w:val="20"/>
              </w:rPr>
            </w:pPr>
            <w:r w:rsidRPr="00771835">
              <w:rPr>
                <w:rFonts w:ascii="Times New Roman"/>
                <w:b/>
                <w:i/>
                <w:spacing w:val="-1"/>
                <w:sz w:val="20"/>
                <w:szCs w:val="20"/>
              </w:rPr>
              <w:t>Outcomes,</w:t>
            </w:r>
            <w:r w:rsidRPr="00771835">
              <w:rPr>
                <w:rFonts w:ascii="Times New Roman"/>
                <w:b/>
                <w:i/>
                <w:spacing w:val="28"/>
                <w:sz w:val="20"/>
                <w:szCs w:val="20"/>
              </w:rPr>
              <w:t xml:space="preserve"> </w:t>
            </w:r>
            <w:r w:rsidRPr="00771835">
              <w:rPr>
                <w:rFonts w:ascii="Times New Roman"/>
                <w:b/>
                <w:i/>
                <w:spacing w:val="-1"/>
                <w:sz w:val="20"/>
                <w:szCs w:val="20"/>
              </w:rPr>
              <w:t>Effectiveness,</w:t>
            </w:r>
            <w:r w:rsidR="002178DF" w:rsidRPr="00771835">
              <w:rPr>
                <w:rFonts w:ascii="Times New Roman"/>
                <w:b/>
                <w:i/>
                <w:spacing w:val="25"/>
                <w:sz w:val="20"/>
                <w:szCs w:val="20"/>
              </w:rPr>
              <w:t xml:space="preserve"> </w:t>
            </w:r>
            <w:r w:rsidR="002178DF" w:rsidRPr="00771835">
              <w:rPr>
                <w:rFonts w:ascii="Times New Roman"/>
                <w:b/>
                <w:i/>
                <w:spacing w:val="-1"/>
                <w:sz w:val="20"/>
                <w:szCs w:val="20"/>
              </w:rPr>
              <w:t>Efficiency,</w:t>
            </w:r>
            <w:r w:rsidRPr="00771835">
              <w:rPr>
                <w:rFonts w:ascii="Times New Roman"/>
                <w:b/>
                <w:i/>
                <w:spacing w:val="-3"/>
                <w:sz w:val="20"/>
                <w:szCs w:val="20"/>
              </w:rPr>
              <w:t xml:space="preserve"> </w:t>
            </w:r>
            <w:r w:rsidRPr="00771835">
              <w:rPr>
                <w:rFonts w:ascii="Times New Roman"/>
                <w:b/>
                <w:i/>
                <w:sz w:val="20"/>
                <w:szCs w:val="20"/>
              </w:rPr>
              <w:t>M&amp;E,</w:t>
            </w:r>
            <w:r w:rsidRPr="00771835">
              <w:rPr>
                <w:rFonts w:ascii="Times New Roman"/>
                <w:b/>
                <w:i/>
                <w:spacing w:val="-3"/>
                <w:sz w:val="20"/>
                <w:szCs w:val="20"/>
              </w:rPr>
              <w:t xml:space="preserve"> </w:t>
            </w:r>
            <w:r w:rsidRPr="00771835">
              <w:rPr>
                <w:rFonts w:ascii="Times New Roman"/>
                <w:b/>
                <w:i/>
                <w:sz w:val="20"/>
                <w:szCs w:val="20"/>
              </w:rPr>
              <w:t>I&amp;E</w:t>
            </w:r>
            <w:r w:rsidRPr="00771835">
              <w:rPr>
                <w:rFonts w:ascii="Times New Roman"/>
                <w:b/>
                <w:i/>
                <w:spacing w:val="-1"/>
                <w:sz w:val="20"/>
                <w:szCs w:val="20"/>
              </w:rPr>
              <w:t xml:space="preserve"> Execution</w:t>
            </w:r>
            <w:r w:rsidR="002178DF" w:rsidRPr="00771835">
              <w:rPr>
                <w:rFonts w:ascii="Times New Roman"/>
                <w:b/>
                <w:i/>
                <w:spacing w:val="-1"/>
                <w:sz w:val="20"/>
                <w:szCs w:val="20"/>
              </w:rPr>
              <w:t xml:space="preserve"> ratings:</w:t>
            </w:r>
          </w:p>
        </w:tc>
        <w:tc>
          <w:tcPr>
            <w:tcW w:w="4761" w:type="dxa"/>
            <w:tcBorders>
              <w:top w:val="single" w:sz="5" w:space="0" w:color="000000"/>
              <w:left w:val="single" w:sz="5" w:space="0" w:color="000000"/>
              <w:bottom w:val="nil"/>
              <w:right w:val="single" w:sz="5" w:space="0" w:color="000000"/>
            </w:tcBorders>
          </w:tcPr>
          <w:p w14:paraId="3CA8EBF4" w14:textId="77777777" w:rsidR="00ED6F34" w:rsidRPr="00771835" w:rsidRDefault="00ED6F34" w:rsidP="004F7CBC">
            <w:pPr>
              <w:pStyle w:val="TableParagraph"/>
              <w:spacing w:line="251" w:lineRule="exact"/>
              <w:ind w:left="102" w:right="105"/>
              <w:rPr>
                <w:rFonts w:ascii="Times New Roman" w:eastAsia="Times New Roman" w:hAnsi="Times New Roman" w:cs="Times New Roman"/>
                <w:sz w:val="20"/>
                <w:szCs w:val="20"/>
              </w:rPr>
            </w:pPr>
            <w:r w:rsidRPr="00771835">
              <w:rPr>
                <w:rFonts w:ascii="Times New Roman"/>
                <w:b/>
                <w:i/>
                <w:spacing w:val="-1"/>
                <w:sz w:val="20"/>
                <w:szCs w:val="20"/>
              </w:rPr>
              <w:t>Sustainability</w:t>
            </w:r>
            <w:r w:rsidRPr="00771835">
              <w:rPr>
                <w:rFonts w:ascii="Times New Roman"/>
                <w:b/>
                <w:i/>
                <w:spacing w:val="-2"/>
                <w:sz w:val="20"/>
                <w:szCs w:val="20"/>
              </w:rPr>
              <w:t xml:space="preserve"> </w:t>
            </w:r>
            <w:r w:rsidRPr="00771835">
              <w:rPr>
                <w:rFonts w:ascii="Times New Roman"/>
                <w:b/>
                <w:i/>
                <w:spacing w:val="-1"/>
                <w:sz w:val="20"/>
                <w:szCs w:val="20"/>
              </w:rPr>
              <w:t>ratings:</w:t>
            </w:r>
          </w:p>
        </w:tc>
      </w:tr>
      <w:tr w:rsidR="00771835" w14:paraId="3A3391DF" w14:textId="77777777" w:rsidTr="00771835">
        <w:tc>
          <w:tcPr>
            <w:tcW w:w="5041" w:type="dxa"/>
            <w:tcBorders>
              <w:top w:val="nil"/>
              <w:left w:val="single" w:sz="5" w:space="0" w:color="000000"/>
              <w:bottom w:val="single" w:sz="2" w:space="0" w:color="000000"/>
              <w:right w:val="single" w:sz="5" w:space="0" w:color="000000"/>
            </w:tcBorders>
          </w:tcPr>
          <w:p w14:paraId="7C98093B" w14:textId="77777777" w:rsidR="00ED6F34" w:rsidRPr="00771835" w:rsidRDefault="00ED6F34" w:rsidP="00771835">
            <w:pPr>
              <w:pStyle w:val="TableParagraph"/>
              <w:tabs>
                <w:tab w:val="left" w:pos="660"/>
                <w:tab w:val="left" w:pos="1493"/>
                <w:tab w:val="left" w:pos="2766"/>
                <w:tab w:val="left" w:pos="3478"/>
              </w:tabs>
              <w:spacing w:before="7"/>
              <w:ind w:right="102"/>
              <w:rPr>
                <w:rFonts w:ascii="Times New Roman"/>
                <w:spacing w:val="-1"/>
                <w:sz w:val="20"/>
                <w:szCs w:val="20"/>
              </w:rPr>
            </w:pPr>
            <w:r w:rsidRPr="00771835">
              <w:rPr>
                <w:rFonts w:ascii="Times New Roman"/>
                <w:spacing w:val="-1"/>
                <w:sz w:val="20"/>
                <w:szCs w:val="20"/>
              </w:rPr>
              <w:t>Highly</w:t>
            </w:r>
            <w:r w:rsidRPr="00771835">
              <w:rPr>
                <w:rFonts w:ascii="Times New Roman"/>
                <w:spacing w:val="-1"/>
                <w:sz w:val="20"/>
                <w:szCs w:val="20"/>
              </w:rPr>
              <w:tab/>
              <w:t xml:space="preserve">Satisfactory (HS): </w:t>
            </w:r>
            <w:r w:rsidRPr="00771835">
              <w:rPr>
                <w:rFonts w:ascii="Times New Roman"/>
                <w:spacing w:val="-2"/>
                <w:sz w:val="20"/>
                <w:szCs w:val="20"/>
              </w:rPr>
              <w:t>no</w:t>
            </w:r>
            <w:r w:rsidRPr="00771835">
              <w:rPr>
                <w:rFonts w:ascii="Times New Roman"/>
                <w:spacing w:val="33"/>
                <w:sz w:val="20"/>
                <w:szCs w:val="20"/>
              </w:rPr>
              <w:t xml:space="preserve"> </w:t>
            </w:r>
            <w:r w:rsidRPr="00771835">
              <w:rPr>
                <w:rFonts w:ascii="Times New Roman"/>
                <w:spacing w:val="-1"/>
                <w:sz w:val="20"/>
                <w:szCs w:val="20"/>
              </w:rPr>
              <w:t>shortcomings</w:t>
            </w:r>
          </w:p>
          <w:p w14:paraId="6FA724BA" w14:textId="77777777" w:rsidR="00ED6F34" w:rsidRPr="00771835" w:rsidRDefault="00ED6F34" w:rsidP="00771835">
            <w:pPr>
              <w:pStyle w:val="TableParagraph"/>
              <w:tabs>
                <w:tab w:val="left" w:pos="888"/>
                <w:tab w:val="left" w:pos="2390"/>
                <w:tab w:val="left" w:pos="3171"/>
              </w:tabs>
              <w:ind w:right="103"/>
              <w:rPr>
                <w:rFonts w:ascii="Times New Roman" w:eastAsia="Times New Roman" w:hAnsi="Times New Roman" w:cs="Times New Roman"/>
                <w:sz w:val="20"/>
                <w:szCs w:val="20"/>
              </w:rPr>
            </w:pPr>
            <w:r w:rsidRPr="00771835">
              <w:rPr>
                <w:rFonts w:ascii="Times New Roman"/>
                <w:spacing w:val="-1"/>
                <w:sz w:val="20"/>
                <w:szCs w:val="20"/>
              </w:rPr>
              <w:t>Satisfactory (S): minor</w:t>
            </w:r>
            <w:r w:rsidRPr="00771835">
              <w:rPr>
                <w:rFonts w:ascii="Times New Roman"/>
                <w:spacing w:val="27"/>
                <w:sz w:val="20"/>
                <w:szCs w:val="20"/>
              </w:rPr>
              <w:t xml:space="preserve"> </w:t>
            </w:r>
            <w:r w:rsidRPr="00771835">
              <w:rPr>
                <w:rFonts w:ascii="Times New Roman"/>
                <w:spacing w:val="-1"/>
                <w:sz w:val="20"/>
                <w:szCs w:val="20"/>
              </w:rPr>
              <w:t>shortcomings</w:t>
            </w:r>
          </w:p>
          <w:p w14:paraId="7A38DCFE" w14:textId="77777777" w:rsidR="00ED6F34" w:rsidRPr="00771835" w:rsidRDefault="00ED6F34" w:rsidP="00771835">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Moderately</w:t>
            </w:r>
            <w:r w:rsidRPr="00771835">
              <w:rPr>
                <w:rFonts w:ascii="Times New Roman"/>
                <w:spacing w:val="-3"/>
                <w:sz w:val="20"/>
                <w:szCs w:val="20"/>
              </w:rPr>
              <w:t xml:space="preserve"> </w:t>
            </w:r>
            <w:r w:rsidRPr="00771835">
              <w:rPr>
                <w:rFonts w:ascii="Times New Roman"/>
                <w:spacing w:val="-1"/>
                <w:sz w:val="20"/>
                <w:szCs w:val="20"/>
              </w:rPr>
              <w:t>Satisfactory</w:t>
            </w:r>
            <w:r w:rsidRPr="00771835">
              <w:rPr>
                <w:rFonts w:ascii="Times New Roman"/>
                <w:spacing w:val="-5"/>
                <w:sz w:val="20"/>
                <w:szCs w:val="20"/>
              </w:rPr>
              <w:t xml:space="preserve"> </w:t>
            </w:r>
            <w:r w:rsidRPr="00771835">
              <w:rPr>
                <w:rFonts w:ascii="Times New Roman"/>
                <w:sz w:val="20"/>
                <w:szCs w:val="20"/>
              </w:rPr>
              <w:t>(MS)</w:t>
            </w:r>
          </w:p>
          <w:p w14:paraId="7282EBFD" w14:textId="77777777" w:rsidR="00ED6F34" w:rsidRPr="00771835" w:rsidRDefault="00ED6F34" w:rsidP="00771835">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Moderately</w:t>
            </w:r>
            <w:r w:rsidRPr="00771835">
              <w:rPr>
                <w:rFonts w:ascii="Times New Roman"/>
                <w:spacing w:val="24"/>
                <w:sz w:val="20"/>
                <w:szCs w:val="20"/>
              </w:rPr>
              <w:t xml:space="preserve"> </w:t>
            </w:r>
            <w:r w:rsidRPr="00771835">
              <w:rPr>
                <w:rFonts w:ascii="Times New Roman"/>
                <w:spacing w:val="-1"/>
                <w:sz w:val="20"/>
                <w:szCs w:val="20"/>
              </w:rPr>
              <w:t>Unsatisfactory</w:t>
            </w:r>
            <w:r w:rsidRPr="00771835">
              <w:rPr>
                <w:rFonts w:ascii="Times New Roman"/>
                <w:sz w:val="20"/>
                <w:szCs w:val="20"/>
              </w:rPr>
              <w:t xml:space="preserve"> </w:t>
            </w:r>
            <w:r w:rsidRPr="00771835">
              <w:rPr>
                <w:rFonts w:ascii="Times New Roman"/>
                <w:spacing w:val="-1"/>
                <w:sz w:val="20"/>
                <w:szCs w:val="20"/>
              </w:rPr>
              <w:t>(MU): significant</w:t>
            </w:r>
            <w:r w:rsidR="002178DF" w:rsidRPr="00771835">
              <w:rPr>
                <w:rFonts w:ascii="Times New Roman"/>
                <w:spacing w:val="54"/>
                <w:sz w:val="20"/>
                <w:szCs w:val="20"/>
              </w:rPr>
              <w:t xml:space="preserve"> </w:t>
            </w:r>
            <w:r w:rsidRPr="00771835">
              <w:rPr>
                <w:rFonts w:ascii="Times New Roman"/>
                <w:spacing w:val="-1"/>
                <w:sz w:val="20"/>
                <w:szCs w:val="20"/>
              </w:rPr>
              <w:t>shortcomings</w:t>
            </w:r>
          </w:p>
          <w:p w14:paraId="23A44285" w14:textId="77777777" w:rsidR="00ED6F34" w:rsidRPr="00771835" w:rsidRDefault="00ED6F34" w:rsidP="00771835">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Unsatisfactory</w:t>
            </w:r>
            <w:r w:rsidRPr="00771835">
              <w:rPr>
                <w:rFonts w:ascii="Times New Roman"/>
                <w:spacing w:val="-3"/>
                <w:sz w:val="20"/>
                <w:szCs w:val="20"/>
              </w:rPr>
              <w:t xml:space="preserve"> </w:t>
            </w:r>
            <w:r w:rsidRPr="00771835">
              <w:rPr>
                <w:rFonts w:ascii="Times New Roman"/>
                <w:spacing w:val="-1"/>
                <w:sz w:val="20"/>
                <w:szCs w:val="20"/>
              </w:rPr>
              <w:t>(U):</w:t>
            </w:r>
            <w:r w:rsidRPr="00771835">
              <w:rPr>
                <w:rFonts w:ascii="Times New Roman"/>
                <w:spacing w:val="1"/>
                <w:sz w:val="20"/>
                <w:szCs w:val="20"/>
              </w:rPr>
              <w:t xml:space="preserve"> </w:t>
            </w:r>
            <w:r w:rsidRPr="00771835">
              <w:rPr>
                <w:rFonts w:ascii="Times New Roman"/>
                <w:spacing w:val="-2"/>
                <w:sz w:val="20"/>
                <w:szCs w:val="20"/>
              </w:rPr>
              <w:t>major</w:t>
            </w:r>
            <w:r w:rsidRPr="00771835">
              <w:rPr>
                <w:rFonts w:ascii="Times New Roman"/>
                <w:sz w:val="20"/>
                <w:szCs w:val="20"/>
              </w:rPr>
              <w:t xml:space="preserve"> </w:t>
            </w:r>
            <w:r w:rsidRPr="00771835">
              <w:rPr>
                <w:rFonts w:ascii="Times New Roman"/>
                <w:spacing w:val="-1"/>
                <w:sz w:val="20"/>
                <w:szCs w:val="20"/>
              </w:rPr>
              <w:t>problems</w:t>
            </w:r>
          </w:p>
          <w:p w14:paraId="6F98BAA9" w14:textId="77777777" w:rsidR="00ED6F34" w:rsidRPr="00771835" w:rsidRDefault="00ED6F34" w:rsidP="00771835">
            <w:pPr>
              <w:pStyle w:val="TableParagraph"/>
              <w:spacing w:before="1"/>
              <w:rPr>
                <w:rFonts w:ascii="Times New Roman"/>
                <w:spacing w:val="-1"/>
                <w:sz w:val="20"/>
                <w:szCs w:val="20"/>
              </w:rPr>
            </w:pPr>
            <w:r w:rsidRPr="00771835">
              <w:rPr>
                <w:rFonts w:ascii="Times New Roman"/>
                <w:spacing w:val="-1"/>
                <w:sz w:val="20"/>
                <w:szCs w:val="20"/>
              </w:rPr>
              <w:t>Highly</w:t>
            </w:r>
            <w:r w:rsidRPr="00771835">
              <w:rPr>
                <w:rFonts w:ascii="Times New Roman"/>
                <w:spacing w:val="14"/>
                <w:sz w:val="20"/>
                <w:szCs w:val="20"/>
              </w:rPr>
              <w:t xml:space="preserve"> </w:t>
            </w:r>
            <w:r w:rsidRPr="00771835">
              <w:rPr>
                <w:rFonts w:ascii="Times New Roman"/>
                <w:spacing w:val="-1"/>
                <w:sz w:val="20"/>
                <w:szCs w:val="20"/>
              </w:rPr>
              <w:t>Unsatisfactory</w:t>
            </w:r>
            <w:r w:rsidRPr="00771835">
              <w:rPr>
                <w:rFonts w:ascii="Times New Roman"/>
                <w:spacing w:val="14"/>
                <w:sz w:val="20"/>
                <w:szCs w:val="20"/>
              </w:rPr>
              <w:t xml:space="preserve"> </w:t>
            </w:r>
            <w:r w:rsidRPr="00771835">
              <w:rPr>
                <w:rFonts w:ascii="Times New Roman"/>
                <w:spacing w:val="-2"/>
                <w:sz w:val="20"/>
                <w:szCs w:val="20"/>
              </w:rPr>
              <w:t>(HU):</w:t>
            </w:r>
            <w:r w:rsidRPr="00771835">
              <w:rPr>
                <w:rFonts w:ascii="Times New Roman"/>
                <w:spacing w:val="17"/>
                <w:sz w:val="20"/>
                <w:szCs w:val="20"/>
              </w:rPr>
              <w:t xml:space="preserve"> </w:t>
            </w:r>
            <w:r w:rsidRPr="00771835">
              <w:rPr>
                <w:rFonts w:ascii="Times New Roman"/>
                <w:spacing w:val="-1"/>
                <w:sz w:val="20"/>
                <w:szCs w:val="20"/>
              </w:rPr>
              <w:t>severe</w:t>
            </w:r>
            <w:r w:rsidRPr="00771835">
              <w:rPr>
                <w:rFonts w:ascii="Times New Roman"/>
                <w:spacing w:val="35"/>
                <w:sz w:val="20"/>
                <w:szCs w:val="20"/>
              </w:rPr>
              <w:t xml:space="preserve"> </w:t>
            </w:r>
            <w:r w:rsidRPr="00771835">
              <w:rPr>
                <w:rFonts w:ascii="Times New Roman"/>
                <w:spacing w:val="-1"/>
                <w:sz w:val="20"/>
                <w:szCs w:val="20"/>
              </w:rPr>
              <w:t>problems</w:t>
            </w:r>
          </w:p>
        </w:tc>
        <w:tc>
          <w:tcPr>
            <w:tcW w:w="4761" w:type="dxa"/>
            <w:tcBorders>
              <w:top w:val="nil"/>
              <w:left w:val="single" w:sz="5" w:space="0" w:color="000000"/>
              <w:bottom w:val="single" w:sz="2" w:space="0" w:color="000000"/>
              <w:right w:val="single" w:sz="5" w:space="0" w:color="000000"/>
            </w:tcBorders>
          </w:tcPr>
          <w:p w14:paraId="513DD723" w14:textId="77777777" w:rsidR="00ED6F34" w:rsidRPr="00771835" w:rsidRDefault="00ED6F34" w:rsidP="00771835">
            <w:pPr>
              <w:pStyle w:val="TableParagraph"/>
              <w:tabs>
                <w:tab w:val="left" w:pos="476"/>
                <w:tab w:val="left" w:pos="1258"/>
                <w:tab w:val="left" w:pos="1811"/>
                <w:tab w:val="left" w:pos="2900"/>
                <w:tab w:val="left" w:pos="3524"/>
              </w:tabs>
              <w:spacing w:before="7"/>
              <w:ind w:right="105"/>
              <w:rPr>
                <w:rFonts w:ascii="Times New Roman" w:eastAsia="Times New Roman" w:hAnsi="Times New Roman" w:cs="Times New Roman"/>
                <w:sz w:val="20"/>
                <w:szCs w:val="20"/>
              </w:rPr>
            </w:pPr>
            <w:r w:rsidRPr="00771835">
              <w:rPr>
                <w:rFonts w:ascii="Times New Roman"/>
                <w:spacing w:val="-1"/>
                <w:sz w:val="20"/>
                <w:szCs w:val="20"/>
              </w:rPr>
              <w:t xml:space="preserve">Likely </w:t>
            </w:r>
            <w:r w:rsidRPr="00771835">
              <w:rPr>
                <w:rFonts w:ascii="Times New Roman"/>
                <w:sz w:val="20"/>
                <w:szCs w:val="20"/>
              </w:rPr>
              <w:t xml:space="preserve">(L): </w:t>
            </w:r>
            <w:r w:rsidRPr="00771835">
              <w:rPr>
                <w:rFonts w:ascii="Times New Roman"/>
                <w:spacing w:val="-1"/>
                <w:sz w:val="20"/>
                <w:szCs w:val="20"/>
              </w:rPr>
              <w:t xml:space="preserve">negligible risks </w:t>
            </w:r>
            <w:r w:rsidRPr="00771835">
              <w:rPr>
                <w:rFonts w:ascii="Times New Roman"/>
                <w:sz w:val="20"/>
                <w:szCs w:val="20"/>
              </w:rPr>
              <w:t>to</w:t>
            </w:r>
            <w:r w:rsidRPr="00771835">
              <w:rPr>
                <w:rFonts w:ascii="Times New Roman"/>
                <w:spacing w:val="27"/>
                <w:sz w:val="20"/>
                <w:szCs w:val="20"/>
              </w:rPr>
              <w:t xml:space="preserve"> </w:t>
            </w:r>
            <w:r w:rsidRPr="00771835">
              <w:rPr>
                <w:rFonts w:ascii="Times New Roman"/>
                <w:spacing w:val="-1"/>
                <w:sz w:val="20"/>
                <w:szCs w:val="20"/>
              </w:rPr>
              <w:t>sustainability</w:t>
            </w:r>
          </w:p>
          <w:p w14:paraId="4C73295D" w14:textId="77777777" w:rsidR="00ED6F34" w:rsidRPr="00771835" w:rsidRDefault="00ED6F34" w:rsidP="00771835">
            <w:pPr>
              <w:pStyle w:val="TableParagraph"/>
              <w:ind w:right="103"/>
              <w:rPr>
                <w:rFonts w:ascii="Times New Roman" w:eastAsia="Times New Roman" w:hAnsi="Times New Roman" w:cs="Times New Roman"/>
                <w:sz w:val="20"/>
                <w:szCs w:val="20"/>
              </w:rPr>
            </w:pPr>
            <w:r w:rsidRPr="00771835">
              <w:rPr>
                <w:rFonts w:ascii="Times New Roman"/>
                <w:spacing w:val="-1"/>
                <w:sz w:val="20"/>
                <w:szCs w:val="20"/>
              </w:rPr>
              <w:t>Moderately</w:t>
            </w:r>
            <w:r w:rsidRPr="00771835">
              <w:rPr>
                <w:rFonts w:ascii="Times New Roman"/>
                <w:sz w:val="20"/>
                <w:szCs w:val="20"/>
              </w:rPr>
              <w:t xml:space="preserve"> </w:t>
            </w:r>
            <w:r w:rsidRPr="00771835">
              <w:rPr>
                <w:rFonts w:ascii="Times New Roman"/>
                <w:spacing w:val="-1"/>
                <w:sz w:val="20"/>
                <w:szCs w:val="20"/>
              </w:rPr>
              <w:t>Likely</w:t>
            </w:r>
            <w:r w:rsidRPr="00771835">
              <w:rPr>
                <w:rFonts w:ascii="Times New Roman"/>
                <w:sz w:val="20"/>
                <w:szCs w:val="20"/>
              </w:rPr>
              <w:t xml:space="preserve"> </w:t>
            </w:r>
            <w:r w:rsidRPr="00771835">
              <w:rPr>
                <w:rFonts w:ascii="Times New Roman"/>
                <w:spacing w:val="-1"/>
                <w:sz w:val="20"/>
                <w:szCs w:val="20"/>
              </w:rPr>
              <w:t>(ML): moderate</w:t>
            </w:r>
            <w:r w:rsidRPr="00771835">
              <w:rPr>
                <w:rFonts w:ascii="Times New Roman"/>
                <w:spacing w:val="41"/>
                <w:sz w:val="20"/>
                <w:szCs w:val="20"/>
              </w:rPr>
              <w:t xml:space="preserve"> </w:t>
            </w:r>
            <w:r w:rsidRPr="00771835">
              <w:rPr>
                <w:rFonts w:ascii="Times New Roman"/>
                <w:spacing w:val="-1"/>
                <w:sz w:val="20"/>
                <w:szCs w:val="20"/>
              </w:rPr>
              <w:t>risks</w:t>
            </w:r>
          </w:p>
          <w:p w14:paraId="7906B1D8" w14:textId="77777777" w:rsidR="00ED6F34" w:rsidRPr="00771835" w:rsidRDefault="00ED6F34" w:rsidP="00771835">
            <w:pPr>
              <w:pStyle w:val="TableParagraph"/>
              <w:ind w:right="103"/>
              <w:rPr>
                <w:rFonts w:ascii="Times New Roman" w:eastAsia="Times New Roman" w:hAnsi="Times New Roman" w:cs="Times New Roman"/>
                <w:sz w:val="20"/>
                <w:szCs w:val="20"/>
              </w:rPr>
            </w:pPr>
            <w:r w:rsidRPr="00771835">
              <w:rPr>
                <w:rFonts w:ascii="Times New Roman"/>
                <w:spacing w:val="-1"/>
                <w:sz w:val="20"/>
                <w:szCs w:val="20"/>
              </w:rPr>
              <w:t>Moderately Unlikely (MU):</w:t>
            </w:r>
            <w:r w:rsidRPr="00771835">
              <w:rPr>
                <w:rFonts w:ascii="Times New Roman"/>
                <w:spacing w:val="33"/>
                <w:sz w:val="20"/>
                <w:szCs w:val="20"/>
              </w:rPr>
              <w:t xml:space="preserve"> </w:t>
            </w:r>
            <w:r w:rsidRPr="00771835">
              <w:rPr>
                <w:rFonts w:ascii="Times New Roman"/>
                <w:spacing w:val="-1"/>
                <w:sz w:val="20"/>
                <w:szCs w:val="20"/>
              </w:rPr>
              <w:t>significant</w:t>
            </w:r>
            <w:r w:rsidRPr="00771835">
              <w:rPr>
                <w:rFonts w:ascii="Times New Roman"/>
                <w:spacing w:val="-2"/>
                <w:sz w:val="20"/>
                <w:szCs w:val="20"/>
              </w:rPr>
              <w:t xml:space="preserve"> </w:t>
            </w:r>
            <w:r w:rsidRPr="00771835">
              <w:rPr>
                <w:rFonts w:ascii="Times New Roman"/>
                <w:spacing w:val="-1"/>
                <w:sz w:val="20"/>
                <w:szCs w:val="20"/>
              </w:rPr>
              <w:t>risks</w:t>
            </w:r>
          </w:p>
          <w:p w14:paraId="10E19C3D" w14:textId="77777777" w:rsidR="00ED6F34" w:rsidRPr="00771835" w:rsidRDefault="00ED6F34" w:rsidP="00771835">
            <w:pPr>
              <w:pStyle w:val="TableParagraph"/>
              <w:ind w:right="103"/>
              <w:rPr>
                <w:rFonts w:ascii="Times New Roman" w:eastAsia="Times New Roman" w:hAnsi="Times New Roman" w:cs="Times New Roman"/>
                <w:sz w:val="20"/>
                <w:szCs w:val="20"/>
              </w:rPr>
            </w:pPr>
            <w:r w:rsidRPr="00771835">
              <w:rPr>
                <w:rFonts w:ascii="Times New Roman"/>
                <w:spacing w:val="-1"/>
                <w:sz w:val="20"/>
                <w:szCs w:val="20"/>
              </w:rPr>
              <w:t>Unlikely</w:t>
            </w:r>
            <w:r w:rsidRPr="00771835">
              <w:rPr>
                <w:rFonts w:ascii="Times New Roman"/>
                <w:spacing w:val="-3"/>
                <w:sz w:val="20"/>
                <w:szCs w:val="20"/>
              </w:rPr>
              <w:t xml:space="preserve"> </w:t>
            </w:r>
            <w:r w:rsidRPr="00771835">
              <w:rPr>
                <w:rFonts w:ascii="Times New Roman"/>
                <w:spacing w:val="-1"/>
                <w:sz w:val="20"/>
                <w:szCs w:val="20"/>
              </w:rPr>
              <w:t>(U):</w:t>
            </w:r>
            <w:r w:rsidRPr="00771835">
              <w:rPr>
                <w:rFonts w:ascii="Times New Roman"/>
                <w:spacing w:val="1"/>
                <w:sz w:val="20"/>
                <w:szCs w:val="20"/>
              </w:rPr>
              <w:t xml:space="preserve"> </w:t>
            </w:r>
            <w:r w:rsidRPr="00771835">
              <w:rPr>
                <w:rFonts w:ascii="Times New Roman"/>
                <w:spacing w:val="-1"/>
                <w:sz w:val="20"/>
                <w:szCs w:val="20"/>
              </w:rPr>
              <w:t>severe</w:t>
            </w:r>
            <w:r w:rsidRPr="00771835">
              <w:rPr>
                <w:rFonts w:ascii="Times New Roman"/>
                <w:sz w:val="20"/>
                <w:szCs w:val="20"/>
              </w:rPr>
              <w:t xml:space="preserve"> </w:t>
            </w:r>
            <w:r w:rsidRPr="00771835">
              <w:rPr>
                <w:rFonts w:ascii="Times New Roman"/>
                <w:spacing w:val="-1"/>
                <w:sz w:val="20"/>
                <w:szCs w:val="20"/>
              </w:rPr>
              <w:t>risks</w:t>
            </w:r>
          </w:p>
        </w:tc>
      </w:tr>
      <w:tr w:rsidR="00771835" w14:paraId="4E02AC4F" w14:textId="77777777" w:rsidTr="00771835">
        <w:tc>
          <w:tcPr>
            <w:tcW w:w="5041" w:type="dxa"/>
            <w:tcBorders>
              <w:top w:val="single" w:sz="2" w:space="0" w:color="000000"/>
              <w:left w:val="single" w:sz="2" w:space="0" w:color="000000"/>
              <w:right w:val="single" w:sz="2" w:space="0" w:color="000000"/>
            </w:tcBorders>
            <w:vAlign w:val="center"/>
          </w:tcPr>
          <w:p w14:paraId="676FFD50" w14:textId="77777777" w:rsidR="00ED6F34" w:rsidRPr="00771835" w:rsidRDefault="00ED6F34" w:rsidP="00771835">
            <w:pPr>
              <w:pStyle w:val="TableParagraph"/>
              <w:spacing w:line="220" w:lineRule="exact"/>
              <w:rPr>
                <w:sz w:val="20"/>
                <w:szCs w:val="20"/>
              </w:rPr>
            </w:pPr>
            <w:r w:rsidRPr="00771835">
              <w:rPr>
                <w:rFonts w:ascii="Times New Roman"/>
                <w:b/>
                <w:i/>
                <w:spacing w:val="-1"/>
                <w:sz w:val="20"/>
                <w:szCs w:val="20"/>
              </w:rPr>
              <w:t>Relevance</w:t>
            </w:r>
            <w:r w:rsidRPr="00771835">
              <w:rPr>
                <w:rFonts w:ascii="Times New Roman"/>
                <w:b/>
                <w:i/>
                <w:spacing w:val="-2"/>
                <w:sz w:val="20"/>
                <w:szCs w:val="20"/>
              </w:rPr>
              <w:t xml:space="preserve"> </w:t>
            </w:r>
            <w:r w:rsidRPr="00771835">
              <w:rPr>
                <w:rFonts w:ascii="Times New Roman"/>
                <w:b/>
                <w:i/>
                <w:sz w:val="20"/>
                <w:szCs w:val="20"/>
              </w:rPr>
              <w:t>ratings</w:t>
            </w:r>
            <w:r w:rsidR="002178DF" w:rsidRPr="00771835">
              <w:rPr>
                <w:rFonts w:ascii="Times New Roman"/>
                <w:b/>
                <w:i/>
                <w:sz w:val="20"/>
                <w:szCs w:val="20"/>
              </w:rPr>
              <w:t>:</w:t>
            </w:r>
          </w:p>
        </w:tc>
        <w:tc>
          <w:tcPr>
            <w:tcW w:w="4761" w:type="dxa"/>
            <w:tcBorders>
              <w:top w:val="single" w:sz="2" w:space="0" w:color="000000"/>
              <w:left w:val="single" w:sz="2" w:space="0" w:color="000000"/>
              <w:right w:val="single" w:sz="2" w:space="0" w:color="000000"/>
            </w:tcBorders>
            <w:vAlign w:val="center"/>
          </w:tcPr>
          <w:p w14:paraId="4E55D614" w14:textId="77777777" w:rsidR="00ED6F34" w:rsidRPr="00771835" w:rsidRDefault="00ED6F34" w:rsidP="00771835">
            <w:pPr>
              <w:pStyle w:val="TableParagraph"/>
              <w:spacing w:line="220" w:lineRule="exact"/>
              <w:rPr>
                <w:sz w:val="20"/>
                <w:szCs w:val="20"/>
              </w:rPr>
            </w:pPr>
            <w:r w:rsidRPr="00771835">
              <w:rPr>
                <w:rFonts w:ascii="Times New Roman"/>
                <w:b/>
                <w:i/>
                <w:spacing w:val="-1"/>
                <w:sz w:val="20"/>
                <w:szCs w:val="20"/>
              </w:rPr>
              <w:t>Impact</w:t>
            </w:r>
            <w:r w:rsidRPr="00771835">
              <w:rPr>
                <w:rFonts w:ascii="Times New Roman"/>
                <w:b/>
                <w:i/>
                <w:spacing w:val="1"/>
                <w:sz w:val="20"/>
                <w:szCs w:val="20"/>
              </w:rPr>
              <w:t xml:space="preserve"> </w:t>
            </w:r>
            <w:r w:rsidRPr="00771835">
              <w:rPr>
                <w:rFonts w:ascii="Times New Roman"/>
                <w:b/>
                <w:i/>
                <w:spacing w:val="-1"/>
                <w:sz w:val="20"/>
                <w:szCs w:val="20"/>
              </w:rPr>
              <w:t>Ratings:</w:t>
            </w:r>
          </w:p>
        </w:tc>
      </w:tr>
      <w:tr w:rsidR="00771835" w14:paraId="79D12597" w14:textId="77777777" w:rsidTr="00771835">
        <w:tc>
          <w:tcPr>
            <w:tcW w:w="5041" w:type="dxa"/>
            <w:tcBorders>
              <w:left w:val="single" w:sz="5" w:space="0" w:color="000000"/>
              <w:bottom w:val="single" w:sz="5" w:space="0" w:color="000000"/>
              <w:right w:val="single" w:sz="5" w:space="0" w:color="000000"/>
            </w:tcBorders>
          </w:tcPr>
          <w:p w14:paraId="579933E1" w14:textId="77777777" w:rsidR="00ED6F34" w:rsidRPr="00771835" w:rsidRDefault="00ED6F34" w:rsidP="00771835">
            <w:pPr>
              <w:pStyle w:val="TableParagraph"/>
              <w:spacing w:before="7"/>
              <w:rPr>
                <w:rFonts w:ascii="Times New Roman" w:eastAsia="Times New Roman" w:hAnsi="Times New Roman" w:cs="Times New Roman"/>
                <w:sz w:val="20"/>
                <w:szCs w:val="20"/>
              </w:rPr>
            </w:pPr>
            <w:r w:rsidRPr="00771835">
              <w:rPr>
                <w:rFonts w:ascii="Times New Roman"/>
                <w:spacing w:val="-1"/>
                <w:sz w:val="20"/>
                <w:szCs w:val="20"/>
              </w:rPr>
              <w:t>Relevant (R)</w:t>
            </w:r>
          </w:p>
          <w:p w14:paraId="2B682F22" w14:textId="77777777" w:rsidR="00ED6F34" w:rsidRPr="00771835" w:rsidRDefault="00ED6F34" w:rsidP="00771835">
            <w:pPr>
              <w:pStyle w:val="TableParagraph"/>
              <w:rPr>
                <w:rFonts w:ascii="Times New Roman" w:eastAsia="Times New Roman" w:hAnsi="Times New Roman" w:cs="Times New Roman"/>
                <w:sz w:val="20"/>
                <w:szCs w:val="20"/>
              </w:rPr>
            </w:pPr>
            <w:r w:rsidRPr="00771835">
              <w:rPr>
                <w:rFonts w:ascii="Times New Roman"/>
                <w:spacing w:val="-1"/>
                <w:sz w:val="20"/>
                <w:szCs w:val="20"/>
              </w:rPr>
              <w:t>Not</w:t>
            </w:r>
            <w:r w:rsidRPr="00771835">
              <w:rPr>
                <w:rFonts w:ascii="Times New Roman"/>
                <w:sz w:val="20"/>
                <w:szCs w:val="20"/>
              </w:rPr>
              <w:t xml:space="preserve"> </w:t>
            </w:r>
            <w:r w:rsidRPr="00771835">
              <w:rPr>
                <w:rFonts w:ascii="Times New Roman"/>
                <w:spacing w:val="-1"/>
                <w:sz w:val="20"/>
                <w:szCs w:val="20"/>
              </w:rPr>
              <w:t>relevant</w:t>
            </w:r>
            <w:r w:rsidRPr="00771835">
              <w:rPr>
                <w:rFonts w:ascii="Times New Roman"/>
                <w:spacing w:val="25"/>
                <w:sz w:val="20"/>
                <w:szCs w:val="20"/>
              </w:rPr>
              <w:t xml:space="preserve"> </w:t>
            </w:r>
            <w:r w:rsidRPr="00771835">
              <w:rPr>
                <w:rFonts w:ascii="Times New Roman"/>
                <w:spacing w:val="-1"/>
                <w:sz w:val="20"/>
                <w:szCs w:val="20"/>
              </w:rPr>
              <w:t>(NR)</w:t>
            </w:r>
          </w:p>
        </w:tc>
        <w:tc>
          <w:tcPr>
            <w:tcW w:w="4761" w:type="dxa"/>
            <w:tcBorders>
              <w:left w:val="single" w:sz="5" w:space="0" w:color="000000"/>
              <w:bottom w:val="single" w:sz="5" w:space="0" w:color="000000"/>
              <w:right w:val="single" w:sz="5" w:space="0" w:color="000000"/>
            </w:tcBorders>
          </w:tcPr>
          <w:p w14:paraId="56E4F082" w14:textId="77777777" w:rsidR="00ED6F34" w:rsidRPr="00771835" w:rsidRDefault="00ED6F34" w:rsidP="00771835">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Significant</w:t>
            </w:r>
            <w:r w:rsidRPr="00771835">
              <w:rPr>
                <w:rFonts w:ascii="Times New Roman"/>
                <w:spacing w:val="-2"/>
                <w:sz w:val="20"/>
                <w:szCs w:val="20"/>
              </w:rPr>
              <w:t xml:space="preserve"> </w:t>
            </w:r>
            <w:r w:rsidRPr="00771835">
              <w:rPr>
                <w:rFonts w:ascii="Times New Roman"/>
                <w:sz w:val="20"/>
                <w:szCs w:val="20"/>
              </w:rPr>
              <w:t>(S)</w:t>
            </w:r>
          </w:p>
          <w:p w14:paraId="27EB9E2B" w14:textId="77777777" w:rsidR="00ED6F34" w:rsidRPr="00771835" w:rsidRDefault="00ED6F34" w:rsidP="00771835">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Minimal</w:t>
            </w:r>
            <w:r w:rsidRPr="00771835">
              <w:rPr>
                <w:rFonts w:ascii="Times New Roman"/>
                <w:spacing w:val="1"/>
                <w:sz w:val="20"/>
                <w:szCs w:val="20"/>
              </w:rPr>
              <w:t xml:space="preserve"> </w:t>
            </w:r>
            <w:r w:rsidRPr="00771835">
              <w:rPr>
                <w:rFonts w:ascii="Times New Roman"/>
                <w:spacing w:val="-1"/>
                <w:sz w:val="20"/>
                <w:szCs w:val="20"/>
              </w:rPr>
              <w:t>(M)</w:t>
            </w:r>
          </w:p>
          <w:p w14:paraId="151FA387" w14:textId="77777777" w:rsidR="00ED6F34" w:rsidRPr="00771835" w:rsidRDefault="00ED6F34" w:rsidP="00771835">
            <w:pPr>
              <w:pStyle w:val="TableParagraph"/>
              <w:spacing w:line="220" w:lineRule="exact"/>
              <w:rPr>
                <w:sz w:val="20"/>
                <w:szCs w:val="20"/>
              </w:rPr>
            </w:pPr>
            <w:r w:rsidRPr="00771835">
              <w:rPr>
                <w:rFonts w:ascii="Times New Roman"/>
                <w:spacing w:val="-1"/>
                <w:sz w:val="20"/>
                <w:szCs w:val="20"/>
              </w:rPr>
              <w:t>Negligible</w:t>
            </w:r>
            <w:r w:rsidRPr="00771835">
              <w:rPr>
                <w:rFonts w:ascii="Times New Roman"/>
                <w:spacing w:val="-2"/>
                <w:sz w:val="20"/>
                <w:szCs w:val="20"/>
              </w:rPr>
              <w:t xml:space="preserve"> </w:t>
            </w:r>
            <w:r w:rsidRPr="00771835">
              <w:rPr>
                <w:rFonts w:ascii="Times New Roman"/>
                <w:spacing w:val="-1"/>
                <w:sz w:val="20"/>
                <w:szCs w:val="20"/>
              </w:rPr>
              <w:t>(N)</w:t>
            </w:r>
          </w:p>
        </w:tc>
      </w:tr>
    </w:tbl>
    <w:p w14:paraId="1A33B48B" w14:textId="77777777" w:rsidR="00A52B28" w:rsidRPr="00FB6D4E" w:rsidRDefault="002831E0" w:rsidP="004F3DBE">
      <w:pPr>
        <w:pStyle w:val="Heading1"/>
        <w:spacing w:before="120" w:after="0"/>
        <w:rPr>
          <w:sz w:val="22"/>
        </w:rPr>
      </w:pPr>
      <w:r w:rsidRPr="00FB6D4E">
        <w:br w:type="page"/>
      </w:r>
    </w:p>
    <w:p w14:paraId="4CA1F03E" w14:textId="77777777" w:rsidR="00A52B28" w:rsidRPr="00FB6D4E" w:rsidRDefault="00756FF1" w:rsidP="00DC7D4A">
      <w:pPr>
        <w:pStyle w:val="Heading1"/>
        <w:numPr>
          <w:ilvl w:val="0"/>
          <w:numId w:val="1"/>
        </w:numPr>
        <w:tabs>
          <w:tab w:val="clear" w:pos="360"/>
          <w:tab w:val="num" w:pos="567"/>
        </w:tabs>
        <w:spacing w:before="0" w:after="0"/>
        <w:ind w:left="567" w:hanging="567"/>
        <w:rPr>
          <w:sz w:val="22"/>
          <w:szCs w:val="22"/>
        </w:rPr>
      </w:pPr>
      <w:bookmarkStart w:id="15" w:name="_Toc308103235"/>
      <w:bookmarkStart w:id="16" w:name="_Toc154454469"/>
      <w:r w:rsidRPr="00FB6D4E">
        <w:rPr>
          <w:sz w:val="22"/>
          <w:szCs w:val="22"/>
        </w:rPr>
        <w:lastRenderedPageBreak/>
        <w:t xml:space="preserve">CONTEXT AND </w:t>
      </w:r>
      <w:r w:rsidR="002831E0" w:rsidRPr="00FB6D4E">
        <w:rPr>
          <w:sz w:val="22"/>
          <w:szCs w:val="22"/>
        </w:rPr>
        <w:t>OVERVIEW OF THE PROJECT</w:t>
      </w:r>
      <w:bookmarkEnd w:id="15"/>
      <w:r w:rsidR="002831E0" w:rsidRPr="00FB6D4E">
        <w:rPr>
          <w:sz w:val="22"/>
          <w:szCs w:val="22"/>
        </w:rPr>
        <w:t xml:space="preserve"> </w:t>
      </w:r>
    </w:p>
    <w:p w14:paraId="7B8A59C1" w14:textId="77777777" w:rsidR="002C43B9" w:rsidRPr="00FB6D4E" w:rsidRDefault="002C43B9" w:rsidP="00A52B28">
      <w:pPr>
        <w:widowControl/>
        <w:tabs>
          <w:tab w:val="left" w:pos="-720"/>
          <w:tab w:val="left" w:pos="567"/>
        </w:tabs>
        <w:jc w:val="both"/>
        <w:rPr>
          <w:sz w:val="22"/>
          <w:szCs w:val="22"/>
        </w:rPr>
      </w:pPr>
    </w:p>
    <w:p w14:paraId="2579632F" w14:textId="49BE721D" w:rsidR="00D046F4" w:rsidRPr="00D046F4" w:rsidRDefault="00D046F4" w:rsidP="00D046F4">
      <w:pPr>
        <w:pStyle w:val="ListParagraph"/>
        <w:numPr>
          <w:ilvl w:val="0"/>
          <w:numId w:val="15"/>
        </w:numPr>
        <w:jc w:val="both"/>
        <w:rPr>
          <w:sz w:val="22"/>
        </w:rPr>
      </w:pPr>
      <w:r w:rsidRPr="00D046F4">
        <w:rPr>
          <w:sz w:val="22"/>
        </w:rPr>
        <w:t>The budget for the environmental sector in Moldova was very limited</w:t>
      </w:r>
      <w:r w:rsidR="00942104">
        <w:rPr>
          <w:sz w:val="22"/>
        </w:rPr>
        <w:t xml:space="preserve">; </w:t>
      </w:r>
      <w:r w:rsidR="00942104" w:rsidRPr="00942104">
        <w:rPr>
          <w:sz w:val="22"/>
        </w:rPr>
        <w:t>it constituted just under 0.5% of the total national budget in 2009 and 2010 and was 0.69% in 2011. Most of this funding covered</w:t>
      </w:r>
      <w:r w:rsidR="00942104">
        <w:rPr>
          <w:sz w:val="22"/>
        </w:rPr>
        <w:t xml:space="preserve"> staff costs and did</w:t>
      </w:r>
      <w:r w:rsidRPr="00D046F4">
        <w:rPr>
          <w:sz w:val="22"/>
        </w:rPr>
        <w:t xml:space="preserve"> not allow the Ministry of Environment (MOE) to implement its core activities nor</w:t>
      </w:r>
      <w:r>
        <w:rPr>
          <w:sz w:val="22"/>
        </w:rPr>
        <w:t xml:space="preserve"> to promote necessary policies.</w:t>
      </w:r>
      <w:r w:rsidRPr="00D046F4">
        <w:rPr>
          <w:sz w:val="22"/>
        </w:rPr>
        <w:t xml:space="preserve"> In the other sectors, environmental concerns were virtually non-existent. Although the agriculture sector benefited from 3.1% of the national budget in 2009, only limited environmental issues figure on the sector’s development plan. In addition, existing environmental pollution charges earmarked in the Law on Payment for Environmental Pollution that constitute the revenues of the National and Local Environmental Funds have mobilized only around US$ 15.6 million of revenues for the NEF’s, and around US$ 685,000 of revenues for the LEFs in 2009.  These were limited resources that cannot allow for many important environmental investments in Moldova in order to support the implementation of national and local environmental policies that have demonstrable benefits for the global environment.</w:t>
      </w:r>
    </w:p>
    <w:p w14:paraId="3CDEBC72" w14:textId="77777777" w:rsidR="00D046F4" w:rsidRPr="00D046F4" w:rsidRDefault="00D046F4" w:rsidP="00D046F4">
      <w:pPr>
        <w:pStyle w:val="ListParagraph"/>
        <w:ind w:left="0"/>
        <w:jc w:val="both"/>
        <w:rPr>
          <w:sz w:val="22"/>
        </w:rPr>
      </w:pPr>
    </w:p>
    <w:p w14:paraId="47F027FF" w14:textId="77777777" w:rsidR="00D046F4" w:rsidRPr="00D046F4" w:rsidRDefault="00D046F4" w:rsidP="00D046F4">
      <w:pPr>
        <w:pStyle w:val="ListParagraph"/>
        <w:numPr>
          <w:ilvl w:val="0"/>
          <w:numId w:val="15"/>
        </w:numPr>
        <w:jc w:val="both"/>
        <w:rPr>
          <w:sz w:val="22"/>
        </w:rPr>
      </w:pPr>
      <w:r w:rsidRPr="00D046F4">
        <w:rPr>
          <w:sz w:val="22"/>
        </w:rPr>
        <w:t xml:space="preserve">The lack of resource allocation to the environmental sector was attributed to three main root causes: </w:t>
      </w:r>
    </w:p>
    <w:p w14:paraId="393E64E7" w14:textId="77777777" w:rsidR="00D046F4" w:rsidRDefault="00D046F4" w:rsidP="00DC1947">
      <w:pPr>
        <w:pStyle w:val="ListParagraph"/>
        <w:numPr>
          <w:ilvl w:val="0"/>
          <w:numId w:val="38"/>
        </w:numPr>
        <w:ind w:left="851" w:hanging="284"/>
        <w:jc w:val="both"/>
        <w:rPr>
          <w:sz w:val="22"/>
        </w:rPr>
      </w:pPr>
      <w:r w:rsidRPr="00D046F4">
        <w:rPr>
          <w:i/>
          <w:sz w:val="22"/>
        </w:rPr>
        <w:t>Failure to integrate environmental concerns in sectoral policies and plans</w:t>
      </w:r>
      <w:r w:rsidRPr="00D046F4">
        <w:rPr>
          <w:sz w:val="22"/>
        </w:rPr>
        <w:t>, which is compounded by the fact that Moldova did not have a comprehensive and modern environmental policy, especially in relation to the requirements of European Union policies.</w:t>
      </w:r>
    </w:p>
    <w:p w14:paraId="4C7CEF87" w14:textId="77777777" w:rsidR="00D046F4" w:rsidRDefault="00D046F4" w:rsidP="00DC1947">
      <w:pPr>
        <w:pStyle w:val="ListParagraph"/>
        <w:numPr>
          <w:ilvl w:val="0"/>
          <w:numId w:val="38"/>
        </w:numPr>
        <w:ind w:left="851" w:hanging="284"/>
        <w:jc w:val="both"/>
        <w:rPr>
          <w:sz w:val="22"/>
        </w:rPr>
      </w:pPr>
      <w:r w:rsidRPr="00D046F4">
        <w:rPr>
          <w:i/>
          <w:sz w:val="22"/>
        </w:rPr>
        <w:t>Failure to allocate resources to environmental protection</w:t>
      </w:r>
      <w:r w:rsidRPr="00D046F4">
        <w:rPr>
          <w:sz w:val="22"/>
        </w:rPr>
        <w:t>: The Law on Payment for Environmental Pollution serves as the basis for establishing the National and Local Environmental Funds. However, with the exception of Payments for Goods causing Environmental Pollution, environmental charges did not provide sufficient incentives to decrease pollution, nor were they able to provide sufficient funds for environmental investments in Moldova that would support the implementation of environmental policies.</w:t>
      </w:r>
    </w:p>
    <w:p w14:paraId="7F1FA7C1" w14:textId="5A5F1359" w:rsidR="00D046F4" w:rsidRPr="00D046F4" w:rsidRDefault="00D046F4" w:rsidP="00DC1947">
      <w:pPr>
        <w:pStyle w:val="ListParagraph"/>
        <w:numPr>
          <w:ilvl w:val="0"/>
          <w:numId w:val="38"/>
        </w:numPr>
        <w:ind w:left="851" w:hanging="284"/>
        <w:jc w:val="both"/>
        <w:rPr>
          <w:sz w:val="22"/>
        </w:rPr>
      </w:pPr>
      <w:r w:rsidRPr="00D046F4">
        <w:rPr>
          <w:i/>
          <w:sz w:val="22"/>
        </w:rPr>
        <w:t>Weak national cooperation and partnerships related to EFR</w:t>
      </w:r>
      <w:r w:rsidRPr="00D046F4">
        <w:rPr>
          <w:sz w:val="22"/>
        </w:rPr>
        <w:t>: The OECD Environmental Action Plan (EAP) initiated some support to MOE in the area of EFR with the development of a brief stocktaking paper addressing institutional capacity for environmental management in Moldova. This paper was the basis for launching national policy dialogues on environment and development starting in late 2009.  However, despite that EFR was considered a priority area of intervention, efforts remained insufficient to trigger a national process for effectively developing and integrating EFR instruments into sectoral policies and budgets</w:t>
      </w:r>
      <w:r w:rsidR="00C11CAF">
        <w:rPr>
          <w:sz w:val="22"/>
        </w:rPr>
        <w:t xml:space="preserve"> as well as at the local level</w:t>
      </w:r>
      <w:r w:rsidRPr="00D046F4">
        <w:rPr>
          <w:sz w:val="22"/>
        </w:rPr>
        <w:t>; partly due to the absence of formal cooperation and partnership agreements to legitimately tie EFR to other development sectors, both at the central and local levels.</w:t>
      </w:r>
    </w:p>
    <w:p w14:paraId="7C73A001" w14:textId="77777777" w:rsidR="00D046F4" w:rsidRPr="00D046F4" w:rsidRDefault="00D046F4" w:rsidP="00D046F4">
      <w:pPr>
        <w:pStyle w:val="ListParagraph"/>
        <w:ind w:left="0"/>
        <w:jc w:val="both"/>
        <w:rPr>
          <w:sz w:val="22"/>
        </w:rPr>
      </w:pPr>
    </w:p>
    <w:p w14:paraId="7ACE412B" w14:textId="77777777" w:rsidR="00D046F4" w:rsidRPr="00D046F4" w:rsidRDefault="00D046F4" w:rsidP="00D046F4">
      <w:pPr>
        <w:pStyle w:val="ListParagraph"/>
        <w:numPr>
          <w:ilvl w:val="0"/>
          <w:numId w:val="15"/>
        </w:numPr>
        <w:jc w:val="both"/>
        <w:rPr>
          <w:sz w:val="22"/>
        </w:rPr>
      </w:pPr>
      <w:r w:rsidRPr="00D046F4">
        <w:rPr>
          <w:sz w:val="22"/>
        </w:rPr>
        <w:t xml:space="preserve">One of the top priorities identified through the National Capacity Self-Assessment (NCSA) conducted in Moldova in 2004-2005 was a call to launch an economic fiscal reform programme for global environmental management, meeting national and global environmental commitments. </w:t>
      </w:r>
    </w:p>
    <w:p w14:paraId="55A703BC" w14:textId="77777777" w:rsidR="00D046F4" w:rsidRPr="00D046F4" w:rsidRDefault="00D046F4" w:rsidP="00D046F4">
      <w:pPr>
        <w:pStyle w:val="ListParagraph"/>
        <w:ind w:left="0"/>
        <w:jc w:val="both"/>
        <w:rPr>
          <w:sz w:val="22"/>
        </w:rPr>
      </w:pPr>
    </w:p>
    <w:p w14:paraId="0347198B" w14:textId="77777777" w:rsidR="00D046F4" w:rsidRPr="00D046F4" w:rsidRDefault="00D046F4" w:rsidP="00D046F4">
      <w:pPr>
        <w:pStyle w:val="ListParagraph"/>
        <w:numPr>
          <w:ilvl w:val="0"/>
          <w:numId w:val="15"/>
        </w:numPr>
        <w:jc w:val="both"/>
        <w:rPr>
          <w:sz w:val="22"/>
        </w:rPr>
      </w:pPr>
      <w:r w:rsidRPr="00D046F4">
        <w:rPr>
          <w:sz w:val="22"/>
        </w:rPr>
        <w:t xml:space="preserve">The key findings of this NCSA highlighted the following constraints at the time: </w:t>
      </w:r>
    </w:p>
    <w:p w14:paraId="0F11D702" w14:textId="77777777" w:rsidR="00D046F4" w:rsidRDefault="00D046F4" w:rsidP="00DC1947">
      <w:pPr>
        <w:pStyle w:val="ListParagraph"/>
        <w:numPr>
          <w:ilvl w:val="0"/>
          <w:numId w:val="39"/>
        </w:numPr>
        <w:ind w:left="851" w:hanging="284"/>
        <w:jc w:val="both"/>
        <w:rPr>
          <w:sz w:val="22"/>
        </w:rPr>
      </w:pPr>
      <w:r w:rsidRPr="00D046F4">
        <w:rPr>
          <w:i/>
          <w:sz w:val="22"/>
        </w:rPr>
        <w:t>Tax system</w:t>
      </w:r>
      <w:r w:rsidRPr="00D046F4">
        <w:rPr>
          <w:sz w:val="22"/>
        </w:rPr>
        <w:t>: The payment of charges for environmental pollution was not specified within the Tax Code that was approved in 1997, while the Law on Payment for Environmental Pollution was approved in 1998 and amended in 2008.</w:t>
      </w:r>
    </w:p>
    <w:p w14:paraId="56302D9B" w14:textId="77777777" w:rsidR="00D046F4" w:rsidRDefault="00D046F4" w:rsidP="00DC1947">
      <w:pPr>
        <w:pStyle w:val="ListParagraph"/>
        <w:numPr>
          <w:ilvl w:val="0"/>
          <w:numId w:val="39"/>
        </w:numPr>
        <w:ind w:left="851" w:hanging="284"/>
        <w:jc w:val="both"/>
        <w:rPr>
          <w:sz w:val="22"/>
        </w:rPr>
      </w:pPr>
      <w:r w:rsidRPr="00D046F4">
        <w:rPr>
          <w:i/>
          <w:sz w:val="22"/>
        </w:rPr>
        <w:t>Natural resource assessment</w:t>
      </w:r>
      <w:r w:rsidRPr="00D046F4">
        <w:rPr>
          <w:sz w:val="22"/>
        </w:rPr>
        <w:t>: The land resources market in Moldova was under-developed, thus the market price did not reflect the real economic value of the land. Such an approach for price establishment did not allow the proper assessment of land resources. Similarly, as the market of renewable resources was undeveloped, the prices couldn’t be considered opportune. In addition, for this type of resources, the market was not transparent.</w:t>
      </w:r>
    </w:p>
    <w:p w14:paraId="15D6E0FE" w14:textId="77777777" w:rsidR="00D046F4" w:rsidRDefault="00D046F4" w:rsidP="00DC1947">
      <w:pPr>
        <w:pStyle w:val="ListParagraph"/>
        <w:numPr>
          <w:ilvl w:val="0"/>
          <w:numId w:val="39"/>
        </w:numPr>
        <w:ind w:left="851" w:hanging="284"/>
        <w:jc w:val="both"/>
        <w:rPr>
          <w:sz w:val="22"/>
        </w:rPr>
      </w:pPr>
      <w:r w:rsidRPr="00D046F4">
        <w:rPr>
          <w:i/>
          <w:sz w:val="22"/>
        </w:rPr>
        <w:t>Environmental penalties and compensations</w:t>
      </w:r>
      <w:r w:rsidRPr="00D046F4">
        <w:rPr>
          <w:sz w:val="22"/>
        </w:rPr>
        <w:t>: The level of the established fines for environmental pollution and degradation was very low and did not reflect the value of lost environmental goods and services or lost economic potential.  Moreover, the relatively low level of environmental fines was not sufficient to act as a deterrent to reduce pollution, degradation, or over-exploitation.</w:t>
      </w:r>
    </w:p>
    <w:p w14:paraId="2D4643DC" w14:textId="6F8228FE" w:rsidR="00D046F4" w:rsidRPr="00D046F4" w:rsidRDefault="00D046F4" w:rsidP="00DC1947">
      <w:pPr>
        <w:pStyle w:val="ListParagraph"/>
        <w:numPr>
          <w:ilvl w:val="0"/>
          <w:numId w:val="39"/>
        </w:numPr>
        <w:ind w:left="851" w:hanging="284"/>
        <w:jc w:val="both"/>
        <w:rPr>
          <w:sz w:val="22"/>
        </w:rPr>
      </w:pPr>
      <w:r w:rsidRPr="00D046F4">
        <w:rPr>
          <w:i/>
          <w:sz w:val="22"/>
        </w:rPr>
        <w:t>Financing for environment protection</w:t>
      </w:r>
      <w:r w:rsidRPr="00D046F4">
        <w:rPr>
          <w:sz w:val="22"/>
        </w:rPr>
        <w:t>: State budgetary allocations for environmental protection were inadequate to finance the needed protection measures.</w:t>
      </w:r>
    </w:p>
    <w:p w14:paraId="7BA6137A" w14:textId="77777777" w:rsidR="00D046F4" w:rsidRPr="00D046F4" w:rsidRDefault="00D046F4" w:rsidP="00D046F4">
      <w:pPr>
        <w:pStyle w:val="ListParagraph"/>
        <w:ind w:left="0"/>
        <w:jc w:val="both"/>
        <w:rPr>
          <w:sz w:val="22"/>
        </w:rPr>
      </w:pPr>
    </w:p>
    <w:p w14:paraId="2D46373E" w14:textId="77777777" w:rsidR="00D046F4" w:rsidRPr="00D046F4" w:rsidRDefault="00D046F4" w:rsidP="00D046F4">
      <w:pPr>
        <w:pStyle w:val="ListParagraph"/>
        <w:numPr>
          <w:ilvl w:val="0"/>
          <w:numId w:val="15"/>
        </w:numPr>
        <w:jc w:val="both"/>
        <w:rPr>
          <w:sz w:val="22"/>
        </w:rPr>
      </w:pPr>
      <w:r w:rsidRPr="00D046F4">
        <w:rPr>
          <w:sz w:val="22"/>
        </w:rPr>
        <w:t>The NCSA identified the following priority capacity development objectives:</w:t>
      </w:r>
    </w:p>
    <w:p w14:paraId="79C20C2D" w14:textId="6F6B855E" w:rsidR="00D046F4" w:rsidRPr="00D046F4" w:rsidRDefault="00D046F4" w:rsidP="00DC1947">
      <w:pPr>
        <w:pStyle w:val="ListParagraph"/>
        <w:numPr>
          <w:ilvl w:val="0"/>
          <w:numId w:val="40"/>
        </w:numPr>
        <w:ind w:left="851" w:hanging="284"/>
        <w:jc w:val="both"/>
        <w:rPr>
          <w:sz w:val="22"/>
        </w:rPr>
      </w:pPr>
      <w:r w:rsidRPr="00D046F4">
        <w:rPr>
          <w:sz w:val="22"/>
        </w:rPr>
        <w:t>Economic instruments</w:t>
      </w:r>
    </w:p>
    <w:p w14:paraId="7ED81B45" w14:textId="77777777" w:rsidR="00D046F4" w:rsidRDefault="00D046F4" w:rsidP="00DC1947">
      <w:pPr>
        <w:pStyle w:val="ListParagraph"/>
        <w:numPr>
          <w:ilvl w:val="0"/>
          <w:numId w:val="41"/>
        </w:numPr>
        <w:ind w:left="1418" w:hanging="284"/>
        <w:jc w:val="both"/>
        <w:rPr>
          <w:sz w:val="22"/>
        </w:rPr>
      </w:pPr>
      <w:r w:rsidRPr="00D046F4">
        <w:rPr>
          <w:sz w:val="22"/>
        </w:rPr>
        <w:t>To generate revenues from activities which can impact the environment;</w:t>
      </w:r>
    </w:p>
    <w:p w14:paraId="203D3797" w14:textId="77777777" w:rsidR="00D046F4" w:rsidRDefault="00D046F4" w:rsidP="00DC1947">
      <w:pPr>
        <w:pStyle w:val="ListParagraph"/>
        <w:numPr>
          <w:ilvl w:val="0"/>
          <w:numId w:val="41"/>
        </w:numPr>
        <w:ind w:left="1418" w:hanging="284"/>
        <w:jc w:val="both"/>
        <w:rPr>
          <w:sz w:val="22"/>
        </w:rPr>
      </w:pPr>
      <w:r w:rsidRPr="00D046F4">
        <w:rPr>
          <w:sz w:val="22"/>
        </w:rPr>
        <w:t>To provide the coherence between the provisions of the specific normative acts and documents of general character related to environment;</w:t>
      </w:r>
    </w:p>
    <w:p w14:paraId="36E046AE" w14:textId="77777777" w:rsidR="00D046F4" w:rsidRDefault="00D046F4" w:rsidP="00DC1947">
      <w:pPr>
        <w:pStyle w:val="ListParagraph"/>
        <w:numPr>
          <w:ilvl w:val="0"/>
          <w:numId w:val="41"/>
        </w:numPr>
        <w:ind w:left="1418" w:hanging="284"/>
        <w:jc w:val="both"/>
        <w:rPr>
          <w:sz w:val="22"/>
        </w:rPr>
      </w:pPr>
      <w:r w:rsidRPr="00D046F4">
        <w:rPr>
          <w:sz w:val="22"/>
        </w:rPr>
        <w:t>To assess the environment resources by elaborating the methodology and concept of assessment;</w:t>
      </w:r>
    </w:p>
    <w:p w14:paraId="72FF5E27" w14:textId="77777777" w:rsidR="00D046F4" w:rsidRDefault="00D046F4" w:rsidP="00DC1947">
      <w:pPr>
        <w:pStyle w:val="ListParagraph"/>
        <w:numPr>
          <w:ilvl w:val="0"/>
          <w:numId w:val="40"/>
        </w:numPr>
        <w:ind w:left="851" w:hanging="284"/>
        <w:jc w:val="both"/>
        <w:rPr>
          <w:sz w:val="22"/>
        </w:rPr>
      </w:pPr>
      <w:r w:rsidRPr="00D046F4">
        <w:rPr>
          <w:sz w:val="22"/>
        </w:rPr>
        <w:t>Financial instruments</w:t>
      </w:r>
    </w:p>
    <w:p w14:paraId="7341B67B" w14:textId="77777777" w:rsidR="00D046F4" w:rsidRDefault="00D046F4" w:rsidP="00DC1947">
      <w:pPr>
        <w:pStyle w:val="ListParagraph"/>
        <w:numPr>
          <w:ilvl w:val="0"/>
          <w:numId w:val="42"/>
        </w:numPr>
        <w:ind w:left="1418" w:hanging="284"/>
        <w:jc w:val="both"/>
        <w:rPr>
          <w:sz w:val="22"/>
        </w:rPr>
      </w:pPr>
      <w:r w:rsidRPr="00D046F4">
        <w:rPr>
          <w:sz w:val="22"/>
        </w:rPr>
        <w:t>To establish sources of environment funding and to provide the financial sustainability of the protected areas;</w:t>
      </w:r>
    </w:p>
    <w:p w14:paraId="13C95F9F" w14:textId="77777777" w:rsidR="00D046F4" w:rsidRDefault="00D046F4" w:rsidP="00DC1947">
      <w:pPr>
        <w:pStyle w:val="ListParagraph"/>
        <w:numPr>
          <w:ilvl w:val="0"/>
          <w:numId w:val="42"/>
        </w:numPr>
        <w:ind w:left="1418" w:hanging="284"/>
        <w:jc w:val="both"/>
        <w:rPr>
          <w:sz w:val="22"/>
        </w:rPr>
      </w:pPr>
      <w:r w:rsidRPr="00D046F4">
        <w:rPr>
          <w:sz w:val="22"/>
        </w:rPr>
        <w:t>To generate sources for financing the measures of environment protection by strengthening the capacity of the National Ecological Fund;</w:t>
      </w:r>
    </w:p>
    <w:p w14:paraId="502B9D4A" w14:textId="2F66170D" w:rsidR="00D046F4" w:rsidRPr="00D046F4" w:rsidRDefault="00D046F4" w:rsidP="00DC1947">
      <w:pPr>
        <w:pStyle w:val="ListParagraph"/>
        <w:numPr>
          <w:ilvl w:val="0"/>
          <w:numId w:val="42"/>
        </w:numPr>
        <w:ind w:left="1418" w:hanging="284"/>
        <w:jc w:val="both"/>
        <w:rPr>
          <w:sz w:val="22"/>
        </w:rPr>
      </w:pPr>
      <w:r w:rsidRPr="00D046F4">
        <w:rPr>
          <w:sz w:val="22"/>
        </w:rPr>
        <w:t>To ensure financial support for an efficient implementation of the national priorities in the field of environment protection;</w:t>
      </w:r>
    </w:p>
    <w:p w14:paraId="47DD4512" w14:textId="77777777" w:rsidR="00D046F4" w:rsidRDefault="00D046F4" w:rsidP="00DC1947">
      <w:pPr>
        <w:pStyle w:val="ListParagraph"/>
        <w:numPr>
          <w:ilvl w:val="0"/>
          <w:numId w:val="40"/>
        </w:numPr>
        <w:ind w:left="851" w:hanging="284"/>
        <w:jc w:val="both"/>
        <w:rPr>
          <w:sz w:val="22"/>
        </w:rPr>
      </w:pPr>
      <w:r w:rsidRPr="00D046F4">
        <w:rPr>
          <w:sz w:val="22"/>
        </w:rPr>
        <w:t>Improvements in investment climate</w:t>
      </w:r>
    </w:p>
    <w:p w14:paraId="3298BD3A" w14:textId="0EAF9DFB" w:rsidR="00D046F4" w:rsidRPr="00D046F4" w:rsidRDefault="00D046F4" w:rsidP="00DC1947">
      <w:pPr>
        <w:pStyle w:val="ListParagraph"/>
        <w:numPr>
          <w:ilvl w:val="0"/>
          <w:numId w:val="43"/>
        </w:numPr>
        <w:ind w:left="1418" w:hanging="284"/>
        <w:jc w:val="both"/>
        <w:rPr>
          <w:sz w:val="22"/>
        </w:rPr>
      </w:pPr>
      <w:r w:rsidRPr="00D046F4">
        <w:rPr>
          <w:sz w:val="22"/>
        </w:rPr>
        <w:t>To strengthen the investment climate in order to draw up investments for the environment protection activities.</w:t>
      </w:r>
    </w:p>
    <w:p w14:paraId="28A03902" w14:textId="77777777" w:rsidR="00D046F4" w:rsidRPr="00D046F4" w:rsidRDefault="00D046F4" w:rsidP="00D046F4">
      <w:pPr>
        <w:pStyle w:val="ListParagraph"/>
        <w:ind w:left="0"/>
        <w:jc w:val="both"/>
        <w:rPr>
          <w:sz w:val="22"/>
        </w:rPr>
      </w:pPr>
    </w:p>
    <w:p w14:paraId="25B7BA86" w14:textId="0C763166" w:rsidR="00D046F4" w:rsidRPr="00D046F4" w:rsidRDefault="00D046F4" w:rsidP="00D046F4">
      <w:pPr>
        <w:pStyle w:val="ListParagraph"/>
        <w:numPr>
          <w:ilvl w:val="0"/>
          <w:numId w:val="15"/>
        </w:numPr>
        <w:jc w:val="both"/>
        <w:rPr>
          <w:sz w:val="22"/>
        </w:rPr>
      </w:pPr>
      <w:r w:rsidRPr="00D046F4">
        <w:rPr>
          <w:sz w:val="22"/>
        </w:rPr>
        <w:t>In order to address these constraints and respond to this national priority, the project focused on creating conditions, financial incentives and disincentives, and decreased opportunity costs to undertake actions that deliver global environmental outcomes.  The project was to initiate and pilot EFR instruments targeted to meet Rio Convention objectives and en</w:t>
      </w:r>
      <w:r w:rsidRPr="00D046F4">
        <w:rPr>
          <w:sz w:val="22"/>
        </w:rPr>
        <w:lastRenderedPageBreak/>
        <w:t xml:space="preserve">sure their integration within national </w:t>
      </w:r>
      <w:r w:rsidR="00C11CAF">
        <w:rPr>
          <w:sz w:val="22"/>
        </w:rPr>
        <w:t xml:space="preserve">and local </w:t>
      </w:r>
      <w:r w:rsidRPr="00D046F4">
        <w:rPr>
          <w:sz w:val="22"/>
        </w:rPr>
        <w:t>plans and policies, especially in national taxation and within the decentralization process in Moldova.  It included such possible instruments such as eco-taxes and environmental charges levies; other fiscal and tax instruments such as import duty differentiation, value-added tax (VAT) rate differentiation, accelerated depreciation; emissions trading; green subsidies, such as investment grants, soft loans, interest subsidies and equity finance; reform of environmentally harmful subsidies; green public procurement; greening the yearly or longer term public budgeting processes; and greening commercial finance.</w:t>
      </w:r>
    </w:p>
    <w:p w14:paraId="147B7462" w14:textId="77777777" w:rsidR="00D046F4" w:rsidRPr="00D046F4" w:rsidRDefault="00D046F4" w:rsidP="00D046F4">
      <w:pPr>
        <w:pStyle w:val="ListParagraph"/>
        <w:ind w:left="0"/>
        <w:jc w:val="both"/>
        <w:rPr>
          <w:sz w:val="22"/>
        </w:rPr>
      </w:pPr>
    </w:p>
    <w:p w14:paraId="5F2C94F0" w14:textId="77777777" w:rsidR="00D046F4" w:rsidRPr="00D046F4" w:rsidRDefault="00D046F4" w:rsidP="00D046F4">
      <w:pPr>
        <w:pStyle w:val="ListParagraph"/>
        <w:numPr>
          <w:ilvl w:val="0"/>
          <w:numId w:val="15"/>
        </w:numPr>
        <w:jc w:val="both"/>
        <w:rPr>
          <w:sz w:val="22"/>
        </w:rPr>
      </w:pPr>
      <w:r w:rsidRPr="00D046F4">
        <w:rPr>
          <w:sz w:val="22"/>
        </w:rPr>
        <w:t>The project was to establish a strong basis for the institutionalization of an EFR programme at the national level with the support of concerned governmental institutions such as MOE, the Ministry of Finance, and other line Ministries through the establishment of the Moldovan EFR Commission that will initially be established as a project steering committee and eventually evolve to continue as Moldovan EFR Commission.</w:t>
      </w:r>
    </w:p>
    <w:p w14:paraId="4C5AA403" w14:textId="77777777" w:rsidR="00D046F4" w:rsidRPr="00D046F4" w:rsidRDefault="00D046F4" w:rsidP="00D046F4">
      <w:pPr>
        <w:pStyle w:val="ListParagraph"/>
        <w:ind w:left="0"/>
        <w:jc w:val="both"/>
        <w:rPr>
          <w:sz w:val="22"/>
        </w:rPr>
      </w:pPr>
    </w:p>
    <w:p w14:paraId="4C52E559" w14:textId="022FB66F" w:rsidR="00D046F4" w:rsidRPr="00D046F4" w:rsidRDefault="00D046F4" w:rsidP="00D046F4">
      <w:pPr>
        <w:pStyle w:val="ListParagraph"/>
        <w:numPr>
          <w:ilvl w:val="0"/>
          <w:numId w:val="15"/>
        </w:numPr>
        <w:jc w:val="both"/>
        <w:rPr>
          <w:sz w:val="22"/>
        </w:rPr>
      </w:pPr>
      <w:r w:rsidRPr="00D046F4">
        <w:rPr>
          <w:sz w:val="22"/>
        </w:rPr>
        <w:t xml:space="preserve">The Environmental Fiscal Reform (EFR) project </w:t>
      </w:r>
      <w:r>
        <w:rPr>
          <w:sz w:val="22"/>
        </w:rPr>
        <w:t>was</w:t>
      </w:r>
      <w:r w:rsidRPr="00D046F4">
        <w:rPr>
          <w:sz w:val="22"/>
        </w:rPr>
        <w:t xml:space="preserve"> a UNDP supported, GEF and the Government of Moldova financed project. It </w:t>
      </w:r>
      <w:r>
        <w:rPr>
          <w:sz w:val="22"/>
        </w:rPr>
        <w:t>was</w:t>
      </w:r>
      <w:r w:rsidRPr="00D046F4">
        <w:rPr>
          <w:sz w:val="22"/>
        </w:rPr>
        <w:t xml:space="preserve"> funded by a grant from GEF of USD 510,450, a grant from UNDP of USD 110,000 and an in-kind contribution estimated at USD 500,000 from the Government, OECD and UNDP. It started in November 2011 and will end at the end of September 2015 after a 9-month time extension. The Ministry of Environment </w:t>
      </w:r>
      <w:r>
        <w:rPr>
          <w:sz w:val="22"/>
        </w:rPr>
        <w:t>was</w:t>
      </w:r>
      <w:r w:rsidR="00C11CAF">
        <w:rPr>
          <w:sz w:val="22"/>
        </w:rPr>
        <w:t xml:space="preserve"> the implementing partner</w:t>
      </w:r>
      <w:r w:rsidRPr="00D046F4">
        <w:rPr>
          <w:sz w:val="22"/>
        </w:rPr>
        <w:t xml:space="preserve"> of this project. </w:t>
      </w:r>
    </w:p>
    <w:p w14:paraId="23357481" w14:textId="77777777" w:rsidR="00D046F4" w:rsidRPr="00D046F4" w:rsidRDefault="00D046F4" w:rsidP="00D046F4">
      <w:pPr>
        <w:pStyle w:val="ListParagraph"/>
        <w:ind w:left="0"/>
        <w:jc w:val="both"/>
        <w:rPr>
          <w:sz w:val="22"/>
        </w:rPr>
      </w:pPr>
    </w:p>
    <w:p w14:paraId="133ECA68" w14:textId="203AA80A" w:rsidR="00C82BC8" w:rsidRPr="00C82BC8" w:rsidRDefault="00D046F4" w:rsidP="00C82BC8">
      <w:pPr>
        <w:pStyle w:val="ListParagraph"/>
        <w:numPr>
          <w:ilvl w:val="0"/>
          <w:numId w:val="15"/>
        </w:numPr>
        <w:jc w:val="both"/>
        <w:rPr>
          <w:sz w:val="22"/>
        </w:rPr>
      </w:pPr>
      <w:r w:rsidRPr="00D046F4">
        <w:rPr>
          <w:sz w:val="22"/>
        </w:rPr>
        <w:t>The objective of the project was to build capacities for implementing environmental fiscal reforms (EFR) that would produce increased national and global environmental benefits through the adoption of selected subsidies, fees, fines, taxes and other appropriate fiscal instruments. This objective was to be achieved through three outcomes and 8 outputs:</w:t>
      </w:r>
    </w:p>
    <w:p w14:paraId="62460C36" w14:textId="1FD0FCB2" w:rsidR="00D046F4" w:rsidRPr="00C82BC8" w:rsidRDefault="00C82BC8" w:rsidP="00DC1947">
      <w:pPr>
        <w:pStyle w:val="ListParagraph"/>
        <w:numPr>
          <w:ilvl w:val="0"/>
          <w:numId w:val="25"/>
        </w:numPr>
        <w:ind w:left="1134" w:hanging="567"/>
        <w:jc w:val="both"/>
        <w:rPr>
          <w:sz w:val="22"/>
        </w:rPr>
      </w:pPr>
      <w:r w:rsidRPr="00C82BC8">
        <w:rPr>
          <w:b/>
          <w:i/>
          <w:sz w:val="22"/>
        </w:rPr>
        <w:t>Outcome 1</w:t>
      </w:r>
      <w:r w:rsidRPr="00C82BC8">
        <w:rPr>
          <w:sz w:val="22"/>
        </w:rPr>
        <w:t xml:space="preserve">: </w:t>
      </w:r>
      <w:r w:rsidR="00D046F4" w:rsidRPr="00C82BC8">
        <w:rPr>
          <w:sz w:val="22"/>
        </w:rPr>
        <w:t>Reform of environmentally harmful subsidies, green subsidies, as well as environmental charges within the agricultural and energy sectors: a) Introduce policy reform in the area of environmentally harmful subsidies; b) Reform of environmental charges and facilitation of eco-technology investments; and c) Improved regulations and operational management of the National and Local Ecological Funds (NEF/LEFs)</w:t>
      </w:r>
    </w:p>
    <w:p w14:paraId="67191F2F" w14:textId="4270392D" w:rsidR="00C82BC8" w:rsidRPr="00C82BC8" w:rsidRDefault="00C82BC8" w:rsidP="00DC1947">
      <w:pPr>
        <w:pStyle w:val="ListParagraph"/>
        <w:numPr>
          <w:ilvl w:val="0"/>
          <w:numId w:val="25"/>
        </w:numPr>
        <w:ind w:left="1134" w:hanging="567"/>
        <w:jc w:val="both"/>
        <w:rPr>
          <w:sz w:val="22"/>
        </w:rPr>
      </w:pPr>
      <w:r w:rsidRPr="00C82BC8">
        <w:rPr>
          <w:b/>
          <w:i/>
          <w:sz w:val="22"/>
        </w:rPr>
        <w:t>Outcome 2</w:t>
      </w:r>
      <w:r w:rsidRPr="00C82BC8">
        <w:rPr>
          <w:sz w:val="22"/>
        </w:rPr>
        <w:t>: Capacity development for EFR to build consensus among concerned stakeholders: a) Capacity building for EFR; b) Communication and awareness; and c) A political dialogue is established;</w:t>
      </w:r>
    </w:p>
    <w:p w14:paraId="30FF0E62" w14:textId="315B8604" w:rsidR="00950EF7" w:rsidRPr="00E47580" w:rsidRDefault="00C82BC8" w:rsidP="00E47580">
      <w:pPr>
        <w:pStyle w:val="ListParagraph"/>
        <w:numPr>
          <w:ilvl w:val="0"/>
          <w:numId w:val="25"/>
        </w:numPr>
        <w:ind w:left="1134" w:hanging="567"/>
        <w:jc w:val="both"/>
        <w:rPr>
          <w:sz w:val="22"/>
        </w:rPr>
      </w:pPr>
      <w:r w:rsidRPr="00C82BC8">
        <w:rPr>
          <w:b/>
          <w:i/>
          <w:sz w:val="22"/>
        </w:rPr>
        <w:t>Outcome 3</w:t>
      </w:r>
      <w:r w:rsidRPr="00C82BC8">
        <w:rPr>
          <w:sz w:val="22"/>
        </w:rPr>
        <w:t xml:space="preserve">: </w:t>
      </w:r>
      <w:r w:rsidR="00D046F4" w:rsidRPr="00C82BC8">
        <w:rPr>
          <w:sz w:val="22"/>
        </w:rPr>
        <w:t>Integration of EFR in local and central planning processes: a) EFR instruments integrated in the decentralization process; and b) EFR instruments integrated into governmental budgeting and MTEF processes.</w:t>
      </w:r>
    </w:p>
    <w:p w14:paraId="3A33334A" w14:textId="77777777" w:rsidR="00E47580" w:rsidRDefault="00E47580">
      <w:pPr>
        <w:widowControl/>
        <w:autoSpaceDE/>
        <w:autoSpaceDN/>
        <w:adjustRightInd/>
        <w:rPr>
          <w:rFonts w:ascii="Arial" w:hAnsi="Arial" w:cs="Arial"/>
          <w:b/>
          <w:bCs/>
          <w:kern w:val="32"/>
          <w:sz w:val="22"/>
          <w:szCs w:val="22"/>
        </w:rPr>
      </w:pPr>
      <w:r>
        <w:rPr>
          <w:sz w:val="22"/>
          <w:szCs w:val="22"/>
        </w:rPr>
        <w:br w:type="page"/>
      </w:r>
    </w:p>
    <w:p w14:paraId="43D79001" w14:textId="1F311D06" w:rsidR="00A52B28" w:rsidRPr="00FB6D4E" w:rsidRDefault="002831E0" w:rsidP="00DC7D4A">
      <w:pPr>
        <w:pStyle w:val="Heading1"/>
        <w:numPr>
          <w:ilvl w:val="0"/>
          <w:numId w:val="1"/>
        </w:numPr>
        <w:tabs>
          <w:tab w:val="clear" w:pos="360"/>
          <w:tab w:val="num" w:pos="567"/>
        </w:tabs>
        <w:spacing w:before="0" w:after="0"/>
        <w:ind w:left="567" w:hanging="567"/>
        <w:rPr>
          <w:sz w:val="22"/>
          <w:szCs w:val="22"/>
        </w:rPr>
      </w:pPr>
      <w:bookmarkStart w:id="17" w:name="_Toc308103236"/>
      <w:r w:rsidRPr="00FB6D4E">
        <w:rPr>
          <w:sz w:val="22"/>
          <w:szCs w:val="22"/>
        </w:rPr>
        <w:lastRenderedPageBreak/>
        <w:t>EVALUATION</w:t>
      </w:r>
      <w:r w:rsidR="005174F4" w:rsidRPr="00FB6D4E">
        <w:rPr>
          <w:sz w:val="22"/>
          <w:szCs w:val="22"/>
        </w:rPr>
        <w:t xml:space="preserve"> FRAMEWORK</w:t>
      </w:r>
      <w:bookmarkEnd w:id="17"/>
      <w:r w:rsidRPr="00FB6D4E">
        <w:rPr>
          <w:sz w:val="22"/>
          <w:szCs w:val="22"/>
        </w:rPr>
        <w:t xml:space="preserve"> </w:t>
      </w:r>
    </w:p>
    <w:p w14:paraId="3FBC5E5D" w14:textId="77777777" w:rsidR="00A52B28" w:rsidRPr="00FB6D4E" w:rsidRDefault="00A52B28" w:rsidP="00A52B28">
      <w:pPr>
        <w:widowControl/>
        <w:tabs>
          <w:tab w:val="left" w:pos="-720"/>
          <w:tab w:val="left" w:pos="284"/>
        </w:tabs>
        <w:jc w:val="both"/>
        <w:rPr>
          <w:sz w:val="22"/>
          <w:szCs w:val="22"/>
        </w:rPr>
      </w:pPr>
    </w:p>
    <w:p w14:paraId="387CF41F" w14:textId="655EDCF0" w:rsidR="00A52B28" w:rsidRPr="00FB6D4E" w:rsidRDefault="00DC7D4A" w:rsidP="005D59CA">
      <w:pPr>
        <w:pStyle w:val="ListParagraph"/>
        <w:numPr>
          <w:ilvl w:val="0"/>
          <w:numId w:val="15"/>
        </w:numPr>
        <w:jc w:val="both"/>
        <w:rPr>
          <w:sz w:val="22"/>
        </w:rPr>
      </w:pPr>
      <w:r w:rsidRPr="00DC7D4A">
        <w:rPr>
          <w:sz w:val="22"/>
        </w:rPr>
        <w:t xml:space="preserve">This terminal evaluation - a requirement of UNDP &amp; </w:t>
      </w:r>
      <w:r w:rsidR="00AE290F">
        <w:rPr>
          <w:sz w:val="22"/>
        </w:rPr>
        <w:t>GEF</w:t>
      </w:r>
      <w:r w:rsidRPr="00DC7D4A">
        <w:rPr>
          <w:sz w:val="22"/>
        </w:rPr>
        <w:t xml:space="preserve"> procedures - has been initiated by UNDP </w:t>
      </w:r>
      <w:r w:rsidR="00AE290F">
        <w:rPr>
          <w:sz w:val="22"/>
        </w:rPr>
        <w:t>Moldova</w:t>
      </w:r>
      <w:r w:rsidRPr="00DC7D4A">
        <w:rPr>
          <w:sz w:val="22"/>
        </w:rPr>
        <w:t xml:space="preserve"> as the UN Implementing Agency. This evaluation provide</w:t>
      </w:r>
      <w:r w:rsidR="00100F50">
        <w:rPr>
          <w:sz w:val="22"/>
        </w:rPr>
        <w:t>s</w:t>
      </w:r>
      <w:r w:rsidRPr="00DC7D4A">
        <w:rPr>
          <w:sz w:val="22"/>
        </w:rPr>
        <w:t xml:space="preserve"> an in-depth assessment of project achievements and recommendations for </w:t>
      </w:r>
      <w:r w:rsidR="006915AA">
        <w:rPr>
          <w:sz w:val="22"/>
        </w:rPr>
        <w:t xml:space="preserve">further interventions in the sector, as well as </w:t>
      </w:r>
      <w:r w:rsidRPr="00DC7D4A">
        <w:rPr>
          <w:sz w:val="22"/>
        </w:rPr>
        <w:t>other similar UNDP-</w:t>
      </w:r>
      <w:r w:rsidR="00AE290F">
        <w:rPr>
          <w:sz w:val="22"/>
        </w:rPr>
        <w:t>GEF</w:t>
      </w:r>
      <w:r w:rsidRPr="00DC7D4A">
        <w:rPr>
          <w:sz w:val="22"/>
        </w:rPr>
        <w:t xml:space="preserve"> supported projects in the region and worldwide.</w:t>
      </w:r>
    </w:p>
    <w:p w14:paraId="2CAE170A" w14:textId="77777777" w:rsidR="00A52B28" w:rsidRPr="00FB6D4E" w:rsidRDefault="00A52B28" w:rsidP="00A52B28">
      <w:pPr>
        <w:widowControl/>
        <w:tabs>
          <w:tab w:val="left" w:pos="-720"/>
          <w:tab w:val="left" w:pos="284"/>
        </w:tabs>
        <w:jc w:val="both"/>
        <w:rPr>
          <w:sz w:val="22"/>
          <w:szCs w:val="22"/>
        </w:rPr>
      </w:pPr>
    </w:p>
    <w:p w14:paraId="2DB6A2F1" w14:textId="77777777" w:rsidR="00A52B28" w:rsidRPr="00FB6D4E" w:rsidRDefault="002831E0" w:rsidP="00A52B28">
      <w:pPr>
        <w:pStyle w:val="Heading2"/>
        <w:numPr>
          <w:ilvl w:val="1"/>
          <w:numId w:val="1"/>
        </w:numPr>
        <w:tabs>
          <w:tab w:val="clear" w:pos="792"/>
          <w:tab w:val="num" w:pos="709"/>
        </w:tabs>
        <w:spacing w:before="0" w:after="0"/>
        <w:ind w:left="720" w:hanging="720"/>
        <w:rPr>
          <w:i w:val="0"/>
          <w:sz w:val="22"/>
          <w:szCs w:val="22"/>
        </w:rPr>
      </w:pPr>
      <w:bookmarkStart w:id="18" w:name="_Toc154454472"/>
      <w:bookmarkStart w:id="19" w:name="_Toc308103237"/>
      <w:r w:rsidRPr="00FB6D4E">
        <w:rPr>
          <w:i w:val="0"/>
          <w:sz w:val="22"/>
          <w:szCs w:val="22"/>
        </w:rPr>
        <w:t>Objectives</w:t>
      </w:r>
      <w:bookmarkEnd w:id="18"/>
      <w:bookmarkEnd w:id="19"/>
      <w:r w:rsidRPr="00FB6D4E">
        <w:rPr>
          <w:i w:val="0"/>
          <w:sz w:val="22"/>
          <w:szCs w:val="22"/>
        </w:rPr>
        <w:t xml:space="preserve"> </w:t>
      </w:r>
    </w:p>
    <w:p w14:paraId="5295B5E4" w14:textId="77777777" w:rsidR="00A52B28" w:rsidRPr="00FB6D4E" w:rsidRDefault="00A52B28" w:rsidP="00A52B28">
      <w:pPr>
        <w:widowControl/>
        <w:tabs>
          <w:tab w:val="left" w:pos="-720"/>
          <w:tab w:val="left" w:pos="284"/>
        </w:tabs>
        <w:jc w:val="both"/>
        <w:rPr>
          <w:sz w:val="22"/>
          <w:szCs w:val="22"/>
        </w:rPr>
      </w:pPr>
    </w:p>
    <w:p w14:paraId="71BDCB02" w14:textId="37FE1917" w:rsidR="00C82BC8" w:rsidRPr="00C82BC8" w:rsidRDefault="00C82BC8" w:rsidP="00C82BC8">
      <w:pPr>
        <w:pStyle w:val="ListParagraph"/>
        <w:numPr>
          <w:ilvl w:val="0"/>
          <w:numId w:val="15"/>
        </w:numPr>
        <w:jc w:val="both"/>
        <w:rPr>
          <w:sz w:val="22"/>
        </w:rPr>
      </w:pPr>
      <w:r w:rsidRPr="00C82BC8">
        <w:rPr>
          <w:sz w:val="22"/>
        </w:rPr>
        <w:t xml:space="preserve">The objectives of the evaluation </w:t>
      </w:r>
      <w:r>
        <w:rPr>
          <w:sz w:val="22"/>
        </w:rPr>
        <w:t>were</w:t>
      </w:r>
      <w:r w:rsidRPr="00C82BC8">
        <w:rPr>
          <w:sz w:val="22"/>
        </w:rPr>
        <w:t xml:space="preserve"> to assess the achievement of project results, and to draw lessons that can both improve the sustainability of benefits from this project, and aid in the overall enhancement of UNDP programming. More specifically, the evaluation </w:t>
      </w:r>
      <w:r>
        <w:rPr>
          <w:sz w:val="22"/>
        </w:rPr>
        <w:t>did</w:t>
      </w:r>
      <w:r w:rsidRPr="00C82BC8">
        <w:rPr>
          <w:sz w:val="22"/>
        </w:rPr>
        <w:t>:</w:t>
      </w:r>
    </w:p>
    <w:p w14:paraId="250B322D"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Assess the overall performance against the project objective and outcomes as set out in the project document including the project’s Result and Resources Framework and other related documents;</w:t>
      </w:r>
    </w:p>
    <w:p w14:paraId="436BB45C"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Assess the national leadership and ownership;</w:t>
      </w:r>
    </w:p>
    <w:p w14:paraId="39ABC7C8"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Assess the efficiency of the project, including the equality and horizontality such as maximizing the use of local capacities;</w:t>
      </w:r>
    </w:p>
    <w:p w14:paraId="1EAB58C0"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Analyze critically the implementation and management arrangements of the project;</w:t>
      </w:r>
    </w:p>
    <w:p w14:paraId="09487560"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Assess the progress to date towards achievement of the outcomes;</w:t>
      </w:r>
    </w:p>
    <w:p w14:paraId="5A9A5803"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Review planned strategies and plans for achieving the overall objective of the project within the timeframe;</w:t>
      </w:r>
    </w:p>
    <w:p w14:paraId="3DCD9E96"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 xml:space="preserve">Assess the sustainability of project’s interventions, including the potential for replication and scaling up of project achievements; </w:t>
      </w:r>
    </w:p>
    <w:p w14:paraId="1808EFEC"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Assess project relevance to national priorities (including achieving gender equality goals);</w:t>
      </w:r>
    </w:p>
    <w:p w14:paraId="5C51F278" w14:textId="77777777" w:rsid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List and document lessons concerning project design, implementation and management;</w:t>
      </w:r>
    </w:p>
    <w:p w14:paraId="25DAB842" w14:textId="4ECFE007" w:rsidR="00C82BC8" w:rsidRPr="00C82BC8" w:rsidRDefault="00C82BC8" w:rsidP="00C82BC8">
      <w:pPr>
        <w:widowControl/>
        <w:numPr>
          <w:ilvl w:val="0"/>
          <w:numId w:val="10"/>
        </w:numPr>
        <w:tabs>
          <w:tab w:val="clear" w:pos="1920"/>
          <w:tab w:val="left" w:pos="-720"/>
          <w:tab w:val="num" w:pos="851"/>
        </w:tabs>
        <w:ind w:left="851" w:hanging="284"/>
        <w:jc w:val="both"/>
        <w:rPr>
          <w:sz w:val="22"/>
        </w:rPr>
      </w:pPr>
      <w:r w:rsidRPr="00C82BC8">
        <w:rPr>
          <w:sz w:val="22"/>
        </w:rPr>
        <w:t>Provide guidance for closing project activities.</w:t>
      </w:r>
    </w:p>
    <w:p w14:paraId="232D9EAD" w14:textId="77777777" w:rsidR="001D3F5A" w:rsidRPr="00FB6D4E" w:rsidRDefault="001D3F5A" w:rsidP="00A52B28">
      <w:pPr>
        <w:widowControl/>
        <w:tabs>
          <w:tab w:val="left" w:pos="-720"/>
          <w:tab w:val="left" w:pos="284"/>
        </w:tabs>
        <w:jc w:val="both"/>
        <w:rPr>
          <w:sz w:val="22"/>
          <w:szCs w:val="22"/>
        </w:rPr>
      </w:pPr>
    </w:p>
    <w:p w14:paraId="282D29EB" w14:textId="77777777" w:rsidR="00A52B28" w:rsidRPr="00FB6D4E" w:rsidRDefault="002831E0" w:rsidP="00A52B28">
      <w:pPr>
        <w:pStyle w:val="Heading2"/>
        <w:numPr>
          <w:ilvl w:val="1"/>
          <w:numId w:val="1"/>
        </w:numPr>
        <w:tabs>
          <w:tab w:val="clear" w:pos="792"/>
          <w:tab w:val="num" w:pos="709"/>
        </w:tabs>
        <w:spacing w:before="0" w:after="0"/>
        <w:ind w:left="720" w:hanging="720"/>
        <w:rPr>
          <w:i w:val="0"/>
          <w:sz w:val="22"/>
          <w:szCs w:val="22"/>
        </w:rPr>
      </w:pPr>
      <w:bookmarkStart w:id="20" w:name="_Toc308103238"/>
      <w:bookmarkStart w:id="21" w:name="_Toc154454473"/>
      <w:r w:rsidRPr="00FB6D4E">
        <w:rPr>
          <w:i w:val="0"/>
          <w:sz w:val="22"/>
          <w:szCs w:val="22"/>
        </w:rPr>
        <w:t>Scope</w:t>
      </w:r>
      <w:bookmarkEnd w:id="20"/>
      <w:r w:rsidRPr="00FB6D4E">
        <w:rPr>
          <w:i w:val="0"/>
          <w:sz w:val="22"/>
          <w:szCs w:val="22"/>
        </w:rPr>
        <w:t xml:space="preserve"> </w:t>
      </w:r>
      <w:bookmarkEnd w:id="21"/>
    </w:p>
    <w:p w14:paraId="67ADD264" w14:textId="77777777" w:rsidR="00A52B28" w:rsidRPr="00FB6D4E" w:rsidRDefault="00A52B28" w:rsidP="00A52B28">
      <w:pPr>
        <w:widowControl/>
        <w:tabs>
          <w:tab w:val="left" w:pos="-720"/>
          <w:tab w:val="left" w:pos="284"/>
        </w:tabs>
        <w:jc w:val="both"/>
        <w:rPr>
          <w:sz w:val="22"/>
          <w:szCs w:val="22"/>
        </w:rPr>
      </w:pPr>
    </w:p>
    <w:p w14:paraId="126D451C" w14:textId="3A2039CF" w:rsidR="00A52B28" w:rsidRPr="00B54480" w:rsidRDefault="00100F50" w:rsidP="005D59CA">
      <w:pPr>
        <w:pStyle w:val="ListParagraph"/>
        <w:numPr>
          <w:ilvl w:val="0"/>
          <w:numId w:val="15"/>
        </w:numPr>
        <w:jc w:val="both"/>
        <w:rPr>
          <w:sz w:val="22"/>
        </w:rPr>
      </w:pPr>
      <w:r w:rsidRPr="00100F50">
        <w:rPr>
          <w:sz w:val="22"/>
        </w:rPr>
        <w:t xml:space="preserve">Below is a summary of the elements that </w:t>
      </w:r>
      <w:r w:rsidR="00C82BC8">
        <w:rPr>
          <w:sz w:val="22"/>
        </w:rPr>
        <w:t>were</w:t>
      </w:r>
      <w:r w:rsidRPr="00100F50">
        <w:rPr>
          <w:sz w:val="22"/>
        </w:rPr>
        <w:t xml:space="preserve"> covered by this evaluation. Each element </w:t>
      </w:r>
      <w:r w:rsidR="00C82BC8">
        <w:rPr>
          <w:sz w:val="22"/>
        </w:rPr>
        <w:t>was</w:t>
      </w:r>
      <w:r w:rsidRPr="00100F50">
        <w:rPr>
          <w:sz w:val="22"/>
        </w:rPr>
        <w:t xml:space="preserve"> assessed and those marked with an “*” </w:t>
      </w:r>
      <w:r w:rsidR="00C82BC8">
        <w:rPr>
          <w:sz w:val="22"/>
        </w:rPr>
        <w:t xml:space="preserve">were </w:t>
      </w:r>
      <w:r w:rsidRPr="00100F50">
        <w:rPr>
          <w:sz w:val="22"/>
        </w:rPr>
        <w:t xml:space="preserve">rated as per the </w:t>
      </w:r>
      <w:r w:rsidR="00153B36">
        <w:rPr>
          <w:sz w:val="22"/>
        </w:rPr>
        <w:t>Terms of Reference (</w:t>
      </w:r>
      <w:r w:rsidRPr="00100F50">
        <w:rPr>
          <w:sz w:val="22"/>
        </w:rPr>
        <w:t>TOR</w:t>
      </w:r>
      <w:r w:rsidR="00153B36">
        <w:rPr>
          <w:sz w:val="22"/>
        </w:rPr>
        <w:t>)</w:t>
      </w:r>
      <w:r w:rsidR="00B756CF">
        <w:rPr>
          <w:sz w:val="22"/>
        </w:rPr>
        <w:t xml:space="preserve"> (</w:t>
      </w:r>
      <w:r w:rsidR="00B756CF" w:rsidRPr="00B756CF">
        <w:rPr>
          <w:i/>
          <w:sz w:val="22"/>
        </w:rPr>
        <w:t>see Annex 1</w:t>
      </w:r>
      <w:r w:rsidR="00B756CF">
        <w:rPr>
          <w:sz w:val="22"/>
        </w:rPr>
        <w:t>)</w:t>
      </w:r>
      <w:r w:rsidRPr="00100F50">
        <w:rPr>
          <w:sz w:val="22"/>
        </w:rPr>
        <w:t>. These elements are:</w:t>
      </w:r>
    </w:p>
    <w:p w14:paraId="0501038A" w14:textId="77777777" w:rsidR="00AE1A76" w:rsidRPr="00B54480" w:rsidRDefault="00AE1A76" w:rsidP="005D59CA">
      <w:pPr>
        <w:widowControl/>
        <w:numPr>
          <w:ilvl w:val="0"/>
          <w:numId w:val="8"/>
        </w:numPr>
        <w:tabs>
          <w:tab w:val="clear" w:pos="720"/>
          <w:tab w:val="left" w:pos="-720"/>
          <w:tab w:val="num" w:pos="851"/>
        </w:tabs>
        <w:ind w:left="851" w:hanging="284"/>
        <w:jc w:val="both"/>
        <w:rPr>
          <w:b/>
          <w:i/>
          <w:sz w:val="22"/>
          <w:szCs w:val="22"/>
        </w:rPr>
      </w:pPr>
      <w:r w:rsidRPr="00B54480">
        <w:rPr>
          <w:b/>
          <w:i/>
          <w:sz w:val="22"/>
          <w:szCs w:val="22"/>
        </w:rPr>
        <w:t xml:space="preserve">Project </w:t>
      </w:r>
      <w:r w:rsidR="004231A1" w:rsidRPr="00B54480">
        <w:rPr>
          <w:b/>
          <w:i/>
          <w:sz w:val="22"/>
          <w:szCs w:val="22"/>
        </w:rPr>
        <w:t>Formulation</w:t>
      </w:r>
    </w:p>
    <w:p w14:paraId="12F179BC"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 xml:space="preserve">Analysis of the </w:t>
      </w:r>
      <w:r w:rsidRPr="00100F50">
        <w:rPr>
          <w:i/>
          <w:sz w:val="22"/>
          <w:szCs w:val="22"/>
        </w:rPr>
        <w:t>Result and Resources Framework</w:t>
      </w:r>
      <w:r w:rsidRPr="00100F50">
        <w:rPr>
          <w:sz w:val="22"/>
          <w:szCs w:val="22"/>
        </w:rPr>
        <w:t xml:space="preserve"> including the intended outputs and their corresponding targets and planned activities)</w:t>
      </w:r>
    </w:p>
    <w:p w14:paraId="54D7E867"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Assumptions and Risks</w:t>
      </w:r>
    </w:p>
    <w:p w14:paraId="79FB9FB7"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Planned stakeholder participation</w:t>
      </w:r>
    </w:p>
    <w:p w14:paraId="452B29B0"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Replication approach</w:t>
      </w:r>
    </w:p>
    <w:p w14:paraId="23EB28AB" w14:textId="334A22A9" w:rsidR="00100F50" w:rsidRPr="00100F50" w:rsidRDefault="00100F50" w:rsidP="00100F50">
      <w:pPr>
        <w:widowControl/>
        <w:numPr>
          <w:ilvl w:val="1"/>
          <w:numId w:val="8"/>
        </w:numPr>
        <w:tabs>
          <w:tab w:val="left" w:pos="-720"/>
        </w:tabs>
        <w:jc w:val="both"/>
        <w:rPr>
          <w:sz w:val="22"/>
          <w:szCs w:val="22"/>
        </w:rPr>
      </w:pPr>
      <w:r w:rsidRPr="00100F50">
        <w:rPr>
          <w:sz w:val="22"/>
          <w:szCs w:val="22"/>
        </w:rPr>
        <w:t>UNDP comparative advantage</w:t>
      </w:r>
    </w:p>
    <w:p w14:paraId="0F83F8E6"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Linkages between project and other interventions within the sector</w:t>
      </w:r>
    </w:p>
    <w:p w14:paraId="54F03BB0" w14:textId="77777777" w:rsidR="000C4AC1" w:rsidRPr="00100F50" w:rsidRDefault="00100F50" w:rsidP="00100F50">
      <w:pPr>
        <w:widowControl/>
        <w:numPr>
          <w:ilvl w:val="1"/>
          <w:numId w:val="8"/>
        </w:numPr>
        <w:tabs>
          <w:tab w:val="left" w:pos="-720"/>
        </w:tabs>
        <w:jc w:val="both"/>
        <w:rPr>
          <w:sz w:val="22"/>
          <w:szCs w:val="22"/>
        </w:rPr>
      </w:pPr>
      <w:r w:rsidRPr="00100F50">
        <w:rPr>
          <w:sz w:val="22"/>
          <w:szCs w:val="22"/>
        </w:rPr>
        <w:lastRenderedPageBreak/>
        <w:t>Management arrangements</w:t>
      </w:r>
    </w:p>
    <w:p w14:paraId="1F2EA841" w14:textId="77777777" w:rsidR="00AE1A76" w:rsidRPr="00B54480" w:rsidRDefault="00AE1A76" w:rsidP="005D59CA">
      <w:pPr>
        <w:widowControl/>
        <w:numPr>
          <w:ilvl w:val="0"/>
          <w:numId w:val="8"/>
        </w:numPr>
        <w:tabs>
          <w:tab w:val="clear" w:pos="720"/>
          <w:tab w:val="left" w:pos="-720"/>
          <w:tab w:val="num" w:pos="851"/>
        </w:tabs>
        <w:ind w:left="851" w:hanging="284"/>
        <w:jc w:val="both"/>
        <w:rPr>
          <w:b/>
          <w:i/>
          <w:sz w:val="22"/>
          <w:szCs w:val="22"/>
        </w:rPr>
      </w:pPr>
      <w:r w:rsidRPr="00B54480">
        <w:rPr>
          <w:b/>
          <w:i/>
          <w:sz w:val="22"/>
          <w:szCs w:val="22"/>
        </w:rPr>
        <w:t>Project implementation</w:t>
      </w:r>
    </w:p>
    <w:p w14:paraId="5BF98CDE" w14:textId="77777777" w:rsidR="00100F50" w:rsidRPr="00100F50" w:rsidRDefault="00100F50" w:rsidP="00100F50">
      <w:pPr>
        <w:widowControl/>
        <w:numPr>
          <w:ilvl w:val="1"/>
          <w:numId w:val="8"/>
        </w:numPr>
        <w:tabs>
          <w:tab w:val="left" w:pos="-720"/>
        </w:tabs>
        <w:jc w:val="both"/>
        <w:rPr>
          <w:sz w:val="22"/>
        </w:rPr>
      </w:pPr>
      <w:r w:rsidRPr="00100F50">
        <w:rPr>
          <w:sz w:val="22"/>
        </w:rPr>
        <w:t>Adaptive management (changes to the project design and project outputs during implementation)</w:t>
      </w:r>
    </w:p>
    <w:p w14:paraId="0F9E16E3" w14:textId="77777777" w:rsidR="00100F50" w:rsidRPr="00100F50" w:rsidRDefault="00100F50" w:rsidP="00100F50">
      <w:pPr>
        <w:widowControl/>
        <w:numPr>
          <w:ilvl w:val="1"/>
          <w:numId w:val="8"/>
        </w:numPr>
        <w:tabs>
          <w:tab w:val="left" w:pos="-720"/>
        </w:tabs>
        <w:jc w:val="both"/>
        <w:rPr>
          <w:sz w:val="22"/>
        </w:rPr>
      </w:pPr>
      <w:r w:rsidRPr="00100F50">
        <w:rPr>
          <w:sz w:val="22"/>
        </w:rPr>
        <w:t>Partnership arrangements (with relevant stakeholders involved in the country/region)</w:t>
      </w:r>
    </w:p>
    <w:p w14:paraId="3EE0CE11" w14:textId="77777777" w:rsidR="00100F50" w:rsidRPr="00100F50" w:rsidRDefault="00100F50" w:rsidP="00100F50">
      <w:pPr>
        <w:widowControl/>
        <w:numPr>
          <w:ilvl w:val="1"/>
          <w:numId w:val="8"/>
        </w:numPr>
        <w:tabs>
          <w:tab w:val="left" w:pos="-720"/>
        </w:tabs>
        <w:jc w:val="both"/>
        <w:rPr>
          <w:sz w:val="22"/>
        </w:rPr>
      </w:pPr>
      <w:r w:rsidRPr="00100F50">
        <w:rPr>
          <w:sz w:val="22"/>
        </w:rPr>
        <w:t>Feedback from M&amp;E activities used for adaptive management</w:t>
      </w:r>
    </w:p>
    <w:p w14:paraId="514E4694" w14:textId="77777777" w:rsidR="00100F50" w:rsidRPr="00100F50" w:rsidRDefault="00100F50" w:rsidP="00100F50">
      <w:pPr>
        <w:widowControl/>
        <w:numPr>
          <w:ilvl w:val="1"/>
          <w:numId w:val="8"/>
        </w:numPr>
        <w:tabs>
          <w:tab w:val="left" w:pos="-720"/>
        </w:tabs>
        <w:jc w:val="both"/>
        <w:rPr>
          <w:sz w:val="22"/>
        </w:rPr>
      </w:pPr>
      <w:r w:rsidRPr="00100F50">
        <w:rPr>
          <w:sz w:val="22"/>
        </w:rPr>
        <w:t>Project Finance and co-financing</w:t>
      </w:r>
    </w:p>
    <w:p w14:paraId="42F684E4" w14:textId="77777777" w:rsidR="00100F50" w:rsidRPr="00100F50" w:rsidRDefault="00100F50" w:rsidP="00100F50">
      <w:pPr>
        <w:widowControl/>
        <w:numPr>
          <w:ilvl w:val="1"/>
          <w:numId w:val="8"/>
        </w:numPr>
        <w:tabs>
          <w:tab w:val="left" w:pos="-720"/>
        </w:tabs>
        <w:jc w:val="both"/>
        <w:rPr>
          <w:sz w:val="22"/>
        </w:rPr>
      </w:pPr>
      <w:r w:rsidRPr="00100F50">
        <w:rPr>
          <w:sz w:val="22"/>
        </w:rPr>
        <w:t>Monitoring and evaluation: design at entry and implementation (*)</w:t>
      </w:r>
    </w:p>
    <w:p w14:paraId="0654F29A" w14:textId="77777777" w:rsidR="000C4AC1" w:rsidRPr="00100F50" w:rsidRDefault="00100F50" w:rsidP="00100F50">
      <w:pPr>
        <w:widowControl/>
        <w:numPr>
          <w:ilvl w:val="1"/>
          <w:numId w:val="8"/>
        </w:numPr>
        <w:tabs>
          <w:tab w:val="left" w:pos="-720"/>
        </w:tabs>
        <w:jc w:val="both"/>
        <w:rPr>
          <w:sz w:val="22"/>
        </w:rPr>
      </w:pPr>
      <w:r w:rsidRPr="00100F50">
        <w:rPr>
          <w:sz w:val="22"/>
        </w:rPr>
        <w:t>Contribution of quality of project execution/implementation by UN Agency (*)</w:t>
      </w:r>
    </w:p>
    <w:p w14:paraId="03EBB446" w14:textId="77777777" w:rsidR="00AE1A76" w:rsidRPr="00B54480" w:rsidRDefault="00AE1A76" w:rsidP="005D59CA">
      <w:pPr>
        <w:widowControl/>
        <w:numPr>
          <w:ilvl w:val="0"/>
          <w:numId w:val="8"/>
        </w:numPr>
        <w:tabs>
          <w:tab w:val="clear" w:pos="720"/>
          <w:tab w:val="left" w:pos="-720"/>
          <w:tab w:val="num" w:pos="851"/>
        </w:tabs>
        <w:ind w:left="851" w:hanging="284"/>
        <w:jc w:val="both"/>
        <w:rPr>
          <w:b/>
          <w:i/>
          <w:sz w:val="22"/>
          <w:szCs w:val="22"/>
        </w:rPr>
      </w:pPr>
      <w:r w:rsidRPr="00B54480">
        <w:rPr>
          <w:b/>
          <w:i/>
          <w:sz w:val="22"/>
          <w:szCs w:val="22"/>
        </w:rPr>
        <w:t>Project results (outputs, outcomes and objectives)</w:t>
      </w:r>
    </w:p>
    <w:p w14:paraId="046F88FF"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Overall results (attainment of objectives) (*)</w:t>
      </w:r>
    </w:p>
    <w:p w14:paraId="45E74E84"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Relevance (*)</w:t>
      </w:r>
    </w:p>
    <w:p w14:paraId="55BBFA6A"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Effectiveness &amp; Efficiency (*)</w:t>
      </w:r>
    </w:p>
    <w:p w14:paraId="278293E5"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Country ownership</w:t>
      </w:r>
    </w:p>
    <w:p w14:paraId="5770746F" w14:textId="77777777" w:rsidR="00100F50" w:rsidRPr="00100F50" w:rsidRDefault="00100F50" w:rsidP="00100F50">
      <w:pPr>
        <w:widowControl/>
        <w:numPr>
          <w:ilvl w:val="1"/>
          <w:numId w:val="8"/>
        </w:numPr>
        <w:tabs>
          <w:tab w:val="left" w:pos="-720"/>
        </w:tabs>
        <w:jc w:val="both"/>
        <w:rPr>
          <w:sz w:val="22"/>
          <w:szCs w:val="22"/>
        </w:rPr>
      </w:pPr>
      <w:r w:rsidRPr="00100F50">
        <w:rPr>
          <w:sz w:val="22"/>
          <w:szCs w:val="22"/>
        </w:rPr>
        <w:t>Mainstreaming</w:t>
      </w:r>
    </w:p>
    <w:p w14:paraId="102FA1AA" w14:textId="7F0CC355" w:rsidR="00100F50" w:rsidRPr="00100F50" w:rsidRDefault="00100F50" w:rsidP="00100F50">
      <w:pPr>
        <w:widowControl/>
        <w:numPr>
          <w:ilvl w:val="1"/>
          <w:numId w:val="8"/>
        </w:numPr>
        <w:tabs>
          <w:tab w:val="left" w:pos="-720"/>
        </w:tabs>
        <w:jc w:val="both"/>
        <w:rPr>
          <w:sz w:val="22"/>
          <w:szCs w:val="22"/>
        </w:rPr>
      </w:pPr>
      <w:r w:rsidRPr="00100F50">
        <w:rPr>
          <w:sz w:val="22"/>
          <w:szCs w:val="22"/>
        </w:rPr>
        <w:t>Sustainability: financial resources, socio-political, institutional framework and governance</w:t>
      </w:r>
      <w:r w:rsidR="006915AA">
        <w:rPr>
          <w:sz w:val="22"/>
          <w:szCs w:val="22"/>
        </w:rPr>
        <w:t>,</w:t>
      </w:r>
      <w:r w:rsidRPr="00100F50">
        <w:rPr>
          <w:sz w:val="22"/>
          <w:szCs w:val="22"/>
        </w:rPr>
        <w:t xml:space="preserve"> and environmental</w:t>
      </w:r>
      <w:r w:rsidR="006915AA">
        <w:rPr>
          <w:sz w:val="22"/>
          <w:szCs w:val="22"/>
        </w:rPr>
        <w:t xml:space="preserve"> risks</w:t>
      </w:r>
      <w:r w:rsidRPr="00100F50">
        <w:rPr>
          <w:sz w:val="22"/>
          <w:szCs w:val="22"/>
        </w:rPr>
        <w:t xml:space="preserve"> (*)</w:t>
      </w:r>
    </w:p>
    <w:p w14:paraId="0E59BA59" w14:textId="77777777" w:rsidR="002F2069" w:rsidRPr="00100F50" w:rsidRDefault="00100F50" w:rsidP="00100F50">
      <w:pPr>
        <w:widowControl/>
        <w:numPr>
          <w:ilvl w:val="1"/>
          <w:numId w:val="8"/>
        </w:numPr>
        <w:tabs>
          <w:tab w:val="left" w:pos="-720"/>
        </w:tabs>
        <w:jc w:val="both"/>
        <w:rPr>
          <w:sz w:val="22"/>
          <w:szCs w:val="22"/>
        </w:rPr>
      </w:pPr>
      <w:r w:rsidRPr="00100F50">
        <w:rPr>
          <w:sz w:val="22"/>
          <w:szCs w:val="22"/>
        </w:rPr>
        <w:t>Impact</w:t>
      </w:r>
    </w:p>
    <w:p w14:paraId="234E95AA" w14:textId="77777777" w:rsidR="002F2069" w:rsidRPr="00FB6D4E" w:rsidRDefault="002F2069" w:rsidP="00A52B28">
      <w:pPr>
        <w:widowControl/>
        <w:tabs>
          <w:tab w:val="left" w:pos="-720"/>
          <w:tab w:val="left" w:pos="567"/>
        </w:tabs>
        <w:jc w:val="both"/>
        <w:rPr>
          <w:sz w:val="22"/>
        </w:rPr>
      </w:pPr>
    </w:p>
    <w:p w14:paraId="18D0707A" w14:textId="77777777" w:rsidR="00A52B28" w:rsidRPr="00FB6D4E" w:rsidRDefault="002831E0" w:rsidP="00A52B28">
      <w:pPr>
        <w:pStyle w:val="Heading2"/>
        <w:numPr>
          <w:ilvl w:val="1"/>
          <w:numId w:val="1"/>
        </w:numPr>
        <w:tabs>
          <w:tab w:val="clear" w:pos="792"/>
          <w:tab w:val="num" w:pos="709"/>
        </w:tabs>
        <w:spacing w:before="0" w:after="0"/>
        <w:ind w:left="720" w:hanging="720"/>
        <w:rPr>
          <w:i w:val="0"/>
          <w:sz w:val="22"/>
          <w:szCs w:val="22"/>
        </w:rPr>
      </w:pPr>
      <w:bookmarkStart w:id="22" w:name="_Toc308103239"/>
      <w:r w:rsidRPr="00FB6D4E">
        <w:rPr>
          <w:i w:val="0"/>
          <w:sz w:val="22"/>
          <w:szCs w:val="22"/>
        </w:rPr>
        <w:t>Methodology</w:t>
      </w:r>
      <w:bookmarkEnd w:id="16"/>
      <w:bookmarkEnd w:id="22"/>
      <w:r w:rsidRPr="00FB6D4E">
        <w:rPr>
          <w:i w:val="0"/>
          <w:sz w:val="22"/>
          <w:szCs w:val="22"/>
        </w:rPr>
        <w:t xml:space="preserve"> </w:t>
      </w:r>
    </w:p>
    <w:p w14:paraId="0F77CA5F" w14:textId="77777777" w:rsidR="00A52B28" w:rsidRPr="00FB6D4E" w:rsidRDefault="00A52B28" w:rsidP="00A52B28">
      <w:pPr>
        <w:widowControl/>
        <w:tabs>
          <w:tab w:val="left" w:pos="-720"/>
          <w:tab w:val="num" w:pos="851"/>
        </w:tabs>
        <w:jc w:val="both"/>
        <w:rPr>
          <w:sz w:val="22"/>
          <w:szCs w:val="22"/>
        </w:rPr>
      </w:pPr>
    </w:p>
    <w:p w14:paraId="019B4E05" w14:textId="616E80C8" w:rsidR="00A52B28" w:rsidRPr="00FB6D4E" w:rsidRDefault="002831E0" w:rsidP="005D59CA">
      <w:pPr>
        <w:pStyle w:val="ListParagraph"/>
        <w:numPr>
          <w:ilvl w:val="0"/>
          <w:numId w:val="15"/>
        </w:numPr>
        <w:jc w:val="both"/>
        <w:rPr>
          <w:sz w:val="22"/>
        </w:rPr>
      </w:pPr>
      <w:r w:rsidRPr="00FB6D4E">
        <w:rPr>
          <w:sz w:val="22"/>
        </w:rPr>
        <w:t xml:space="preserve">The methodology used to conduct this </w:t>
      </w:r>
      <w:r w:rsidR="008D15A9">
        <w:rPr>
          <w:sz w:val="22"/>
        </w:rPr>
        <w:t>terminal</w:t>
      </w:r>
      <w:r w:rsidRPr="00FB6D4E">
        <w:rPr>
          <w:sz w:val="22"/>
        </w:rPr>
        <w:t xml:space="preserve"> evaluation </w:t>
      </w:r>
      <w:r w:rsidR="00A92A6C" w:rsidRPr="00FB6D4E">
        <w:rPr>
          <w:sz w:val="22"/>
        </w:rPr>
        <w:t xml:space="preserve">complied </w:t>
      </w:r>
      <w:r w:rsidRPr="00FB6D4E">
        <w:rPr>
          <w:sz w:val="22"/>
        </w:rPr>
        <w:t>with international criteria and professional norms and standards; including the norms and standards adopted by the UN Evaluation Group</w:t>
      </w:r>
      <w:r w:rsidR="00C82BC8">
        <w:rPr>
          <w:sz w:val="22"/>
        </w:rPr>
        <w:t xml:space="preserve"> and the GEF guidance</w:t>
      </w:r>
      <w:r w:rsidR="00C0010C" w:rsidRPr="00FB6D4E">
        <w:rPr>
          <w:sz w:val="22"/>
        </w:rPr>
        <w:t>.</w:t>
      </w:r>
    </w:p>
    <w:p w14:paraId="3E0CCF70" w14:textId="77777777" w:rsidR="00A52B28" w:rsidRPr="00FB6D4E" w:rsidRDefault="00A52B28" w:rsidP="00A52B28">
      <w:pPr>
        <w:widowControl/>
        <w:tabs>
          <w:tab w:val="left" w:pos="-720"/>
          <w:tab w:val="num" w:pos="567"/>
        </w:tabs>
        <w:jc w:val="both"/>
        <w:rPr>
          <w:sz w:val="22"/>
          <w:szCs w:val="22"/>
        </w:rPr>
      </w:pPr>
    </w:p>
    <w:p w14:paraId="0C7EC951" w14:textId="77777777" w:rsidR="00A52B28" w:rsidRPr="00FB6D4E" w:rsidRDefault="002831E0" w:rsidP="006B3375">
      <w:pPr>
        <w:pStyle w:val="Heading3"/>
        <w:numPr>
          <w:ilvl w:val="2"/>
          <w:numId w:val="1"/>
        </w:numPr>
        <w:tabs>
          <w:tab w:val="clear" w:pos="1440"/>
        </w:tabs>
        <w:ind w:left="1276" w:hanging="709"/>
        <w:rPr>
          <w:rFonts w:ascii="Arial" w:hAnsi="Arial" w:cs="Arial"/>
          <w:i/>
          <w:sz w:val="22"/>
          <w:szCs w:val="22"/>
        </w:rPr>
      </w:pPr>
      <w:bookmarkStart w:id="23" w:name="_Toc154454475"/>
      <w:bookmarkStart w:id="24" w:name="_Toc308103240"/>
      <w:r w:rsidRPr="00FB6D4E">
        <w:rPr>
          <w:rFonts w:ascii="Arial" w:hAnsi="Arial" w:cs="Arial"/>
          <w:i/>
          <w:sz w:val="22"/>
          <w:szCs w:val="22"/>
        </w:rPr>
        <w:t>Overall Approach</w:t>
      </w:r>
      <w:bookmarkEnd w:id="23"/>
      <w:bookmarkEnd w:id="24"/>
    </w:p>
    <w:p w14:paraId="76FDEE42" w14:textId="77777777" w:rsidR="00A52B28" w:rsidRPr="00FB6D4E" w:rsidRDefault="00A52B28" w:rsidP="00A52B28">
      <w:pPr>
        <w:widowControl/>
        <w:tabs>
          <w:tab w:val="left" w:pos="-720"/>
          <w:tab w:val="num" w:pos="851"/>
        </w:tabs>
        <w:jc w:val="both"/>
        <w:rPr>
          <w:sz w:val="22"/>
          <w:szCs w:val="22"/>
        </w:rPr>
      </w:pPr>
    </w:p>
    <w:p w14:paraId="496C3E7F" w14:textId="03DE527A" w:rsidR="00227A7C" w:rsidRDefault="00CA0E2F" w:rsidP="005D59CA">
      <w:pPr>
        <w:pStyle w:val="ListParagraph"/>
        <w:numPr>
          <w:ilvl w:val="0"/>
          <w:numId w:val="15"/>
        </w:numPr>
        <w:jc w:val="both"/>
        <w:rPr>
          <w:sz w:val="22"/>
        </w:rPr>
      </w:pPr>
      <w:r w:rsidRPr="00CA0E2F">
        <w:rPr>
          <w:sz w:val="22"/>
        </w:rPr>
        <w:t xml:space="preserve">The evaluation </w:t>
      </w:r>
      <w:r>
        <w:rPr>
          <w:sz w:val="22"/>
        </w:rPr>
        <w:t>was</w:t>
      </w:r>
      <w:r w:rsidRPr="00CA0E2F">
        <w:rPr>
          <w:sz w:val="22"/>
        </w:rPr>
        <w:t xml:space="preserve"> conducted in accordance with the guidance, rules and procedures established by UNDP and </w:t>
      </w:r>
      <w:r w:rsidR="00C82BC8">
        <w:rPr>
          <w:sz w:val="22"/>
        </w:rPr>
        <w:t>GEF</w:t>
      </w:r>
      <w:r w:rsidRPr="00CA0E2F">
        <w:rPr>
          <w:sz w:val="22"/>
        </w:rPr>
        <w:t xml:space="preserve"> as reflected in the “</w:t>
      </w:r>
      <w:r w:rsidRPr="00CA0E2F">
        <w:rPr>
          <w:i/>
          <w:sz w:val="22"/>
        </w:rPr>
        <w:t>UNDP Guidance for Conducting Terminal Evaluations of UNDP-support</w:t>
      </w:r>
      <w:r w:rsidR="00227A7C">
        <w:rPr>
          <w:i/>
          <w:sz w:val="22"/>
        </w:rPr>
        <w:t>ed, GEF financed</w:t>
      </w:r>
      <w:r w:rsidRPr="00CA0E2F">
        <w:rPr>
          <w:i/>
          <w:sz w:val="22"/>
        </w:rPr>
        <w:t xml:space="preserve"> Projects</w:t>
      </w:r>
      <w:r w:rsidRPr="00CA0E2F">
        <w:rPr>
          <w:sz w:val="22"/>
        </w:rPr>
        <w:t>”</w:t>
      </w:r>
      <w:r w:rsidR="00C82BC8" w:rsidRPr="00747CC9">
        <w:rPr>
          <w:rStyle w:val="FootnoteReference"/>
          <w:sz w:val="22"/>
          <w:szCs w:val="22"/>
          <w:vertAlign w:val="superscript"/>
          <w:lang w:val="en-CA"/>
        </w:rPr>
        <w:footnoteReference w:id="2"/>
      </w:r>
      <w:r w:rsidRPr="00CA0E2F">
        <w:rPr>
          <w:sz w:val="22"/>
        </w:rPr>
        <w:t xml:space="preserve">. </w:t>
      </w:r>
      <w:r w:rsidR="00227A7C" w:rsidRPr="00A37D54">
        <w:rPr>
          <w:sz w:val="22"/>
        </w:rPr>
        <w:t xml:space="preserve">It was undertaken in-line with GEF principles, which are: </w:t>
      </w:r>
      <w:r w:rsidR="00227A7C" w:rsidRPr="00A37D54">
        <w:rPr>
          <w:i/>
          <w:sz w:val="22"/>
        </w:rPr>
        <w:t>independence, impartiality, transparency, disclosure, ethical, partnership, competencies/capacities, credibility and utility</w:t>
      </w:r>
      <w:r w:rsidR="00227A7C" w:rsidRPr="00A37D54">
        <w:rPr>
          <w:sz w:val="22"/>
        </w:rPr>
        <w:t>. It considered the two GEF evaluation objectives at the project level: (i) promote accountability for the achievement of GEF objectives; including the global environmental benefits; and (ii) promote learning, feedback and knowledge sharing on results and lessons learned among the GEF and its partners.</w:t>
      </w:r>
    </w:p>
    <w:p w14:paraId="4C3C1788" w14:textId="77777777" w:rsidR="002B4B14" w:rsidRPr="00A37D54" w:rsidRDefault="002B4B14" w:rsidP="002B4B14">
      <w:pPr>
        <w:pStyle w:val="ListParagraph"/>
        <w:ind w:left="0"/>
        <w:jc w:val="both"/>
        <w:rPr>
          <w:sz w:val="22"/>
        </w:rPr>
      </w:pPr>
    </w:p>
    <w:p w14:paraId="385FA0A9" w14:textId="4EC80EE0" w:rsidR="00A52B28" w:rsidRPr="007F18AF" w:rsidRDefault="002831E0" w:rsidP="005D59CA">
      <w:pPr>
        <w:pStyle w:val="ListParagraph"/>
        <w:numPr>
          <w:ilvl w:val="0"/>
          <w:numId w:val="15"/>
        </w:numPr>
        <w:jc w:val="both"/>
        <w:rPr>
          <w:sz w:val="22"/>
        </w:rPr>
      </w:pPr>
      <w:r w:rsidRPr="007F18AF">
        <w:rPr>
          <w:sz w:val="22"/>
        </w:rPr>
        <w:t>The Evaluat</w:t>
      </w:r>
      <w:r w:rsidR="008D15A9" w:rsidRPr="007F18AF">
        <w:rPr>
          <w:sz w:val="22"/>
        </w:rPr>
        <w:t>ion Team</w:t>
      </w:r>
      <w:r w:rsidRPr="007F18AF">
        <w:rPr>
          <w:sz w:val="22"/>
        </w:rPr>
        <w:t xml:space="preserve"> developed </w:t>
      </w:r>
      <w:r w:rsidR="00CA0E2F">
        <w:rPr>
          <w:sz w:val="22"/>
        </w:rPr>
        <w:t xml:space="preserve">evaluation </w:t>
      </w:r>
      <w:r w:rsidRPr="007F18AF">
        <w:rPr>
          <w:sz w:val="22"/>
        </w:rPr>
        <w:t xml:space="preserve">tools in accordance with the </w:t>
      </w:r>
      <w:r w:rsidR="00991497" w:rsidRPr="007F18AF">
        <w:rPr>
          <w:sz w:val="22"/>
        </w:rPr>
        <w:t xml:space="preserve">UNDP and </w:t>
      </w:r>
      <w:r w:rsidR="00227A7C">
        <w:rPr>
          <w:sz w:val="22"/>
        </w:rPr>
        <w:t>GEF</w:t>
      </w:r>
      <w:r w:rsidR="00991497" w:rsidRPr="007F18AF">
        <w:rPr>
          <w:sz w:val="22"/>
        </w:rPr>
        <w:t xml:space="preserve"> policies</w:t>
      </w:r>
      <w:r w:rsidR="00CA0E2F">
        <w:rPr>
          <w:sz w:val="22"/>
        </w:rPr>
        <w:t xml:space="preserve"> and guidelines</w:t>
      </w:r>
      <w:r w:rsidRPr="007F18AF">
        <w:rPr>
          <w:sz w:val="22"/>
        </w:rPr>
        <w:t xml:space="preserve"> to ensure an effective project evaluation. The evaluation was conducted and the findings were structured around </w:t>
      </w:r>
      <w:r w:rsidR="00227A7C">
        <w:rPr>
          <w:sz w:val="22"/>
        </w:rPr>
        <w:t xml:space="preserve">the GEF </w:t>
      </w:r>
      <w:r w:rsidRPr="007F18AF">
        <w:rPr>
          <w:sz w:val="22"/>
        </w:rPr>
        <w:t xml:space="preserve">five </w:t>
      </w:r>
      <w:r w:rsidR="00CA0E2F">
        <w:rPr>
          <w:sz w:val="22"/>
        </w:rPr>
        <w:t>key</w:t>
      </w:r>
      <w:r w:rsidRPr="007F18AF">
        <w:rPr>
          <w:sz w:val="22"/>
        </w:rPr>
        <w:t xml:space="preserve"> evaluation criteria; which are also the five inter</w:t>
      </w:r>
      <w:r w:rsidRPr="007F18AF">
        <w:rPr>
          <w:sz w:val="22"/>
        </w:rPr>
        <w:lastRenderedPageBreak/>
        <w:t xml:space="preserve">nationally accepted evaluation criteria set out by the Development Assistance Committee of the </w:t>
      </w:r>
      <w:r w:rsidR="005616D5" w:rsidRPr="007F18AF">
        <w:rPr>
          <w:sz w:val="22"/>
        </w:rPr>
        <w:t>Organization</w:t>
      </w:r>
      <w:r w:rsidRPr="007F18AF">
        <w:rPr>
          <w:sz w:val="22"/>
        </w:rPr>
        <w:t xml:space="preserve"> for Economic Co-operation and Development.  There are: </w:t>
      </w:r>
    </w:p>
    <w:p w14:paraId="47A34E95" w14:textId="77777777" w:rsidR="00A52B28" w:rsidRPr="007F18AF" w:rsidRDefault="002831E0" w:rsidP="005D59CA">
      <w:pPr>
        <w:widowControl/>
        <w:numPr>
          <w:ilvl w:val="0"/>
          <w:numId w:val="8"/>
        </w:numPr>
        <w:tabs>
          <w:tab w:val="clear" w:pos="720"/>
          <w:tab w:val="left" w:pos="-720"/>
          <w:tab w:val="num" w:pos="851"/>
        </w:tabs>
        <w:ind w:left="851" w:hanging="284"/>
        <w:jc w:val="both"/>
        <w:rPr>
          <w:sz w:val="22"/>
          <w:szCs w:val="22"/>
        </w:rPr>
      </w:pPr>
      <w:r w:rsidRPr="007F18AF">
        <w:rPr>
          <w:i/>
          <w:sz w:val="22"/>
          <w:szCs w:val="22"/>
        </w:rPr>
        <w:t>Relevance</w:t>
      </w:r>
      <w:r w:rsidRPr="007F18AF">
        <w:rPr>
          <w:sz w:val="22"/>
          <w:szCs w:val="22"/>
        </w:rPr>
        <w:t xml:space="preserve"> relates to an overall ass</w:t>
      </w:r>
      <w:r w:rsidR="00BD54D7" w:rsidRPr="007F18AF">
        <w:rPr>
          <w:sz w:val="22"/>
          <w:szCs w:val="22"/>
        </w:rPr>
        <w:t>essment of whether the project wa</w:t>
      </w:r>
      <w:r w:rsidRPr="007F18AF">
        <w:rPr>
          <w:sz w:val="22"/>
          <w:szCs w:val="22"/>
        </w:rPr>
        <w:t>s in keeping with donors and partner policies, with national and local needs and priorities</w:t>
      </w:r>
      <w:r w:rsidR="006E13CB" w:rsidRPr="007F18AF">
        <w:rPr>
          <w:sz w:val="22"/>
          <w:szCs w:val="22"/>
        </w:rPr>
        <w:t xml:space="preserve"> as well as with its design</w:t>
      </w:r>
      <w:r w:rsidRPr="007F18AF">
        <w:rPr>
          <w:sz w:val="22"/>
          <w:szCs w:val="22"/>
        </w:rPr>
        <w:t>.</w:t>
      </w:r>
    </w:p>
    <w:p w14:paraId="5F0A8624" w14:textId="77777777" w:rsidR="00A52B28" w:rsidRPr="007F18AF" w:rsidRDefault="002831E0" w:rsidP="005D59CA">
      <w:pPr>
        <w:widowControl/>
        <w:numPr>
          <w:ilvl w:val="0"/>
          <w:numId w:val="8"/>
        </w:numPr>
        <w:tabs>
          <w:tab w:val="clear" w:pos="720"/>
          <w:tab w:val="left" w:pos="-720"/>
          <w:tab w:val="num" w:pos="851"/>
        </w:tabs>
        <w:ind w:left="851" w:hanging="284"/>
        <w:jc w:val="both"/>
        <w:rPr>
          <w:sz w:val="22"/>
          <w:szCs w:val="22"/>
        </w:rPr>
      </w:pPr>
      <w:r w:rsidRPr="007F18AF">
        <w:rPr>
          <w:i/>
          <w:sz w:val="22"/>
          <w:szCs w:val="22"/>
        </w:rPr>
        <w:t>Effectiveness</w:t>
      </w:r>
      <w:r w:rsidRPr="007F18AF">
        <w:rPr>
          <w:sz w:val="22"/>
          <w:szCs w:val="22"/>
        </w:rPr>
        <w:t xml:space="preserve"> is a measure of the extent to which formally agreed expected project results (outcomes) have been achieved, or can be expected to be achieved.  </w:t>
      </w:r>
    </w:p>
    <w:p w14:paraId="31C8EF04" w14:textId="77777777" w:rsidR="00A52B28" w:rsidRPr="007F18AF" w:rsidRDefault="002831E0" w:rsidP="005D59CA">
      <w:pPr>
        <w:widowControl/>
        <w:numPr>
          <w:ilvl w:val="0"/>
          <w:numId w:val="8"/>
        </w:numPr>
        <w:tabs>
          <w:tab w:val="clear" w:pos="720"/>
          <w:tab w:val="left" w:pos="-720"/>
          <w:tab w:val="num" w:pos="851"/>
        </w:tabs>
        <w:ind w:left="851" w:hanging="284"/>
        <w:jc w:val="both"/>
        <w:rPr>
          <w:sz w:val="22"/>
          <w:szCs w:val="22"/>
        </w:rPr>
      </w:pPr>
      <w:r w:rsidRPr="007F18AF">
        <w:rPr>
          <w:i/>
          <w:sz w:val="22"/>
          <w:szCs w:val="22"/>
        </w:rPr>
        <w:t>Efficiency</w:t>
      </w:r>
      <w:r w:rsidRPr="007F18AF">
        <w:rPr>
          <w:sz w:val="22"/>
          <w:szCs w:val="22"/>
        </w:rPr>
        <w:t xml:space="preserve"> is a measure of the productivity of the project intervention process, i.e. to what degree the outcomes achieved derive from efficient use of financial, human and material resources. In principle, it means comparing outcomes and outputs against inputs.</w:t>
      </w:r>
    </w:p>
    <w:p w14:paraId="0486416D" w14:textId="77777777" w:rsidR="00A52B28" w:rsidRPr="007F18AF" w:rsidRDefault="002831E0" w:rsidP="005D59CA">
      <w:pPr>
        <w:widowControl/>
        <w:numPr>
          <w:ilvl w:val="0"/>
          <w:numId w:val="8"/>
        </w:numPr>
        <w:tabs>
          <w:tab w:val="clear" w:pos="720"/>
          <w:tab w:val="left" w:pos="-720"/>
          <w:tab w:val="num" w:pos="851"/>
        </w:tabs>
        <w:ind w:left="851" w:hanging="284"/>
        <w:jc w:val="both"/>
        <w:rPr>
          <w:sz w:val="22"/>
          <w:szCs w:val="22"/>
        </w:rPr>
      </w:pPr>
      <w:r w:rsidRPr="007F18AF">
        <w:rPr>
          <w:i/>
          <w:sz w:val="22"/>
          <w:szCs w:val="22"/>
        </w:rPr>
        <w:t>Impacts</w:t>
      </w:r>
      <w:r w:rsidRPr="007F18AF">
        <w:rPr>
          <w:sz w:val="22"/>
          <w:szCs w:val="22"/>
        </w:rPr>
        <w:t xml:space="preserve"> are the long-term results of the project and include both positive and negative consequences, whether these are foreseen and expected, or not.</w:t>
      </w:r>
    </w:p>
    <w:p w14:paraId="2D88A553" w14:textId="77777777" w:rsidR="00A52B28" w:rsidRPr="007F18AF" w:rsidRDefault="002831E0" w:rsidP="005D59CA">
      <w:pPr>
        <w:widowControl/>
        <w:numPr>
          <w:ilvl w:val="0"/>
          <w:numId w:val="8"/>
        </w:numPr>
        <w:tabs>
          <w:tab w:val="clear" w:pos="720"/>
          <w:tab w:val="left" w:pos="-720"/>
          <w:tab w:val="num" w:pos="851"/>
        </w:tabs>
        <w:ind w:left="851" w:hanging="284"/>
        <w:jc w:val="both"/>
        <w:rPr>
          <w:sz w:val="22"/>
          <w:szCs w:val="22"/>
        </w:rPr>
      </w:pPr>
      <w:r w:rsidRPr="007F18AF">
        <w:rPr>
          <w:i/>
          <w:sz w:val="22"/>
          <w:szCs w:val="22"/>
        </w:rPr>
        <w:t>Sustainability</w:t>
      </w:r>
      <w:r w:rsidRPr="007F18AF">
        <w:rPr>
          <w:sz w:val="22"/>
          <w:szCs w:val="22"/>
        </w:rPr>
        <w:t xml:space="preserve"> is an indication of whether the outcomes (end of project results) and the positive impacts (long term results) are likely to continue after the project ends.</w:t>
      </w:r>
    </w:p>
    <w:p w14:paraId="6E3B39DD" w14:textId="77777777" w:rsidR="00014EC1" w:rsidRPr="007F18AF" w:rsidRDefault="00014EC1" w:rsidP="00014EC1">
      <w:pPr>
        <w:pStyle w:val="ListParagraph"/>
        <w:ind w:left="0"/>
        <w:jc w:val="both"/>
        <w:rPr>
          <w:sz w:val="22"/>
        </w:rPr>
      </w:pPr>
    </w:p>
    <w:p w14:paraId="7127D5E2" w14:textId="5F0E76E9" w:rsidR="00CA0E2F" w:rsidRPr="007F18AF" w:rsidRDefault="00CA0E2F" w:rsidP="005D59CA">
      <w:pPr>
        <w:pStyle w:val="ListParagraph"/>
        <w:numPr>
          <w:ilvl w:val="0"/>
          <w:numId w:val="15"/>
        </w:numPr>
        <w:jc w:val="both"/>
        <w:rPr>
          <w:sz w:val="22"/>
        </w:rPr>
      </w:pPr>
      <w:r w:rsidRPr="00CA0E2F">
        <w:rPr>
          <w:sz w:val="22"/>
        </w:rPr>
        <w:t xml:space="preserve">In addition to the UNDP and </w:t>
      </w:r>
      <w:r w:rsidR="00227A7C">
        <w:rPr>
          <w:sz w:val="22"/>
        </w:rPr>
        <w:t>GEF</w:t>
      </w:r>
      <w:r w:rsidRPr="00CA0E2F">
        <w:rPr>
          <w:sz w:val="22"/>
        </w:rPr>
        <w:t xml:space="preserve"> guidance for project evaluation, the Evaluation Team </w:t>
      </w:r>
      <w:r>
        <w:rPr>
          <w:sz w:val="22"/>
        </w:rPr>
        <w:t>applied</w:t>
      </w:r>
      <w:r w:rsidRPr="00CA0E2F">
        <w:rPr>
          <w:sz w:val="22"/>
        </w:rPr>
        <w:t xml:space="preserve"> to this mandate their knowledge of evaluation methodologies and approaches and their expertise in </w:t>
      </w:r>
      <w:r w:rsidR="00227A7C">
        <w:rPr>
          <w:sz w:val="22"/>
        </w:rPr>
        <w:t>global environmental issues</w:t>
      </w:r>
      <w:r w:rsidRPr="00CA0E2F">
        <w:rPr>
          <w:sz w:val="22"/>
        </w:rPr>
        <w:t xml:space="preserve">. </w:t>
      </w:r>
      <w:r w:rsidR="00227A7C">
        <w:rPr>
          <w:sz w:val="22"/>
        </w:rPr>
        <w:t xml:space="preserve">It </w:t>
      </w:r>
      <w:r>
        <w:rPr>
          <w:sz w:val="22"/>
        </w:rPr>
        <w:t>also applied</w:t>
      </w:r>
      <w:r w:rsidRPr="00CA0E2F">
        <w:rPr>
          <w:sz w:val="22"/>
        </w:rPr>
        <w:t xml:space="preserve"> several methodological principles such as (i) </w:t>
      </w:r>
      <w:r w:rsidRPr="00CA0E2F">
        <w:rPr>
          <w:i/>
          <w:sz w:val="22"/>
        </w:rPr>
        <w:t>Validity of information</w:t>
      </w:r>
      <w:r w:rsidRPr="00CA0E2F">
        <w:rPr>
          <w:sz w:val="22"/>
        </w:rPr>
        <w:t xml:space="preserve">:  multiple measures and sources </w:t>
      </w:r>
      <w:r w:rsidR="00227A7C">
        <w:rPr>
          <w:sz w:val="22"/>
        </w:rPr>
        <w:t>were</w:t>
      </w:r>
      <w:r w:rsidRPr="00CA0E2F">
        <w:rPr>
          <w:sz w:val="22"/>
        </w:rPr>
        <w:t xml:space="preserve"> sought out to ensure that the results are accurate and valid; (ii) </w:t>
      </w:r>
      <w:r w:rsidRPr="00CA0E2F">
        <w:rPr>
          <w:i/>
          <w:sz w:val="22"/>
        </w:rPr>
        <w:t>Integrity</w:t>
      </w:r>
      <w:r w:rsidRPr="00CA0E2F">
        <w:rPr>
          <w:sz w:val="22"/>
        </w:rPr>
        <w:t xml:space="preserve">: Any issue with respect to conflict of interest, lack of professional conduct or misrepresentation </w:t>
      </w:r>
      <w:r>
        <w:rPr>
          <w:sz w:val="22"/>
        </w:rPr>
        <w:t>was</w:t>
      </w:r>
      <w:r w:rsidRPr="00CA0E2F">
        <w:rPr>
          <w:sz w:val="22"/>
        </w:rPr>
        <w:t xml:space="preserve"> immediately referred to the client</w:t>
      </w:r>
      <w:r>
        <w:rPr>
          <w:sz w:val="22"/>
        </w:rPr>
        <w:t xml:space="preserve"> if and when needed</w:t>
      </w:r>
      <w:r w:rsidRPr="00CA0E2F">
        <w:rPr>
          <w:sz w:val="22"/>
        </w:rPr>
        <w:t>; and (iii) R</w:t>
      </w:r>
      <w:r w:rsidRPr="00CA0E2F">
        <w:rPr>
          <w:i/>
          <w:sz w:val="22"/>
        </w:rPr>
        <w:t>espect and anonymity</w:t>
      </w:r>
      <w:r w:rsidRPr="00CA0E2F">
        <w:rPr>
          <w:sz w:val="22"/>
        </w:rPr>
        <w:t xml:space="preserve">: All participants </w:t>
      </w:r>
      <w:r>
        <w:rPr>
          <w:sz w:val="22"/>
        </w:rPr>
        <w:t>had</w:t>
      </w:r>
      <w:r w:rsidRPr="00CA0E2F">
        <w:rPr>
          <w:sz w:val="22"/>
        </w:rPr>
        <w:t xml:space="preserve"> the right to provide information in confidence.</w:t>
      </w:r>
    </w:p>
    <w:p w14:paraId="20453005" w14:textId="77777777" w:rsidR="00014EC1" w:rsidRPr="00FB6D4E" w:rsidRDefault="00014EC1" w:rsidP="00014EC1">
      <w:pPr>
        <w:pStyle w:val="ListParagraph"/>
        <w:ind w:left="0"/>
        <w:jc w:val="both"/>
        <w:rPr>
          <w:sz w:val="22"/>
        </w:rPr>
      </w:pPr>
    </w:p>
    <w:p w14:paraId="194FFF78" w14:textId="77777777" w:rsidR="00A52B28" w:rsidRPr="00FB6D4E" w:rsidRDefault="002831E0" w:rsidP="005D59CA">
      <w:pPr>
        <w:pStyle w:val="ListParagraph"/>
        <w:numPr>
          <w:ilvl w:val="0"/>
          <w:numId w:val="15"/>
        </w:numPr>
        <w:jc w:val="both"/>
        <w:rPr>
          <w:sz w:val="22"/>
        </w:rPr>
      </w:pPr>
      <w:r w:rsidRPr="00FB6D4E">
        <w:rPr>
          <w:sz w:val="22"/>
        </w:rPr>
        <w:t>The evaluation was conducted following a set of steps presented in the table below:</w:t>
      </w:r>
    </w:p>
    <w:p w14:paraId="2D08554B" w14:textId="77777777" w:rsidR="00A52B28" w:rsidRPr="00E01E72" w:rsidRDefault="00A52B28" w:rsidP="00A52B28">
      <w:pPr>
        <w:pStyle w:val="Table10"/>
        <w:jc w:val="center"/>
        <w:rPr>
          <w:b/>
          <w:lang w:val="en-US"/>
        </w:rPr>
      </w:pPr>
    </w:p>
    <w:p w14:paraId="33BCE8A7" w14:textId="77777777" w:rsidR="00A52B28" w:rsidRPr="00E01E72" w:rsidRDefault="002831E0" w:rsidP="00A52B28">
      <w:pPr>
        <w:pStyle w:val="Caption"/>
        <w:keepNext/>
        <w:jc w:val="center"/>
        <w:rPr>
          <w:rFonts w:ascii="Arial" w:hAnsi="Arial"/>
          <w:b w:val="0"/>
        </w:rPr>
      </w:pPr>
      <w:bookmarkStart w:id="25" w:name="_Toc305531030"/>
      <w:r w:rsidRPr="00E01E72">
        <w:rPr>
          <w:rFonts w:ascii="Arial" w:hAnsi="Arial"/>
        </w:rPr>
        <w:t xml:space="preserve">Table </w:t>
      </w:r>
      <w:r w:rsidRPr="00E01E72">
        <w:fldChar w:fldCharType="begin"/>
      </w:r>
      <w:r w:rsidRPr="00E01E72">
        <w:rPr>
          <w:rFonts w:ascii="Arial" w:hAnsi="Arial"/>
        </w:rPr>
        <w:instrText xml:space="preserve"> SEQ Table \* ARABIC </w:instrText>
      </w:r>
      <w:r w:rsidRPr="00E01E72">
        <w:fldChar w:fldCharType="separate"/>
      </w:r>
      <w:r w:rsidR="00F91695">
        <w:rPr>
          <w:rFonts w:ascii="Arial" w:hAnsi="Arial"/>
          <w:noProof/>
        </w:rPr>
        <w:t>2</w:t>
      </w:r>
      <w:r w:rsidRPr="00E01E72">
        <w:fldChar w:fldCharType="end"/>
      </w:r>
      <w:r w:rsidRPr="00E01E72">
        <w:rPr>
          <w:rFonts w:ascii="Arial" w:hAnsi="Arial"/>
        </w:rPr>
        <w:t xml:space="preserve">:  </w:t>
      </w:r>
      <w:r w:rsidRPr="00E01E72">
        <w:rPr>
          <w:rFonts w:ascii="Arial" w:hAnsi="Arial"/>
          <w:b w:val="0"/>
        </w:rPr>
        <w:t>Steps Used to Conduct the Evaluation</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left w:w="57" w:type="dxa"/>
          <w:bottom w:w="57" w:type="dxa"/>
          <w:right w:w="57" w:type="dxa"/>
        </w:tblCellMar>
        <w:tblLook w:val="01E0" w:firstRow="1" w:lastRow="1" w:firstColumn="1" w:lastColumn="1" w:noHBand="0" w:noVBand="0"/>
      </w:tblPr>
      <w:tblGrid>
        <w:gridCol w:w="4253"/>
        <w:gridCol w:w="4253"/>
      </w:tblGrid>
      <w:tr w:rsidR="00C53006" w:rsidRPr="00E01E72" w14:paraId="3B6FFB85" w14:textId="77777777" w:rsidTr="00C53006">
        <w:trPr>
          <w:jc w:val="center"/>
        </w:trPr>
        <w:tc>
          <w:tcPr>
            <w:tcW w:w="4253" w:type="dxa"/>
            <w:shd w:val="clear" w:color="auto" w:fill="D9D9D9"/>
          </w:tcPr>
          <w:p w14:paraId="7136104D" w14:textId="77777777" w:rsidR="00C53006" w:rsidRPr="00E01E72" w:rsidRDefault="00C53006" w:rsidP="00A52B28">
            <w:pPr>
              <w:pStyle w:val="BodyText"/>
              <w:jc w:val="left"/>
              <w:rPr>
                <w:rFonts w:ascii="Arial" w:hAnsi="Arial"/>
                <w:b/>
                <w:bCs/>
                <w:sz w:val="18"/>
                <w:u w:val="single"/>
                <w:lang w:val="en-US"/>
              </w:rPr>
            </w:pPr>
            <w:r w:rsidRPr="00E01E72">
              <w:rPr>
                <w:rFonts w:ascii="Arial" w:hAnsi="Arial"/>
                <w:b/>
                <w:bCs/>
                <w:sz w:val="18"/>
                <w:lang w:val="en-US"/>
              </w:rPr>
              <w:t xml:space="preserve">I. </w:t>
            </w:r>
            <w:r w:rsidRPr="00E01E72">
              <w:rPr>
                <w:rFonts w:ascii="Arial" w:hAnsi="Arial"/>
                <w:b/>
                <w:bCs/>
                <w:sz w:val="18"/>
                <w:u w:val="single"/>
                <w:lang w:val="en-US"/>
              </w:rPr>
              <w:t>Review Documents and Prepare Mission</w:t>
            </w:r>
          </w:p>
          <w:p w14:paraId="421C5EAC" w14:textId="77777777" w:rsidR="00E01E72" w:rsidRPr="00E01E72" w:rsidRDefault="00E01E72"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Start-up teleconference/finalize assignment work plan</w:t>
            </w:r>
          </w:p>
          <w:p w14:paraId="5568BA55"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Collect and review project documents</w:t>
            </w:r>
          </w:p>
          <w:p w14:paraId="2DC14485"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 xml:space="preserve">Elaborate and submit </w:t>
            </w:r>
            <w:r w:rsidRPr="00E01E72">
              <w:rPr>
                <w:rFonts w:ascii="Arial" w:hAnsi="Arial"/>
                <w:b/>
                <w:sz w:val="16"/>
                <w:szCs w:val="16"/>
                <w:u w:val="single"/>
                <w:lang w:val="en-US"/>
              </w:rPr>
              <w:t>Inception Report</w:t>
            </w:r>
          </w:p>
          <w:p w14:paraId="6A6E5C89"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Prepare mission: agenda and logistic</w:t>
            </w:r>
          </w:p>
        </w:tc>
        <w:tc>
          <w:tcPr>
            <w:tcW w:w="4253" w:type="dxa"/>
            <w:shd w:val="clear" w:color="auto" w:fill="D9D9D9"/>
          </w:tcPr>
          <w:p w14:paraId="26E0D2C8" w14:textId="77777777" w:rsidR="00C53006" w:rsidRPr="00E01E72" w:rsidRDefault="00C53006" w:rsidP="003E7F2A">
            <w:pPr>
              <w:pStyle w:val="BodyText"/>
              <w:jc w:val="left"/>
              <w:rPr>
                <w:rFonts w:ascii="Arial" w:hAnsi="Arial"/>
                <w:b/>
                <w:bCs/>
                <w:sz w:val="18"/>
                <w:u w:val="single"/>
                <w:lang w:val="en-US"/>
              </w:rPr>
            </w:pPr>
            <w:r w:rsidRPr="00E01E72">
              <w:rPr>
                <w:rFonts w:ascii="Arial" w:hAnsi="Arial"/>
                <w:b/>
                <w:bCs/>
                <w:sz w:val="18"/>
                <w:lang w:val="en-US"/>
              </w:rPr>
              <w:t xml:space="preserve">III. </w:t>
            </w:r>
            <w:r w:rsidRPr="00E01E72">
              <w:rPr>
                <w:rFonts w:ascii="Arial" w:hAnsi="Arial"/>
                <w:b/>
                <w:bCs/>
                <w:sz w:val="18"/>
                <w:u w:val="single"/>
                <w:lang w:val="en-US"/>
              </w:rPr>
              <w:t>Analyze Information</w:t>
            </w:r>
          </w:p>
          <w:p w14:paraId="1A03026C"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In-depth analysis and interpretation of data collected</w:t>
            </w:r>
          </w:p>
          <w:p w14:paraId="0080B2D1"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Follow-up interviews (if necessary)</w:t>
            </w:r>
          </w:p>
          <w:p w14:paraId="6458BDA3"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Elaborate and submit</w:t>
            </w:r>
            <w:r w:rsidRPr="00E01E72">
              <w:rPr>
                <w:rFonts w:ascii="Arial" w:hAnsi="Arial"/>
                <w:sz w:val="18"/>
                <w:szCs w:val="16"/>
                <w:lang w:val="en-US"/>
              </w:rPr>
              <w:t xml:space="preserve"> </w:t>
            </w:r>
            <w:r w:rsidRPr="00E01E72">
              <w:rPr>
                <w:rFonts w:ascii="Arial" w:hAnsi="Arial"/>
                <w:b/>
                <w:sz w:val="18"/>
                <w:szCs w:val="16"/>
                <w:u w:val="single"/>
                <w:lang w:val="en-US"/>
              </w:rPr>
              <w:t>draft evaluation report</w:t>
            </w:r>
          </w:p>
        </w:tc>
      </w:tr>
      <w:tr w:rsidR="00C53006" w:rsidRPr="00FB6D4E" w14:paraId="38B64D5A" w14:textId="77777777" w:rsidTr="00C53006">
        <w:trPr>
          <w:jc w:val="center"/>
        </w:trPr>
        <w:tc>
          <w:tcPr>
            <w:tcW w:w="4253" w:type="dxa"/>
            <w:shd w:val="clear" w:color="auto" w:fill="D9D9D9"/>
          </w:tcPr>
          <w:p w14:paraId="5210F26F" w14:textId="77777777" w:rsidR="00C53006" w:rsidRPr="00E01E72" w:rsidRDefault="00C53006" w:rsidP="00A52B28">
            <w:pPr>
              <w:pStyle w:val="BodyText"/>
              <w:jc w:val="left"/>
              <w:rPr>
                <w:rFonts w:ascii="Arial" w:hAnsi="Arial"/>
                <w:b/>
                <w:bCs/>
                <w:sz w:val="18"/>
                <w:u w:val="single"/>
                <w:lang w:val="en-US"/>
              </w:rPr>
            </w:pPr>
            <w:r w:rsidRPr="00E01E72">
              <w:rPr>
                <w:rFonts w:ascii="Arial" w:hAnsi="Arial"/>
                <w:b/>
                <w:bCs/>
                <w:sz w:val="18"/>
                <w:lang w:val="en-US"/>
              </w:rPr>
              <w:t xml:space="preserve">II. </w:t>
            </w:r>
            <w:r w:rsidRPr="00E01E72">
              <w:rPr>
                <w:rFonts w:ascii="Arial" w:hAnsi="Arial"/>
                <w:b/>
                <w:bCs/>
                <w:sz w:val="18"/>
                <w:u w:val="single"/>
                <w:lang w:val="en-US"/>
              </w:rPr>
              <w:t>Mission / Collect Information</w:t>
            </w:r>
          </w:p>
          <w:p w14:paraId="6F317359" w14:textId="6D9F8E7B"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 xml:space="preserve">Mission to </w:t>
            </w:r>
            <w:r w:rsidR="00227A7C">
              <w:rPr>
                <w:rFonts w:ascii="Arial" w:hAnsi="Arial"/>
                <w:sz w:val="16"/>
                <w:szCs w:val="16"/>
                <w:lang w:val="en-US"/>
              </w:rPr>
              <w:t>Moldova</w:t>
            </w:r>
            <w:r w:rsidR="00E01E72" w:rsidRPr="00E01E72">
              <w:rPr>
                <w:rFonts w:ascii="Arial" w:hAnsi="Arial"/>
                <w:sz w:val="16"/>
                <w:szCs w:val="16"/>
                <w:lang w:val="en-US"/>
              </w:rPr>
              <w:t xml:space="preserve"> for the Team Leader</w:t>
            </w:r>
          </w:p>
          <w:p w14:paraId="5723142B"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Interview</w:t>
            </w:r>
            <w:r w:rsidR="00E01E72" w:rsidRPr="00E01E72">
              <w:rPr>
                <w:rFonts w:ascii="Arial" w:hAnsi="Arial"/>
                <w:sz w:val="16"/>
                <w:szCs w:val="16"/>
                <w:lang w:val="en-US"/>
              </w:rPr>
              <w:t xml:space="preserve"> </w:t>
            </w:r>
            <w:r w:rsidRPr="00E01E72">
              <w:rPr>
                <w:rFonts w:ascii="Arial" w:hAnsi="Arial"/>
                <w:sz w:val="16"/>
                <w:szCs w:val="16"/>
                <w:lang w:val="en-US"/>
              </w:rPr>
              <w:t>key Stakeholders</w:t>
            </w:r>
            <w:r w:rsidR="00E01E72" w:rsidRPr="00E01E72">
              <w:rPr>
                <w:rFonts w:ascii="Arial" w:hAnsi="Arial"/>
                <w:sz w:val="16"/>
                <w:szCs w:val="16"/>
                <w:lang w:val="en-US"/>
              </w:rPr>
              <w:t xml:space="preserve"> and conduct field visits</w:t>
            </w:r>
          </w:p>
          <w:p w14:paraId="77C992C1" w14:textId="77777777" w:rsidR="00C53006" w:rsidRPr="00E01E72" w:rsidRDefault="00E01E72"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 xml:space="preserve">Further collect </w:t>
            </w:r>
            <w:r w:rsidR="00C53006" w:rsidRPr="00E01E72">
              <w:rPr>
                <w:rFonts w:ascii="Arial" w:hAnsi="Arial"/>
                <w:sz w:val="16"/>
                <w:szCs w:val="16"/>
                <w:lang w:val="en-US"/>
              </w:rPr>
              <w:t>project related documents</w:t>
            </w:r>
          </w:p>
          <w:p w14:paraId="0B0FEDDA" w14:textId="77777777" w:rsidR="00C53006" w:rsidRPr="00E01E72" w:rsidRDefault="00C53006" w:rsidP="005D59CA">
            <w:pPr>
              <w:pStyle w:val="BodyText"/>
              <w:numPr>
                <w:ilvl w:val="0"/>
                <w:numId w:val="11"/>
              </w:numPr>
              <w:tabs>
                <w:tab w:val="clear" w:pos="720"/>
                <w:tab w:val="num" w:pos="212"/>
              </w:tabs>
              <w:ind w:left="212" w:hanging="212"/>
              <w:jc w:val="left"/>
              <w:rPr>
                <w:rFonts w:ascii="Times New Roman" w:hAnsi="Times New Roman"/>
                <w:b/>
                <w:bCs/>
                <w:sz w:val="18"/>
                <w:szCs w:val="16"/>
                <w:lang w:val="en-US"/>
              </w:rPr>
            </w:pPr>
            <w:r w:rsidRPr="00E01E72">
              <w:rPr>
                <w:rFonts w:ascii="Arial" w:hAnsi="Arial"/>
                <w:sz w:val="16"/>
                <w:szCs w:val="16"/>
                <w:lang w:val="en-US"/>
              </w:rPr>
              <w:t>Mission debriefings</w:t>
            </w:r>
          </w:p>
        </w:tc>
        <w:tc>
          <w:tcPr>
            <w:tcW w:w="4253" w:type="dxa"/>
            <w:shd w:val="clear" w:color="auto" w:fill="D9D9D9"/>
          </w:tcPr>
          <w:p w14:paraId="7D2481DC" w14:textId="77777777" w:rsidR="00C53006" w:rsidRPr="00E01E72" w:rsidRDefault="00C53006" w:rsidP="003E7F2A">
            <w:pPr>
              <w:pStyle w:val="BodyText"/>
              <w:rPr>
                <w:rFonts w:ascii="Arial" w:hAnsi="Arial"/>
                <w:b/>
                <w:bCs/>
                <w:sz w:val="18"/>
                <w:u w:val="single"/>
                <w:lang w:val="en-US"/>
              </w:rPr>
            </w:pPr>
            <w:r w:rsidRPr="00E01E72">
              <w:rPr>
                <w:rFonts w:ascii="Arial" w:hAnsi="Arial"/>
                <w:b/>
                <w:bCs/>
                <w:sz w:val="18"/>
                <w:lang w:val="en-US"/>
              </w:rPr>
              <w:t xml:space="preserve">IV. </w:t>
            </w:r>
            <w:r w:rsidRPr="00E01E72">
              <w:rPr>
                <w:rFonts w:ascii="Arial" w:hAnsi="Arial"/>
                <w:b/>
                <w:bCs/>
                <w:sz w:val="18"/>
                <w:u w:val="single"/>
                <w:lang w:val="en-US"/>
              </w:rPr>
              <w:t>Finalize Evaluation Report</w:t>
            </w:r>
          </w:p>
          <w:p w14:paraId="7C96C191"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Circulate draft report to UNDP/relevant stakeholders</w:t>
            </w:r>
          </w:p>
          <w:p w14:paraId="3E8CC033" w14:textId="77777777" w:rsidR="00C53006" w:rsidRPr="00E01E72" w:rsidRDefault="00C53006" w:rsidP="005D59CA">
            <w:pPr>
              <w:pStyle w:val="BodyText"/>
              <w:numPr>
                <w:ilvl w:val="0"/>
                <w:numId w:val="11"/>
              </w:numPr>
              <w:tabs>
                <w:tab w:val="clear" w:pos="720"/>
                <w:tab w:val="num" w:pos="212"/>
              </w:tabs>
              <w:ind w:left="212" w:hanging="212"/>
              <w:jc w:val="left"/>
              <w:rPr>
                <w:rFonts w:ascii="Arial" w:hAnsi="Arial"/>
                <w:sz w:val="16"/>
                <w:szCs w:val="16"/>
                <w:lang w:val="en-US"/>
              </w:rPr>
            </w:pPr>
            <w:r w:rsidRPr="00E01E72">
              <w:rPr>
                <w:rFonts w:ascii="Arial" w:hAnsi="Arial"/>
                <w:sz w:val="16"/>
                <w:szCs w:val="16"/>
                <w:lang w:val="en-US"/>
              </w:rPr>
              <w:t>Integrate comments and submit</w:t>
            </w:r>
            <w:r w:rsidRPr="00E01E72">
              <w:rPr>
                <w:rFonts w:ascii="Arial" w:hAnsi="Arial"/>
                <w:sz w:val="18"/>
                <w:szCs w:val="16"/>
                <w:lang w:val="en-US"/>
              </w:rPr>
              <w:t xml:space="preserve"> </w:t>
            </w:r>
            <w:r w:rsidRPr="00E01E72">
              <w:rPr>
                <w:rFonts w:ascii="Arial" w:hAnsi="Arial"/>
                <w:b/>
                <w:sz w:val="18"/>
                <w:szCs w:val="16"/>
                <w:u w:val="single"/>
                <w:lang w:val="en-US"/>
              </w:rPr>
              <w:t>final report</w:t>
            </w:r>
          </w:p>
        </w:tc>
      </w:tr>
    </w:tbl>
    <w:p w14:paraId="44C253F5" w14:textId="77777777" w:rsidR="00A52B28" w:rsidRPr="00FB6D4E" w:rsidRDefault="00A52B28" w:rsidP="00A52B28">
      <w:pPr>
        <w:widowControl/>
        <w:tabs>
          <w:tab w:val="left" w:pos="-720"/>
          <w:tab w:val="left" w:pos="567"/>
        </w:tabs>
        <w:jc w:val="both"/>
        <w:rPr>
          <w:sz w:val="22"/>
        </w:rPr>
      </w:pPr>
    </w:p>
    <w:p w14:paraId="6E1BA4CF" w14:textId="77777777" w:rsidR="00A52B28" w:rsidRPr="00FB6D4E" w:rsidRDefault="002831E0" w:rsidP="005D59CA">
      <w:pPr>
        <w:pStyle w:val="ListParagraph"/>
        <w:numPr>
          <w:ilvl w:val="0"/>
          <w:numId w:val="15"/>
        </w:numPr>
        <w:jc w:val="both"/>
        <w:rPr>
          <w:sz w:val="22"/>
        </w:rPr>
      </w:pPr>
      <w:r w:rsidRPr="00FB6D4E">
        <w:rPr>
          <w:sz w:val="22"/>
        </w:rPr>
        <w:t>Finally, the Evaluat</w:t>
      </w:r>
      <w:r w:rsidR="008D15A9">
        <w:rPr>
          <w:sz w:val="22"/>
        </w:rPr>
        <w:t>ion Team</w:t>
      </w:r>
      <w:r w:rsidR="00991497" w:rsidRPr="00FB6D4E">
        <w:rPr>
          <w:sz w:val="22"/>
        </w:rPr>
        <w:t xml:space="preserve"> signed and </w:t>
      </w:r>
      <w:r w:rsidRPr="00FB6D4E">
        <w:rPr>
          <w:sz w:val="22"/>
        </w:rPr>
        <w:t>applied the “</w:t>
      </w:r>
      <w:r w:rsidR="00CA0E2F">
        <w:rPr>
          <w:i/>
          <w:sz w:val="22"/>
        </w:rPr>
        <w:t>Evaluation Consultant C</w:t>
      </w:r>
      <w:r w:rsidRPr="00FB6D4E">
        <w:rPr>
          <w:i/>
          <w:sz w:val="22"/>
        </w:rPr>
        <w:t>ode of Conduct</w:t>
      </w:r>
      <w:r w:rsidR="00CA0E2F">
        <w:rPr>
          <w:i/>
          <w:sz w:val="22"/>
        </w:rPr>
        <w:t xml:space="preserve"> and Agreement Form</w:t>
      </w:r>
      <w:r w:rsidRPr="00FB6D4E">
        <w:rPr>
          <w:sz w:val="22"/>
        </w:rPr>
        <w:t>”</w:t>
      </w:r>
      <w:r w:rsidR="00D56633">
        <w:rPr>
          <w:sz w:val="22"/>
        </w:rPr>
        <w:t xml:space="preserve"> (</w:t>
      </w:r>
      <w:r w:rsidR="00D56633" w:rsidRPr="00D56633">
        <w:rPr>
          <w:i/>
          <w:sz w:val="22"/>
        </w:rPr>
        <w:t>see Annex 2</w:t>
      </w:r>
      <w:r w:rsidR="00D56633">
        <w:rPr>
          <w:sz w:val="22"/>
        </w:rPr>
        <w:t>)</w:t>
      </w:r>
      <w:r w:rsidRPr="00FB6D4E">
        <w:rPr>
          <w:sz w:val="22"/>
        </w:rPr>
        <w:t>. The Evaluat</w:t>
      </w:r>
      <w:r w:rsidR="008D15A9">
        <w:rPr>
          <w:sz w:val="22"/>
        </w:rPr>
        <w:t>ion Team</w:t>
      </w:r>
      <w:r w:rsidR="00991497" w:rsidRPr="00FB6D4E">
        <w:rPr>
          <w:sz w:val="22"/>
        </w:rPr>
        <w:t xml:space="preserve"> </w:t>
      </w:r>
      <w:r w:rsidRPr="00FB6D4E">
        <w:rPr>
          <w:sz w:val="22"/>
        </w:rPr>
        <w:t xml:space="preserve">conducted evaluation activities, which were independent, impartial and rigorous. This </w:t>
      </w:r>
      <w:r w:rsidR="008D15A9">
        <w:rPr>
          <w:sz w:val="22"/>
        </w:rPr>
        <w:t>terminal</w:t>
      </w:r>
      <w:r w:rsidRPr="00FB6D4E">
        <w:rPr>
          <w:sz w:val="22"/>
        </w:rPr>
        <w:t xml:space="preserve"> evaluation contributed to learning and accountability and the Evaluat</w:t>
      </w:r>
      <w:r w:rsidR="008D15A9">
        <w:rPr>
          <w:sz w:val="22"/>
        </w:rPr>
        <w:t>ion Team</w:t>
      </w:r>
      <w:r w:rsidR="00991497" w:rsidRPr="00FB6D4E">
        <w:rPr>
          <w:sz w:val="22"/>
        </w:rPr>
        <w:t xml:space="preserve"> has</w:t>
      </w:r>
      <w:r w:rsidRPr="00FB6D4E">
        <w:rPr>
          <w:sz w:val="22"/>
        </w:rPr>
        <w:t xml:space="preserve"> personal and professional integrity and </w:t>
      </w:r>
      <w:r w:rsidR="00A056EC" w:rsidRPr="00FB6D4E">
        <w:rPr>
          <w:sz w:val="22"/>
        </w:rPr>
        <w:t>was</w:t>
      </w:r>
      <w:r w:rsidRPr="00FB6D4E">
        <w:rPr>
          <w:sz w:val="22"/>
        </w:rPr>
        <w:t xml:space="preserve"> guided by propriety in the conduct of </w:t>
      </w:r>
      <w:r w:rsidR="00991497" w:rsidRPr="00FB6D4E">
        <w:rPr>
          <w:sz w:val="22"/>
        </w:rPr>
        <w:t>his</w:t>
      </w:r>
      <w:r w:rsidRPr="00FB6D4E">
        <w:rPr>
          <w:sz w:val="22"/>
        </w:rPr>
        <w:t xml:space="preserve"> business.</w:t>
      </w:r>
    </w:p>
    <w:p w14:paraId="358E8BFE" w14:textId="77777777" w:rsidR="00A52B28" w:rsidRPr="00FB6D4E" w:rsidRDefault="00A52B28" w:rsidP="00A52B28">
      <w:pPr>
        <w:widowControl/>
        <w:tabs>
          <w:tab w:val="left" w:pos="-720"/>
          <w:tab w:val="left" w:pos="567"/>
        </w:tabs>
        <w:jc w:val="both"/>
        <w:rPr>
          <w:sz w:val="22"/>
          <w:szCs w:val="22"/>
        </w:rPr>
      </w:pPr>
    </w:p>
    <w:p w14:paraId="389D4D3D" w14:textId="77777777" w:rsidR="00A52B28" w:rsidRPr="00FB6D4E" w:rsidRDefault="002831E0" w:rsidP="006B3375">
      <w:pPr>
        <w:pStyle w:val="Heading3"/>
        <w:numPr>
          <w:ilvl w:val="2"/>
          <w:numId w:val="1"/>
        </w:numPr>
        <w:tabs>
          <w:tab w:val="clear" w:pos="1440"/>
        </w:tabs>
        <w:ind w:left="1276" w:hanging="709"/>
        <w:rPr>
          <w:rFonts w:ascii="Arial" w:hAnsi="Arial" w:cs="Arial"/>
          <w:i/>
          <w:sz w:val="22"/>
          <w:szCs w:val="22"/>
        </w:rPr>
      </w:pPr>
      <w:bookmarkStart w:id="26" w:name="_Toc154454476"/>
      <w:bookmarkStart w:id="27" w:name="_Toc308103241"/>
      <w:r w:rsidRPr="00FB6D4E">
        <w:rPr>
          <w:rFonts w:ascii="Arial" w:hAnsi="Arial" w:cs="Arial"/>
          <w:i/>
          <w:sz w:val="22"/>
          <w:szCs w:val="22"/>
        </w:rPr>
        <w:lastRenderedPageBreak/>
        <w:t>Evaluation Instruments</w:t>
      </w:r>
      <w:bookmarkEnd w:id="26"/>
      <w:bookmarkEnd w:id="27"/>
    </w:p>
    <w:p w14:paraId="05A8FF52" w14:textId="77777777" w:rsidR="00A52B28" w:rsidRPr="00FB6D4E" w:rsidRDefault="00A52B28" w:rsidP="00CC61EC">
      <w:pPr>
        <w:pStyle w:val="ListParagraph"/>
        <w:ind w:left="0"/>
        <w:jc w:val="both"/>
        <w:rPr>
          <w:sz w:val="22"/>
          <w:szCs w:val="22"/>
        </w:rPr>
      </w:pPr>
    </w:p>
    <w:p w14:paraId="3F579E51" w14:textId="6F2174C2" w:rsidR="00A52B28" w:rsidRPr="007F18AF" w:rsidRDefault="002831E0" w:rsidP="005D59CA">
      <w:pPr>
        <w:pStyle w:val="ListParagraph"/>
        <w:numPr>
          <w:ilvl w:val="0"/>
          <w:numId w:val="15"/>
        </w:numPr>
        <w:jc w:val="both"/>
        <w:rPr>
          <w:sz w:val="22"/>
          <w:szCs w:val="22"/>
        </w:rPr>
      </w:pPr>
      <w:r w:rsidRPr="007F18AF">
        <w:rPr>
          <w:sz w:val="22"/>
        </w:rPr>
        <w:t xml:space="preserve">The evaluation provided evidence-based information that </w:t>
      </w:r>
      <w:r w:rsidR="00227A7C">
        <w:rPr>
          <w:sz w:val="22"/>
        </w:rPr>
        <w:t>is</w:t>
      </w:r>
      <w:r w:rsidRPr="007F18AF">
        <w:rPr>
          <w:sz w:val="22"/>
        </w:rPr>
        <w:t xml:space="preserve"> credible, reliable and useful. The findings were triangulated through the concept of “</w:t>
      </w:r>
      <w:r w:rsidRPr="007F18AF">
        <w:rPr>
          <w:i/>
          <w:sz w:val="22"/>
        </w:rPr>
        <w:t>multiple lines of evidence</w:t>
      </w:r>
      <w:r w:rsidRPr="007F18AF">
        <w:rPr>
          <w:sz w:val="22"/>
        </w:rPr>
        <w:t>” using several evaluation tools and gathering information from different types of stakeholders and different levels of managem</w:t>
      </w:r>
      <w:r w:rsidR="004143D3" w:rsidRPr="007F18AF">
        <w:rPr>
          <w:sz w:val="22"/>
        </w:rPr>
        <w:t>ent. To conduct this evaluation</w:t>
      </w:r>
      <w:r w:rsidRPr="007F18AF">
        <w:rPr>
          <w:sz w:val="22"/>
        </w:rPr>
        <w:t xml:space="preserve"> the following evaluation instruments</w:t>
      </w:r>
      <w:r w:rsidR="004143D3" w:rsidRPr="007F18AF">
        <w:rPr>
          <w:sz w:val="22"/>
        </w:rPr>
        <w:t xml:space="preserve"> were used</w:t>
      </w:r>
      <w:r w:rsidRPr="007F18AF">
        <w:rPr>
          <w:sz w:val="22"/>
        </w:rPr>
        <w:t>:</w:t>
      </w:r>
    </w:p>
    <w:p w14:paraId="1F6165BD" w14:textId="77777777" w:rsidR="00A52B28" w:rsidRPr="007F18AF" w:rsidRDefault="00A52B28" w:rsidP="00A52B28">
      <w:pPr>
        <w:widowControl/>
        <w:tabs>
          <w:tab w:val="left" w:pos="-720"/>
          <w:tab w:val="left" w:pos="567"/>
        </w:tabs>
        <w:jc w:val="both"/>
        <w:rPr>
          <w:sz w:val="22"/>
        </w:rPr>
      </w:pPr>
    </w:p>
    <w:p w14:paraId="7688D51B" w14:textId="2AEFB603" w:rsidR="00A52B28" w:rsidRPr="00E01E72" w:rsidRDefault="002831E0" w:rsidP="00A52B28">
      <w:pPr>
        <w:widowControl/>
        <w:tabs>
          <w:tab w:val="left" w:pos="-720"/>
        </w:tabs>
        <w:ind w:left="567"/>
        <w:jc w:val="both"/>
        <w:rPr>
          <w:sz w:val="22"/>
          <w:szCs w:val="22"/>
        </w:rPr>
      </w:pPr>
      <w:r w:rsidRPr="00E01E72">
        <w:rPr>
          <w:b/>
          <w:i/>
          <w:sz w:val="22"/>
          <w:szCs w:val="22"/>
        </w:rPr>
        <w:t>Evaluation Matrix</w:t>
      </w:r>
      <w:r w:rsidRPr="00E01E72">
        <w:rPr>
          <w:sz w:val="22"/>
          <w:szCs w:val="22"/>
        </w:rPr>
        <w:t>: An evaluation matrix was developed based on the evaluation scope presented in the TOR</w:t>
      </w:r>
      <w:r w:rsidR="008A03A6" w:rsidRPr="00E01E72">
        <w:rPr>
          <w:sz w:val="22"/>
          <w:szCs w:val="22"/>
        </w:rPr>
        <w:t>,</w:t>
      </w:r>
      <w:r w:rsidRPr="00E01E72">
        <w:rPr>
          <w:sz w:val="22"/>
          <w:szCs w:val="22"/>
        </w:rPr>
        <w:t xml:space="preserve"> the project </w:t>
      </w:r>
      <w:r w:rsidR="00227A7C">
        <w:rPr>
          <w:sz w:val="22"/>
          <w:szCs w:val="22"/>
        </w:rPr>
        <w:t xml:space="preserve">log-frame </w:t>
      </w:r>
      <w:r w:rsidRPr="00E01E72">
        <w:rPr>
          <w:sz w:val="22"/>
          <w:szCs w:val="22"/>
        </w:rPr>
        <w:t>and the review of key project documents (</w:t>
      </w:r>
      <w:r w:rsidRPr="00E01E72">
        <w:rPr>
          <w:i/>
          <w:sz w:val="22"/>
          <w:szCs w:val="22"/>
        </w:rPr>
        <w:t xml:space="preserve">see </w:t>
      </w:r>
      <w:r w:rsidRPr="00C919F3">
        <w:rPr>
          <w:i/>
          <w:sz w:val="22"/>
          <w:szCs w:val="22"/>
        </w:rPr>
        <w:t xml:space="preserve">Annex </w:t>
      </w:r>
      <w:r w:rsidR="007319C0">
        <w:rPr>
          <w:i/>
          <w:sz w:val="22"/>
          <w:szCs w:val="22"/>
        </w:rPr>
        <w:t>3</w:t>
      </w:r>
      <w:r w:rsidRPr="00C919F3">
        <w:rPr>
          <w:sz w:val="22"/>
          <w:szCs w:val="22"/>
        </w:rPr>
        <w:t>).</w:t>
      </w:r>
      <w:r w:rsidRPr="00E01E72">
        <w:rPr>
          <w:sz w:val="22"/>
          <w:szCs w:val="22"/>
        </w:rPr>
        <w:t xml:space="preserve"> This matrix is structured along the five evaluation criteria and includes all evaluation questions; including the scope presented in the </w:t>
      </w:r>
      <w:r w:rsidR="00A056EC" w:rsidRPr="00E01E72">
        <w:rPr>
          <w:sz w:val="22"/>
          <w:szCs w:val="22"/>
        </w:rPr>
        <w:t>guidance</w:t>
      </w:r>
      <w:r w:rsidRPr="00E01E72">
        <w:rPr>
          <w:sz w:val="22"/>
          <w:szCs w:val="22"/>
        </w:rPr>
        <w:t>. The matrix provided overal</w:t>
      </w:r>
      <w:r w:rsidR="008A03A6" w:rsidRPr="00E01E72">
        <w:rPr>
          <w:sz w:val="22"/>
          <w:szCs w:val="22"/>
        </w:rPr>
        <w:t>l directions for the evaluation and</w:t>
      </w:r>
      <w:r w:rsidRPr="00E01E72">
        <w:rPr>
          <w:sz w:val="22"/>
          <w:szCs w:val="22"/>
        </w:rPr>
        <w:t xml:space="preserve"> was used as a basis for interviewing people and reviewing project documents. </w:t>
      </w:r>
    </w:p>
    <w:p w14:paraId="7A6457A7" w14:textId="77777777" w:rsidR="00A52B28" w:rsidRPr="00E01E72" w:rsidRDefault="00A52B28" w:rsidP="00A52B28">
      <w:pPr>
        <w:widowControl/>
        <w:tabs>
          <w:tab w:val="left" w:pos="-720"/>
        </w:tabs>
        <w:ind w:left="567"/>
        <w:jc w:val="both"/>
        <w:rPr>
          <w:sz w:val="22"/>
          <w:szCs w:val="22"/>
        </w:rPr>
      </w:pPr>
    </w:p>
    <w:p w14:paraId="7683A2C4" w14:textId="37EF6F43" w:rsidR="00A52B28" w:rsidRPr="00E01E72" w:rsidRDefault="002831E0" w:rsidP="00A52B28">
      <w:pPr>
        <w:widowControl/>
        <w:tabs>
          <w:tab w:val="left" w:pos="-720"/>
        </w:tabs>
        <w:ind w:left="567"/>
        <w:jc w:val="both"/>
        <w:rPr>
          <w:sz w:val="22"/>
          <w:szCs w:val="22"/>
        </w:rPr>
      </w:pPr>
      <w:r w:rsidRPr="00E01E72">
        <w:rPr>
          <w:b/>
          <w:i/>
          <w:sz w:val="22"/>
          <w:szCs w:val="22"/>
        </w:rPr>
        <w:t>Documentation Review</w:t>
      </w:r>
      <w:r w:rsidRPr="00E01E72">
        <w:rPr>
          <w:sz w:val="22"/>
          <w:szCs w:val="22"/>
        </w:rPr>
        <w:t>: The Evaluat</w:t>
      </w:r>
      <w:r w:rsidR="008D15A9" w:rsidRPr="00E01E72">
        <w:rPr>
          <w:sz w:val="22"/>
          <w:szCs w:val="22"/>
        </w:rPr>
        <w:t>ion Team</w:t>
      </w:r>
      <w:r w:rsidR="00A056EC" w:rsidRPr="00E01E72">
        <w:rPr>
          <w:sz w:val="22"/>
          <w:szCs w:val="22"/>
        </w:rPr>
        <w:t xml:space="preserve"> </w:t>
      </w:r>
      <w:r w:rsidRPr="00E01E72">
        <w:rPr>
          <w:sz w:val="22"/>
          <w:szCs w:val="22"/>
        </w:rPr>
        <w:t xml:space="preserve">conducted a documentation review in </w:t>
      </w:r>
      <w:r w:rsidR="004752F6">
        <w:rPr>
          <w:sz w:val="22"/>
          <w:szCs w:val="22"/>
        </w:rPr>
        <w:t>Moldova</w:t>
      </w:r>
      <w:r w:rsidR="008A03A6" w:rsidRPr="00E01E72">
        <w:rPr>
          <w:sz w:val="22"/>
          <w:szCs w:val="22"/>
        </w:rPr>
        <w:t xml:space="preserve"> </w:t>
      </w:r>
      <w:r w:rsidRPr="00E01E72">
        <w:rPr>
          <w:sz w:val="22"/>
          <w:szCs w:val="22"/>
        </w:rPr>
        <w:t>and in Canada (</w:t>
      </w:r>
      <w:r w:rsidRPr="00C919F3">
        <w:rPr>
          <w:i/>
          <w:sz w:val="22"/>
          <w:szCs w:val="22"/>
        </w:rPr>
        <w:t xml:space="preserve">see Annex </w:t>
      </w:r>
      <w:r w:rsidR="007319C0">
        <w:rPr>
          <w:i/>
          <w:sz w:val="22"/>
          <w:szCs w:val="22"/>
        </w:rPr>
        <w:t>4</w:t>
      </w:r>
      <w:r w:rsidRPr="00C919F3">
        <w:rPr>
          <w:sz w:val="22"/>
          <w:szCs w:val="22"/>
        </w:rPr>
        <w:t>).</w:t>
      </w:r>
      <w:r w:rsidRPr="00E01E72">
        <w:rPr>
          <w:sz w:val="22"/>
          <w:szCs w:val="22"/>
        </w:rPr>
        <w:t xml:space="preserve"> In addition to being a main source of information, documents were also used as preparation for the mission of the </w:t>
      </w:r>
      <w:r w:rsidR="008D15A9" w:rsidRPr="00E01E72">
        <w:rPr>
          <w:sz w:val="22"/>
          <w:szCs w:val="22"/>
        </w:rPr>
        <w:t xml:space="preserve">Team Leader in </w:t>
      </w:r>
      <w:r w:rsidR="004752F6">
        <w:rPr>
          <w:sz w:val="22"/>
          <w:szCs w:val="22"/>
        </w:rPr>
        <w:t>Moldova</w:t>
      </w:r>
      <w:r w:rsidRPr="00E01E72">
        <w:rPr>
          <w:sz w:val="22"/>
          <w:szCs w:val="22"/>
        </w:rPr>
        <w:t xml:space="preserve">. A list of documents was identified during the start-up phase and further searches were done through the web and contacts. The list of documents was </w:t>
      </w:r>
      <w:r w:rsidR="008A03A6" w:rsidRPr="00E01E72">
        <w:rPr>
          <w:sz w:val="22"/>
          <w:szCs w:val="22"/>
        </w:rPr>
        <w:t>completed during the mission.</w:t>
      </w:r>
    </w:p>
    <w:p w14:paraId="33083835" w14:textId="77777777" w:rsidR="00A52B28" w:rsidRPr="00E01E72" w:rsidRDefault="00A52B28" w:rsidP="00A52B28">
      <w:pPr>
        <w:widowControl/>
        <w:tabs>
          <w:tab w:val="left" w:pos="-720"/>
        </w:tabs>
        <w:ind w:left="567"/>
        <w:jc w:val="both"/>
        <w:rPr>
          <w:sz w:val="22"/>
          <w:szCs w:val="22"/>
        </w:rPr>
      </w:pPr>
    </w:p>
    <w:p w14:paraId="5D611E99" w14:textId="77777777" w:rsidR="00A52B28" w:rsidRPr="00E01E72" w:rsidRDefault="002831E0" w:rsidP="00A52B28">
      <w:pPr>
        <w:widowControl/>
        <w:tabs>
          <w:tab w:val="left" w:pos="-720"/>
        </w:tabs>
        <w:ind w:left="567"/>
        <w:jc w:val="both"/>
        <w:rPr>
          <w:sz w:val="22"/>
          <w:szCs w:val="22"/>
        </w:rPr>
      </w:pPr>
      <w:r w:rsidRPr="00E01E72">
        <w:rPr>
          <w:b/>
          <w:i/>
          <w:sz w:val="22"/>
          <w:szCs w:val="22"/>
        </w:rPr>
        <w:t>Interview Guide</w:t>
      </w:r>
      <w:r w:rsidRPr="00E01E72">
        <w:rPr>
          <w:sz w:val="22"/>
          <w:szCs w:val="22"/>
        </w:rPr>
        <w:t>: Based on the evaluation matrix, an interview guide was developed (</w:t>
      </w:r>
      <w:r w:rsidRPr="00C919F3">
        <w:rPr>
          <w:i/>
          <w:sz w:val="22"/>
          <w:szCs w:val="22"/>
        </w:rPr>
        <w:t xml:space="preserve">see Annex </w:t>
      </w:r>
      <w:r w:rsidR="007319C0">
        <w:rPr>
          <w:i/>
          <w:sz w:val="22"/>
          <w:szCs w:val="22"/>
        </w:rPr>
        <w:t>5</w:t>
      </w:r>
      <w:r w:rsidRPr="00C919F3">
        <w:rPr>
          <w:sz w:val="22"/>
          <w:szCs w:val="22"/>
        </w:rPr>
        <w:t>) to</w:t>
      </w:r>
      <w:r w:rsidRPr="00E01E72">
        <w:rPr>
          <w:sz w:val="22"/>
          <w:szCs w:val="22"/>
        </w:rPr>
        <w:t xml:space="preserve"> solicit information from stakeholders. As part of the participatory approach, the Evaluat</w:t>
      </w:r>
      <w:r w:rsidR="008D15A9" w:rsidRPr="00E01E72">
        <w:rPr>
          <w:sz w:val="22"/>
          <w:szCs w:val="22"/>
        </w:rPr>
        <w:t>ion Team</w:t>
      </w:r>
      <w:r w:rsidR="00A056EC" w:rsidRPr="00E01E72">
        <w:rPr>
          <w:sz w:val="22"/>
          <w:szCs w:val="22"/>
        </w:rPr>
        <w:t xml:space="preserve"> </w:t>
      </w:r>
      <w:r w:rsidRPr="00E01E72">
        <w:rPr>
          <w:sz w:val="22"/>
          <w:szCs w:val="22"/>
        </w:rPr>
        <w:t xml:space="preserve">ensured that all parties view this tool as balanced, unbiased, and structured. </w:t>
      </w:r>
    </w:p>
    <w:p w14:paraId="71DFA926" w14:textId="77777777" w:rsidR="00A52B28" w:rsidRPr="00E01E72" w:rsidRDefault="00A52B28" w:rsidP="00A52B28">
      <w:pPr>
        <w:widowControl/>
        <w:tabs>
          <w:tab w:val="left" w:pos="-720"/>
        </w:tabs>
        <w:ind w:left="567"/>
        <w:jc w:val="both"/>
        <w:rPr>
          <w:sz w:val="22"/>
          <w:szCs w:val="22"/>
        </w:rPr>
      </w:pPr>
    </w:p>
    <w:p w14:paraId="2C690148" w14:textId="5813FE0E" w:rsidR="00A52B28" w:rsidRPr="00E01E72" w:rsidRDefault="002831E0" w:rsidP="00A52B28">
      <w:pPr>
        <w:widowControl/>
        <w:tabs>
          <w:tab w:val="left" w:pos="-720"/>
        </w:tabs>
        <w:ind w:left="567"/>
        <w:jc w:val="both"/>
        <w:rPr>
          <w:sz w:val="22"/>
          <w:szCs w:val="22"/>
        </w:rPr>
      </w:pPr>
      <w:r w:rsidRPr="00E01E72">
        <w:rPr>
          <w:b/>
          <w:i/>
          <w:sz w:val="22"/>
          <w:szCs w:val="22"/>
        </w:rPr>
        <w:t>Mission Agenda</w:t>
      </w:r>
      <w:r w:rsidRPr="00E01E72">
        <w:rPr>
          <w:sz w:val="22"/>
          <w:szCs w:val="22"/>
        </w:rPr>
        <w:t>: An agenda for the</w:t>
      </w:r>
      <w:r w:rsidR="008A03A6" w:rsidRPr="00E01E72">
        <w:rPr>
          <w:sz w:val="22"/>
          <w:szCs w:val="22"/>
        </w:rPr>
        <w:t xml:space="preserve"> mission of the </w:t>
      </w:r>
      <w:r w:rsidR="008D15A9" w:rsidRPr="00E01E72">
        <w:rPr>
          <w:sz w:val="22"/>
          <w:szCs w:val="22"/>
        </w:rPr>
        <w:t>Team Leader</w:t>
      </w:r>
      <w:r w:rsidR="00A056EC" w:rsidRPr="00E01E72">
        <w:rPr>
          <w:sz w:val="22"/>
          <w:szCs w:val="22"/>
        </w:rPr>
        <w:t xml:space="preserve"> </w:t>
      </w:r>
      <w:r w:rsidR="008A03A6" w:rsidRPr="00E01E72">
        <w:rPr>
          <w:sz w:val="22"/>
          <w:szCs w:val="22"/>
        </w:rPr>
        <w:t xml:space="preserve">to </w:t>
      </w:r>
      <w:r w:rsidR="004752F6">
        <w:rPr>
          <w:sz w:val="22"/>
          <w:szCs w:val="22"/>
        </w:rPr>
        <w:t>Moldova</w:t>
      </w:r>
      <w:r w:rsidR="008D15A9" w:rsidRPr="00E01E72">
        <w:rPr>
          <w:sz w:val="22"/>
          <w:szCs w:val="22"/>
        </w:rPr>
        <w:t xml:space="preserve"> </w:t>
      </w:r>
      <w:r w:rsidRPr="00E01E72">
        <w:rPr>
          <w:sz w:val="22"/>
          <w:szCs w:val="22"/>
        </w:rPr>
        <w:t>was developed during the preparatory phase (</w:t>
      </w:r>
      <w:r w:rsidRPr="007319C0">
        <w:rPr>
          <w:i/>
          <w:sz w:val="22"/>
          <w:szCs w:val="22"/>
        </w:rPr>
        <w:t xml:space="preserve">see Annex </w:t>
      </w:r>
      <w:r w:rsidR="007319C0" w:rsidRPr="007319C0">
        <w:rPr>
          <w:i/>
          <w:sz w:val="22"/>
          <w:szCs w:val="22"/>
        </w:rPr>
        <w:t>6</w:t>
      </w:r>
      <w:r w:rsidRPr="007319C0">
        <w:rPr>
          <w:sz w:val="22"/>
          <w:szCs w:val="22"/>
        </w:rPr>
        <w:t>). The</w:t>
      </w:r>
      <w:r w:rsidRPr="00E01E72">
        <w:rPr>
          <w:sz w:val="22"/>
          <w:szCs w:val="22"/>
        </w:rPr>
        <w:t xml:space="preserve"> list of Stakeholders to be interviewed was reviewed, ensuring it represents all project Stakeholders. Then, interviews were planned in advance of the mission with the objective to have a well-organized and planned mission to ensure a broad scan of Stakeholders’ views during the </w:t>
      </w:r>
      <w:r w:rsidR="008A03A6" w:rsidRPr="00E01E72">
        <w:rPr>
          <w:sz w:val="22"/>
          <w:szCs w:val="22"/>
        </w:rPr>
        <w:t xml:space="preserve">limited </w:t>
      </w:r>
      <w:r w:rsidRPr="00E01E72">
        <w:rPr>
          <w:sz w:val="22"/>
          <w:szCs w:val="22"/>
        </w:rPr>
        <w:t>time allocated to the mission.</w:t>
      </w:r>
    </w:p>
    <w:p w14:paraId="5362DEFA" w14:textId="77777777" w:rsidR="00A52B28" w:rsidRPr="00E01E72" w:rsidRDefault="00A52B28" w:rsidP="00A52B28">
      <w:pPr>
        <w:widowControl/>
        <w:tabs>
          <w:tab w:val="left" w:pos="-720"/>
        </w:tabs>
        <w:ind w:left="567"/>
        <w:jc w:val="both"/>
        <w:rPr>
          <w:sz w:val="22"/>
          <w:szCs w:val="22"/>
        </w:rPr>
      </w:pPr>
    </w:p>
    <w:p w14:paraId="13110307" w14:textId="5A38426C" w:rsidR="00A52B28" w:rsidRDefault="002831E0" w:rsidP="00A52B28">
      <w:pPr>
        <w:widowControl/>
        <w:tabs>
          <w:tab w:val="left" w:pos="-720"/>
        </w:tabs>
        <w:ind w:left="567"/>
        <w:jc w:val="both"/>
        <w:rPr>
          <w:sz w:val="22"/>
          <w:szCs w:val="22"/>
        </w:rPr>
      </w:pPr>
      <w:r w:rsidRPr="00E01E72">
        <w:rPr>
          <w:b/>
          <w:i/>
          <w:sz w:val="22"/>
          <w:szCs w:val="22"/>
        </w:rPr>
        <w:t>Interviews</w:t>
      </w:r>
      <w:r w:rsidRPr="00E01E72">
        <w:rPr>
          <w:sz w:val="22"/>
          <w:szCs w:val="22"/>
        </w:rPr>
        <w:t>: Stakeholders were interviewed (</w:t>
      </w:r>
      <w:r w:rsidRPr="007319C0">
        <w:rPr>
          <w:i/>
          <w:sz w:val="22"/>
          <w:szCs w:val="22"/>
        </w:rPr>
        <w:t xml:space="preserve">see Annex </w:t>
      </w:r>
      <w:r w:rsidR="007319C0" w:rsidRPr="007319C0">
        <w:rPr>
          <w:i/>
          <w:sz w:val="22"/>
          <w:szCs w:val="22"/>
        </w:rPr>
        <w:t>7</w:t>
      </w:r>
      <w:r w:rsidRPr="007319C0">
        <w:rPr>
          <w:sz w:val="22"/>
          <w:szCs w:val="22"/>
        </w:rPr>
        <w:t>).</w:t>
      </w:r>
      <w:r w:rsidR="00EB762B" w:rsidRPr="00E01E72">
        <w:rPr>
          <w:sz w:val="22"/>
          <w:szCs w:val="22"/>
        </w:rPr>
        <w:t xml:space="preserve"> </w:t>
      </w:r>
      <w:r w:rsidRPr="00E01E72">
        <w:rPr>
          <w:sz w:val="22"/>
          <w:szCs w:val="22"/>
        </w:rPr>
        <w:t>The semi-structured interviews were conducted using the interview guide adapted for each interview. All interviews were conducted in person with some follow up using emails when needed. Confidentiality was guaranteed to the interviewees and the findings were incorporated in the final report.</w:t>
      </w:r>
      <w:r w:rsidR="002D7ACE">
        <w:rPr>
          <w:sz w:val="22"/>
          <w:szCs w:val="22"/>
        </w:rPr>
        <w:t xml:space="preserve"> When </w:t>
      </w:r>
      <w:r w:rsidR="002D7ACE" w:rsidRPr="002D7ACE">
        <w:rPr>
          <w:sz w:val="22"/>
          <w:szCs w:val="22"/>
        </w:rPr>
        <w:t xml:space="preserve">needed more </w:t>
      </w:r>
      <w:r w:rsidR="002D7ACE">
        <w:rPr>
          <w:sz w:val="22"/>
          <w:szCs w:val="22"/>
        </w:rPr>
        <w:t xml:space="preserve">information from </w:t>
      </w:r>
      <w:r w:rsidR="002D7ACE" w:rsidRPr="002D7ACE">
        <w:rPr>
          <w:sz w:val="22"/>
          <w:szCs w:val="22"/>
        </w:rPr>
        <w:t xml:space="preserve">stakeholders </w:t>
      </w:r>
      <w:r w:rsidR="002D7ACE">
        <w:rPr>
          <w:sz w:val="22"/>
          <w:szCs w:val="22"/>
        </w:rPr>
        <w:t xml:space="preserve">was researched </w:t>
      </w:r>
      <w:r w:rsidR="002D7ACE" w:rsidRPr="002D7ACE">
        <w:rPr>
          <w:sz w:val="22"/>
          <w:szCs w:val="22"/>
        </w:rPr>
        <w:t xml:space="preserve">by </w:t>
      </w:r>
      <w:r w:rsidR="002D7ACE">
        <w:rPr>
          <w:sz w:val="22"/>
          <w:szCs w:val="22"/>
        </w:rPr>
        <w:t xml:space="preserve">the National </w:t>
      </w:r>
      <w:r w:rsidR="002D7ACE" w:rsidRPr="002D7ACE">
        <w:rPr>
          <w:sz w:val="22"/>
          <w:szCs w:val="22"/>
        </w:rPr>
        <w:t xml:space="preserve">Evaluator </w:t>
      </w:r>
      <w:r w:rsidR="002D7ACE">
        <w:rPr>
          <w:sz w:val="22"/>
          <w:szCs w:val="22"/>
        </w:rPr>
        <w:t xml:space="preserve">following </w:t>
      </w:r>
      <w:r w:rsidR="002D7ACE" w:rsidRPr="002D7ACE">
        <w:rPr>
          <w:sz w:val="22"/>
          <w:szCs w:val="22"/>
        </w:rPr>
        <w:t>the mission o</w:t>
      </w:r>
      <w:r w:rsidR="002D7ACE">
        <w:rPr>
          <w:sz w:val="22"/>
          <w:szCs w:val="22"/>
        </w:rPr>
        <w:t>f the International Evaluator.</w:t>
      </w:r>
    </w:p>
    <w:p w14:paraId="0EADCDBB" w14:textId="77777777" w:rsidR="00B756CF" w:rsidRDefault="00B756CF" w:rsidP="00A52B28">
      <w:pPr>
        <w:widowControl/>
        <w:tabs>
          <w:tab w:val="left" w:pos="-720"/>
        </w:tabs>
        <w:ind w:left="567"/>
        <w:jc w:val="both"/>
        <w:rPr>
          <w:sz w:val="22"/>
          <w:szCs w:val="22"/>
        </w:rPr>
      </w:pPr>
    </w:p>
    <w:p w14:paraId="3CBA3C86" w14:textId="6039A8AF" w:rsidR="00B756CF" w:rsidRPr="00E01E72" w:rsidRDefault="00B756CF" w:rsidP="00A52B28">
      <w:pPr>
        <w:widowControl/>
        <w:tabs>
          <w:tab w:val="left" w:pos="-720"/>
        </w:tabs>
        <w:ind w:left="567"/>
        <w:jc w:val="both"/>
        <w:rPr>
          <w:sz w:val="22"/>
          <w:szCs w:val="22"/>
        </w:rPr>
      </w:pPr>
      <w:r w:rsidRPr="00C64879">
        <w:rPr>
          <w:b/>
          <w:i/>
          <w:sz w:val="22"/>
          <w:szCs w:val="22"/>
          <w:lang w:val="en-CA"/>
        </w:rPr>
        <w:t>Field Visit</w:t>
      </w:r>
      <w:r>
        <w:rPr>
          <w:b/>
          <w:i/>
          <w:sz w:val="22"/>
          <w:szCs w:val="22"/>
          <w:lang w:val="en-CA"/>
        </w:rPr>
        <w:t>s</w:t>
      </w:r>
      <w:r w:rsidRPr="00C64879">
        <w:rPr>
          <w:sz w:val="22"/>
          <w:szCs w:val="22"/>
          <w:lang w:val="en-CA"/>
        </w:rPr>
        <w:t>: As per the TOR</w:t>
      </w:r>
      <w:r>
        <w:rPr>
          <w:sz w:val="22"/>
          <w:szCs w:val="22"/>
          <w:lang w:val="en-CA"/>
        </w:rPr>
        <w:t>s,</w:t>
      </w:r>
      <w:r w:rsidRPr="00C64879">
        <w:rPr>
          <w:sz w:val="22"/>
          <w:szCs w:val="22"/>
          <w:lang w:val="en-CA"/>
        </w:rPr>
        <w:t xml:space="preserve"> field visits </w:t>
      </w:r>
      <w:r>
        <w:rPr>
          <w:sz w:val="22"/>
          <w:szCs w:val="22"/>
          <w:lang w:val="en-CA"/>
        </w:rPr>
        <w:t>were</w:t>
      </w:r>
      <w:r w:rsidRPr="00C64879">
        <w:rPr>
          <w:sz w:val="22"/>
          <w:szCs w:val="22"/>
          <w:lang w:val="en-CA"/>
        </w:rPr>
        <w:t xml:space="preserve"> conducted during the mission of the </w:t>
      </w:r>
      <w:r>
        <w:rPr>
          <w:sz w:val="22"/>
          <w:szCs w:val="22"/>
          <w:lang w:val="en-CA"/>
        </w:rPr>
        <w:t>Team Leader</w:t>
      </w:r>
      <w:r w:rsidRPr="00C64879">
        <w:rPr>
          <w:sz w:val="22"/>
          <w:szCs w:val="22"/>
          <w:lang w:val="en-CA"/>
        </w:rPr>
        <w:t xml:space="preserve"> in </w:t>
      </w:r>
      <w:r w:rsidR="002D7ACE">
        <w:rPr>
          <w:sz w:val="22"/>
          <w:szCs w:val="22"/>
          <w:lang w:val="en-CA"/>
        </w:rPr>
        <w:t>Moldova</w:t>
      </w:r>
      <w:r w:rsidRPr="00C64879">
        <w:rPr>
          <w:sz w:val="22"/>
          <w:szCs w:val="22"/>
          <w:lang w:val="en-CA"/>
        </w:rPr>
        <w:t>; i</w:t>
      </w:r>
      <w:r>
        <w:rPr>
          <w:sz w:val="22"/>
          <w:szCs w:val="22"/>
          <w:lang w:val="en-CA"/>
        </w:rPr>
        <w:t>t ensured that the Evaluation Team had</w:t>
      </w:r>
      <w:r w:rsidRPr="00C64879">
        <w:rPr>
          <w:sz w:val="22"/>
          <w:szCs w:val="22"/>
          <w:lang w:val="en-CA"/>
        </w:rPr>
        <w:t xml:space="preserve"> direct primary sources of information from the field and project end-users</w:t>
      </w:r>
      <w:r>
        <w:rPr>
          <w:sz w:val="22"/>
          <w:szCs w:val="22"/>
          <w:lang w:val="en-CA"/>
        </w:rPr>
        <w:t xml:space="preserve"> (beneficiaries)</w:t>
      </w:r>
      <w:r w:rsidRPr="00C64879">
        <w:rPr>
          <w:sz w:val="22"/>
          <w:szCs w:val="22"/>
          <w:lang w:val="en-CA"/>
        </w:rPr>
        <w:t>.</w:t>
      </w:r>
      <w:r>
        <w:rPr>
          <w:sz w:val="22"/>
          <w:szCs w:val="22"/>
          <w:lang w:val="en-CA"/>
        </w:rPr>
        <w:t xml:space="preserve"> It gave opportunities to the </w:t>
      </w:r>
      <w:r>
        <w:rPr>
          <w:sz w:val="22"/>
          <w:szCs w:val="22"/>
          <w:lang w:val="en-CA"/>
        </w:rPr>
        <w:lastRenderedPageBreak/>
        <w:t xml:space="preserve">Evaluation Team to observe project achievements and obtain views from beneficiaries. </w:t>
      </w:r>
      <w:r w:rsidRPr="00C64879">
        <w:rPr>
          <w:sz w:val="22"/>
          <w:szCs w:val="22"/>
          <w:lang w:val="en-CA"/>
        </w:rPr>
        <w:t xml:space="preserve"> </w:t>
      </w:r>
    </w:p>
    <w:p w14:paraId="4FB0C65B" w14:textId="77777777" w:rsidR="00A52B28" w:rsidRPr="00E01E72" w:rsidRDefault="00A52B28" w:rsidP="00A52B28">
      <w:pPr>
        <w:widowControl/>
        <w:tabs>
          <w:tab w:val="left" w:pos="-720"/>
        </w:tabs>
        <w:ind w:left="567"/>
        <w:jc w:val="both"/>
        <w:rPr>
          <w:sz w:val="22"/>
          <w:szCs w:val="22"/>
        </w:rPr>
      </w:pPr>
    </w:p>
    <w:p w14:paraId="4BB67D8E" w14:textId="77777777" w:rsidR="00A52B28" w:rsidRPr="00FB6D4E" w:rsidRDefault="002831E0" w:rsidP="00A52B28">
      <w:pPr>
        <w:widowControl/>
        <w:tabs>
          <w:tab w:val="left" w:pos="-720"/>
        </w:tabs>
        <w:ind w:left="567"/>
        <w:jc w:val="both"/>
        <w:rPr>
          <w:sz w:val="22"/>
          <w:szCs w:val="22"/>
        </w:rPr>
      </w:pPr>
      <w:r w:rsidRPr="00E01E72">
        <w:rPr>
          <w:b/>
          <w:i/>
          <w:sz w:val="22"/>
          <w:szCs w:val="22"/>
        </w:rPr>
        <w:t>Achievement Rating</w:t>
      </w:r>
      <w:r w:rsidRPr="00E01E72">
        <w:rPr>
          <w:sz w:val="22"/>
          <w:szCs w:val="22"/>
        </w:rPr>
        <w:t>: The Evaluat</w:t>
      </w:r>
      <w:r w:rsidR="008D15A9" w:rsidRPr="00E01E72">
        <w:rPr>
          <w:sz w:val="22"/>
          <w:szCs w:val="22"/>
        </w:rPr>
        <w:t>ion Team</w:t>
      </w:r>
      <w:r w:rsidR="00EB762B" w:rsidRPr="00E01E72">
        <w:rPr>
          <w:sz w:val="22"/>
          <w:szCs w:val="22"/>
        </w:rPr>
        <w:t xml:space="preserve"> </w:t>
      </w:r>
      <w:r w:rsidRPr="00E01E72">
        <w:rPr>
          <w:sz w:val="22"/>
          <w:szCs w:val="22"/>
        </w:rPr>
        <w:t xml:space="preserve">rated project achievements according to the </w:t>
      </w:r>
      <w:r w:rsidR="00EB762B" w:rsidRPr="00E01E72">
        <w:rPr>
          <w:sz w:val="22"/>
          <w:szCs w:val="22"/>
        </w:rPr>
        <w:t>guidance provided in the TORs and consisting of four specific rating scales for rating (1) Outcomes, Effectiveness, Efficiency, M&amp;E and Execution; (2) Sustainability; (3) Relevance; and (4) Impact.</w:t>
      </w:r>
    </w:p>
    <w:p w14:paraId="32FB8B07" w14:textId="77777777" w:rsidR="00A52B28" w:rsidRPr="00FB6D4E" w:rsidRDefault="00A52B28" w:rsidP="00A52B28">
      <w:pPr>
        <w:widowControl/>
        <w:tabs>
          <w:tab w:val="left" w:pos="-720"/>
        </w:tabs>
        <w:jc w:val="both"/>
        <w:rPr>
          <w:sz w:val="22"/>
          <w:szCs w:val="22"/>
        </w:rPr>
      </w:pPr>
      <w:bookmarkStart w:id="28" w:name="_Toc154454478"/>
    </w:p>
    <w:p w14:paraId="7711483B" w14:textId="77777777" w:rsidR="00A52B28" w:rsidRPr="00FB6D4E" w:rsidRDefault="002831E0" w:rsidP="00A52B28">
      <w:pPr>
        <w:pStyle w:val="Heading2"/>
        <w:numPr>
          <w:ilvl w:val="1"/>
          <w:numId w:val="1"/>
        </w:numPr>
        <w:tabs>
          <w:tab w:val="clear" w:pos="792"/>
          <w:tab w:val="num" w:pos="709"/>
        </w:tabs>
        <w:spacing w:before="0" w:after="0"/>
        <w:ind w:left="720" w:hanging="720"/>
        <w:rPr>
          <w:i w:val="0"/>
          <w:sz w:val="22"/>
          <w:szCs w:val="22"/>
        </w:rPr>
      </w:pPr>
      <w:bookmarkStart w:id="29" w:name="_Toc308103242"/>
      <w:r w:rsidRPr="00FB6D4E">
        <w:rPr>
          <w:i w:val="0"/>
          <w:sz w:val="22"/>
          <w:szCs w:val="22"/>
        </w:rPr>
        <w:t>Limitations and Constraints</w:t>
      </w:r>
      <w:bookmarkEnd w:id="29"/>
    </w:p>
    <w:p w14:paraId="6D0D0494" w14:textId="77777777" w:rsidR="00A52B28" w:rsidRPr="00FB6D4E" w:rsidRDefault="00A52B28" w:rsidP="005E1178">
      <w:pPr>
        <w:pStyle w:val="ListParagraph"/>
        <w:ind w:left="0"/>
        <w:jc w:val="both"/>
        <w:rPr>
          <w:sz w:val="22"/>
          <w:szCs w:val="22"/>
        </w:rPr>
      </w:pPr>
    </w:p>
    <w:p w14:paraId="7E105BD1" w14:textId="0322C4B8" w:rsidR="00AF55A7" w:rsidRDefault="00AF55A7" w:rsidP="005D59CA">
      <w:pPr>
        <w:pStyle w:val="ListParagraph"/>
        <w:numPr>
          <w:ilvl w:val="0"/>
          <w:numId w:val="15"/>
        </w:numPr>
        <w:jc w:val="both"/>
        <w:rPr>
          <w:sz w:val="22"/>
          <w:szCs w:val="22"/>
        </w:rPr>
      </w:pPr>
      <w:r w:rsidRPr="00AF55A7">
        <w:rPr>
          <w:sz w:val="22"/>
          <w:szCs w:val="22"/>
        </w:rPr>
        <w:t xml:space="preserve">The approach for this terminal evaluation is based on a planned level of effort of 2 X 20 days. It comprises a six-day mission to Moldova to interview key stakeholders, collect evaluative evidence. Within the context of these resources, the </w:t>
      </w:r>
      <w:r>
        <w:rPr>
          <w:sz w:val="22"/>
          <w:szCs w:val="22"/>
        </w:rPr>
        <w:t>independent Evaluation Team</w:t>
      </w:r>
      <w:r w:rsidRPr="00AF55A7">
        <w:rPr>
          <w:sz w:val="22"/>
          <w:szCs w:val="22"/>
        </w:rPr>
        <w:t xml:space="preserve"> </w:t>
      </w:r>
      <w:r>
        <w:rPr>
          <w:sz w:val="22"/>
          <w:szCs w:val="22"/>
        </w:rPr>
        <w:t>were</w:t>
      </w:r>
      <w:r w:rsidRPr="00AF55A7">
        <w:rPr>
          <w:sz w:val="22"/>
          <w:szCs w:val="22"/>
        </w:rPr>
        <w:t xml:space="preserve"> able to conduct a detailed assessment of actual results against expected res</w:t>
      </w:r>
      <w:r>
        <w:rPr>
          <w:sz w:val="22"/>
          <w:szCs w:val="22"/>
        </w:rPr>
        <w:t>ults and successfully ascertained</w:t>
      </w:r>
      <w:r w:rsidRPr="00AF55A7">
        <w:rPr>
          <w:sz w:val="22"/>
          <w:szCs w:val="22"/>
        </w:rPr>
        <w:t xml:space="preserve"> whether the project met its main objective - as laid down in the project design document - and whether the project initiatives are, or are likely to be, sustainable after completion of the project. </w:t>
      </w:r>
    </w:p>
    <w:p w14:paraId="010AA491" w14:textId="77777777" w:rsidR="00AF55A7" w:rsidRDefault="00AF55A7" w:rsidP="00AF55A7">
      <w:pPr>
        <w:pStyle w:val="ListParagraph"/>
        <w:ind w:left="0"/>
        <w:jc w:val="both"/>
        <w:rPr>
          <w:sz w:val="22"/>
          <w:szCs w:val="22"/>
        </w:rPr>
      </w:pPr>
    </w:p>
    <w:p w14:paraId="6A75091A" w14:textId="30BAC3D6" w:rsidR="00AF55A7" w:rsidRDefault="00AF55A7" w:rsidP="005D59CA">
      <w:pPr>
        <w:pStyle w:val="ListParagraph"/>
        <w:numPr>
          <w:ilvl w:val="0"/>
          <w:numId w:val="15"/>
        </w:numPr>
        <w:jc w:val="both"/>
        <w:rPr>
          <w:sz w:val="22"/>
          <w:szCs w:val="22"/>
        </w:rPr>
      </w:pPr>
      <w:r w:rsidRPr="00AF55A7">
        <w:rPr>
          <w:sz w:val="22"/>
          <w:szCs w:val="22"/>
        </w:rPr>
        <w:t xml:space="preserve">The </w:t>
      </w:r>
      <w:r>
        <w:rPr>
          <w:sz w:val="22"/>
          <w:szCs w:val="22"/>
        </w:rPr>
        <w:t>Evaluation Team</w:t>
      </w:r>
      <w:r w:rsidRPr="00AF55A7">
        <w:rPr>
          <w:sz w:val="22"/>
          <w:szCs w:val="22"/>
        </w:rPr>
        <w:t xml:space="preserve"> </w:t>
      </w:r>
      <w:r>
        <w:rPr>
          <w:sz w:val="22"/>
          <w:szCs w:val="22"/>
        </w:rPr>
        <w:t>also mad</w:t>
      </w:r>
      <w:r w:rsidRPr="00AF55A7">
        <w:rPr>
          <w:sz w:val="22"/>
          <w:szCs w:val="22"/>
        </w:rPr>
        <w:t xml:space="preserve">e a few recommendations that </w:t>
      </w:r>
      <w:r>
        <w:rPr>
          <w:sz w:val="22"/>
          <w:szCs w:val="22"/>
        </w:rPr>
        <w:t xml:space="preserve">should be </w:t>
      </w:r>
      <w:r w:rsidRPr="00AF55A7">
        <w:rPr>
          <w:sz w:val="22"/>
          <w:szCs w:val="22"/>
        </w:rPr>
        <w:t xml:space="preserve">useful to reinforce the long-term sustainability of project achievements. Finally, the report </w:t>
      </w:r>
      <w:r>
        <w:rPr>
          <w:sz w:val="22"/>
          <w:szCs w:val="22"/>
        </w:rPr>
        <w:t>contains</w:t>
      </w:r>
      <w:r w:rsidRPr="00AF55A7">
        <w:rPr>
          <w:sz w:val="22"/>
          <w:szCs w:val="22"/>
        </w:rPr>
        <w:t xml:space="preserve"> lessons learned, which could be further taken into consideration during the development and implementation of other similar projects in Moldova, in the region and elsewhere in the world.</w:t>
      </w:r>
    </w:p>
    <w:p w14:paraId="1FDC13A3" w14:textId="77777777" w:rsidR="00BB4FF9" w:rsidRPr="00AE3FD2" w:rsidRDefault="00BB4FF9" w:rsidP="00641FC2">
      <w:pPr>
        <w:pStyle w:val="ListParagraph"/>
        <w:ind w:left="0"/>
        <w:jc w:val="both"/>
        <w:rPr>
          <w:sz w:val="22"/>
          <w:szCs w:val="22"/>
        </w:rPr>
      </w:pPr>
    </w:p>
    <w:p w14:paraId="0CF89E83" w14:textId="77777777" w:rsidR="00E47580" w:rsidRDefault="00E47580">
      <w:pPr>
        <w:widowControl/>
        <w:autoSpaceDE/>
        <w:autoSpaceDN/>
        <w:adjustRightInd/>
        <w:rPr>
          <w:rFonts w:ascii="Arial" w:hAnsi="Arial" w:cs="Arial"/>
          <w:b/>
          <w:bCs/>
          <w:kern w:val="32"/>
          <w:sz w:val="22"/>
          <w:szCs w:val="22"/>
        </w:rPr>
      </w:pPr>
      <w:r>
        <w:rPr>
          <w:sz w:val="22"/>
          <w:szCs w:val="22"/>
        </w:rPr>
        <w:br w:type="page"/>
      </w:r>
    </w:p>
    <w:p w14:paraId="58EA0AC3" w14:textId="59437BFE" w:rsidR="00A52B28" w:rsidRPr="00FB6D4E" w:rsidRDefault="002831E0" w:rsidP="00DC7D4A">
      <w:pPr>
        <w:pStyle w:val="Heading1"/>
        <w:numPr>
          <w:ilvl w:val="0"/>
          <w:numId w:val="1"/>
        </w:numPr>
        <w:tabs>
          <w:tab w:val="clear" w:pos="360"/>
          <w:tab w:val="num" w:pos="567"/>
        </w:tabs>
        <w:spacing w:before="0" w:after="0"/>
        <w:ind w:left="567" w:hanging="567"/>
        <w:rPr>
          <w:sz w:val="22"/>
          <w:szCs w:val="22"/>
        </w:rPr>
      </w:pPr>
      <w:bookmarkStart w:id="30" w:name="_Toc308103243"/>
      <w:r w:rsidRPr="00FB6D4E">
        <w:rPr>
          <w:sz w:val="22"/>
          <w:szCs w:val="22"/>
        </w:rPr>
        <w:lastRenderedPageBreak/>
        <w:t>EVALUATION FINDINGS</w:t>
      </w:r>
      <w:bookmarkEnd w:id="28"/>
      <w:bookmarkEnd w:id="30"/>
    </w:p>
    <w:p w14:paraId="25ABBDAC" w14:textId="77777777" w:rsidR="00A52B28" w:rsidRPr="00FB6D4E" w:rsidRDefault="00A52B28" w:rsidP="00A52B28">
      <w:pPr>
        <w:widowControl/>
        <w:tabs>
          <w:tab w:val="left" w:pos="-720"/>
        </w:tabs>
        <w:jc w:val="both"/>
        <w:rPr>
          <w:sz w:val="22"/>
          <w:szCs w:val="22"/>
        </w:rPr>
      </w:pPr>
    </w:p>
    <w:p w14:paraId="4898395D" w14:textId="05E0DD48" w:rsidR="00A52B28" w:rsidRPr="00654F46" w:rsidRDefault="002831E0" w:rsidP="005D59CA">
      <w:pPr>
        <w:pStyle w:val="ListParagraph"/>
        <w:numPr>
          <w:ilvl w:val="0"/>
          <w:numId w:val="15"/>
        </w:numPr>
        <w:jc w:val="both"/>
        <w:rPr>
          <w:sz w:val="22"/>
          <w:szCs w:val="22"/>
        </w:rPr>
      </w:pPr>
      <w:r w:rsidRPr="00654F46">
        <w:rPr>
          <w:sz w:val="22"/>
        </w:rPr>
        <w:t>T</w:t>
      </w:r>
      <w:r w:rsidRPr="00654F46">
        <w:rPr>
          <w:sz w:val="22"/>
          <w:szCs w:val="22"/>
        </w:rPr>
        <w:t xml:space="preserve">his section presents the findings of this </w:t>
      </w:r>
      <w:r w:rsidR="00641FC2">
        <w:rPr>
          <w:sz w:val="22"/>
          <w:szCs w:val="22"/>
        </w:rPr>
        <w:t>terminal</w:t>
      </w:r>
      <w:r w:rsidRPr="00654F46">
        <w:rPr>
          <w:sz w:val="22"/>
          <w:szCs w:val="22"/>
        </w:rPr>
        <w:t xml:space="preserve"> evaluation</w:t>
      </w:r>
      <w:r w:rsidR="005E1178" w:rsidRPr="00654F46">
        <w:rPr>
          <w:sz w:val="22"/>
          <w:szCs w:val="22"/>
        </w:rPr>
        <w:t xml:space="preserve"> </w:t>
      </w:r>
      <w:r w:rsidR="00654F46" w:rsidRPr="00654F46">
        <w:rPr>
          <w:sz w:val="22"/>
          <w:szCs w:val="22"/>
        </w:rPr>
        <w:t xml:space="preserve">adhering to </w:t>
      </w:r>
      <w:r w:rsidR="005E1178" w:rsidRPr="00654F46">
        <w:rPr>
          <w:sz w:val="22"/>
          <w:szCs w:val="22"/>
        </w:rPr>
        <w:t>the basic structure proposed in the TOR</w:t>
      </w:r>
      <w:r w:rsidR="00CD7711" w:rsidRPr="00654F46">
        <w:rPr>
          <w:sz w:val="22"/>
          <w:szCs w:val="22"/>
        </w:rPr>
        <w:t xml:space="preserve"> and </w:t>
      </w:r>
      <w:r w:rsidR="00CD7711" w:rsidRPr="00654F46">
        <w:rPr>
          <w:sz w:val="22"/>
        </w:rPr>
        <w:t xml:space="preserve">as reflected in the UNDP </w:t>
      </w:r>
      <w:r w:rsidR="00C953B4">
        <w:rPr>
          <w:sz w:val="22"/>
        </w:rPr>
        <w:t>evaluation g</w:t>
      </w:r>
      <w:r w:rsidR="00CD7711" w:rsidRPr="00654F46">
        <w:rPr>
          <w:sz w:val="22"/>
        </w:rPr>
        <w:t>uidance</w:t>
      </w:r>
      <w:r w:rsidR="00294A7B">
        <w:rPr>
          <w:sz w:val="22"/>
        </w:rPr>
        <w:t xml:space="preserve"> for GEF financed projects</w:t>
      </w:r>
      <w:r w:rsidR="005E1178" w:rsidRPr="00654F46">
        <w:rPr>
          <w:sz w:val="22"/>
          <w:szCs w:val="22"/>
        </w:rPr>
        <w:t>.</w:t>
      </w:r>
    </w:p>
    <w:p w14:paraId="12DD8260" w14:textId="77777777" w:rsidR="00A52B28" w:rsidRPr="00FB6D4E" w:rsidRDefault="00A52B28" w:rsidP="00A52B28">
      <w:pPr>
        <w:rPr>
          <w:sz w:val="22"/>
          <w:szCs w:val="22"/>
        </w:rPr>
      </w:pPr>
    </w:p>
    <w:p w14:paraId="56DF4B54" w14:textId="77777777" w:rsidR="00A52B28" w:rsidRPr="00FB6D4E" w:rsidRDefault="00EB08ED" w:rsidP="00A52B28">
      <w:pPr>
        <w:pStyle w:val="Heading2"/>
        <w:numPr>
          <w:ilvl w:val="1"/>
          <w:numId w:val="1"/>
        </w:numPr>
        <w:tabs>
          <w:tab w:val="clear" w:pos="792"/>
          <w:tab w:val="num" w:pos="709"/>
        </w:tabs>
        <w:spacing w:before="0" w:after="0"/>
        <w:ind w:left="720" w:hanging="720"/>
        <w:rPr>
          <w:i w:val="0"/>
          <w:sz w:val="22"/>
          <w:szCs w:val="22"/>
        </w:rPr>
      </w:pPr>
      <w:bookmarkStart w:id="31" w:name="_Toc308103244"/>
      <w:r w:rsidRPr="00FB6D4E">
        <w:rPr>
          <w:i w:val="0"/>
          <w:sz w:val="22"/>
          <w:szCs w:val="22"/>
        </w:rPr>
        <w:t xml:space="preserve">Project </w:t>
      </w:r>
      <w:r w:rsidR="00C27EBE" w:rsidRPr="00FB6D4E">
        <w:rPr>
          <w:i w:val="0"/>
          <w:sz w:val="22"/>
          <w:szCs w:val="22"/>
        </w:rPr>
        <w:t>Design / </w:t>
      </w:r>
      <w:r w:rsidR="00AF5C2F" w:rsidRPr="00FB6D4E">
        <w:rPr>
          <w:i w:val="0"/>
          <w:sz w:val="22"/>
          <w:szCs w:val="22"/>
        </w:rPr>
        <w:t>Formulation</w:t>
      </w:r>
      <w:bookmarkEnd w:id="31"/>
    </w:p>
    <w:p w14:paraId="4F59C708" w14:textId="77777777" w:rsidR="00A52B28" w:rsidRPr="00FB6D4E" w:rsidRDefault="00A52B28" w:rsidP="00A52B28">
      <w:pPr>
        <w:widowControl/>
        <w:tabs>
          <w:tab w:val="left" w:pos="-720"/>
        </w:tabs>
        <w:jc w:val="both"/>
        <w:rPr>
          <w:sz w:val="22"/>
          <w:szCs w:val="22"/>
        </w:rPr>
      </w:pPr>
    </w:p>
    <w:p w14:paraId="42355EDD" w14:textId="77777777" w:rsidR="00A52B28" w:rsidRPr="00654F46" w:rsidRDefault="008773B2" w:rsidP="005D59CA">
      <w:pPr>
        <w:pStyle w:val="ListParagraph"/>
        <w:numPr>
          <w:ilvl w:val="0"/>
          <w:numId w:val="15"/>
        </w:numPr>
        <w:jc w:val="both"/>
        <w:rPr>
          <w:sz w:val="22"/>
          <w:szCs w:val="22"/>
        </w:rPr>
      </w:pPr>
      <w:r w:rsidRPr="00654F46">
        <w:rPr>
          <w:sz w:val="22"/>
        </w:rPr>
        <w:t>T</w:t>
      </w:r>
      <w:r w:rsidR="002831E0" w:rsidRPr="00654F46">
        <w:rPr>
          <w:sz w:val="22"/>
          <w:szCs w:val="22"/>
        </w:rPr>
        <w:t xml:space="preserve">his section discusses the </w:t>
      </w:r>
      <w:r w:rsidR="009D7F5A" w:rsidRPr="00654F46">
        <w:rPr>
          <w:sz w:val="22"/>
          <w:szCs w:val="22"/>
        </w:rPr>
        <w:t xml:space="preserve">assessment of the formulation of the project </w:t>
      </w:r>
      <w:r w:rsidR="00D13E59">
        <w:rPr>
          <w:sz w:val="22"/>
          <w:szCs w:val="22"/>
        </w:rPr>
        <w:t xml:space="preserve">– including its relevance - </w:t>
      </w:r>
      <w:r w:rsidR="009D7F5A" w:rsidRPr="00654F46">
        <w:rPr>
          <w:sz w:val="22"/>
          <w:szCs w:val="22"/>
        </w:rPr>
        <w:t>and its overall design.</w:t>
      </w:r>
      <w:r w:rsidR="002831E0" w:rsidRPr="00654F46">
        <w:rPr>
          <w:sz w:val="22"/>
          <w:szCs w:val="22"/>
        </w:rPr>
        <w:t xml:space="preserve"> </w:t>
      </w:r>
    </w:p>
    <w:p w14:paraId="14851FC7" w14:textId="77777777" w:rsidR="00A52B28" w:rsidRPr="00FB6D4E" w:rsidRDefault="00A52B28" w:rsidP="00A52B28">
      <w:pPr>
        <w:rPr>
          <w:sz w:val="22"/>
          <w:szCs w:val="22"/>
        </w:rPr>
      </w:pPr>
    </w:p>
    <w:p w14:paraId="5220C073" w14:textId="236A146F" w:rsidR="00A52B28"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32" w:name="_Toc308103245"/>
      <w:r w:rsidRPr="00FB6D4E">
        <w:rPr>
          <w:rFonts w:ascii="Arial" w:hAnsi="Arial" w:cs="Arial"/>
          <w:i/>
          <w:sz w:val="22"/>
          <w:szCs w:val="22"/>
        </w:rPr>
        <w:t xml:space="preserve">Analysis of </w:t>
      </w:r>
      <w:r w:rsidR="00757AED" w:rsidRPr="00757AED">
        <w:rPr>
          <w:rFonts w:ascii="Arial" w:hAnsi="Arial" w:cs="Arial"/>
          <w:i/>
          <w:sz w:val="22"/>
          <w:szCs w:val="22"/>
        </w:rPr>
        <w:t>Result</w:t>
      </w:r>
      <w:r w:rsidR="00C10A4A">
        <w:rPr>
          <w:rFonts w:ascii="Arial" w:hAnsi="Arial" w:cs="Arial"/>
          <w:i/>
          <w:sz w:val="22"/>
          <w:szCs w:val="22"/>
        </w:rPr>
        <w:t>s and Resource</w:t>
      </w:r>
      <w:r w:rsidR="00757AED" w:rsidRPr="00757AED">
        <w:rPr>
          <w:rFonts w:ascii="Arial" w:hAnsi="Arial" w:cs="Arial"/>
          <w:i/>
          <w:sz w:val="22"/>
          <w:szCs w:val="22"/>
        </w:rPr>
        <w:t xml:space="preserve"> Framework</w:t>
      </w:r>
      <w:bookmarkEnd w:id="32"/>
    </w:p>
    <w:p w14:paraId="4D83ED98" w14:textId="77777777" w:rsidR="00A52B28" w:rsidRPr="00FB6D4E" w:rsidRDefault="00A52B28" w:rsidP="00A52B28">
      <w:pPr>
        <w:tabs>
          <w:tab w:val="left" w:pos="1472"/>
        </w:tabs>
        <w:jc w:val="both"/>
        <w:rPr>
          <w:sz w:val="22"/>
          <w:szCs w:val="22"/>
        </w:rPr>
      </w:pPr>
    </w:p>
    <w:p w14:paraId="3FBF0B10" w14:textId="2F7AF980" w:rsidR="00102090" w:rsidRPr="00102090" w:rsidRDefault="00992B97" w:rsidP="00102090">
      <w:pPr>
        <w:pStyle w:val="ListParagraph"/>
        <w:numPr>
          <w:ilvl w:val="0"/>
          <w:numId w:val="15"/>
        </w:numPr>
        <w:jc w:val="both"/>
        <w:rPr>
          <w:sz w:val="22"/>
          <w:szCs w:val="22"/>
        </w:rPr>
      </w:pPr>
      <w:r w:rsidRPr="00102090">
        <w:rPr>
          <w:sz w:val="22"/>
          <w:szCs w:val="22"/>
        </w:rPr>
        <w:t>The</w:t>
      </w:r>
      <w:r w:rsidR="00102090" w:rsidRPr="00102090">
        <w:rPr>
          <w:sz w:val="22"/>
          <w:szCs w:val="22"/>
        </w:rPr>
        <w:t xml:space="preserve"> Result</w:t>
      </w:r>
      <w:r w:rsidR="00C10A4A">
        <w:rPr>
          <w:sz w:val="22"/>
          <w:szCs w:val="22"/>
        </w:rPr>
        <w:t>s and Resource</w:t>
      </w:r>
      <w:r w:rsidR="00102090" w:rsidRPr="00102090">
        <w:rPr>
          <w:sz w:val="22"/>
          <w:szCs w:val="22"/>
        </w:rPr>
        <w:t xml:space="preserve"> Framework identified during the design phase of this project presents a </w:t>
      </w:r>
      <w:r w:rsidR="001C6260">
        <w:rPr>
          <w:sz w:val="22"/>
          <w:szCs w:val="22"/>
        </w:rPr>
        <w:t>good</w:t>
      </w:r>
      <w:r w:rsidR="00102090">
        <w:rPr>
          <w:sz w:val="22"/>
          <w:szCs w:val="22"/>
        </w:rPr>
        <w:t xml:space="preserve"> </w:t>
      </w:r>
      <w:r w:rsidR="00102090" w:rsidRPr="00102090">
        <w:rPr>
          <w:sz w:val="22"/>
          <w:szCs w:val="22"/>
        </w:rPr>
        <w:t xml:space="preserve">set of expected results. No changes were made during the inception phase. The review of the </w:t>
      </w:r>
      <w:r w:rsidR="00102090">
        <w:rPr>
          <w:sz w:val="22"/>
          <w:szCs w:val="22"/>
        </w:rPr>
        <w:t xml:space="preserve">expected results </w:t>
      </w:r>
      <w:r w:rsidR="00102090" w:rsidRPr="00102090">
        <w:rPr>
          <w:sz w:val="22"/>
          <w:szCs w:val="22"/>
        </w:rPr>
        <w:t>indicates a</w:t>
      </w:r>
      <w:r w:rsidR="00725811">
        <w:rPr>
          <w:sz w:val="22"/>
          <w:szCs w:val="22"/>
        </w:rPr>
        <w:t>n</w:t>
      </w:r>
      <w:r w:rsidR="00102090" w:rsidRPr="00102090">
        <w:rPr>
          <w:sz w:val="22"/>
          <w:szCs w:val="22"/>
        </w:rPr>
        <w:t xml:space="preserve"> </w:t>
      </w:r>
      <w:r w:rsidR="00725811" w:rsidRPr="00102090">
        <w:rPr>
          <w:sz w:val="22"/>
          <w:szCs w:val="22"/>
        </w:rPr>
        <w:t>adequate</w:t>
      </w:r>
      <w:r w:rsidR="00102090" w:rsidRPr="00102090">
        <w:rPr>
          <w:sz w:val="22"/>
          <w:szCs w:val="22"/>
        </w:rPr>
        <w:t xml:space="preserve"> and logical “</w:t>
      </w:r>
      <w:r w:rsidR="00102090" w:rsidRPr="00102090">
        <w:rPr>
          <w:i/>
          <w:sz w:val="22"/>
          <w:szCs w:val="22"/>
        </w:rPr>
        <w:t>chain of results</w:t>
      </w:r>
      <w:r w:rsidR="00102090" w:rsidRPr="00102090">
        <w:rPr>
          <w:sz w:val="22"/>
          <w:szCs w:val="22"/>
        </w:rPr>
        <w:t xml:space="preserve">” – </w:t>
      </w:r>
      <w:r w:rsidR="00102090">
        <w:rPr>
          <w:sz w:val="22"/>
          <w:szCs w:val="22"/>
        </w:rPr>
        <w:t>Outputs</w:t>
      </w:r>
      <w:r w:rsidR="00102090" w:rsidRPr="00102090">
        <w:rPr>
          <w:sz w:val="22"/>
          <w:szCs w:val="22"/>
        </w:rPr>
        <w:t xml:space="preserve"> </w:t>
      </w:r>
      <w:r w:rsidR="00102090" w:rsidRPr="00102090">
        <w:rPr>
          <w:rFonts w:ascii="Wingdings" w:hAnsi="Wingdings"/>
          <w:sz w:val="20"/>
          <w:szCs w:val="20"/>
        </w:rPr>
        <w:t></w:t>
      </w:r>
      <w:r w:rsidR="00102090">
        <w:rPr>
          <w:rFonts w:ascii="Wingdings" w:hAnsi="Wingdings"/>
          <w:sz w:val="20"/>
          <w:szCs w:val="20"/>
        </w:rPr>
        <w:t></w:t>
      </w:r>
      <w:r w:rsidR="00102090" w:rsidRPr="00102090">
        <w:rPr>
          <w:sz w:val="22"/>
          <w:szCs w:val="22"/>
        </w:rPr>
        <w:t xml:space="preserve">Outcomes </w:t>
      </w:r>
      <w:r w:rsidR="00102090" w:rsidRPr="00102090">
        <w:rPr>
          <w:rFonts w:ascii="Wingdings" w:hAnsi="Wingdings"/>
          <w:noProof/>
          <w:sz w:val="20"/>
          <w:szCs w:val="20"/>
        </w:rPr>
        <w:t></w:t>
      </w:r>
      <w:r w:rsidR="00102090" w:rsidRPr="00102090">
        <w:rPr>
          <w:rFonts w:ascii="Wingdings" w:hAnsi="Wingdings"/>
          <w:noProof/>
          <w:sz w:val="20"/>
          <w:szCs w:val="20"/>
        </w:rPr>
        <w:t></w:t>
      </w:r>
      <w:r w:rsidR="00102090" w:rsidRPr="00102090">
        <w:rPr>
          <w:sz w:val="22"/>
          <w:szCs w:val="22"/>
        </w:rPr>
        <w:t xml:space="preserve">Objective. Project resources were used to implement activities to reach a set of expected </w:t>
      </w:r>
      <w:r w:rsidR="00102090">
        <w:rPr>
          <w:sz w:val="22"/>
          <w:szCs w:val="22"/>
        </w:rPr>
        <w:t>outputs (8</w:t>
      </w:r>
      <w:r w:rsidR="00102090" w:rsidRPr="00102090">
        <w:rPr>
          <w:sz w:val="22"/>
          <w:szCs w:val="22"/>
        </w:rPr>
        <w:t xml:space="preserve">), </w:t>
      </w:r>
      <w:r w:rsidR="00102090">
        <w:rPr>
          <w:sz w:val="22"/>
          <w:szCs w:val="22"/>
        </w:rPr>
        <w:t xml:space="preserve">which would contribute to achieve a set of expected three outcomes, </w:t>
      </w:r>
      <w:r w:rsidR="00102090" w:rsidRPr="00102090">
        <w:rPr>
          <w:sz w:val="22"/>
          <w:szCs w:val="22"/>
        </w:rPr>
        <w:t xml:space="preserve">which together should contribute to achieve the overall objective of the project. </w:t>
      </w:r>
      <w:r w:rsidR="00102090">
        <w:rPr>
          <w:sz w:val="22"/>
          <w:szCs w:val="22"/>
        </w:rPr>
        <w:t>This framework also includes a set of yearly targets for each outcome as well as a set of indicators to monitor the performance of the project</w:t>
      </w:r>
      <w:r w:rsidR="001C6260">
        <w:rPr>
          <w:sz w:val="22"/>
          <w:szCs w:val="22"/>
        </w:rPr>
        <w:t>; though, as discussed in section 4.2.4, these indicators and yearly targets did not provide the best performance monitoring framework to measure the progress made by the project</w:t>
      </w:r>
      <w:r w:rsidR="00102090">
        <w:rPr>
          <w:sz w:val="22"/>
          <w:szCs w:val="22"/>
        </w:rPr>
        <w:t xml:space="preserve">. </w:t>
      </w:r>
      <w:r w:rsidR="001C6260">
        <w:rPr>
          <w:sz w:val="22"/>
          <w:szCs w:val="22"/>
        </w:rPr>
        <w:t xml:space="preserve">Nevertheless, this </w:t>
      </w:r>
      <w:r w:rsidR="00102090" w:rsidRPr="00102090">
        <w:rPr>
          <w:sz w:val="22"/>
          <w:szCs w:val="22"/>
        </w:rPr>
        <w:t>Result and Resources Framework was used as a “</w:t>
      </w:r>
      <w:r w:rsidR="00102090" w:rsidRPr="00102090">
        <w:rPr>
          <w:i/>
          <w:sz w:val="22"/>
          <w:szCs w:val="22"/>
        </w:rPr>
        <w:t>blueprint</w:t>
      </w:r>
      <w:r w:rsidR="00102090" w:rsidRPr="00102090">
        <w:rPr>
          <w:sz w:val="22"/>
          <w:szCs w:val="22"/>
        </w:rPr>
        <w:t xml:space="preserve">” </w:t>
      </w:r>
      <w:r w:rsidR="00D37A36" w:rsidRPr="00102090">
        <w:rPr>
          <w:sz w:val="22"/>
          <w:szCs w:val="22"/>
        </w:rPr>
        <w:t>by the implementation team</w:t>
      </w:r>
      <w:r w:rsidR="00D37A36">
        <w:rPr>
          <w:sz w:val="22"/>
          <w:szCs w:val="22"/>
        </w:rPr>
        <w:t xml:space="preserve"> for implementing the project </w:t>
      </w:r>
      <w:r w:rsidR="00102090" w:rsidRPr="00102090">
        <w:rPr>
          <w:sz w:val="22"/>
          <w:szCs w:val="22"/>
        </w:rPr>
        <w:t>on a day-to-day basis.</w:t>
      </w:r>
    </w:p>
    <w:p w14:paraId="1F1842B3" w14:textId="77777777" w:rsidR="00102090" w:rsidRDefault="00102090" w:rsidP="00102090">
      <w:pPr>
        <w:pStyle w:val="ListParagraph"/>
        <w:ind w:left="0"/>
        <w:jc w:val="both"/>
        <w:rPr>
          <w:sz w:val="22"/>
          <w:szCs w:val="22"/>
        </w:rPr>
      </w:pPr>
    </w:p>
    <w:p w14:paraId="3F151979" w14:textId="4C4B311A" w:rsidR="00C10A4A" w:rsidRPr="00C10A4A" w:rsidRDefault="00AC2DF0" w:rsidP="00D17058">
      <w:pPr>
        <w:pStyle w:val="ListParagraph"/>
        <w:numPr>
          <w:ilvl w:val="0"/>
          <w:numId w:val="15"/>
        </w:numPr>
        <w:jc w:val="both"/>
        <w:rPr>
          <w:sz w:val="22"/>
          <w:szCs w:val="22"/>
        </w:rPr>
      </w:pPr>
      <w:r w:rsidRPr="00C10A4A">
        <w:rPr>
          <w:sz w:val="22"/>
          <w:szCs w:val="22"/>
        </w:rPr>
        <w:t xml:space="preserve">As discussed in Section 2 above, the project has been addressing </w:t>
      </w:r>
      <w:r w:rsidR="00C10A4A" w:rsidRPr="00C10A4A">
        <w:rPr>
          <w:sz w:val="22"/>
          <w:szCs w:val="22"/>
        </w:rPr>
        <w:t xml:space="preserve">environmental fiscal issues that should help to increase the allocation of financial resources to this sector over the long-term. It is also a project that is aligned with the Association Agreement between the EU and Moldova, which set a roadmap for Moldova to harmonize the management of its environment with EU Directives. The review of this Results and Resource Framework indicates that this project was well aligned with national priorities and its logic was appropriate to address national needs. </w:t>
      </w:r>
    </w:p>
    <w:p w14:paraId="55F348F1" w14:textId="77777777" w:rsidR="00D4557F" w:rsidRPr="00FB6D4E" w:rsidRDefault="00D4557F" w:rsidP="00D4557F">
      <w:pPr>
        <w:pStyle w:val="ListParagraph"/>
        <w:ind w:left="0"/>
        <w:jc w:val="both"/>
        <w:rPr>
          <w:sz w:val="22"/>
          <w:szCs w:val="22"/>
        </w:rPr>
      </w:pPr>
    </w:p>
    <w:p w14:paraId="71421892" w14:textId="699C34E1" w:rsidR="00CF7747" w:rsidRDefault="00D4557F" w:rsidP="00D4557F">
      <w:pPr>
        <w:pStyle w:val="ListParagraph"/>
        <w:numPr>
          <w:ilvl w:val="0"/>
          <w:numId w:val="15"/>
        </w:numPr>
        <w:jc w:val="both"/>
        <w:rPr>
          <w:sz w:val="22"/>
          <w:szCs w:val="22"/>
        </w:rPr>
      </w:pPr>
      <w:r w:rsidRPr="00FB6D4E">
        <w:rPr>
          <w:sz w:val="22"/>
          <w:szCs w:val="22"/>
        </w:rPr>
        <w:t xml:space="preserve">The logic model of the project presented in the </w:t>
      </w:r>
      <w:r w:rsidR="00CF7747" w:rsidRPr="00202D75">
        <w:rPr>
          <w:i/>
          <w:sz w:val="22"/>
          <w:szCs w:val="22"/>
        </w:rPr>
        <w:t>Result and Resources Framework</w:t>
      </w:r>
      <w:r w:rsidR="00CF7747" w:rsidRPr="00CF7747">
        <w:rPr>
          <w:sz w:val="22"/>
          <w:szCs w:val="22"/>
        </w:rPr>
        <w:t xml:space="preserve"> </w:t>
      </w:r>
      <w:r w:rsidRPr="00FB6D4E">
        <w:rPr>
          <w:sz w:val="22"/>
          <w:szCs w:val="22"/>
        </w:rPr>
        <w:t xml:space="preserve">is </w:t>
      </w:r>
      <w:r>
        <w:rPr>
          <w:sz w:val="22"/>
          <w:szCs w:val="22"/>
        </w:rPr>
        <w:t xml:space="preserve">summarized </w:t>
      </w:r>
      <w:r w:rsidRPr="00FB6D4E">
        <w:rPr>
          <w:sz w:val="22"/>
          <w:szCs w:val="22"/>
        </w:rPr>
        <w:t xml:space="preserve">in table </w:t>
      </w:r>
      <w:r>
        <w:rPr>
          <w:sz w:val="22"/>
          <w:szCs w:val="22"/>
        </w:rPr>
        <w:t xml:space="preserve">3 </w:t>
      </w:r>
      <w:r w:rsidRPr="00FB6D4E">
        <w:rPr>
          <w:sz w:val="22"/>
          <w:szCs w:val="22"/>
        </w:rPr>
        <w:t>b</w:t>
      </w:r>
      <w:r w:rsidR="00CF7747">
        <w:rPr>
          <w:sz w:val="22"/>
          <w:szCs w:val="22"/>
        </w:rPr>
        <w:t>elow. It includes one objective</w:t>
      </w:r>
      <w:r w:rsidR="007254C1">
        <w:rPr>
          <w:sz w:val="22"/>
          <w:szCs w:val="22"/>
        </w:rPr>
        <w:t xml:space="preserve">, three </w:t>
      </w:r>
      <w:r w:rsidRPr="00FB6D4E">
        <w:rPr>
          <w:sz w:val="22"/>
          <w:szCs w:val="22"/>
        </w:rPr>
        <w:t>outcomes</w:t>
      </w:r>
      <w:r w:rsidR="007254C1">
        <w:rPr>
          <w:sz w:val="22"/>
          <w:szCs w:val="22"/>
        </w:rPr>
        <w:t xml:space="preserve"> and eight outputs</w:t>
      </w:r>
      <w:r w:rsidRPr="00E33443">
        <w:rPr>
          <w:sz w:val="22"/>
          <w:szCs w:val="22"/>
        </w:rPr>
        <w:t>. For</w:t>
      </w:r>
      <w:r w:rsidRPr="00FB6D4E">
        <w:rPr>
          <w:sz w:val="22"/>
          <w:szCs w:val="22"/>
        </w:rPr>
        <w:t xml:space="preserve"> each expected </w:t>
      </w:r>
      <w:r>
        <w:rPr>
          <w:sz w:val="22"/>
          <w:szCs w:val="22"/>
        </w:rPr>
        <w:t>outcome</w:t>
      </w:r>
      <w:r w:rsidRPr="00FB6D4E">
        <w:rPr>
          <w:sz w:val="22"/>
          <w:szCs w:val="22"/>
        </w:rPr>
        <w:t xml:space="preserve">, </w:t>
      </w:r>
      <w:r w:rsidR="00202D75">
        <w:rPr>
          <w:sz w:val="22"/>
          <w:szCs w:val="22"/>
        </w:rPr>
        <w:t xml:space="preserve">yearly </w:t>
      </w:r>
      <w:r w:rsidR="00CF7747">
        <w:rPr>
          <w:sz w:val="22"/>
          <w:szCs w:val="22"/>
        </w:rPr>
        <w:t xml:space="preserve">output targets and indicative </w:t>
      </w:r>
      <w:r w:rsidR="007254C1">
        <w:rPr>
          <w:sz w:val="22"/>
          <w:szCs w:val="22"/>
        </w:rPr>
        <w:t>outputs</w:t>
      </w:r>
      <w:r w:rsidR="00CF7747">
        <w:rPr>
          <w:sz w:val="22"/>
          <w:szCs w:val="22"/>
        </w:rPr>
        <w:t xml:space="preserve"> were identified. </w:t>
      </w:r>
    </w:p>
    <w:p w14:paraId="0FB57CC6" w14:textId="77777777" w:rsidR="00E25CA7" w:rsidRPr="00FB6D4E" w:rsidRDefault="00E25CA7" w:rsidP="004E2601">
      <w:pPr>
        <w:pStyle w:val="ListParagraph"/>
        <w:ind w:left="0"/>
        <w:jc w:val="both"/>
        <w:rPr>
          <w:sz w:val="22"/>
          <w:szCs w:val="22"/>
        </w:rPr>
      </w:pPr>
    </w:p>
    <w:p w14:paraId="4080626A" w14:textId="77777777" w:rsidR="004E2601" w:rsidRPr="00FB6D4E" w:rsidRDefault="004E2601" w:rsidP="004E2601">
      <w:pPr>
        <w:pStyle w:val="Caption"/>
        <w:jc w:val="center"/>
        <w:rPr>
          <w:rFonts w:ascii="Arial" w:hAnsi="Arial"/>
          <w:bCs w:val="0"/>
          <w:sz w:val="22"/>
          <w:szCs w:val="22"/>
        </w:rPr>
      </w:pPr>
      <w:bookmarkStart w:id="33" w:name="_Toc305531031"/>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3</w:t>
      </w:r>
      <w:r w:rsidRPr="00FB6D4E">
        <w:fldChar w:fldCharType="end"/>
      </w:r>
      <w:r w:rsidRPr="00FB6D4E">
        <w:rPr>
          <w:rFonts w:ascii="Arial" w:hAnsi="Arial"/>
        </w:rPr>
        <w:t>:</w:t>
      </w:r>
      <w:r w:rsidRPr="00FB6D4E">
        <w:rPr>
          <w:rFonts w:ascii="Arial" w:hAnsi="Arial"/>
          <w:b w:val="0"/>
        </w:rPr>
        <w:t xml:space="preserve">  Project Logic Model</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A0" w:firstRow="1" w:lastRow="0" w:firstColumn="1" w:lastColumn="0" w:noHBand="0" w:noVBand="0"/>
      </w:tblPr>
      <w:tblGrid>
        <w:gridCol w:w="3629"/>
        <w:gridCol w:w="6173"/>
      </w:tblGrid>
      <w:tr w:rsidR="00FB2300" w:rsidRPr="00FB6D4E" w14:paraId="478AFC4D" w14:textId="5CA9DA64" w:rsidTr="00FB2300">
        <w:tc>
          <w:tcPr>
            <w:tcW w:w="9802" w:type="dxa"/>
            <w:gridSpan w:val="2"/>
            <w:shd w:val="clear" w:color="auto" w:fill="D9D9D9"/>
          </w:tcPr>
          <w:p w14:paraId="3D265D41" w14:textId="77777777" w:rsidR="00FB2300" w:rsidRPr="00FB6D4E" w:rsidRDefault="00FB2300" w:rsidP="004E2601">
            <w:pPr>
              <w:widowControl/>
              <w:tabs>
                <w:tab w:val="left" w:pos="-720"/>
                <w:tab w:val="left" w:pos="567"/>
              </w:tabs>
              <w:jc w:val="center"/>
              <w:rPr>
                <w:rFonts w:ascii="Arial" w:hAnsi="Arial"/>
                <w:bCs/>
                <w:sz w:val="18"/>
                <w:szCs w:val="22"/>
              </w:rPr>
            </w:pPr>
            <w:r w:rsidRPr="00FB6D4E">
              <w:rPr>
                <w:rFonts w:ascii="Arial" w:hAnsi="Arial"/>
                <w:b/>
                <w:bCs/>
                <w:sz w:val="18"/>
                <w:szCs w:val="22"/>
              </w:rPr>
              <w:t>PROJECT OBJECTIVE</w:t>
            </w:r>
            <w:r w:rsidRPr="00FB6D4E">
              <w:rPr>
                <w:rFonts w:ascii="Arial" w:hAnsi="Arial"/>
                <w:bCs/>
                <w:sz w:val="18"/>
                <w:szCs w:val="22"/>
              </w:rPr>
              <w:t xml:space="preserve"> </w:t>
            </w:r>
          </w:p>
          <w:p w14:paraId="7B2C2037" w14:textId="03D4584A" w:rsidR="00FB2300" w:rsidRPr="00FB6D4E" w:rsidRDefault="00FB2300" w:rsidP="004E2601">
            <w:pPr>
              <w:widowControl/>
              <w:tabs>
                <w:tab w:val="left" w:pos="-720"/>
                <w:tab w:val="left" w:pos="567"/>
              </w:tabs>
              <w:jc w:val="center"/>
              <w:rPr>
                <w:rFonts w:ascii="Arial" w:hAnsi="Arial"/>
                <w:b/>
                <w:bCs/>
                <w:sz w:val="18"/>
                <w:szCs w:val="22"/>
              </w:rPr>
            </w:pPr>
            <w:r w:rsidRPr="00FB6D4E">
              <w:rPr>
                <w:rFonts w:ascii="Arial" w:hAnsi="Arial"/>
                <w:bCs/>
                <w:sz w:val="18"/>
                <w:szCs w:val="22"/>
              </w:rPr>
              <w:t>To</w:t>
            </w:r>
            <w:r>
              <w:rPr>
                <w:rFonts w:ascii="Arial" w:hAnsi="Arial"/>
                <w:bCs/>
                <w:sz w:val="18"/>
                <w:szCs w:val="22"/>
              </w:rPr>
              <w:t xml:space="preserve"> </w:t>
            </w:r>
            <w:r w:rsidRPr="00304B47">
              <w:rPr>
                <w:rFonts w:ascii="Arial" w:hAnsi="Arial"/>
                <w:bCs/>
                <w:sz w:val="18"/>
                <w:szCs w:val="22"/>
              </w:rPr>
              <w:t>build capacities for implementing environmental fiscal reforms (EFR) that will produce increased national and global environmental benefits through the adoption of selected subsidies, fees, fines, taxes and other appropriate fiscal instruments.</w:t>
            </w:r>
          </w:p>
        </w:tc>
      </w:tr>
      <w:tr w:rsidR="00442CB2" w:rsidRPr="00FB6D4E" w14:paraId="5D0A5917" w14:textId="66DCE1C7" w:rsidTr="00442CB2">
        <w:tc>
          <w:tcPr>
            <w:tcW w:w="3629" w:type="dxa"/>
          </w:tcPr>
          <w:p w14:paraId="39FDE253" w14:textId="42BC0D3E" w:rsidR="00FB2300" w:rsidRPr="00FB2300" w:rsidRDefault="00FB2300" w:rsidP="004E2601">
            <w:pPr>
              <w:widowControl/>
              <w:tabs>
                <w:tab w:val="left" w:pos="-720"/>
              </w:tabs>
              <w:rPr>
                <w:rFonts w:ascii="Arial" w:hAnsi="Arial"/>
                <w:bCs/>
                <w:sz w:val="18"/>
                <w:szCs w:val="22"/>
              </w:rPr>
            </w:pPr>
            <w:r w:rsidRPr="00FB2300">
              <w:rPr>
                <w:rFonts w:ascii="Arial" w:hAnsi="Arial"/>
                <w:b/>
                <w:bCs/>
                <w:sz w:val="18"/>
                <w:szCs w:val="22"/>
              </w:rPr>
              <w:t>Outcome 1 -</w:t>
            </w:r>
            <w:r w:rsidRPr="00FB2300">
              <w:rPr>
                <w:rFonts w:ascii="Arial" w:hAnsi="Arial"/>
                <w:bCs/>
                <w:sz w:val="18"/>
                <w:szCs w:val="22"/>
              </w:rPr>
              <w:t xml:space="preserve"> Reform of environmentally harmful subsidies, green subsidies as well as environmental charges:</w:t>
            </w:r>
          </w:p>
          <w:p w14:paraId="5BE06783" w14:textId="6479AB8B" w:rsidR="00FB2300" w:rsidRPr="00FB2300"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1.1: </w:t>
            </w:r>
            <w:r w:rsidRPr="00FB2300">
              <w:rPr>
                <w:rFonts w:ascii="Arial" w:hAnsi="Arial"/>
                <w:bCs/>
                <w:sz w:val="18"/>
                <w:szCs w:val="22"/>
              </w:rPr>
              <w:t xml:space="preserve">Introduce policy reform in the area of environmentally harmful subsidies </w:t>
            </w:r>
          </w:p>
          <w:p w14:paraId="4AEFF2DE" w14:textId="5201A742" w:rsidR="00FB2300" w:rsidRPr="00FB2300"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1.2: </w:t>
            </w:r>
            <w:r w:rsidRPr="00FB2300">
              <w:rPr>
                <w:rFonts w:ascii="Arial" w:hAnsi="Arial"/>
                <w:bCs/>
                <w:sz w:val="18"/>
                <w:szCs w:val="22"/>
              </w:rPr>
              <w:t>Reform of environmental charges and facilitation of eco-technology investments</w:t>
            </w:r>
          </w:p>
          <w:p w14:paraId="72450629" w14:textId="0910E175" w:rsidR="00FB2300" w:rsidRPr="00FB2300"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1.3: </w:t>
            </w:r>
            <w:r w:rsidRPr="00FB2300">
              <w:rPr>
                <w:rFonts w:ascii="Arial" w:hAnsi="Arial"/>
                <w:bCs/>
                <w:sz w:val="18"/>
                <w:szCs w:val="22"/>
              </w:rPr>
              <w:t>Improved regulations and operational management of the National and Local Ecological Funds (NEF/LEFs).</w:t>
            </w:r>
          </w:p>
        </w:tc>
        <w:tc>
          <w:tcPr>
            <w:tcW w:w="6173" w:type="dxa"/>
          </w:tcPr>
          <w:p w14:paraId="1E32822F" w14:textId="7C143E35" w:rsidR="00FB2300" w:rsidRPr="00FB2300" w:rsidRDefault="00FB2300" w:rsidP="00FB2300">
            <w:pPr>
              <w:widowControl/>
              <w:numPr>
                <w:ilvl w:val="0"/>
                <w:numId w:val="12"/>
              </w:numPr>
              <w:tabs>
                <w:tab w:val="clear" w:pos="720"/>
                <w:tab w:val="left" w:pos="-720"/>
                <w:tab w:val="num" w:pos="168"/>
              </w:tabs>
              <w:ind w:left="168" w:hanging="142"/>
              <w:rPr>
                <w:rFonts w:ascii="Arial" w:hAnsi="Arial"/>
                <w:b/>
                <w:bCs/>
                <w:i/>
                <w:sz w:val="18"/>
                <w:szCs w:val="22"/>
              </w:rPr>
            </w:pPr>
            <w:r w:rsidRPr="00FB2300">
              <w:rPr>
                <w:rFonts w:ascii="Arial" w:hAnsi="Arial"/>
                <w:b/>
                <w:bCs/>
                <w:i/>
                <w:sz w:val="18"/>
                <w:szCs w:val="22"/>
              </w:rPr>
              <w:t xml:space="preserve">Target (Year 1): </w:t>
            </w:r>
          </w:p>
          <w:p w14:paraId="12B91121" w14:textId="012AA48D" w:rsidR="00FB2300" w:rsidRPr="00442CB2" w:rsidRDefault="00FB230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Identification of tax and duties on energy and agriculture products </w:t>
            </w:r>
          </w:p>
          <w:p w14:paraId="60D2E079" w14:textId="03999B7A" w:rsidR="00FB2300" w:rsidRPr="00442CB2" w:rsidRDefault="00FB230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Market analysis for eco-technology solutions </w:t>
            </w:r>
          </w:p>
          <w:p w14:paraId="14FA78B9" w14:textId="7174CAFE" w:rsidR="00FB2300" w:rsidRPr="00442CB2" w:rsidRDefault="00FB230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Procedures for PCM for NEF/LEFs spending areas</w:t>
            </w:r>
          </w:p>
          <w:p w14:paraId="638BE5D7" w14:textId="77777777" w:rsidR="00FB2300" w:rsidRPr="00764018" w:rsidRDefault="00FB2300" w:rsidP="00764018">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2)</w:t>
            </w:r>
          </w:p>
          <w:p w14:paraId="08FD54DB" w14:textId="658932D6" w:rsidR="00FB2300" w:rsidRPr="00FB2300" w:rsidRDefault="00FB2300"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 xml:space="preserve">Identification of options for greening and reforming subsidies and charges </w:t>
            </w:r>
          </w:p>
          <w:p w14:paraId="7F65A2BF" w14:textId="7A14D777" w:rsidR="00FB2300" w:rsidRPr="00442CB2" w:rsidRDefault="00FB2300"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Short and long-term spending strategy of NEF/LEFs</w:t>
            </w:r>
          </w:p>
          <w:p w14:paraId="79217AC9" w14:textId="77777777" w:rsidR="00FB2300" w:rsidRPr="00764018" w:rsidRDefault="00FB2300" w:rsidP="00764018">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3)</w:t>
            </w:r>
          </w:p>
          <w:p w14:paraId="42CE7C9D" w14:textId="36F3FDA1" w:rsidR="00FB2300" w:rsidRPr="00FB2300" w:rsidRDefault="00FB2300"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Recommendations for legislative texts and technical guidelines elaborated and submitted for and adoption</w:t>
            </w:r>
          </w:p>
        </w:tc>
      </w:tr>
      <w:tr w:rsidR="00442CB2" w:rsidRPr="00FB6D4E" w14:paraId="1A6692A6" w14:textId="068F6D67" w:rsidTr="00442CB2">
        <w:tc>
          <w:tcPr>
            <w:tcW w:w="3629" w:type="dxa"/>
          </w:tcPr>
          <w:p w14:paraId="7108AD7B" w14:textId="75896E32" w:rsidR="00FB2300" w:rsidRPr="00FB2300" w:rsidRDefault="00FB2300" w:rsidP="00CF7747">
            <w:pPr>
              <w:widowControl/>
              <w:tabs>
                <w:tab w:val="left" w:pos="-720"/>
              </w:tabs>
              <w:rPr>
                <w:rFonts w:ascii="Arial" w:hAnsi="Arial"/>
                <w:bCs/>
                <w:sz w:val="18"/>
                <w:szCs w:val="22"/>
              </w:rPr>
            </w:pPr>
            <w:r w:rsidRPr="00FB2300">
              <w:rPr>
                <w:rFonts w:ascii="Arial" w:hAnsi="Arial"/>
                <w:b/>
                <w:bCs/>
                <w:sz w:val="18"/>
                <w:szCs w:val="22"/>
              </w:rPr>
              <w:lastRenderedPageBreak/>
              <w:t>Outcome 2:</w:t>
            </w:r>
            <w:r w:rsidRPr="00FB2300">
              <w:rPr>
                <w:rFonts w:ascii="Arial" w:hAnsi="Arial"/>
                <w:bCs/>
                <w:sz w:val="18"/>
                <w:szCs w:val="22"/>
              </w:rPr>
              <w:t xml:space="preserve"> Capacity development to engage and build consensus among all stakeholders:</w:t>
            </w:r>
          </w:p>
          <w:p w14:paraId="74F437A0" w14:textId="7978DBBF" w:rsidR="00FB2300" w:rsidRPr="00FB2300"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2.1: </w:t>
            </w:r>
            <w:r w:rsidRPr="00FB2300">
              <w:rPr>
                <w:rFonts w:ascii="Arial" w:hAnsi="Arial"/>
                <w:bCs/>
                <w:sz w:val="18"/>
                <w:szCs w:val="22"/>
              </w:rPr>
              <w:t>Capacity building for EFR</w:t>
            </w:r>
          </w:p>
          <w:p w14:paraId="0C04DEF7" w14:textId="77777777" w:rsidR="00FB2300" w:rsidRPr="00FB2300"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2.2: </w:t>
            </w:r>
            <w:r w:rsidRPr="00FB2300">
              <w:rPr>
                <w:rFonts w:ascii="Arial" w:hAnsi="Arial"/>
                <w:bCs/>
                <w:sz w:val="18"/>
                <w:szCs w:val="22"/>
              </w:rPr>
              <w:t>Communication and awareness</w:t>
            </w:r>
          </w:p>
          <w:p w14:paraId="5806DD59" w14:textId="117B42C3" w:rsidR="00FB2300" w:rsidRPr="00FB2300"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Output 2.3:</w:t>
            </w:r>
            <w:r w:rsidRPr="00FB2300">
              <w:rPr>
                <w:rFonts w:ascii="Arial" w:hAnsi="Arial"/>
                <w:bCs/>
                <w:sz w:val="18"/>
                <w:szCs w:val="22"/>
              </w:rPr>
              <w:t xml:space="preserve"> A political dialogue is established</w:t>
            </w:r>
          </w:p>
        </w:tc>
        <w:tc>
          <w:tcPr>
            <w:tcW w:w="6173" w:type="dxa"/>
          </w:tcPr>
          <w:p w14:paraId="38D196CD" w14:textId="079238EF" w:rsidR="00442CB2" w:rsidRPr="00442CB2" w:rsidRDefault="00442CB2" w:rsidP="00442CB2">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5B930DEA" w14:textId="38C31983"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training needs assessment conducted</w:t>
            </w:r>
          </w:p>
          <w:p w14:paraId="3389A2E0" w14:textId="47E6B719"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information campaign is designed</w:t>
            </w:r>
          </w:p>
          <w:p w14:paraId="4D3106AC" w14:textId="3D3DE472"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An EFR website is developed, put </w:t>
            </w:r>
            <w:r>
              <w:rPr>
                <w:rFonts w:ascii="Arial" w:hAnsi="Arial"/>
                <w:bCs/>
                <w:sz w:val="18"/>
                <w:szCs w:val="22"/>
              </w:rPr>
              <w:t>online and continuously updated</w:t>
            </w:r>
          </w:p>
          <w:p w14:paraId="6CD9E433" w14:textId="52B1BC50" w:rsidR="00442CB2" w:rsidRPr="00442CB2" w:rsidRDefault="00442CB2" w:rsidP="00442CB2">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7E14720F" w14:textId="02AF27C4"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set of training sessions are implemented in line with the training needs assessment</w:t>
            </w:r>
          </w:p>
          <w:p w14:paraId="5519563F" w14:textId="7FAA85A9"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w:t>
            </w:r>
            <w:r>
              <w:rPr>
                <w:rFonts w:ascii="Arial" w:hAnsi="Arial"/>
                <w:bCs/>
                <w:sz w:val="18"/>
                <w:szCs w:val="22"/>
              </w:rPr>
              <w:t>rmation campaign is implemented</w:t>
            </w:r>
          </w:p>
          <w:p w14:paraId="480E80EF" w14:textId="369D7C2E" w:rsidR="00442CB2" w:rsidRPr="00442CB2" w:rsidRDefault="00442CB2" w:rsidP="00442CB2">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6F7526B1" w14:textId="7FBCD86F"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Three case studies are published based the lessons learned related to improved national financing for CBD, </w:t>
            </w:r>
            <w:r w:rsidR="00153B36">
              <w:rPr>
                <w:rFonts w:ascii="Arial" w:hAnsi="Arial"/>
                <w:bCs/>
                <w:sz w:val="18"/>
                <w:szCs w:val="22"/>
              </w:rPr>
              <w:t>UN</w:t>
            </w:r>
            <w:r w:rsidRPr="00442CB2">
              <w:rPr>
                <w:rFonts w:ascii="Arial" w:hAnsi="Arial"/>
                <w:bCs/>
                <w:sz w:val="18"/>
                <w:szCs w:val="22"/>
              </w:rPr>
              <w:t xml:space="preserve">CCD, and </w:t>
            </w:r>
            <w:r w:rsidR="00153B36">
              <w:rPr>
                <w:rFonts w:ascii="Arial" w:hAnsi="Arial"/>
                <w:bCs/>
                <w:sz w:val="18"/>
                <w:szCs w:val="22"/>
              </w:rPr>
              <w:t>UN</w:t>
            </w:r>
            <w:r w:rsidRPr="00442CB2">
              <w:rPr>
                <w:rFonts w:ascii="Arial" w:hAnsi="Arial"/>
                <w:bCs/>
                <w:sz w:val="18"/>
                <w:szCs w:val="22"/>
              </w:rPr>
              <w:t xml:space="preserve">FCCC implementation through the EFR in Moldova </w:t>
            </w:r>
          </w:p>
          <w:p w14:paraId="4764BE24" w14:textId="14575910" w:rsidR="00FB2300"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Capacity Scorecard ratings show improvement at final evaluation</w:t>
            </w:r>
          </w:p>
        </w:tc>
      </w:tr>
      <w:tr w:rsidR="00442CB2" w:rsidRPr="00FB6D4E" w14:paraId="2D3898B1" w14:textId="7EDF4DFB" w:rsidTr="00442CB2">
        <w:tc>
          <w:tcPr>
            <w:tcW w:w="3629" w:type="dxa"/>
          </w:tcPr>
          <w:p w14:paraId="6C14B2AF" w14:textId="6EBB1EF2" w:rsidR="00FB2300" w:rsidRPr="00764643" w:rsidRDefault="00FB2300" w:rsidP="00CF7747">
            <w:pPr>
              <w:widowControl/>
              <w:tabs>
                <w:tab w:val="left" w:pos="-720"/>
              </w:tabs>
              <w:rPr>
                <w:rFonts w:ascii="Arial" w:hAnsi="Arial"/>
                <w:bCs/>
                <w:sz w:val="18"/>
                <w:szCs w:val="22"/>
              </w:rPr>
            </w:pPr>
            <w:r w:rsidRPr="00764643">
              <w:rPr>
                <w:rFonts w:ascii="Arial" w:hAnsi="Arial"/>
                <w:b/>
                <w:bCs/>
                <w:sz w:val="18"/>
                <w:szCs w:val="22"/>
              </w:rPr>
              <w:t xml:space="preserve">Outcome 3: </w:t>
            </w:r>
            <w:r w:rsidRPr="00764643">
              <w:rPr>
                <w:rFonts w:ascii="Arial" w:hAnsi="Arial"/>
                <w:bCs/>
                <w:sz w:val="18"/>
                <w:szCs w:val="22"/>
              </w:rPr>
              <w:t>Integration of EFR in local and central planning processes:</w:t>
            </w:r>
          </w:p>
          <w:p w14:paraId="453B8AE9" w14:textId="76A22C75" w:rsidR="00FB2300" w:rsidRPr="00764643" w:rsidRDefault="00FB2300" w:rsidP="00442CB2">
            <w:pPr>
              <w:widowControl/>
              <w:numPr>
                <w:ilvl w:val="0"/>
                <w:numId w:val="12"/>
              </w:numPr>
              <w:tabs>
                <w:tab w:val="clear" w:pos="720"/>
                <w:tab w:val="left" w:pos="-720"/>
                <w:tab w:val="num" w:pos="284"/>
              </w:tabs>
              <w:ind w:left="284" w:hanging="142"/>
              <w:rPr>
                <w:rFonts w:ascii="Arial" w:hAnsi="Arial"/>
                <w:bCs/>
                <w:sz w:val="18"/>
                <w:szCs w:val="22"/>
              </w:rPr>
            </w:pPr>
            <w:r w:rsidRPr="00764643">
              <w:rPr>
                <w:rFonts w:ascii="Arial" w:hAnsi="Arial"/>
                <w:b/>
                <w:bCs/>
                <w:i/>
                <w:sz w:val="18"/>
                <w:szCs w:val="22"/>
              </w:rPr>
              <w:t>Output 3.1:</w:t>
            </w:r>
            <w:r w:rsidRPr="00764643">
              <w:rPr>
                <w:rFonts w:ascii="Arial" w:hAnsi="Arial"/>
                <w:bCs/>
                <w:sz w:val="18"/>
                <w:szCs w:val="22"/>
              </w:rPr>
              <w:t xml:space="preserve"> EFR instruments integrated in the decentralization process</w:t>
            </w:r>
          </w:p>
          <w:p w14:paraId="11DED907" w14:textId="1BE4989D" w:rsidR="00FB2300" w:rsidRPr="00764643" w:rsidRDefault="00FB2300" w:rsidP="00452A42">
            <w:pPr>
              <w:widowControl/>
              <w:numPr>
                <w:ilvl w:val="0"/>
                <w:numId w:val="12"/>
              </w:numPr>
              <w:tabs>
                <w:tab w:val="clear" w:pos="720"/>
                <w:tab w:val="left" w:pos="-720"/>
                <w:tab w:val="num" w:pos="284"/>
              </w:tabs>
              <w:ind w:left="284" w:hanging="142"/>
              <w:rPr>
                <w:rFonts w:ascii="Arial" w:hAnsi="Arial"/>
                <w:bCs/>
                <w:sz w:val="18"/>
                <w:szCs w:val="22"/>
              </w:rPr>
            </w:pPr>
            <w:r w:rsidRPr="00764643">
              <w:rPr>
                <w:rFonts w:ascii="Arial" w:hAnsi="Arial"/>
                <w:b/>
                <w:bCs/>
                <w:i/>
                <w:sz w:val="18"/>
                <w:szCs w:val="22"/>
              </w:rPr>
              <w:t>Output 3.2:</w:t>
            </w:r>
            <w:r w:rsidRPr="00764643">
              <w:rPr>
                <w:rFonts w:ascii="Arial" w:hAnsi="Arial"/>
                <w:bCs/>
                <w:sz w:val="18"/>
                <w:szCs w:val="22"/>
              </w:rPr>
              <w:t xml:space="preserve"> EFR instruments integrated into governmental budgeting and MTEF processes</w:t>
            </w:r>
          </w:p>
        </w:tc>
        <w:tc>
          <w:tcPr>
            <w:tcW w:w="6173" w:type="dxa"/>
          </w:tcPr>
          <w:p w14:paraId="01D3DA77" w14:textId="00C23CA7" w:rsidR="00442CB2" w:rsidRPr="00442CB2" w:rsidRDefault="00442CB2" w:rsidP="00442CB2">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3770AD25" w14:textId="60700451"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Yearly joint work plan between the UNDP/GEF EFR project and JILDP</w:t>
            </w:r>
          </w:p>
          <w:p w14:paraId="78AF3AD5" w14:textId="7D48CF84"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Assessment of environmental management priorities within the Local Development Strategies </w:t>
            </w:r>
          </w:p>
          <w:p w14:paraId="0AEB0CCF" w14:textId="47D0AB06"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Initiate costing study and financing strategy to implement Rio Conventions</w:t>
            </w:r>
          </w:p>
          <w:p w14:paraId="7657260E" w14:textId="15E4ACB4" w:rsidR="00442CB2" w:rsidRPr="00442CB2" w:rsidRDefault="00442CB2" w:rsidP="00442CB2">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085BE485" w14:textId="7A7D8F26"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Identification of fiscal reform for local environmental taxes that can be integrated in the PBB system</w:t>
            </w:r>
          </w:p>
          <w:p w14:paraId="51CD39C3" w14:textId="28148550"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Complete costing study and financing strategy to implement Rio Conventions</w:t>
            </w:r>
          </w:p>
          <w:p w14:paraId="492DCC53" w14:textId="450CC4BF" w:rsidR="00442CB2" w:rsidRPr="00442CB2" w:rsidRDefault="00442CB2" w:rsidP="00442CB2">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7D0467DC" w14:textId="6FCC5B3D" w:rsidR="00442CB2"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Pr>
                <w:rFonts w:ascii="Arial" w:hAnsi="Arial"/>
                <w:bCs/>
                <w:sz w:val="18"/>
                <w:szCs w:val="22"/>
              </w:rPr>
              <w:t>I</w:t>
            </w:r>
            <w:r w:rsidRPr="00442CB2">
              <w:rPr>
                <w:rFonts w:ascii="Arial" w:hAnsi="Arial"/>
                <w:bCs/>
                <w:sz w:val="18"/>
                <w:szCs w:val="22"/>
              </w:rPr>
              <w:t>dentification of fiscal reform for local environmental taxes that can be integrated in the PBB system</w:t>
            </w:r>
          </w:p>
          <w:p w14:paraId="57BF8D65" w14:textId="43157717" w:rsidR="00FB2300" w:rsidRPr="00442CB2" w:rsidRDefault="00442CB2"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Comparative analysis of past MTEF with new and improved MTEF prepared by the end of the project to meet Rio Convention targets</w:t>
            </w:r>
          </w:p>
        </w:tc>
      </w:tr>
    </w:tbl>
    <w:p w14:paraId="25985E29" w14:textId="77777777" w:rsidR="00A52B28" w:rsidRDefault="00A52B28" w:rsidP="00A52B28">
      <w:pPr>
        <w:tabs>
          <w:tab w:val="left" w:pos="567"/>
        </w:tabs>
        <w:jc w:val="both"/>
        <w:rPr>
          <w:sz w:val="22"/>
        </w:rPr>
      </w:pPr>
    </w:p>
    <w:p w14:paraId="004ED8E0" w14:textId="7CF71B6D" w:rsidR="00147549" w:rsidRDefault="00C10A4A" w:rsidP="00D06E93">
      <w:pPr>
        <w:pStyle w:val="ListParagraph"/>
        <w:numPr>
          <w:ilvl w:val="0"/>
          <w:numId w:val="15"/>
        </w:numPr>
        <w:jc w:val="both"/>
        <w:rPr>
          <w:sz w:val="22"/>
          <w:szCs w:val="22"/>
        </w:rPr>
      </w:pPr>
      <w:r w:rsidRPr="00C10A4A">
        <w:rPr>
          <w:sz w:val="22"/>
          <w:szCs w:val="22"/>
        </w:rPr>
        <w:t>It was a coherent model that was developed to “</w:t>
      </w:r>
      <w:r w:rsidRPr="00C10A4A">
        <w:rPr>
          <w:i/>
          <w:sz w:val="22"/>
          <w:szCs w:val="22"/>
        </w:rPr>
        <w:t>build capacities for implementing environmental fiscal reforms (EFR) that will produce increased national and global environmental benefits through the adoption of selected subsidies, fees, fines, taxes and other appropriate fiscal instruments</w:t>
      </w:r>
      <w:r>
        <w:rPr>
          <w:sz w:val="22"/>
          <w:szCs w:val="22"/>
        </w:rPr>
        <w:t>”.</w:t>
      </w:r>
      <w:r w:rsidR="00D06E93">
        <w:rPr>
          <w:sz w:val="22"/>
          <w:szCs w:val="22"/>
        </w:rPr>
        <w:t xml:space="preserve"> </w:t>
      </w:r>
      <w:r w:rsidR="00147549" w:rsidRPr="00CF7747">
        <w:rPr>
          <w:sz w:val="22"/>
          <w:szCs w:val="22"/>
        </w:rPr>
        <w:t xml:space="preserve">A more detailed list of </w:t>
      </w:r>
      <w:r w:rsidR="00147549">
        <w:rPr>
          <w:sz w:val="22"/>
          <w:szCs w:val="22"/>
        </w:rPr>
        <w:t>outcomes</w:t>
      </w:r>
      <w:r w:rsidR="00147549" w:rsidRPr="00CF7747">
        <w:rPr>
          <w:sz w:val="22"/>
          <w:szCs w:val="22"/>
        </w:rPr>
        <w:t xml:space="preserve"> and their respective </w:t>
      </w:r>
      <w:r w:rsidR="00147549">
        <w:rPr>
          <w:sz w:val="22"/>
          <w:szCs w:val="22"/>
        </w:rPr>
        <w:t xml:space="preserve">targets and </w:t>
      </w:r>
      <w:r w:rsidR="00147549" w:rsidRPr="00CF7747">
        <w:rPr>
          <w:sz w:val="22"/>
          <w:szCs w:val="22"/>
        </w:rPr>
        <w:t xml:space="preserve">indicative activities is </w:t>
      </w:r>
      <w:r w:rsidR="00147549" w:rsidRPr="00B724A2">
        <w:rPr>
          <w:sz w:val="22"/>
          <w:szCs w:val="22"/>
        </w:rPr>
        <w:t>presented in Annex 8.</w:t>
      </w:r>
    </w:p>
    <w:p w14:paraId="631CF909" w14:textId="77777777" w:rsidR="00044022" w:rsidRDefault="00044022" w:rsidP="00044022">
      <w:pPr>
        <w:pStyle w:val="ListParagraph"/>
        <w:ind w:left="0"/>
        <w:jc w:val="both"/>
        <w:rPr>
          <w:sz w:val="22"/>
          <w:szCs w:val="22"/>
        </w:rPr>
      </w:pPr>
    </w:p>
    <w:p w14:paraId="5E2596F4" w14:textId="2438AF85" w:rsidR="00044022" w:rsidRDefault="00044022" w:rsidP="00D06E93">
      <w:pPr>
        <w:pStyle w:val="ListParagraph"/>
        <w:numPr>
          <w:ilvl w:val="0"/>
          <w:numId w:val="15"/>
        </w:numPr>
        <w:jc w:val="both"/>
        <w:rPr>
          <w:sz w:val="22"/>
          <w:szCs w:val="22"/>
        </w:rPr>
      </w:pPr>
      <w:r>
        <w:rPr>
          <w:sz w:val="22"/>
          <w:szCs w:val="22"/>
        </w:rPr>
        <w:t xml:space="preserve">However, the Evaluation Team also noted a low focus on gender considerations in the project </w:t>
      </w:r>
      <w:r w:rsidR="00CA5215">
        <w:rPr>
          <w:sz w:val="22"/>
          <w:szCs w:val="22"/>
        </w:rPr>
        <w:t>design</w:t>
      </w:r>
      <w:r>
        <w:rPr>
          <w:sz w:val="22"/>
          <w:szCs w:val="22"/>
        </w:rPr>
        <w:t xml:space="preserve">. It is only mentioned once in the project </w:t>
      </w:r>
      <w:r w:rsidR="00CA5215">
        <w:rPr>
          <w:sz w:val="22"/>
          <w:szCs w:val="22"/>
        </w:rPr>
        <w:t xml:space="preserve">document </w:t>
      </w:r>
      <w:r>
        <w:rPr>
          <w:sz w:val="22"/>
          <w:szCs w:val="22"/>
        </w:rPr>
        <w:t>stating “</w:t>
      </w:r>
      <w:r w:rsidRPr="00044022">
        <w:rPr>
          <w:i/>
          <w:sz w:val="22"/>
          <w:szCs w:val="22"/>
        </w:rPr>
        <w:t>The fiscal and associated institutional reforms will take a holistic approach to ensuring that national socio-economic benefits, including addressing gender priorities are fully addressed as these will play a critical role in the achievement and sustainability of global environmental benefits</w:t>
      </w:r>
      <w:r>
        <w:rPr>
          <w:sz w:val="22"/>
          <w:szCs w:val="22"/>
        </w:rPr>
        <w:t>”</w:t>
      </w:r>
      <w:r w:rsidRPr="00044022">
        <w:rPr>
          <w:sz w:val="22"/>
          <w:szCs w:val="22"/>
        </w:rPr>
        <w:t xml:space="preserve">. </w:t>
      </w:r>
      <w:r w:rsidR="00CA5215">
        <w:rPr>
          <w:sz w:val="22"/>
          <w:szCs w:val="22"/>
        </w:rPr>
        <w:t>This review indicates that gender considerations were not taken into account in the project strategy and monitoring plan; no mention of gender considerations were made in the set of expected results and the list of monitoring indicators and targets.</w:t>
      </w:r>
    </w:p>
    <w:p w14:paraId="76D24D94" w14:textId="77777777" w:rsidR="00147549" w:rsidRDefault="00147549" w:rsidP="00147549">
      <w:pPr>
        <w:pStyle w:val="ListParagraph"/>
        <w:ind w:left="0"/>
        <w:jc w:val="both"/>
        <w:rPr>
          <w:sz w:val="22"/>
          <w:szCs w:val="22"/>
        </w:rPr>
      </w:pPr>
    </w:p>
    <w:p w14:paraId="565BE97A" w14:textId="3BFD621D" w:rsidR="00D06E93" w:rsidRPr="00D06E93" w:rsidRDefault="00044022" w:rsidP="00D06E93">
      <w:pPr>
        <w:pStyle w:val="ListParagraph"/>
        <w:numPr>
          <w:ilvl w:val="0"/>
          <w:numId w:val="15"/>
        </w:numPr>
        <w:jc w:val="both"/>
        <w:rPr>
          <w:sz w:val="22"/>
          <w:szCs w:val="22"/>
        </w:rPr>
      </w:pPr>
      <w:r>
        <w:rPr>
          <w:sz w:val="22"/>
          <w:szCs w:val="22"/>
        </w:rPr>
        <w:t xml:space="preserve">Finally, </w:t>
      </w:r>
      <w:r w:rsidR="00D06E93" w:rsidRPr="00D06E93">
        <w:rPr>
          <w:sz w:val="22"/>
          <w:szCs w:val="22"/>
        </w:rPr>
        <w:t xml:space="preserve">the nature of this project is such that </w:t>
      </w:r>
      <w:r w:rsidR="008C2DC5">
        <w:rPr>
          <w:sz w:val="22"/>
          <w:szCs w:val="22"/>
        </w:rPr>
        <w:t xml:space="preserve">from the outset </w:t>
      </w:r>
      <w:r w:rsidR="00D06E93" w:rsidRPr="00D06E93">
        <w:rPr>
          <w:sz w:val="22"/>
          <w:szCs w:val="22"/>
        </w:rPr>
        <w:t xml:space="preserve">it implied a strong political commitment from the government </w:t>
      </w:r>
      <w:r w:rsidR="008C2DC5">
        <w:rPr>
          <w:sz w:val="22"/>
          <w:szCs w:val="22"/>
        </w:rPr>
        <w:t xml:space="preserve">for the project </w:t>
      </w:r>
      <w:r w:rsidR="00D06E93" w:rsidRPr="00D06E93">
        <w:rPr>
          <w:sz w:val="22"/>
          <w:szCs w:val="22"/>
        </w:rPr>
        <w:t>to be fully successful</w:t>
      </w:r>
      <w:r w:rsidR="008C2DC5">
        <w:rPr>
          <w:sz w:val="22"/>
          <w:szCs w:val="22"/>
        </w:rPr>
        <w:t xml:space="preserve"> and produce changes in the EFR area</w:t>
      </w:r>
      <w:r w:rsidR="00D06E93" w:rsidRPr="00D06E93">
        <w:rPr>
          <w:sz w:val="22"/>
          <w:szCs w:val="22"/>
        </w:rPr>
        <w:t>. Reforming environmental harmful subsidies, introducing green subsidies</w:t>
      </w:r>
      <w:r w:rsidR="008C2DC5">
        <w:rPr>
          <w:sz w:val="22"/>
          <w:szCs w:val="22"/>
        </w:rPr>
        <w:t>,</w:t>
      </w:r>
      <w:r w:rsidR="00D06E93" w:rsidRPr="00D06E93">
        <w:rPr>
          <w:sz w:val="22"/>
          <w:szCs w:val="22"/>
        </w:rPr>
        <w:t xml:space="preserve"> strengthen environmental </w:t>
      </w:r>
      <w:r w:rsidR="008C2DC5" w:rsidRPr="00D06E93">
        <w:rPr>
          <w:sz w:val="22"/>
          <w:szCs w:val="22"/>
        </w:rPr>
        <w:t xml:space="preserve">charges </w:t>
      </w:r>
      <w:r w:rsidR="008C2DC5">
        <w:rPr>
          <w:sz w:val="22"/>
          <w:szCs w:val="22"/>
        </w:rPr>
        <w:t xml:space="preserve">and reforming an environmental fund </w:t>
      </w:r>
      <w:r w:rsidR="00D06E93" w:rsidRPr="00D06E93">
        <w:rPr>
          <w:sz w:val="22"/>
          <w:szCs w:val="22"/>
        </w:rPr>
        <w:t xml:space="preserve">are part of a complicated </w:t>
      </w:r>
      <w:r w:rsidR="008C2DC5">
        <w:rPr>
          <w:sz w:val="22"/>
          <w:szCs w:val="22"/>
        </w:rPr>
        <w:t xml:space="preserve">national </w:t>
      </w:r>
      <w:r w:rsidR="00D06E93" w:rsidRPr="00D06E93">
        <w:rPr>
          <w:sz w:val="22"/>
          <w:szCs w:val="22"/>
        </w:rPr>
        <w:t xml:space="preserve">fiscal reform agenda that may impact the economy and the social stability of </w:t>
      </w:r>
      <w:r w:rsidR="008C2DC5">
        <w:rPr>
          <w:sz w:val="22"/>
          <w:szCs w:val="22"/>
        </w:rPr>
        <w:t>Moldova</w:t>
      </w:r>
      <w:r w:rsidR="00D06E93" w:rsidRPr="00D06E93">
        <w:rPr>
          <w:sz w:val="22"/>
          <w:szCs w:val="22"/>
        </w:rPr>
        <w:t xml:space="preserve">. Therefore, </w:t>
      </w:r>
      <w:r w:rsidR="005B225E">
        <w:rPr>
          <w:sz w:val="22"/>
          <w:szCs w:val="22"/>
        </w:rPr>
        <w:t xml:space="preserve">as much as this </w:t>
      </w:r>
      <w:r w:rsidR="008800A4">
        <w:rPr>
          <w:sz w:val="22"/>
          <w:szCs w:val="22"/>
        </w:rPr>
        <w:t xml:space="preserve">coherent </w:t>
      </w:r>
      <w:r w:rsidR="005B225E">
        <w:rPr>
          <w:sz w:val="22"/>
          <w:szCs w:val="22"/>
        </w:rPr>
        <w:t xml:space="preserve">project was a direct response to national priorities, </w:t>
      </w:r>
      <w:r w:rsidR="00C5788C">
        <w:rPr>
          <w:sz w:val="22"/>
          <w:szCs w:val="22"/>
        </w:rPr>
        <w:t>from a political point of view it w</w:t>
      </w:r>
      <w:r w:rsidR="005B225E">
        <w:rPr>
          <w:sz w:val="22"/>
          <w:szCs w:val="22"/>
        </w:rPr>
        <w:t>as an ambitious project to kick-</w:t>
      </w:r>
      <w:r w:rsidR="00C5788C">
        <w:rPr>
          <w:sz w:val="22"/>
          <w:szCs w:val="22"/>
        </w:rPr>
        <w:t xml:space="preserve">start the environmental fiscal reform process in Moldova. </w:t>
      </w:r>
    </w:p>
    <w:p w14:paraId="621C67E5" w14:textId="77777777" w:rsidR="00BD7EF2" w:rsidRPr="00FB6D4E" w:rsidRDefault="00BD7EF2" w:rsidP="00A52B28">
      <w:pPr>
        <w:tabs>
          <w:tab w:val="left" w:pos="567"/>
        </w:tabs>
        <w:jc w:val="both"/>
        <w:rPr>
          <w:sz w:val="22"/>
        </w:rPr>
      </w:pPr>
    </w:p>
    <w:p w14:paraId="76CAB413" w14:textId="77777777" w:rsidR="00A52B28" w:rsidRPr="00071338" w:rsidRDefault="006E3DAE" w:rsidP="006B3375">
      <w:pPr>
        <w:pStyle w:val="Heading3"/>
        <w:numPr>
          <w:ilvl w:val="2"/>
          <w:numId w:val="1"/>
        </w:numPr>
        <w:tabs>
          <w:tab w:val="clear" w:pos="1440"/>
        </w:tabs>
        <w:ind w:left="1276" w:hanging="709"/>
        <w:rPr>
          <w:rFonts w:ascii="Arial" w:hAnsi="Arial" w:cs="Arial"/>
          <w:i/>
          <w:sz w:val="22"/>
          <w:szCs w:val="22"/>
        </w:rPr>
      </w:pPr>
      <w:bookmarkStart w:id="34" w:name="_Toc308103246"/>
      <w:r w:rsidRPr="00071338">
        <w:rPr>
          <w:rFonts w:ascii="Arial" w:hAnsi="Arial" w:cs="Arial"/>
          <w:i/>
          <w:sz w:val="22"/>
          <w:szCs w:val="22"/>
        </w:rPr>
        <w:t>Assumptions and Risks</w:t>
      </w:r>
      <w:bookmarkEnd w:id="34"/>
    </w:p>
    <w:p w14:paraId="0B660439" w14:textId="77777777" w:rsidR="00466F40" w:rsidRPr="00FB6D4E" w:rsidRDefault="00466F40" w:rsidP="006E3DAE">
      <w:pPr>
        <w:tabs>
          <w:tab w:val="left" w:pos="1472"/>
        </w:tabs>
        <w:jc w:val="both"/>
        <w:rPr>
          <w:sz w:val="22"/>
          <w:szCs w:val="22"/>
        </w:rPr>
      </w:pPr>
    </w:p>
    <w:p w14:paraId="5B410C08" w14:textId="6BB6B04F" w:rsidR="008800A4" w:rsidRPr="00466F40" w:rsidRDefault="00352571" w:rsidP="005032D3">
      <w:pPr>
        <w:pStyle w:val="ListParagraph"/>
        <w:numPr>
          <w:ilvl w:val="0"/>
          <w:numId w:val="15"/>
        </w:numPr>
        <w:jc w:val="both"/>
        <w:rPr>
          <w:sz w:val="22"/>
          <w:szCs w:val="22"/>
        </w:rPr>
      </w:pPr>
      <w:r>
        <w:rPr>
          <w:sz w:val="22"/>
          <w:szCs w:val="22"/>
        </w:rPr>
        <w:t>Project r</w:t>
      </w:r>
      <w:r w:rsidR="008800A4" w:rsidRPr="00352571">
        <w:rPr>
          <w:sz w:val="22"/>
          <w:szCs w:val="22"/>
        </w:rPr>
        <w:t>isks were identified at the formulation stage</w:t>
      </w:r>
      <w:r>
        <w:rPr>
          <w:sz w:val="22"/>
          <w:szCs w:val="22"/>
        </w:rPr>
        <w:t xml:space="preserve"> and documented in the project document; including the risk mitigation strategy for each identified risk</w:t>
      </w:r>
      <w:r w:rsidR="008800A4" w:rsidRPr="00352571">
        <w:rPr>
          <w:sz w:val="22"/>
          <w:szCs w:val="22"/>
        </w:rPr>
        <w:t xml:space="preserve">. </w:t>
      </w:r>
      <w:r w:rsidRPr="00352571">
        <w:rPr>
          <w:sz w:val="22"/>
          <w:szCs w:val="22"/>
        </w:rPr>
        <w:t xml:space="preserve">It is a good list of </w:t>
      </w:r>
      <w:r w:rsidR="00466F40">
        <w:rPr>
          <w:sz w:val="22"/>
          <w:szCs w:val="22"/>
        </w:rPr>
        <w:t xml:space="preserve">five </w:t>
      </w:r>
      <w:r w:rsidRPr="00352571">
        <w:rPr>
          <w:sz w:val="22"/>
          <w:szCs w:val="22"/>
        </w:rPr>
        <w:t xml:space="preserve">anticipated risks linked with the </w:t>
      </w:r>
      <w:r w:rsidRPr="00352571">
        <w:rPr>
          <w:sz w:val="22"/>
          <w:szCs w:val="22"/>
        </w:rPr>
        <w:lastRenderedPageBreak/>
        <w:t>implementation of this project</w:t>
      </w:r>
      <w:r w:rsidR="00466F40">
        <w:rPr>
          <w:sz w:val="22"/>
          <w:szCs w:val="22"/>
        </w:rPr>
        <w:t xml:space="preserve"> and appropriate mitigation measures identified at the outset of the project</w:t>
      </w:r>
      <w:r w:rsidRPr="00352571">
        <w:rPr>
          <w:sz w:val="22"/>
          <w:szCs w:val="22"/>
        </w:rPr>
        <w:t xml:space="preserve">. </w:t>
      </w:r>
      <w:r w:rsidR="00466F40">
        <w:rPr>
          <w:sz w:val="22"/>
          <w:szCs w:val="22"/>
        </w:rPr>
        <w:t>These five risks focus mostly on the limited skills and government support to the project. However, one risk that is not in this list is the “</w:t>
      </w:r>
      <w:r w:rsidR="00466F40" w:rsidRPr="00466F40">
        <w:rPr>
          <w:i/>
          <w:sz w:val="22"/>
          <w:szCs w:val="22"/>
        </w:rPr>
        <w:t>lack of political will to endorse the proposed environmental fiscal reforms</w:t>
      </w:r>
      <w:r w:rsidR="00466F40">
        <w:rPr>
          <w:sz w:val="22"/>
          <w:szCs w:val="22"/>
        </w:rPr>
        <w:t xml:space="preserve">”. Somehow, the project formulation did not focus much on the political risk that adopting proposed environmental fiscal reforms may be subject to difficulties/delays at </w:t>
      </w:r>
      <w:r w:rsidR="00176D33">
        <w:rPr>
          <w:sz w:val="22"/>
          <w:szCs w:val="22"/>
        </w:rPr>
        <w:t xml:space="preserve">Government and </w:t>
      </w:r>
      <w:r w:rsidR="00466F40">
        <w:rPr>
          <w:sz w:val="22"/>
          <w:szCs w:val="22"/>
        </w:rPr>
        <w:t xml:space="preserve">Parliament level due to coming elections, </w:t>
      </w:r>
      <w:r w:rsidR="00176D33">
        <w:rPr>
          <w:sz w:val="22"/>
          <w:szCs w:val="22"/>
        </w:rPr>
        <w:t xml:space="preserve">change of government, </w:t>
      </w:r>
      <w:r w:rsidR="00466F40">
        <w:rPr>
          <w:sz w:val="22"/>
          <w:szCs w:val="22"/>
        </w:rPr>
        <w:t>change of Ministers, etc.</w:t>
      </w:r>
    </w:p>
    <w:p w14:paraId="69777C99" w14:textId="77777777" w:rsidR="008800A4" w:rsidRDefault="008800A4" w:rsidP="005032D3">
      <w:pPr>
        <w:pStyle w:val="ListParagraph"/>
        <w:ind w:left="0"/>
        <w:jc w:val="both"/>
        <w:rPr>
          <w:sz w:val="22"/>
          <w:szCs w:val="22"/>
        </w:rPr>
      </w:pPr>
    </w:p>
    <w:p w14:paraId="734DC83C" w14:textId="77777777" w:rsidR="00B52752" w:rsidRPr="00FB6D4E" w:rsidRDefault="00B52752" w:rsidP="005D59CA">
      <w:pPr>
        <w:pStyle w:val="ListParagraph"/>
        <w:numPr>
          <w:ilvl w:val="0"/>
          <w:numId w:val="15"/>
        </w:numPr>
        <w:jc w:val="both"/>
        <w:rPr>
          <w:sz w:val="22"/>
          <w:szCs w:val="22"/>
        </w:rPr>
      </w:pPr>
      <w:r w:rsidRPr="00FB6D4E">
        <w:rPr>
          <w:sz w:val="22"/>
          <w:szCs w:val="22"/>
        </w:rPr>
        <w:t xml:space="preserve">The list of risks and </w:t>
      </w:r>
      <w:r w:rsidR="003402A5">
        <w:rPr>
          <w:sz w:val="22"/>
          <w:szCs w:val="22"/>
        </w:rPr>
        <w:t>mitigation m</w:t>
      </w:r>
      <w:r w:rsidR="003402A5" w:rsidRPr="003402A5">
        <w:rPr>
          <w:sz w:val="22"/>
          <w:szCs w:val="22"/>
        </w:rPr>
        <w:t xml:space="preserve">easures </w:t>
      </w:r>
      <w:r w:rsidRPr="00FB6D4E">
        <w:rPr>
          <w:sz w:val="22"/>
          <w:szCs w:val="22"/>
        </w:rPr>
        <w:t xml:space="preserve">identified at the outset of the project is presented in the table below. </w:t>
      </w:r>
    </w:p>
    <w:p w14:paraId="0A0797D7" w14:textId="77777777" w:rsidR="00E77E7E" w:rsidRPr="00B52752" w:rsidRDefault="00E77E7E" w:rsidP="00B52752">
      <w:pPr>
        <w:pStyle w:val="ListParagraph"/>
        <w:tabs>
          <w:tab w:val="left" w:pos="567"/>
        </w:tabs>
        <w:ind w:left="0"/>
        <w:jc w:val="both"/>
        <w:rPr>
          <w:sz w:val="22"/>
          <w:szCs w:val="22"/>
        </w:rPr>
      </w:pPr>
    </w:p>
    <w:p w14:paraId="6058D843" w14:textId="77777777" w:rsidR="00E77E7E" w:rsidRPr="00FB6D4E" w:rsidRDefault="00E77E7E" w:rsidP="00E77E7E">
      <w:pPr>
        <w:pStyle w:val="Caption"/>
        <w:jc w:val="center"/>
        <w:rPr>
          <w:rFonts w:ascii="Arial" w:hAnsi="Arial"/>
          <w:bCs w:val="0"/>
          <w:sz w:val="22"/>
          <w:szCs w:val="22"/>
        </w:rPr>
      </w:pPr>
      <w:bookmarkStart w:id="35" w:name="_Toc305531032"/>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4</w:t>
      </w:r>
      <w:r w:rsidRPr="00FB6D4E">
        <w:fldChar w:fldCharType="end"/>
      </w:r>
      <w:r w:rsidRPr="00FB6D4E">
        <w:rPr>
          <w:rFonts w:ascii="Arial" w:hAnsi="Arial"/>
        </w:rPr>
        <w:t>:</w:t>
      </w:r>
      <w:r w:rsidRPr="00FB6D4E">
        <w:rPr>
          <w:rFonts w:ascii="Arial" w:hAnsi="Arial"/>
          <w:b w:val="0"/>
        </w:rPr>
        <w:t xml:space="preserve">  List of </w:t>
      </w:r>
      <w:r w:rsidR="009D67ED" w:rsidRPr="00FB6D4E">
        <w:rPr>
          <w:rFonts w:ascii="Arial" w:hAnsi="Arial"/>
          <w:b w:val="0"/>
        </w:rPr>
        <w:t xml:space="preserve">Risks and </w:t>
      </w:r>
      <w:r w:rsidR="00F23FE7">
        <w:rPr>
          <w:rFonts w:ascii="Arial" w:hAnsi="Arial"/>
          <w:b w:val="0"/>
        </w:rPr>
        <w:t>Mitigation Measures</w:t>
      </w:r>
      <w:r w:rsidR="00BD7E4C">
        <w:rPr>
          <w:rFonts w:ascii="Arial" w:hAnsi="Arial"/>
          <w:b w:val="0"/>
        </w:rPr>
        <w:t xml:space="preserve"> Identified at the </w:t>
      </w:r>
      <w:r w:rsidR="00F23FE7">
        <w:rPr>
          <w:rFonts w:ascii="Arial" w:hAnsi="Arial"/>
          <w:b w:val="0"/>
        </w:rPr>
        <w:t>Formulation</w:t>
      </w:r>
      <w:r w:rsidR="00BD7E4C">
        <w:rPr>
          <w:rFonts w:ascii="Arial" w:hAnsi="Arial"/>
          <w:b w:val="0"/>
        </w:rPr>
        <w:t xml:space="preserve"> Phase</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414"/>
        <w:gridCol w:w="1701"/>
        <w:gridCol w:w="5670"/>
      </w:tblGrid>
      <w:tr w:rsidR="006061B4" w:rsidRPr="006061B4" w14:paraId="4636745D" w14:textId="77777777" w:rsidTr="006061B4">
        <w:trPr>
          <w:trHeight w:val="362"/>
          <w:tblHeader/>
        </w:trPr>
        <w:tc>
          <w:tcPr>
            <w:tcW w:w="2414" w:type="dxa"/>
            <w:shd w:val="clear" w:color="auto" w:fill="D9D9D9"/>
            <w:vAlign w:val="center"/>
          </w:tcPr>
          <w:p w14:paraId="4B6D7548" w14:textId="77777777" w:rsidR="006061B4" w:rsidRPr="006061B4" w:rsidRDefault="006061B4" w:rsidP="00F23FE7">
            <w:pPr>
              <w:widowControl/>
              <w:tabs>
                <w:tab w:val="left" w:pos="-720"/>
                <w:tab w:val="left" w:pos="567"/>
              </w:tabs>
              <w:jc w:val="center"/>
              <w:rPr>
                <w:rFonts w:ascii="Arial" w:hAnsi="Arial" w:cs="Arial"/>
                <w:b/>
                <w:bCs/>
                <w:sz w:val="18"/>
                <w:szCs w:val="18"/>
              </w:rPr>
            </w:pPr>
            <w:r w:rsidRPr="006061B4">
              <w:rPr>
                <w:rFonts w:ascii="Arial" w:hAnsi="Arial" w:cs="Arial"/>
                <w:b/>
                <w:bCs/>
                <w:sz w:val="18"/>
                <w:szCs w:val="18"/>
              </w:rPr>
              <w:t>Project Risks</w:t>
            </w:r>
          </w:p>
        </w:tc>
        <w:tc>
          <w:tcPr>
            <w:tcW w:w="1701" w:type="dxa"/>
            <w:shd w:val="clear" w:color="auto" w:fill="D9D9D9"/>
            <w:vAlign w:val="center"/>
          </w:tcPr>
          <w:p w14:paraId="40E5CDFF" w14:textId="5989ACD8" w:rsidR="006061B4" w:rsidRPr="006061B4" w:rsidRDefault="006061B4" w:rsidP="006061B4">
            <w:pPr>
              <w:widowControl/>
              <w:tabs>
                <w:tab w:val="left" w:pos="-720"/>
                <w:tab w:val="left" w:pos="567"/>
              </w:tabs>
              <w:jc w:val="center"/>
              <w:rPr>
                <w:rFonts w:ascii="Arial" w:hAnsi="Arial" w:cs="Arial"/>
                <w:b/>
                <w:bCs/>
                <w:sz w:val="18"/>
                <w:szCs w:val="18"/>
              </w:rPr>
            </w:pPr>
            <w:r w:rsidRPr="006061B4">
              <w:rPr>
                <w:rFonts w:ascii="Arial" w:hAnsi="Arial" w:cs="Arial"/>
                <w:b/>
                <w:bCs/>
                <w:sz w:val="18"/>
                <w:szCs w:val="18"/>
              </w:rPr>
              <w:t>Rating</w:t>
            </w:r>
          </w:p>
        </w:tc>
        <w:tc>
          <w:tcPr>
            <w:tcW w:w="5670" w:type="dxa"/>
            <w:shd w:val="clear" w:color="auto" w:fill="D9D9D9"/>
            <w:vAlign w:val="center"/>
          </w:tcPr>
          <w:p w14:paraId="4139170F" w14:textId="31A92464" w:rsidR="006061B4" w:rsidRPr="006061B4" w:rsidRDefault="006061B4" w:rsidP="00E77E7E">
            <w:pPr>
              <w:widowControl/>
              <w:tabs>
                <w:tab w:val="left" w:pos="-720"/>
                <w:tab w:val="left" w:pos="567"/>
              </w:tabs>
              <w:jc w:val="center"/>
              <w:rPr>
                <w:rFonts w:ascii="Arial" w:hAnsi="Arial" w:cs="Arial"/>
                <w:b/>
                <w:bCs/>
                <w:sz w:val="18"/>
                <w:szCs w:val="18"/>
              </w:rPr>
            </w:pPr>
            <w:r w:rsidRPr="006061B4">
              <w:rPr>
                <w:rFonts w:ascii="Arial" w:hAnsi="Arial" w:cs="Arial"/>
                <w:b/>
                <w:bCs/>
                <w:sz w:val="18"/>
                <w:szCs w:val="18"/>
              </w:rPr>
              <w:t>Mitigation Measures</w:t>
            </w:r>
          </w:p>
        </w:tc>
      </w:tr>
      <w:tr w:rsidR="006061B4" w:rsidRPr="006061B4" w14:paraId="76A68C71" w14:textId="77777777" w:rsidTr="006061B4">
        <w:trPr>
          <w:trHeight w:val="789"/>
        </w:trPr>
        <w:tc>
          <w:tcPr>
            <w:tcW w:w="2414" w:type="dxa"/>
          </w:tcPr>
          <w:p w14:paraId="321AEC6D" w14:textId="579AD87A" w:rsidR="006061B4" w:rsidRPr="006061B4" w:rsidRDefault="006061B4" w:rsidP="00B00FCE">
            <w:pPr>
              <w:widowControl/>
              <w:tabs>
                <w:tab w:val="left" w:pos="-720"/>
              </w:tabs>
              <w:rPr>
                <w:rFonts w:ascii="Arial" w:hAnsi="Arial" w:cs="Arial"/>
                <w:b/>
                <w:bCs/>
                <w:sz w:val="18"/>
                <w:szCs w:val="18"/>
              </w:rPr>
            </w:pPr>
            <w:r w:rsidRPr="006061B4">
              <w:rPr>
                <w:rFonts w:ascii="Arial" w:hAnsi="Arial" w:cs="Arial"/>
                <w:sz w:val="18"/>
                <w:szCs w:val="18"/>
              </w:rPr>
              <w:t xml:space="preserve">Governmental support to adopt EFR decreases with technical and political challenges </w:t>
            </w:r>
          </w:p>
        </w:tc>
        <w:tc>
          <w:tcPr>
            <w:tcW w:w="1701" w:type="dxa"/>
            <w:vAlign w:val="center"/>
          </w:tcPr>
          <w:p w14:paraId="1DE4A0C0" w14:textId="6A6F9A3B" w:rsidR="006061B4" w:rsidRPr="006061B4" w:rsidRDefault="006061B4" w:rsidP="006061B4">
            <w:pPr>
              <w:widowControl/>
              <w:tabs>
                <w:tab w:val="left" w:pos="-720"/>
              </w:tabs>
              <w:jc w:val="center"/>
              <w:rPr>
                <w:rFonts w:ascii="Arial" w:hAnsi="Arial" w:cs="Arial"/>
                <w:bCs/>
                <w:sz w:val="18"/>
                <w:szCs w:val="18"/>
              </w:rPr>
            </w:pPr>
            <w:r w:rsidRPr="006061B4">
              <w:rPr>
                <w:rFonts w:ascii="Arial" w:hAnsi="Arial" w:cs="Arial"/>
                <w:sz w:val="18"/>
                <w:szCs w:val="18"/>
              </w:rPr>
              <w:t>Low</w:t>
            </w:r>
          </w:p>
        </w:tc>
        <w:tc>
          <w:tcPr>
            <w:tcW w:w="5670" w:type="dxa"/>
          </w:tcPr>
          <w:p w14:paraId="567CC870" w14:textId="77777777" w:rsidR="006061B4" w:rsidRPr="006061B4" w:rsidRDefault="006061B4" w:rsidP="006061B4">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The project will facilitate a process that allows experts and politicians to negotiate and agree on the appropriate EFR instruments to meet project objectives and goals.</w:t>
            </w:r>
          </w:p>
          <w:p w14:paraId="0C2245F6" w14:textId="77777777" w:rsidR="006061B4" w:rsidRPr="006061B4" w:rsidRDefault="006061B4" w:rsidP="006061B4">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The prioritization process will be based on national and global priorities as well as economic feasibility and will ensure ownership of the EFR instruments agreed upon.</w:t>
            </w:r>
          </w:p>
          <w:p w14:paraId="0639E8D9" w14:textId="19E2969B" w:rsidR="006061B4" w:rsidRPr="006061B4" w:rsidRDefault="006061B4" w:rsidP="006061B4">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 xml:space="preserve">The institutionalization of the EFR instruments within the strategic plans at national level will also allow strong and long-term commitment to the proposed measures.  </w:t>
            </w:r>
          </w:p>
        </w:tc>
      </w:tr>
      <w:tr w:rsidR="006061B4" w:rsidRPr="006061B4" w14:paraId="47133611" w14:textId="77777777" w:rsidTr="006061B4">
        <w:trPr>
          <w:trHeight w:val="859"/>
        </w:trPr>
        <w:tc>
          <w:tcPr>
            <w:tcW w:w="2414" w:type="dxa"/>
          </w:tcPr>
          <w:p w14:paraId="6E66D36B" w14:textId="24B8808B" w:rsidR="006061B4" w:rsidRPr="006061B4" w:rsidRDefault="006061B4" w:rsidP="00F23FE7">
            <w:pPr>
              <w:widowControl/>
              <w:tabs>
                <w:tab w:val="left" w:pos="-720"/>
              </w:tabs>
              <w:rPr>
                <w:rFonts w:ascii="Arial" w:hAnsi="Arial" w:cs="Arial"/>
                <w:b/>
                <w:bCs/>
                <w:sz w:val="18"/>
                <w:szCs w:val="18"/>
              </w:rPr>
            </w:pPr>
            <w:r w:rsidRPr="006061B4">
              <w:rPr>
                <w:rFonts w:ascii="Arial" w:hAnsi="Arial" w:cs="Arial"/>
                <w:sz w:val="18"/>
                <w:szCs w:val="18"/>
              </w:rPr>
              <w:t xml:space="preserve">Limited specialized skills required in the field of public finance management in Moldova for EFR </w:t>
            </w:r>
          </w:p>
        </w:tc>
        <w:tc>
          <w:tcPr>
            <w:tcW w:w="1701" w:type="dxa"/>
            <w:vAlign w:val="center"/>
          </w:tcPr>
          <w:p w14:paraId="43E37610" w14:textId="1D085CE4" w:rsidR="006061B4" w:rsidRPr="006061B4" w:rsidRDefault="006061B4" w:rsidP="006061B4">
            <w:pPr>
              <w:widowControl/>
              <w:tabs>
                <w:tab w:val="left" w:pos="-720"/>
              </w:tabs>
              <w:jc w:val="center"/>
              <w:rPr>
                <w:rFonts w:ascii="Arial" w:hAnsi="Arial" w:cs="Arial"/>
                <w:bCs/>
                <w:sz w:val="18"/>
                <w:szCs w:val="18"/>
              </w:rPr>
            </w:pPr>
            <w:r w:rsidRPr="006061B4">
              <w:rPr>
                <w:rFonts w:ascii="Arial" w:hAnsi="Arial" w:cs="Arial"/>
                <w:sz w:val="18"/>
                <w:szCs w:val="18"/>
              </w:rPr>
              <w:t>Low</w:t>
            </w:r>
          </w:p>
        </w:tc>
        <w:tc>
          <w:tcPr>
            <w:tcW w:w="5670" w:type="dxa"/>
          </w:tcPr>
          <w:p w14:paraId="79C9A02F" w14:textId="7C5C2667" w:rsidR="006061B4" w:rsidRPr="006061B4" w:rsidRDefault="006061B4" w:rsidP="00E25CA7">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sz w:val="18"/>
                <w:szCs w:val="18"/>
              </w:rPr>
              <w:t>The project strategy aims at mobilizing highly competent international expertise on a short-term but regular manner, in order to work in parallel with national expertise that will be called upon extensively and on a longer-term basis.  This will allow transfer of expertise and know-how and strengthen the institutional sustainability EFR instruments to meet Rio Convention objectives.</w:t>
            </w:r>
          </w:p>
        </w:tc>
      </w:tr>
      <w:tr w:rsidR="006061B4" w:rsidRPr="006061B4" w14:paraId="7C151313" w14:textId="77777777" w:rsidTr="006061B4">
        <w:tc>
          <w:tcPr>
            <w:tcW w:w="2414" w:type="dxa"/>
          </w:tcPr>
          <w:p w14:paraId="470E01EB" w14:textId="763A26B0" w:rsidR="006061B4" w:rsidRPr="006061B4" w:rsidRDefault="006061B4" w:rsidP="001C215D">
            <w:pPr>
              <w:widowControl/>
              <w:tabs>
                <w:tab w:val="left" w:pos="-720"/>
              </w:tabs>
              <w:rPr>
                <w:rFonts w:ascii="Arial" w:hAnsi="Arial" w:cs="Arial"/>
                <w:bCs/>
                <w:sz w:val="18"/>
                <w:szCs w:val="18"/>
              </w:rPr>
            </w:pPr>
            <w:r w:rsidRPr="006061B4">
              <w:rPr>
                <w:rFonts w:ascii="Arial" w:hAnsi="Arial" w:cs="Arial"/>
                <w:sz w:val="18"/>
                <w:szCs w:val="18"/>
              </w:rPr>
              <w:t>Multiple levels of bureaucracy involved in the implementation of fiscal measures.</w:t>
            </w:r>
          </w:p>
        </w:tc>
        <w:tc>
          <w:tcPr>
            <w:tcW w:w="1701" w:type="dxa"/>
            <w:vAlign w:val="center"/>
          </w:tcPr>
          <w:p w14:paraId="76669C5E" w14:textId="0DB46B4F" w:rsidR="006061B4" w:rsidRPr="006061B4" w:rsidRDefault="006061B4" w:rsidP="006061B4">
            <w:pPr>
              <w:widowControl/>
              <w:tabs>
                <w:tab w:val="left" w:pos="-720"/>
              </w:tabs>
              <w:jc w:val="center"/>
              <w:rPr>
                <w:rFonts w:ascii="Arial" w:hAnsi="Arial" w:cs="Arial"/>
                <w:bCs/>
                <w:sz w:val="18"/>
                <w:szCs w:val="18"/>
              </w:rPr>
            </w:pPr>
            <w:r w:rsidRPr="006061B4">
              <w:rPr>
                <w:rFonts w:ascii="Arial" w:hAnsi="Arial" w:cs="Arial"/>
                <w:sz w:val="18"/>
                <w:szCs w:val="18"/>
              </w:rPr>
              <w:t>Low</w:t>
            </w:r>
          </w:p>
        </w:tc>
        <w:tc>
          <w:tcPr>
            <w:tcW w:w="5670" w:type="dxa"/>
          </w:tcPr>
          <w:p w14:paraId="7F6C62BE" w14:textId="6D869F1D" w:rsidR="006061B4" w:rsidRPr="006061B4" w:rsidRDefault="006061B4" w:rsidP="00E25CA7">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 xml:space="preserve">Moldovan EFR Commission allows experts and decision-makers to agree on the priority and optimal set of fiscal measures.  </w:t>
            </w:r>
            <w:r w:rsidRPr="006061B4">
              <w:rPr>
                <w:rFonts w:ascii="Arial" w:hAnsi="Arial" w:cs="Arial"/>
                <w:sz w:val="18"/>
                <w:szCs w:val="18"/>
              </w:rPr>
              <w:t>The communication and training programme will facilitate full awareness and understanding among key agencies on their roles, responsibilities, and accountabilities with respect to the EFR process.</w:t>
            </w:r>
          </w:p>
        </w:tc>
      </w:tr>
      <w:tr w:rsidR="006061B4" w:rsidRPr="006061B4" w14:paraId="47EBFC8F" w14:textId="77777777" w:rsidTr="006061B4">
        <w:tc>
          <w:tcPr>
            <w:tcW w:w="2414" w:type="dxa"/>
          </w:tcPr>
          <w:p w14:paraId="7168A7C8" w14:textId="2F66BE2C" w:rsidR="006061B4" w:rsidRPr="006061B4" w:rsidRDefault="006061B4" w:rsidP="001C215D">
            <w:pPr>
              <w:widowControl/>
              <w:tabs>
                <w:tab w:val="left" w:pos="-720"/>
              </w:tabs>
              <w:rPr>
                <w:rFonts w:ascii="Arial" w:hAnsi="Arial" w:cs="Arial"/>
                <w:sz w:val="18"/>
                <w:szCs w:val="18"/>
              </w:rPr>
            </w:pPr>
            <w:r w:rsidRPr="006061B4">
              <w:rPr>
                <w:rFonts w:ascii="Arial" w:hAnsi="Arial" w:cs="Arial"/>
                <w:sz w:val="18"/>
                <w:szCs w:val="18"/>
              </w:rPr>
              <w:t xml:space="preserve">The potential to ascertain full transparency in implementing fiscal measures is not accepted by all concerned parties.  </w:t>
            </w:r>
          </w:p>
        </w:tc>
        <w:tc>
          <w:tcPr>
            <w:tcW w:w="1701" w:type="dxa"/>
            <w:vAlign w:val="center"/>
          </w:tcPr>
          <w:p w14:paraId="56F99D0A" w14:textId="139A701C" w:rsidR="006061B4" w:rsidRPr="006061B4" w:rsidRDefault="006061B4" w:rsidP="006061B4">
            <w:pPr>
              <w:widowControl/>
              <w:tabs>
                <w:tab w:val="left" w:pos="-720"/>
              </w:tabs>
              <w:jc w:val="center"/>
              <w:rPr>
                <w:rFonts w:ascii="Arial" w:hAnsi="Arial" w:cs="Arial"/>
                <w:sz w:val="18"/>
                <w:szCs w:val="18"/>
              </w:rPr>
            </w:pPr>
            <w:r w:rsidRPr="006061B4">
              <w:rPr>
                <w:rFonts w:ascii="Arial" w:hAnsi="Arial" w:cs="Arial"/>
                <w:sz w:val="18"/>
                <w:szCs w:val="18"/>
              </w:rPr>
              <w:t>Medium</w:t>
            </w:r>
          </w:p>
        </w:tc>
        <w:tc>
          <w:tcPr>
            <w:tcW w:w="5670" w:type="dxa"/>
          </w:tcPr>
          <w:p w14:paraId="410A6C5D" w14:textId="26CB98A6" w:rsidR="006061B4" w:rsidRPr="006061B4" w:rsidRDefault="006061B4" w:rsidP="00E25CA7">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 xml:space="preserve">The project will give careful attention to apply the principles of adaptive collaborative management so as to ensure that all concerned stakeholders (including the MoE, MAFI, MoF, ANRE, </w:t>
            </w:r>
            <w:r w:rsidRPr="006061B4">
              <w:rPr>
                <w:rFonts w:ascii="Arial" w:hAnsi="Arial" w:cs="Arial"/>
                <w:sz w:val="18"/>
                <w:szCs w:val="18"/>
              </w:rPr>
              <w:t>State Chancellery, regional and local public administrations, private sector and other non-state actors</w:t>
            </w:r>
            <w:r w:rsidRPr="006061B4">
              <w:rPr>
                <w:rFonts w:ascii="Arial" w:hAnsi="Arial" w:cs="Arial"/>
                <w:bCs/>
                <w:sz w:val="18"/>
                <w:szCs w:val="18"/>
              </w:rPr>
              <w:t xml:space="preserve">) adopt and enforce EFR recommendations as part of the Environment Law, Tax Code and other national legislation and policies.  </w:t>
            </w:r>
            <w:r w:rsidRPr="006061B4">
              <w:rPr>
                <w:rFonts w:ascii="Arial" w:hAnsi="Arial" w:cs="Arial"/>
                <w:sz w:val="18"/>
                <w:szCs w:val="18"/>
              </w:rPr>
              <w:t>Monitoring and reporting activities undertaken by the project will be mainstreamed within the existing structures of the concerned national institutions, ensuring high monitoring standards.  The wide dissemination of results will further promote transparency and ensure commitment to the EFR process.</w:t>
            </w:r>
          </w:p>
        </w:tc>
      </w:tr>
      <w:tr w:rsidR="006061B4" w:rsidRPr="006061B4" w14:paraId="0BA047D7" w14:textId="77777777" w:rsidTr="006061B4">
        <w:tc>
          <w:tcPr>
            <w:tcW w:w="2414" w:type="dxa"/>
          </w:tcPr>
          <w:p w14:paraId="30427AAD" w14:textId="6BABCDCD" w:rsidR="006061B4" w:rsidRPr="006061B4" w:rsidRDefault="006061B4" w:rsidP="001C215D">
            <w:pPr>
              <w:widowControl/>
              <w:tabs>
                <w:tab w:val="left" w:pos="-720"/>
              </w:tabs>
              <w:rPr>
                <w:rFonts w:ascii="Arial" w:hAnsi="Arial" w:cs="Arial"/>
                <w:sz w:val="18"/>
                <w:szCs w:val="18"/>
              </w:rPr>
            </w:pPr>
            <w:r w:rsidRPr="006061B4">
              <w:rPr>
                <w:rFonts w:ascii="Arial" w:hAnsi="Arial" w:cs="Arial"/>
                <w:sz w:val="18"/>
                <w:szCs w:val="18"/>
              </w:rPr>
              <w:t>Despite the interest, the local authorities where the EFR instruments are piloted lose their interest in the project</w:t>
            </w:r>
          </w:p>
        </w:tc>
        <w:tc>
          <w:tcPr>
            <w:tcW w:w="1701" w:type="dxa"/>
            <w:vAlign w:val="center"/>
          </w:tcPr>
          <w:p w14:paraId="01690A74" w14:textId="390325D6" w:rsidR="006061B4" w:rsidRPr="006061B4" w:rsidRDefault="006061B4" w:rsidP="006061B4">
            <w:pPr>
              <w:widowControl/>
              <w:tabs>
                <w:tab w:val="left" w:pos="-720"/>
              </w:tabs>
              <w:jc w:val="center"/>
              <w:rPr>
                <w:rFonts w:ascii="Arial" w:hAnsi="Arial" w:cs="Arial"/>
                <w:sz w:val="18"/>
                <w:szCs w:val="18"/>
              </w:rPr>
            </w:pPr>
            <w:r w:rsidRPr="006061B4">
              <w:rPr>
                <w:rFonts w:ascii="Arial" w:hAnsi="Arial" w:cs="Arial"/>
                <w:sz w:val="18"/>
                <w:szCs w:val="18"/>
              </w:rPr>
              <w:t>Low</w:t>
            </w:r>
          </w:p>
        </w:tc>
        <w:tc>
          <w:tcPr>
            <w:tcW w:w="5670" w:type="dxa"/>
          </w:tcPr>
          <w:p w14:paraId="48CF6007" w14:textId="77777777" w:rsidR="006061B4" w:rsidRPr="006061B4" w:rsidRDefault="006061B4" w:rsidP="006061B4">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 xml:space="preserve">Securing the political commitment of local authorities is central to the success of EFR, and special attention will be given to ensuring that their concerns and priorities are fully addressed.     </w:t>
            </w:r>
          </w:p>
          <w:p w14:paraId="56A3CBDA" w14:textId="77777777" w:rsidR="006061B4" w:rsidRPr="006061B4" w:rsidRDefault="006061B4" w:rsidP="006061B4">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EFR and the improved fiscal measures will be undertaken in a way that provides substantive financial and environmental gains to local authorities.</w:t>
            </w:r>
          </w:p>
          <w:p w14:paraId="35C2C22F" w14:textId="64D045D5" w:rsidR="006061B4" w:rsidRPr="006061B4" w:rsidRDefault="006061B4" w:rsidP="006061B4">
            <w:pPr>
              <w:pStyle w:val="ListParagraph"/>
              <w:widowControl/>
              <w:numPr>
                <w:ilvl w:val="0"/>
                <w:numId w:val="16"/>
              </w:numPr>
              <w:tabs>
                <w:tab w:val="left" w:pos="-720"/>
              </w:tabs>
              <w:ind w:left="148" w:hanging="148"/>
              <w:rPr>
                <w:rFonts w:ascii="Arial" w:hAnsi="Arial" w:cs="Arial"/>
                <w:bCs/>
                <w:sz w:val="18"/>
                <w:szCs w:val="18"/>
              </w:rPr>
            </w:pPr>
            <w:r w:rsidRPr="006061B4">
              <w:rPr>
                <w:rFonts w:ascii="Arial" w:hAnsi="Arial" w:cs="Arial"/>
                <w:bCs/>
                <w:sz w:val="18"/>
                <w:szCs w:val="18"/>
              </w:rPr>
              <w:t xml:space="preserve">The integration of the EFR within the decentralization processes through a multi-stakeholders consultative process should reduce resistance to proposed EFR measures.  </w:t>
            </w:r>
          </w:p>
        </w:tc>
      </w:tr>
    </w:tbl>
    <w:p w14:paraId="4F89AA13" w14:textId="77777777" w:rsidR="00BD7E4C" w:rsidRPr="00AA4284" w:rsidRDefault="00BD7E4C" w:rsidP="00BD7E4C">
      <w:pPr>
        <w:pStyle w:val="ListParagraph"/>
        <w:ind w:left="0"/>
        <w:jc w:val="both"/>
        <w:rPr>
          <w:i/>
          <w:sz w:val="18"/>
          <w:szCs w:val="18"/>
        </w:rPr>
      </w:pPr>
      <w:r w:rsidRPr="00BD7E4C">
        <w:rPr>
          <w:i/>
          <w:sz w:val="18"/>
          <w:szCs w:val="18"/>
        </w:rPr>
        <w:t xml:space="preserve">Source: </w:t>
      </w:r>
      <w:r w:rsidR="003402A5">
        <w:rPr>
          <w:i/>
          <w:sz w:val="18"/>
          <w:szCs w:val="18"/>
        </w:rPr>
        <w:t>Project D</w:t>
      </w:r>
      <w:r w:rsidR="00DE375D">
        <w:rPr>
          <w:i/>
          <w:sz w:val="18"/>
          <w:szCs w:val="18"/>
        </w:rPr>
        <w:t>ocument</w:t>
      </w:r>
    </w:p>
    <w:p w14:paraId="6F4E8393" w14:textId="77777777" w:rsidR="00E77E7E" w:rsidRPr="00FB6D4E" w:rsidRDefault="00E77E7E" w:rsidP="00E77E7E">
      <w:pPr>
        <w:widowControl/>
        <w:tabs>
          <w:tab w:val="left" w:pos="-720"/>
          <w:tab w:val="left" w:pos="567"/>
        </w:tabs>
        <w:jc w:val="both"/>
        <w:rPr>
          <w:sz w:val="22"/>
          <w:szCs w:val="22"/>
        </w:rPr>
      </w:pPr>
    </w:p>
    <w:p w14:paraId="74D32A64" w14:textId="414007EE" w:rsidR="00CF6F0D" w:rsidRPr="00071338" w:rsidRDefault="00CF6F0D" w:rsidP="005032D3">
      <w:pPr>
        <w:pStyle w:val="ListParagraph"/>
        <w:numPr>
          <w:ilvl w:val="0"/>
          <w:numId w:val="15"/>
        </w:numPr>
        <w:jc w:val="both"/>
        <w:rPr>
          <w:sz w:val="22"/>
          <w:szCs w:val="22"/>
        </w:rPr>
      </w:pPr>
      <w:r w:rsidRPr="00071338">
        <w:rPr>
          <w:sz w:val="22"/>
          <w:szCs w:val="22"/>
        </w:rPr>
        <w:t>Since the start up of the project, the Project Team and UNDP monitored the risks linked to the implementation of project activities and recorded it in the UNDP-Atlas system.</w:t>
      </w:r>
      <w:r w:rsidR="00071338" w:rsidRPr="00071338">
        <w:rPr>
          <w:sz w:val="22"/>
          <w:szCs w:val="22"/>
        </w:rPr>
        <w:t xml:space="preserve"> Table 5 is a copy of the risk log that was in the Atlas system at the time of this evaluation. </w:t>
      </w:r>
    </w:p>
    <w:p w14:paraId="40D66268" w14:textId="77777777" w:rsidR="005A4CBD" w:rsidRPr="00FB6D4E" w:rsidRDefault="005A4CBD" w:rsidP="005A4CBD">
      <w:pPr>
        <w:widowControl/>
        <w:tabs>
          <w:tab w:val="left" w:pos="-720"/>
          <w:tab w:val="left" w:pos="567"/>
        </w:tabs>
        <w:jc w:val="both"/>
        <w:rPr>
          <w:sz w:val="22"/>
        </w:rPr>
      </w:pPr>
    </w:p>
    <w:p w14:paraId="7B89FB75" w14:textId="77777777" w:rsidR="005A4CBD" w:rsidRPr="00FB6D4E" w:rsidRDefault="005A4CBD" w:rsidP="005A4CBD">
      <w:pPr>
        <w:pStyle w:val="Caption"/>
        <w:jc w:val="center"/>
        <w:rPr>
          <w:rFonts w:ascii="Arial" w:hAnsi="Arial"/>
          <w:bCs w:val="0"/>
          <w:sz w:val="22"/>
          <w:szCs w:val="22"/>
        </w:rPr>
      </w:pPr>
      <w:bookmarkStart w:id="36" w:name="_Toc305531033"/>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5</w:t>
      </w:r>
      <w:r w:rsidRPr="00FB6D4E">
        <w:fldChar w:fldCharType="end"/>
      </w:r>
      <w:r w:rsidRPr="00FB6D4E">
        <w:rPr>
          <w:rFonts w:ascii="Arial" w:hAnsi="Arial"/>
        </w:rPr>
        <w:t>:</w:t>
      </w:r>
      <w:r w:rsidRPr="00FB6D4E">
        <w:rPr>
          <w:rFonts w:ascii="Arial" w:hAnsi="Arial"/>
          <w:b w:val="0"/>
        </w:rPr>
        <w:t xml:space="preserve">  List of Risks </w:t>
      </w:r>
      <w:r>
        <w:rPr>
          <w:rFonts w:ascii="Arial" w:hAnsi="Arial"/>
          <w:b w:val="0"/>
        </w:rPr>
        <w:t>Logged in Atlas</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6971"/>
        <w:gridCol w:w="1417"/>
        <w:gridCol w:w="1418"/>
      </w:tblGrid>
      <w:tr w:rsidR="00071338" w:rsidRPr="00FB6D4E" w14:paraId="7ACF6B86" w14:textId="77777777" w:rsidTr="00071A9F">
        <w:trPr>
          <w:trHeight w:val="362"/>
          <w:tblHeader/>
          <w:jc w:val="center"/>
        </w:trPr>
        <w:tc>
          <w:tcPr>
            <w:tcW w:w="6971" w:type="dxa"/>
            <w:shd w:val="clear" w:color="auto" w:fill="D9D9D9"/>
            <w:vAlign w:val="center"/>
          </w:tcPr>
          <w:p w14:paraId="7780A2E0" w14:textId="507D1478" w:rsidR="00071338" w:rsidRPr="00FB6D4E" w:rsidRDefault="00071338" w:rsidP="005A4CBD">
            <w:pPr>
              <w:widowControl/>
              <w:tabs>
                <w:tab w:val="left" w:pos="-720"/>
                <w:tab w:val="left" w:pos="567"/>
              </w:tabs>
              <w:jc w:val="center"/>
              <w:rPr>
                <w:rFonts w:ascii="Arial" w:hAnsi="Arial"/>
                <w:b/>
                <w:bCs/>
                <w:sz w:val="18"/>
                <w:szCs w:val="22"/>
              </w:rPr>
            </w:pPr>
            <w:r w:rsidRPr="00FB6D4E">
              <w:rPr>
                <w:rFonts w:ascii="Arial" w:hAnsi="Arial"/>
                <w:b/>
                <w:bCs/>
                <w:sz w:val="18"/>
                <w:szCs w:val="22"/>
              </w:rPr>
              <w:t>Risks</w:t>
            </w:r>
            <w:r>
              <w:rPr>
                <w:rFonts w:ascii="Arial" w:hAnsi="Arial"/>
                <w:b/>
                <w:bCs/>
                <w:sz w:val="18"/>
                <w:szCs w:val="22"/>
              </w:rPr>
              <w:t xml:space="preserve"> / Assumptions</w:t>
            </w:r>
          </w:p>
        </w:tc>
        <w:tc>
          <w:tcPr>
            <w:tcW w:w="1417" w:type="dxa"/>
            <w:shd w:val="clear" w:color="auto" w:fill="D9D9D9"/>
            <w:vAlign w:val="center"/>
          </w:tcPr>
          <w:p w14:paraId="1CF55075" w14:textId="77777777" w:rsidR="00071338" w:rsidRPr="00FB6D4E" w:rsidRDefault="00071338" w:rsidP="005A4CBD">
            <w:pPr>
              <w:widowControl/>
              <w:tabs>
                <w:tab w:val="left" w:pos="-720"/>
                <w:tab w:val="left" w:pos="567"/>
              </w:tabs>
              <w:jc w:val="center"/>
              <w:rPr>
                <w:rFonts w:ascii="Arial" w:hAnsi="Arial"/>
                <w:b/>
                <w:bCs/>
                <w:sz w:val="18"/>
                <w:szCs w:val="22"/>
              </w:rPr>
            </w:pPr>
            <w:r w:rsidRPr="00FB6D4E">
              <w:rPr>
                <w:rFonts w:ascii="Arial" w:hAnsi="Arial"/>
                <w:b/>
                <w:bCs/>
                <w:sz w:val="18"/>
                <w:szCs w:val="22"/>
              </w:rPr>
              <w:t>Type</w:t>
            </w:r>
          </w:p>
        </w:tc>
        <w:tc>
          <w:tcPr>
            <w:tcW w:w="1418" w:type="dxa"/>
            <w:shd w:val="clear" w:color="auto" w:fill="D9D9D9"/>
            <w:vAlign w:val="center"/>
          </w:tcPr>
          <w:p w14:paraId="77C16CB4" w14:textId="040DBF1A" w:rsidR="00071338" w:rsidRDefault="00071338" w:rsidP="005A4CBD">
            <w:pPr>
              <w:widowControl/>
              <w:tabs>
                <w:tab w:val="left" w:pos="-720"/>
                <w:tab w:val="left" w:pos="567"/>
              </w:tabs>
              <w:jc w:val="center"/>
              <w:rPr>
                <w:rFonts w:ascii="Arial" w:hAnsi="Arial"/>
                <w:b/>
                <w:bCs/>
                <w:sz w:val="18"/>
                <w:szCs w:val="22"/>
              </w:rPr>
            </w:pPr>
            <w:r>
              <w:rPr>
                <w:rFonts w:ascii="Arial" w:hAnsi="Arial"/>
                <w:b/>
                <w:bCs/>
                <w:sz w:val="18"/>
                <w:szCs w:val="22"/>
              </w:rPr>
              <w:t>Priority</w:t>
            </w:r>
          </w:p>
        </w:tc>
      </w:tr>
      <w:tr w:rsidR="00071338" w:rsidRPr="00FB6D4E" w14:paraId="666BD595" w14:textId="77777777" w:rsidTr="00071A9F">
        <w:trPr>
          <w:jc w:val="center"/>
        </w:trPr>
        <w:tc>
          <w:tcPr>
            <w:tcW w:w="6971" w:type="dxa"/>
          </w:tcPr>
          <w:p w14:paraId="025CF5FC" w14:textId="4B5FC4B0" w:rsidR="00071338" w:rsidRPr="00F534BA" w:rsidRDefault="00071338" w:rsidP="00DC1947">
            <w:pPr>
              <w:pStyle w:val="ListParagraph"/>
              <w:widowControl/>
              <w:numPr>
                <w:ilvl w:val="0"/>
                <w:numId w:val="23"/>
              </w:numPr>
              <w:tabs>
                <w:tab w:val="left" w:pos="-720"/>
              </w:tabs>
              <w:ind w:left="284" w:hanging="284"/>
              <w:rPr>
                <w:rFonts w:ascii="Arial" w:hAnsi="Arial"/>
                <w:bCs/>
                <w:sz w:val="18"/>
                <w:szCs w:val="22"/>
              </w:rPr>
            </w:pPr>
            <w:r w:rsidRPr="00176D33">
              <w:rPr>
                <w:rFonts w:ascii="Arial" w:hAnsi="Arial" w:cs="Arial"/>
                <w:sz w:val="18"/>
                <w:szCs w:val="18"/>
              </w:rPr>
              <w:t xml:space="preserve">The political crisis can lead to uncertainty of the legal framework improvement process, related to elaborated amendments and proposals to existing laws, as well as to the institutional and operational development of </w:t>
            </w:r>
            <w:r>
              <w:rPr>
                <w:rFonts w:ascii="Arial" w:hAnsi="Arial" w:cs="Arial"/>
                <w:sz w:val="18"/>
                <w:szCs w:val="18"/>
              </w:rPr>
              <w:t xml:space="preserve">the </w:t>
            </w:r>
            <w:r w:rsidRPr="00176D33">
              <w:rPr>
                <w:rFonts w:ascii="Arial" w:hAnsi="Arial" w:cs="Arial"/>
                <w:sz w:val="18"/>
                <w:szCs w:val="18"/>
              </w:rPr>
              <w:t>Na</w:t>
            </w:r>
            <w:r>
              <w:rPr>
                <w:rFonts w:ascii="Arial" w:hAnsi="Arial" w:cs="Arial"/>
                <w:sz w:val="18"/>
                <w:szCs w:val="18"/>
              </w:rPr>
              <w:t>tional Environmental Fund</w:t>
            </w:r>
          </w:p>
        </w:tc>
        <w:tc>
          <w:tcPr>
            <w:tcW w:w="1417" w:type="dxa"/>
            <w:vAlign w:val="center"/>
          </w:tcPr>
          <w:p w14:paraId="4355733A" w14:textId="7B0D4396"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Political</w:t>
            </w:r>
          </w:p>
        </w:tc>
        <w:tc>
          <w:tcPr>
            <w:tcW w:w="1418" w:type="dxa"/>
            <w:vAlign w:val="center"/>
          </w:tcPr>
          <w:p w14:paraId="4B4AC73B" w14:textId="5BC25136"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Medium</w:t>
            </w:r>
          </w:p>
        </w:tc>
      </w:tr>
      <w:tr w:rsidR="00071338" w:rsidRPr="00FB6D4E" w14:paraId="47B3E119" w14:textId="77777777" w:rsidTr="00071A9F">
        <w:trPr>
          <w:jc w:val="center"/>
        </w:trPr>
        <w:tc>
          <w:tcPr>
            <w:tcW w:w="6971" w:type="dxa"/>
          </w:tcPr>
          <w:p w14:paraId="51EDAF09" w14:textId="3046727E" w:rsidR="00071338" w:rsidRPr="00FB6D4E" w:rsidRDefault="00071338" w:rsidP="00DC1947">
            <w:pPr>
              <w:pStyle w:val="ListParagraph"/>
              <w:widowControl/>
              <w:numPr>
                <w:ilvl w:val="0"/>
                <w:numId w:val="23"/>
              </w:numPr>
              <w:tabs>
                <w:tab w:val="left" w:pos="-720"/>
              </w:tabs>
              <w:ind w:left="284" w:hanging="284"/>
              <w:rPr>
                <w:rFonts w:ascii="Arial" w:hAnsi="Arial"/>
                <w:bCs/>
                <w:sz w:val="18"/>
                <w:szCs w:val="22"/>
              </w:rPr>
            </w:pPr>
            <w:r w:rsidRPr="00176D33">
              <w:rPr>
                <w:rFonts w:ascii="Arial" w:hAnsi="Arial" w:cs="Arial"/>
                <w:sz w:val="18"/>
                <w:szCs w:val="18"/>
              </w:rPr>
              <w:lastRenderedPageBreak/>
              <w:t>Environmental protection policies does not represent a top priority for the Moldova Government at the moment due to different reasons, which make the process of fiscal reform for environment protection more difficult.</w:t>
            </w:r>
          </w:p>
        </w:tc>
        <w:tc>
          <w:tcPr>
            <w:tcW w:w="1417" w:type="dxa"/>
            <w:vAlign w:val="center"/>
          </w:tcPr>
          <w:p w14:paraId="2660DA6A" w14:textId="46E6CEEC"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Strategic</w:t>
            </w:r>
          </w:p>
        </w:tc>
        <w:tc>
          <w:tcPr>
            <w:tcW w:w="1418" w:type="dxa"/>
            <w:vAlign w:val="center"/>
          </w:tcPr>
          <w:p w14:paraId="7489CA7D" w14:textId="1F9D1046"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Medium</w:t>
            </w:r>
          </w:p>
        </w:tc>
      </w:tr>
      <w:tr w:rsidR="00071338" w:rsidRPr="00FB6D4E" w14:paraId="3EBE2E45" w14:textId="77777777" w:rsidTr="00071A9F">
        <w:trPr>
          <w:jc w:val="center"/>
        </w:trPr>
        <w:tc>
          <w:tcPr>
            <w:tcW w:w="6971" w:type="dxa"/>
          </w:tcPr>
          <w:p w14:paraId="5ACF4C8E" w14:textId="3135CF4B" w:rsidR="00071338" w:rsidRPr="00FB6D4E" w:rsidRDefault="00071338" w:rsidP="00DC1947">
            <w:pPr>
              <w:pStyle w:val="ListParagraph"/>
              <w:widowControl/>
              <w:numPr>
                <w:ilvl w:val="0"/>
                <w:numId w:val="23"/>
              </w:numPr>
              <w:tabs>
                <w:tab w:val="left" w:pos="-720"/>
              </w:tabs>
              <w:ind w:left="284" w:hanging="284"/>
              <w:rPr>
                <w:rFonts w:ascii="Arial" w:hAnsi="Arial"/>
                <w:bCs/>
                <w:sz w:val="18"/>
                <w:szCs w:val="22"/>
              </w:rPr>
            </w:pPr>
            <w:r w:rsidRPr="00176D33">
              <w:rPr>
                <w:rFonts w:ascii="Arial" w:hAnsi="Arial" w:cs="Arial"/>
                <w:sz w:val="18"/>
                <w:szCs w:val="18"/>
              </w:rPr>
              <w:t>The parliamentary elections planned for November 2014 could lead to delay in implementing EFR project activities.</w:t>
            </w:r>
          </w:p>
        </w:tc>
        <w:tc>
          <w:tcPr>
            <w:tcW w:w="1417" w:type="dxa"/>
            <w:vAlign w:val="center"/>
          </w:tcPr>
          <w:p w14:paraId="5DB8CC09" w14:textId="67860D6B"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Political</w:t>
            </w:r>
          </w:p>
        </w:tc>
        <w:tc>
          <w:tcPr>
            <w:tcW w:w="1418" w:type="dxa"/>
            <w:vAlign w:val="center"/>
          </w:tcPr>
          <w:p w14:paraId="1A6E90FE" w14:textId="1CBDA05C"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Medium</w:t>
            </w:r>
          </w:p>
        </w:tc>
      </w:tr>
      <w:tr w:rsidR="00071338" w:rsidRPr="00FB6D4E" w14:paraId="4667A756" w14:textId="77777777" w:rsidTr="00071A9F">
        <w:trPr>
          <w:jc w:val="center"/>
        </w:trPr>
        <w:tc>
          <w:tcPr>
            <w:tcW w:w="6971" w:type="dxa"/>
          </w:tcPr>
          <w:p w14:paraId="7C4983D7" w14:textId="0EC22B75" w:rsidR="00071338" w:rsidRPr="00FB6D4E" w:rsidRDefault="00071338" w:rsidP="00DC1947">
            <w:pPr>
              <w:pStyle w:val="ListParagraph"/>
              <w:widowControl/>
              <w:numPr>
                <w:ilvl w:val="0"/>
                <w:numId w:val="23"/>
              </w:numPr>
              <w:tabs>
                <w:tab w:val="left" w:pos="-720"/>
              </w:tabs>
              <w:ind w:left="284" w:hanging="284"/>
              <w:rPr>
                <w:rFonts w:ascii="Arial" w:hAnsi="Arial"/>
                <w:bCs/>
                <w:sz w:val="18"/>
                <w:szCs w:val="22"/>
              </w:rPr>
            </w:pPr>
            <w:r w:rsidRPr="00176D33">
              <w:rPr>
                <w:rFonts w:ascii="Arial" w:hAnsi="Arial" w:cs="Arial"/>
                <w:sz w:val="18"/>
                <w:szCs w:val="18"/>
              </w:rPr>
              <w:t>Due to complexity of the project and its inter-sectorial characteristics, the environmental fiscal reform has not achieved yet a full understanding of objectives among policy decision makers and local community</w:t>
            </w:r>
          </w:p>
        </w:tc>
        <w:tc>
          <w:tcPr>
            <w:tcW w:w="1417" w:type="dxa"/>
            <w:vAlign w:val="center"/>
          </w:tcPr>
          <w:p w14:paraId="2B53C4BF" w14:textId="31BD9EC6"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Strategic</w:t>
            </w:r>
          </w:p>
        </w:tc>
        <w:tc>
          <w:tcPr>
            <w:tcW w:w="1418" w:type="dxa"/>
            <w:vAlign w:val="center"/>
          </w:tcPr>
          <w:p w14:paraId="47AF8DC1" w14:textId="5280D1FE"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Medium</w:t>
            </w:r>
          </w:p>
        </w:tc>
      </w:tr>
      <w:tr w:rsidR="00071338" w:rsidRPr="00FB6D4E" w14:paraId="2458F8DA" w14:textId="77777777" w:rsidTr="00071A9F">
        <w:trPr>
          <w:jc w:val="center"/>
        </w:trPr>
        <w:tc>
          <w:tcPr>
            <w:tcW w:w="6971" w:type="dxa"/>
          </w:tcPr>
          <w:p w14:paraId="33169589" w14:textId="3F6B9237" w:rsidR="00071338" w:rsidRPr="00FB6D4E" w:rsidRDefault="00071338" w:rsidP="00DC1947">
            <w:pPr>
              <w:pStyle w:val="ListParagraph"/>
              <w:widowControl/>
              <w:numPr>
                <w:ilvl w:val="0"/>
                <w:numId w:val="23"/>
              </w:numPr>
              <w:tabs>
                <w:tab w:val="left" w:pos="-720"/>
              </w:tabs>
              <w:ind w:left="284" w:hanging="284"/>
              <w:rPr>
                <w:rFonts w:ascii="Arial" w:hAnsi="Arial"/>
                <w:bCs/>
                <w:sz w:val="18"/>
                <w:szCs w:val="22"/>
              </w:rPr>
            </w:pPr>
            <w:r w:rsidRPr="00176D33">
              <w:rPr>
                <w:rFonts w:ascii="Arial" w:hAnsi="Arial" w:cs="Arial"/>
                <w:sz w:val="18"/>
                <w:szCs w:val="18"/>
              </w:rPr>
              <w:t>New Law of the public finances and budgetary-fiscal responsibility approved by the Parliament on the July 29, 2014 needs adjustments on the NEF Regulation.</w:t>
            </w:r>
          </w:p>
        </w:tc>
        <w:tc>
          <w:tcPr>
            <w:tcW w:w="1417" w:type="dxa"/>
            <w:vAlign w:val="center"/>
          </w:tcPr>
          <w:p w14:paraId="047382B0" w14:textId="3304E2BA"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Regulatory</w:t>
            </w:r>
          </w:p>
        </w:tc>
        <w:tc>
          <w:tcPr>
            <w:tcW w:w="1418" w:type="dxa"/>
            <w:vAlign w:val="center"/>
          </w:tcPr>
          <w:p w14:paraId="5E694C36" w14:textId="5D7AD129" w:rsidR="00071338" w:rsidRPr="00176D33" w:rsidRDefault="00071338" w:rsidP="00176D33">
            <w:pPr>
              <w:widowControl/>
              <w:tabs>
                <w:tab w:val="left" w:pos="-720"/>
              </w:tabs>
              <w:jc w:val="center"/>
              <w:rPr>
                <w:rFonts w:ascii="Arial" w:hAnsi="Arial" w:cs="Arial"/>
                <w:sz w:val="18"/>
                <w:szCs w:val="18"/>
              </w:rPr>
            </w:pPr>
            <w:r w:rsidRPr="00176D33">
              <w:rPr>
                <w:rFonts w:ascii="Arial" w:hAnsi="Arial" w:cs="Arial"/>
                <w:sz w:val="18"/>
                <w:szCs w:val="18"/>
              </w:rPr>
              <w:t>Medium</w:t>
            </w:r>
          </w:p>
        </w:tc>
      </w:tr>
    </w:tbl>
    <w:p w14:paraId="2101DCA4" w14:textId="5BA56169" w:rsidR="005A4CBD" w:rsidRPr="00AA4284" w:rsidRDefault="00071338" w:rsidP="00071338">
      <w:pPr>
        <w:pStyle w:val="ListParagraph"/>
        <w:ind w:left="680"/>
        <w:jc w:val="both"/>
        <w:rPr>
          <w:i/>
          <w:sz w:val="18"/>
          <w:szCs w:val="18"/>
        </w:rPr>
      </w:pPr>
      <w:r>
        <w:rPr>
          <w:i/>
          <w:sz w:val="18"/>
          <w:szCs w:val="18"/>
        </w:rPr>
        <w:t xml:space="preserve">        </w:t>
      </w:r>
      <w:r w:rsidR="005A4CBD" w:rsidRPr="003C41D0">
        <w:rPr>
          <w:i/>
          <w:sz w:val="18"/>
          <w:szCs w:val="18"/>
        </w:rPr>
        <w:t xml:space="preserve">Source: </w:t>
      </w:r>
      <w:r w:rsidR="00176D33">
        <w:rPr>
          <w:i/>
          <w:sz w:val="18"/>
          <w:szCs w:val="18"/>
        </w:rPr>
        <w:t>Risk Log from UNDP Atlas system</w:t>
      </w:r>
    </w:p>
    <w:p w14:paraId="5F7A55AB" w14:textId="77777777" w:rsidR="005A4CBD" w:rsidRPr="00FB6D4E" w:rsidRDefault="005A4CBD" w:rsidP="005A4CBD">
      <w:pPr>
        <w:pStyle w:val="ListParagraph"/>
        <w:ind w:left="0"/>
        <w:jc w:val="both"/>
        <w:rPr>
          <w:sz w:val="22"/>
          <w:szCs w:val="22"/>
        </w:rPr>
      </w:pPr>
    </w:p>
    <w:p w14:paraId="7FA2F2AA" w14:textId="27EA9402" w:rsidR="00071A9F" w:rsidRDefault="000A314C" w:rsidP="000A314C">
      <w:pPr>
        <w:pStyle w:val="ListParagraph"/>
        <w:numPr>
          <w:ilvl w:val="0"/>
          <w:numId w:val="15"/>
        </w:numPr>
        <w:jc w:val="both"/>
        <w:rPr>
          <w:sz w:val="22"/>
          <w:szCs w:val="22"/>
        </w:rPr>
      </w:pPr>
      <w:r w:rsidRPr="0079315E">
        <w:rPr>
          <w:sz w:val="22"/>
          <w:szCs w:val="22"/>
        </w:rPr>
        <w:t>The review conducted for this terminal evaluation reveals that during the imp</w:t>
      </w:r>
      <w:r w:rsidR="00071A9F">
        <w:rPr>
          <w:sz w:val="22"/>
          <w:szCs w:val="22"/>
        </w:rPr>
        <w:t>lementation of the project</w:t>
      </w:r>
      <w:r w:rsidR="00E715F9">
        <w:rPr>
          <w:sz w:val="22"/>
          <w:szCs w:val="22"/>
        </w:rPr>
        <w:t>,</w:t>
      </w:r>
      <w:r w:rsidR="00071A9F">
        <w:rPr>
          <w:sz w:val="22"/>
          <w:szCs w:val="22"/>
        </w:rPr>
        <w:t xml:space="preserve"> the P</w:t>
      </w:r>
      <w:r w:rsidRPr="0079315E">
        <w:rPr>
          <w:sz w:val="22"/>
          <w:szCs w:val="22"/>
        </w:rPr>
        <w:t xml:space="preserve">roject </w:t>
      </w:r>
      <w:r w:rsidR="00071A9F">
        <w:rPr>
          <w:sz w:val="22"/>
          <w:szCs w:val="22"/>
        </w:rPr>
        <w:t>T</w:t>
      </w:r>
      <w:r w:rsidRPr="0079315E">
        <w:rPr>
          <w:sz w:val="22"/>
          <w:szCs w:val="22"/>
        </w:rPr>
        <w:t xml:space="preserve">eam </w:t>
      </w:r>
      <w:r w:rsidR="00071A9F">
        <w:rPr>
          <w:sz w:val="22"/>
          <w:szCs w:val="22"/>
        </w:rPr>
        <w:t xml:space="preserve">monitored these risks and reported it in the PIRs; though considering that none were seen as critical during the implementation period, limited reporting was necessary in these PIRs. </w:t>
      </w:r>
    </w:p>
    <w:p w14:paraId="66C81152" w14:textId="77777777" w:rsidR="00071A9F" w:rsidRDefault="00071A9F" w:rsidP="00071A9F">
      <w:pPr>
        <w:pStyle w:val="ListParagraph"/>
        <w:ind w:left="0"/>
        <w:jc w:val="both"/>
        <w:rPr>
          <w:sz w:val="22"/>
          <w:szCs w:val="22"/>
        </w:rPr>
      </w:pPr>
    </w:p>
    <w:p w14:paraId="211281BB" w14:textId="1A72B05F" w:rsidR="00071A9F" w:rsidRDefault="00071A9F" w:rsidP="000A314C">
      <w:pPr>
        <w:pStyle w:val="ListParagraph"/>
        <w:numPr>
          <w:ilvl w:val="0"/>
          <w:numId w:val="15"/>
        </w:numPr>
        <w:jc w:val="both"/>
        <w:rPr>
          <w:sz w:val="22"/>
          <w:szCs w:val="22"/>
        </w:rPr>
      </w:pPr>
      <w:r>
        <w:rPr>
          <w:sz w:val="22"/>
          <w:szCs w:val="22"/>
        </w:rPr>
        <w:t>It was also noted that these risks/assumptions were reflecting better the reality in Moldova to implement an EFR agenda when compared to the initial list documented in the project document</w:t>
      </w:r>
      <w:r w:rsidR="00E715F9">
        <w:rPr>
          <w:sz w:val="22"/>
          <w:szCs w:val="22"/>
        </w:rPr>
        <w:t>; particularly from a political and strategic point of view</w:t>
      </w:r>
      <w:r>
        <w:rPr>
          <w:sz w:val="22"/>
          <w:szCs w:val="22"/>
        </w:rPr>
        <w:t>. Furthermore, despite the fact that none were critical, all five risks monitored were rated as medium at the</w:t>
      </w:r>
      <w:r w:rsidR="00E715F9">
        <w:rPr>
          <w:sz w:val="22"/>
          <w:szCs w:val="22"/>
        </w:rPr>
        <w:t xml:space="preserve"> time of this evaluation and it is confirmed by the review conducted by the Evaluation Team. It was a good set of risks, which were regularly monitored. It was a good management instrument used by the Project Team to help identifying measures to mitigate risks when needed. </w:t>
      </w:r>
    </w:p>
    <w:p w14:paraId="64FD125A" w14:textId="77777777" w:rsidR="005A4CBD" w:rsidRPr="005A4CBD" w:rsidRDefault="005A4CBD" w:rsidP="005A4CBD">
      <w:pPr>
        <w:pStyle w:val="ListParagraph"/>
        <w:tabs>
          <w:tab w:val="left" w:pos="567"/>
        </w:tabs>
        <w:ind w:left="0"/>
        <w:jc w:val="both"/>
        <w:rPr>
          <w:sz w:val="22"/>
          <w:szCs w:val="22"/>
        </w:rPr>
      </w:pPr>
    </w:p>
    <w:p w14:paraId="5BB5E8A0" w14:textId="77777777" w:rsidR="00905221" w:rsidRPr="00FB6D4E" w:rsidRDefault="00905221" w:rsidP="00905221">
      <w:pPr>
        <w:pStyle w:val="Heading3"/>
        <w:numPr>
          <w:ilvl w:val="2"/>
          <w:numId w:val="1"/>
        </w:numPr>
        <w:tabs>
          <w:tab w:val="clear" w:pos="1440"/>
        </w:tabs>
        <w:ind w:left="1276" w:hanging="709"/>
        <w:rPr>
          <w:rFonts w:ascii="Arial" w:hAnsi="Arial" w:cs="Arial"/>
          <w:i/>
          <w:sz w:val="22"/>
          <w:szCs w:val="22"/>
        </w:rPr>
      </w:pPr>
      <w:bookmarkStart w:id="37" w:name="_Toc308103247"/>
      <w:r w:rsidRPr="00FB6D4E">
        <w:rPr>
          <w:rFonts w:ascii="Arial" w:hAnsi="Arial" w:cs="Arial"/>
          <w:i/>
          <w:sz w:val="22"/>
          <w:szCs w:val="22"/>
        </w:rPr>
        <w:t>Linkages Between the Project and Other Interventions within the Sector</w:t>
      </w:r>
      <w:bookmarkEnd w:id="37"/>
    </w:p>
    <w:p w14:paraId="6CAA2B79" w14:textId="77777777" w:rsidR="00905221" w:rsidRPr="00FB6D4E" w:rsidRDefault="00905221" w:rsidP="00905221">
      <w:pPr>
        <w:tabs>
          <w:tab w:val="left" w:pos="1472"/>
        </w:tabs>
        <w:jc w:val="both"/>
        <w:rPr>
          <w:sz w:val="22"/>
          <w:szCs w:val="22"/>
        </w:rPr>
      </w:pPr>
    </w:p>
    <w:p w14:paraId="0D25F934" w14:textId="1C38A8F3" w:rsidR="00D8111C" w:rsidRPr="001303C2" w:rsidRDefault="008C13BD" w:rsidP="00D8111C">
      <w:pPr>
        <w:pStyle w:val="ListParagraph"/>
        <w:numPr>
          <w:ilvl w:val="0"/>
          <w:numId w:val="15"/>
        </w:numPr>
        <w:jc w:val="both"/>
        <w:rPr>
          <w:sz w:val="22"/>
        </w:rPr>
      </w:pPr>
      <w:r w:rsidRPr="001303C2">
        <w:rPr>
          <w:sz w:val="22"/>
          <w:szCs w:val="22"/>
        </w:rPr>
        <w:t>This project</w:t>
      </w:r>
      <w:r w:rsidR="00D8111C" w:rsidRPr="001303C2">
        <w:rPr>
          <w:sz w:val="22"/>
          <w:szCs w:val="22"/>
        </w:rPr>
        <w:t xml:space="preserve"> was conceptualized to </w:t>
      </w:r>
      <w:r w:rsidR="00D8111C" w:rsidRPr="001303C2">
        <w:rPr>
          <w:sz w:val="22"/>
        </w:rPr>
        <w:t xml:space="preserve">address national constraints and respond to the national priority on environmental fiscal reform. </w:t>
      </w:r>
      <w:r w:rsidR="001303C2" w:rsidRPr="001303C2">
        <w:rPr>
          <w:sz w:val="22"/>
        </w:rPr>
        <w:t>It was a direct fol</w:t>
      </w:r>
      <w:r w:rsidR="00021041">
        <w:rPr>
          <w:sz w:val="22"/>
        </w:rPr>
        <w:t>low-</w:t>
      </w:r>
      <w:r w:rsidR="001303C2" w:rsidRPr="001303C2">
        <w:rPr>
          <w:sz w:val="22"/>
        </w:rPr>
        <w:t>up to the NCSA conducted in Moldova in 2004-2005</w:t>
      </w:r>
      <w:r w:rsidR="00021041">
        <w:rPr>
          <w:sz w:val="22"/>
        </w:rPr>
        <w:t>,</w:t>
      </w:r>
      <w:r w:rsidR="001303C2" w:rsidRPr="001303C2">
        <w:rPr>
          <w:sz w:val="22"/>
        </w:rPr>
        <w:t xml:space="preserve"> which called for a launch of an economic fiscal reform programme in Moldova. </w:t>
      </w:r>
      <w:r w:rsidR="001303C2">
        <w:rPr>
          <w:sz w:val="22"/>
        </w:rPr>
        <w:t xml:space="preserve">The project </w:t>
      </w:r>
      <w:r w:rsidR="00D8111C" w:rsidRPr="001303C2">
        <w:rPr>
          <w:sz w:val="22"/>
        </w:rPr>
        <w:t xml:space="preserve">was to initiate and pilot EFR instruments targeted to meet Rio Convention objectives and ensure their integration within national plans and policies, especially in national taxation and within the decentralization process in Moldova. The plan was to establish a strong basis for the institutionalization of an EFR programme at the national level with the support of concerned governmental institutions such as MOE, the Ministry of Finance, and other line Ministries through the establishment of a Moldovan EFR Commission. </w:t>
      </w:r>
    </w:p>
    <w:p w14:paraId="1F8FC731" w14:textId="77777777" w:rsidR="00D8111C" w:rsidRPr="00D8111C" w:rsidRDefault="00D8111C" w:rsidP="00D8111C">
      <w:pPr>
        <w:jc w:val="both"/>
        <w:rPr>
          <w:sz w:val="22"/>
        </w:rPr>
      </w:pPr>
    </w:p>
    <w:p w14:paraId="1C246EAF" w14:textId="6D78F95B" w:rsidR="00D8111C" w:rsidRDefault="00526803" w:rsidP="00526803">
      <w:pPr>
        <w:pStyle w:val="ListParagraph"/>
        <w:numPr>
          <w:ilvl w:val="0"/>
          <w:numId w:val="15"/>
        </w:numPr>
        <w:jc w:val="both"/>
        <w:rPr>
          <w:sz w:val="22"/>
          <w:szCs w:val="22"/>
        </w:rPr>
      </w:pPr>
      <w:r w:rsidRPr="00526803">
        <w:rPr>
          <w:sz w:val="22"/>
          <w:szCs w:val="22"/>
        </w:rPr>
        <w:t>The project was part of an overall government strategy to promote a green economy and sustai</w:t>
      </w:r>
      <w:r w:rsidR="00726492">
        <w:rPr>
          <w:sz w:val="22"/>
          <w:szCs w:val="22"/>
        </w:rPr>
        <w:t>nable development in Moldova. At</w:t>
      </w:r>
      <w:r w:rsidRPr="00526803">
        <w:rPr>
          <w:sz w:val="22"/>
          <w:szCs w:val="22"/>
        </w:rPr>
        <w:t xml:space="preserve"> a presentation given by Mr. Vadim Ceban, Director, </w:t>
      </w:r>
      <w:r>
        <w:rPr>
          <w:sz w:val="22"/>
          <w:szCs w:val="22"/>
        </w:rPr>
        <w:t>D</w:t>
      </w:r>
      <w:r w:rsidRPr="00526803">
        <w:rPr>
          <w:sz w:val="22"/>
          <w:szCs w:val="22"/>
        </w:rPr>
        <w:t>epartment of Energy Security and Efficiency, Ministry of Ec</w:t>
      </w:r>
      <w:r>
        <w:rPr>
          <w:sz w:val="22"/>
          <w:szCs w:val="22"/>
        </w:rPr>
        <w:t>onomy at a Green Growth and Sustainable Development Forum in Paris in December 2013, the project was part of this green growth and sustainable development roadmap that included:</w:t>
      </w:r>
    </w:p>
    <w:p w14:paraId="61E0E905" w14:textId="59142788" w:rsidR="00526803" w:rsidRPr="00526803" w:rsidRDefault="00526803" w:rsidP="00DC1947">
      <w:pPr>
        <w:pStyle w:val="ListParagraph"/>
        <w:numPr>
          <w:ilvl w:val="0"/>
          <w:numId w:val="69"/>
        </w:numPr>
        <w:ind w:left="851" w:hanging="284"/>
        <w:jc w:val="both"/>
        <w:rPr>
          <w:sz w:val="22"/>
          <w:szCs w:val="22"/>
        </w:rPr>
      </w:pPr>
      <w:r w:rsidRPr="00526803">
        <w:rPr>
          <w:sz w:val="22"/>
          <w:szCs w:val="22"/>
        </w:rPr>
        <w:t xml:space="preserve">2010 - First Round Table on </w:t>
      </w:r>
      <w:r w:rsidR="00652839">
        <w:rPr>
          <w:sz w:val="22"/>
          <w:szCs w:val="22"/>
        </w:rPr>
        <w:t>Green Economy (</w:t>
      </w:r>
      <w:r w:rsidRPr="00526803">
        <w:rPr>
          <w:sz w:val="22"/>
          <w:szCs w:val="22"/>
        </w:rPr>
        <w:t>GE</w:t>
      </w:r>
      <w:r w:rsidR="00652839">
        <w:rPr>
          <w:sz w:val="22"/>
          <w:szCs w:val="22"/>
        </w:rPr>
        <w:t>)</w:t>
      </w:r>
      <w:r w:rsidRPr="00526803">
        <w:rPr>
          <w:sz w:val="22"/>
          <w:szCs w:val="22"/>
        </w:rPr>
        <w:t xml:space="preserve"> with Parliament, supported by OECD and UNDP</w:t>
      </w:r>
    </w:p>
    <w:p w14:paraId="0C585477" w14:textId="747A1B0C" w:rsidR="00526803" w:rsidRPr="00526803" w:rsidRDefault="00526803" w:rsidP="00DC1947">
      <w:pPr>
        <w:pStyle w:val="ListParagraph"/>
        <w:numPr>
          <w:ilvl w:val="0"/>
          <w:numId w:val="69"/>
        </w:numPr>
        <w:ind w:left="851" w:hanging="284"/>
        <w:jc w:val="both"/>
        <w:rPr>
          <w:sz w:val="22"/>
          <w:szCs w:val="22"/>
        </w:rPr>
      </w:pPr>
      <w:r w:rsidRPr="00526803">
        <w:rPr>
          <w:sz w:val="22"/>
          <w:szCs w:val="22"/>
        </w:rPr>
        <w:t>2011 - National Workshop on GE organized by the Ministry of Environment, UNDP, UNEP, OECD</w:t>
      </w:r>
    </w:p>
    <w:p w14:paraId="33ACFF12" w14:textId="61A6E8E7" w:rsidR="00526803" w:rsidRPr="00526803" w:rsidRDefault="00526803" w:rsidP="00DC1947">
      <w:pPr>
        <w:pStyle w:val="ListParagraph"/>
        <w:numPr>
          <w:ilvl w:val="0"/>
          <w:numId w:val="69"/>
        </w:numPr>
        <w:ind w:left="851" w:hanging="284"/>
        <w:jc w:val="both"/>
        <w:rPr>
          <w:sz w:val="22"/>
          <w:szCs w:val="22"/>
        </w:rPr>
      </w:pPr>
      <w:r w:rsidRPr="00526803">
        <w:rPr>
          <w:sz w:val="22"/>
          <w:szCs w:val="22"/>
        </w:rPr>
        <w:lastRenderedPageBreak/>
        <w:t>2012 – Submission of the National Report for the UN Conference on Sustainable Development Rio+20, containing a Chapter on GE</w:t>
      </w:r>
    </w:p>
    <w:p w14:paraId="0EC224F7" w14:textId="04D0A25E" w:rsidR="00526803" w:rsidRPr="00366922" w:rsidRDefault="00526803" w:rsidP="00DC1947">
      <w:pPr>
        <w:pStyle w:val="ListParagraph"/>
        <w:numPr>
          <w:ilvl w:val="0"/>
          <w:numId w:val="69"/>
        </w:numPr>
        <w:ind w:left="851" w:hanging="284"/>
        <w:jc w:val="both"/>
        <w:rPr>
          <w:b/>
          <w:i/>
          <w:sz w:val="22"/>
          <w:szCs w:val="22"/>
        </w:rPr>
      </w:pPr>
      <w:r w:rsidRPr="00366922">
        <w:rPr>
          <w:b/>
          <w:i/>
          <w:sz w:val="22"/>
          <w:szCs w:val="22"/>
        </w:rPr>
        <w:t>2012 – Launch of the UNDP Environmental Fiscal Reform project aimed at improving the existing subsidy system in the energy sector as one of the major polluting sectors in Moldova</w:t>
      </w:r>
    </w:p>
    <w:p w14:paraId="4910DFE3" w14:textId="1B3321E5" w:rsidR="00526803" w:rsidRPr="00526803" w:rsidRDefault="00526803" w:rsidP="00DC1947">
      <w:pPr>
        <w:pStyle w:val="ListParagraph"/>
        <w:numPr>
          <w:ilvl w:val="0"/>
          <w:numId w:val="69"/>
        </w:numPr>
        <w:ind w:left="851" w:hanging="284"/>
        <w:jc w:val="both"/>
        <w:rPr>
          <w:sz w:val="22"/>
          <w:szCs w:val="22"/>
        </w:rPr>
      </w:pPr>
      <w:r w:rsidRPr="00526803">
        <w:rPr>
          <w:sz w:val="22"/>
          <w:szCs w:val="22"/>
        </w:rPr>
        <w:t>2013 - Ministry of Economy signs the Statement on “</w:t>
      </w:r>
      <w:r w:rsidRPr="00366922">
        <w:rPr>
          <w:i/>
          <w:sz w:val="22"/>
          <w:szCs w:val="22"/>
        </w:rPr>
        <w:t>Green Industry Platform</w:t>
      </w:r>
      <w:r w:rsidRPr="00526803">
        <w:rPr>
          <w:sz w:val="22"/>
          <w:szCs w:val="22"/>
        </w:rPr>
        <w:t>” - initiative launched in 2012 by UNIDO, UNEP and other partners</w:t>
      </w:r>
    </w:p>
    <w:p w14:paraId="2769DE3C" w14:textId="30B09F25" w:rsidR="00526803" w:rsidRPr="00526803" w:rsidRDefault="00526803" w:rsidP="00DC1947">
      <w:pPr>
        <w:pStyle w:val="ListParagraph"/>
        <w:numPr>
          <w:ilvl w:val="0"/>
          <w:numId w:val="69"/>
        </w:numPr>
        <w:ind w:left="851" w:hanging="284"/>
        <w:jc w:val="both"/>
        <w:rPr>
          <w:sz w:val="22"/>
          <w:szCs w:val="22"/>
        </w:rPr>
      </w:pPr>
      <w:r w:rsidRPr="00526803">
        <w:rPr>
          <w:sz w:val="22"/>
          <w:szCs w:val="22"/>
        </w:rPr>
        <w:t>2013 - Draft National Environmental Strategy developed by the Ministry of Environment with the major objective of promoting the Sustainable Development of the country through the implementation of the Green Economy in all sectors</w:t>
      </w:r>
    </w:p>
    <w:p w14:paraId="237F6450" w14:textId="6CC5C479" w:rsidR="00526803" w:rsidRPr="00526803" w:rsidRDefault="00526803" w:rsidP="00DC1947">
      <w:pPr>
        <w:pStyle w:val="ListParagraph"/>
        <w:numPr>
          <w:ilvl w:val="0"/>
          <w:numId w:val="69"/>
        </w:numPr>
        <w:ind w:left="851" w:hanging="284"/>
        <w:jc w:val="both"/>
        <w:rPr>
          <w:sz w:val="22"/>
          <w:szCs w:val="22"/>
        </w:rPr>
      </w:pPr>
      <w:r w:rsidRPr="00526803">
        <w:rPr>
          <w:sz w:val="22"/>
          <w:szCs w:val="22"/>
        </w:rPr>
        <w:t>2013 – Launching of the EU-supported program “</w:t>
      </w:r>
      <w:r w:rsidRPr="00A200BF">
        <w:rPr>
          <w:i/>
          <w:sz w:val="22"/>
          <w:szCs w:val="22"/>
        </w:rPr>
        <w:t>Greening Economies in the Eastern Neighborhood</w:t>
      </w:r>
      <w:r w:rsidRPr="00526803">
        <w:rPr>
          <w:sz w:val="22"/>
          <w:szCs w:val="22"/>
        </w:rPr>
        <w:t>” in Moldova, implemented by the OECD jointly with UNECE, UNEP and UNIDO. Three major projects are being implemented by the OECD:</w:t>
      </w:r>
    </w:p>
    <w:p w14:paraId="2BAC624C" w14:textId="321D93BE" w:rsidR="00526803" w:rsidRDefault="00366922" w:rsidP="00DC1947">
      <w:pPr>
        <w:pStyle w:val="ListParagraph"/>
        <w:numPr>
          <w:ilvl w:val="1"/>
          <w:numId w:val="69"/>
        </w:numPr>
        <w:jc w:val="both"/>
        <w:rPr>
          <w:sz w:val="22"/>
          <w:szCs w:val="22"/>
        </w:rPr>
      </w:pPr>
      <w:r>
        <w:rPr>
          <w:sz w:val="22"/>
          <w:szCs w:val="22"/>
        </w:rPr>
        <w:t>Monitoring of green growth</w:t>
      </w:r>
      <w:r w:rsidR="00726492">
        <w:rPr>
          <w:sz w:val="22"/>
          <w:szCs w:val="22"/>
        </w:rPr>
        <w:t xml:space="preserve"> (MO</w:t>
      </w:r>
      <w:r w:rsidR="00652839">
        <w:rPr>
          <w:sz w:val="22"/>
          <w:szCs w:val="22"/>
        </w:rPr>
        <w:t>E</w:t>
      </w:r>
      <w:r w:rsidR="00526803" w:rsidRPr="00526803">
        <w:rPr>
          <w:sz w:val="22"/>
          <w:szCs w:val="22"/>
        </w:rPr>
        <w:t xml:space="preserve"> and NBS)</w:t>
      </w:r>
    </w:p>
    <w:p w14:paraId="414FF1D0" w14:textId="32C1D30F" w:rsidR="00526803" w:rsidRDefault="00526803" w:rsidP="00DC1947">
      <w:pPr>
        <w:pStyle w:val="ListParagraph"/>
        <w:numPr>
          <w:ilvl w:val="1"/>
          <w:numId w:val="69"/>
        </w:numPr>
        <w:jc w:val="both"/>
        <w:rPr>
          <w:sz w:val="22"/>
          <w:szCs w:val="22"/>
        </w:rPr>
      </w:pPr>
      <w:r w:rsidRPr="00526803">
        <w:rPr>
          <w:sz w:val="22"/>
          <w:szCs w:val="22"/>
        </w:rPr>
        <w:t xml:space="preserve">Greening of </w:t>
      </w:r>
      <w:r w:rsidR="00726492">
        <w:rPr>
          <w:sz w:val="22"/>
          <w:szCs w:val="22"/>
        </w:rPr>
        <w:t>small and medium enterprises (MO</w:t>
      </w:r>
      <w:r w:rsidRPr="00526803">
        <w:rPr>
          <w:sz w:val="22"/>
          <w:szCs w:val="22"/>
        </w:rPr>
        <w:t>E)</w:t>
      </w:r>
    </w:p>
    <w:p w14:paraId="4A29C777" w14:textId="747E6316" w:rsidR="00526803" w:rsidRDefault="00526803" w:rsidP="00DC1947">
      <w:pPr>
        <w:pStyle w:val="ListParagraph"/>
        <w:numPr>
          <w:ilvl w:val="1"/>
          <w:numId w:val="69"/>
        </w:numPr>
        <w:jc w:val="both"/>
        <w:rPr>
          <w:sz w:val="22"/>
          <w:szCs w:val="22"/>
        </w:rPr>
      </w:pPr>
      <w:r w:rsidRPr="00526803">
        <w:rPr>
          <w:sz w:val="22"/>
          <w:szCs w:val="22"/>
        </w:rPr>
        <w:t>Energy subsidies</w:t>
      </w:r>
      <w:r w:rsidR="00652839">
        <w:rPr>
          <w:sz w:val="22"/>
          <w:szCs w:val="22"/>
        </w:rPr>
        <w:t xml:space="preserve"> and climate change (MOE</w:t>
      </w:r>
      <w:r w:rsidR="00726492">
        <w:rPr>
          <w:sz w:val="22"/>
          <w:szCs w:val="22"/>
        </w:rPr>
        <w:t xml:space="preserve"> and MO</w:t>
      </w:r>
      <w:r w:rsidRPr="00526803">
        <w:rPr>
          <w:sz w:val="22"/>
          <w:szCs w:val="22"/>
        </w:rPr>
        <w:t>E)</w:t>
      </w:r>
    </w:p>
    <w:p w14:paraId="54CD244C" w14:textId="77777777" w:rsidR="00A200BF" w:rsidRPr="00A200BF" w:rsidRDefault="00A200BF" w:rsidP="00A200BF">
      <w:pPr>
        <w:jc w:val="both"/>
        <w:rPr>
          <w:sz w:val="22"/>
          <w:szCs w:val="22"/>
        </w:rPr>
      </w:pPr>
    </w:p>
    <w:p w14:paraId="6807E49B" w14:textId="4CFE2EC6" w:rsidR="00726492" w:rsidRDefault="00726492" w:rsidP="00A200BF">
      <w:pPr>
        <w:pStyle w:val="ListParagraph"/>
        <w:numPr>
          <w:ilvl w:val="0"/>
          <w:numId w:val="15"/>
        </w:numPr>
        <w:jc w:val="both"/>
        <w:rPr>
          <w:sz w:val="22"/>
          <w:szCs w:val="22"/>
        </w:rPr>
      </w:pPr>
      <w:r>
        <w:rPr>
          <w:sz w:val="22"/>
          <w:szCs w:val="22"/>
        </w:rPr>
        <w:t>To this roadmap above, we need to add the l</w:t>
      </w:r>
      <w:r w:rsidRPr="00726492">
        <w:rPr>
          <w:sz w:val="22"/>
          <w:szCs w:val="22"/>
        </w:rPr>
        <w:t xml:space="preserve">aunching </w:t>
      </w:r>
      <w:r>
        <w:rPr>
          <w:sz w:val="22"/>
          <w:szCs w:val="22"/>
        </w:rPr>
        <w:t xml:space="preserve">in 2014 of </w:t>
      </w:r>
      <w:r w:rsidRPr="00726492">
        <w:rPr>
          <w:sz w:val="22"/>
          <w:szCs w:val="22"/>
        </w:rPr>
        <w:t>the Moldova’s Green Development Offer, programme supported by UNDP</w:t>
      </w:r>
      <w:r w:rsidR="00553C40">
        <w:rPr>
          <w:sz w:val="22"/>
          <w:szCs w:val="22"/>
        </w:rPr>
        <w:t>, GEF through the EFR project</w:t>
      </w:r>
      <w:r w:rsidRPr="00726492">
        <w:rPr>
          <w:sz w:val="22"/>
          <w:szCs w:val="22"/>
        </w:rPr>
        <w:t xml:space="preserve"> and </w:t>
      </w:r>
      <w:r>
        <w:rPr>
          <w:sz w:val="22"/>
          <w:szCs w:val="22"/>
        </w:rPr>
        <w:t xml:space="preserve">the Government of </w:t>
      </w:r>
      <w:r w:rsidRPr="00726492">
        <w:rPr>
          <w:sz w:val="22"/>
          <w:szCs w:val="22"/>
        </w:rPr>
        <w:t xml:space="preserve">Denmark. </w:t>
      </w:r>
      <w:r>
        <w:rPr>
          <w:sz w:val="22"/>
          <w:szCs w:val="22"/>
        </w:rPr>
        <w:t>A m</w:t>
      </w:r>
      <w:r w:rsidRPr="00726492">
        <w:rPr>
          <w:sz w:val="22"/>
          <w:szCs w:val="22"/>
        </w:rPr>
        <w:t>emorandum of cooperation promoting green growth was signed between three ministries, Ministry of Environment, Ministry of Economy and Ministry of Agriculture and Food Industry.</w:t>
      </w:r>
    </w:p>
    <w:p w14:paraId="11DA01A0" w14:textId="77777777" w:rsidR="00726492" w:rsidRDefault="00726492" w:rsidP="00726492">
      <w:pPr>
        <w:pStyle w:val="ListParagraph"/>
        <w:ind w:left="0"/>
        <w:jc w:val="both"/>
        <w:rPr>
          <w:sz w:val="22"/>
          <w:szCs w:val="22"/>
        </w:rPr>
      </w:pPr>
    </w:p>
    <w:p w14:paraId="7C1E4D84" w14:textId="21CBFE2B" w:rsidR="00A200BF" w:rsidRPr="00A200BF" w:rsidRDefault="00A200BF" w:rsidP="00A200BF">
      <w:pPr>
        <w:pStyle w:val="ListParagraph"/>
        <w:numPr>
          <w:ilvl w:val="0"/>
          <w:numId w:val="15"/>
        </w:numPr>
        <w:jc w:val="both"/>
        <w:rPr>
          <w:sz w:val="22"/>
          <w:szCs w:val="22"/>
        </w:rPr>
      </w:pPr>
      <w:r w:rsidRPr="00A200BF">
        <w:rPr>
          <w:sz w:val="22"/>
          <w:szCs w:val="22"/>
        </w:rPr>
        <w:t>Under the “</w:t>
      </w:r>
      <w:r w:rsidRPr="00A200BF">
        <w:rPr>
          <w:i/>
          <w:sz w:val="22"/>
          <w:szCs w:val="22"/>
        </w:rPr>
        <w:t>Greening Economies in the Eastern Neighborhood</w:t>
      </w:r>
      <w:r w:rsidRPr="00A200BF">
        <w:rPr>
          <w:sz w:val="22"/>
          <w:szCs w:val="22"/>
        </w:rPr>
        <w:t xml:space="preserve">” programme funded by the EU and launched in 2013, the OECD </w:t>
      </w:r>
      <w:r w:rsidR="00BA08A0">
        <w:rPr>
          <w:sz w:val="22"/>
          <w:szCs w:val="22"/>
        </w:rPr>
        <w:t xml:space="preserve">– as one of the four implementing partners of this programme – developed an </w:t>
      </w:r>
      <w:r w:rsidRPr="00A200BF">
        <w:rPr>
          <w:sz w:val="22"/>
          <w:szCs w:val="22"/>
        </w:rPr>
        <w:t>environmental action plan, which included a component on environmental fiscal reform</w:t>
      </w:r>
      <w:r w:rsidR="00BA08A0">
        <w:rPr>
          <w:sz w:val="22"/>
          <w:szCs w:val="22"/>
        </w:rPr>
        <w:t xml:space="preserve"> for Moldova.</w:t>
      </w:r>
    </w:p>
    <w:p w14:paraId="1A62E0DE" w14:textId="77777777" w:rsidR="00A200BF" w:rsidRDefault="00A200BF" w:rsidP="00BA08A0">
      <w:pPr>
        <w:pStyle w:val="ListParagraph"/>
        <w:ind w:left="0"/>
        <w:jc w:val="both"/>
        <w:rPr>
          <w:sz w:val="22"/>
          <w:szCs w:val="22"/>
        </w:rPr>
      </w:pPr>
    </w:p>
    <w:p w14:paraId="19427C41" w14:textId="010FFA9B" w:rsidR="00905221" w:rsidRDefault="00A200BF" w:rsidP="00A200BF">
      <w:pPr>
        <w:pStyle w:val="ListParagraph"/>
        <w:numPr>
          <w:ilvl w:val="0"/>
          <w:numId w:val="15"/>
        </w:numPr>
        <w:jc w:val="both"/>
        <w:rPr>
          <w:sz w:val="22"/>
          <w:szCs w:val="22"/>
        </w:rPr>
      </w:pPr>
      <w:r>
        <w:rPr>
          <w:sz w:val="22"/>
          <w:szCs w:val="22"/>
        </w:rPr>
        <w:t>At a s</w:t>
      </w:r>
      <w:r w:rsidR="00BA08A0">
        <w:rPr>
          <w:sz w:val="22"/>
          <w:szCs w:val="22"/>
        </w:rPr>
        <w:t>teering committee meeting of this programme</w:t>
      </w:r>
      <w:r>
        <w:rPr>
          <w:sz w:val="22"/>
          <w:szCs w:val="22"/>
        </w:rPr>
        <w:t xml:space="preserve"> in September 2013 in </w:t>
      </w:r>
      <w:r w:rsidR="00021041">
        <w:rPr>
          <w:sz w:val="22"/>
          <w:szCs w:val="22"/>
        </w:rPr>
        <w:t>Tbilisi</w:t>
      </w:r>
      <w:r>
        <w:rPr>
          <w:sz w:val="22"/>
          <w:szCs w:val="22"/>
        </w:rPr>
        <w:t xml:space="preserve">, Georgia, </w:t>
      </w:r>
      <w:r w:rsidR="00BA08A0">
        <w:rPr>
          <w:sz w:val="22"/>
          <w:szCs w:val="22"/>
        </w:rPr>
        <w:t>it was recognized that the feedback from stakeholders included that “</w:t>
      </w:r>
      <w:r w:rsidR="00BA08A0" w:rsidRPr="001303C2">
        <w:rPr>
          <w:i/>
          <w:sz w:val="22"/>
          <w:szCs w:val="22"/>
        </w:rPr>
        <w:t>Changes in pricing and patterns of government support, as well as environmental fiscal reforms, are often mentioned as crucial policy instruments; their more effective application could be enhanced by better analysis</w:t>
      </w:r>
      <w:r w:rsidR="00BA08A0">
        <w:rPr>
          <w:sz w:val="22"/>
          <w:szCs w:val="22"/>
        </w:rPr>
        <w:t xml:space="preserve">”. Furthermore, it was </w:t>
      </w:r>
      <w:r w:rsidR="00021041">
        <w:rPr>
          <w:sz w:val="22"/>
          <w:szCs w:val="22"/>
        </w:rPr>
        <w:t>stated,</w:t>
      </w:r>
      <w:r w:rsidR="00BA08A0">
        <w:rPr>
          <w:sz w:val="22"/>
          <w:szCs w:val="22"/>
        </w:rPr>
        <w:t xml:space="preserve"> “</w:t>
      </w:r>
      <w:r w:rsidR="00BA08A0" w:rsidRPr="00BA08A0">
        <w:rPr>
          <w:i/>
          <w:sz w:val="22"/>
          <w:szCs w:val="22"/>
        </w:rPr>
        <w:t>the interest to improve product taxation was signaled in Moldova</w:t>
      </w:r>
      <w:r w:rsidR="00BA08A0">
        <w:rPr>
          <w:sz w:val="22"/>
          <w:szCs w:val="22"/>
        </w:rPr>
        <w:t xml:space="preserve">”. </w:t>
      </w:r>
      <w:r w:rsidR="000D1EC6">
        <w:rPr>
          <w:sz w:val="22"/>
          <w:szCs w:val="22"/>
        </w:rPr>
        <w:t>At this meeting it was noted that “</w:t>
      </w:r>
      <w:r w:rsidR="000D1EC6" w:rsidRPr="000D1EC6">
        <w:rPr>
          <w:i/>
          <w:sz w:val="22"/>
          <w:szCs w:val="22"/>
        </w:rPr>
        <w:t>Environmental fiscal reform and removal of environmentally harmful subsidies</w:t>
      </w:r>
      <w:r w:rsidR="000D1EC6">
        <w:rPr>
          <w:sz w:val="22"/>
          <w:szCs w:val="22"/>
        </w:rPr>
        <w:t xml:space="preserve">” was identified as highly relevant for Moldova. </w:t>
      </w:r>
    </w:p>
    <w:p w14:paraId="0224A046" w14:textId="77777777" w:rsidR="001303C2" w:rsidRPr="001303C2" w:rsidRDefault="001303C2" w:rsidP="001303C2">
      <w:pPr>
        <w:jc w:val="both"/>
        <w:rPr>
          <w:sz w:val="22"/>
          <w:szCs w:val="22"/>
        </w:rPr>
      </w:pPr>
    </w:p>
    <w:p w14:paraId="60E9BDD6" w14:textId="175B2E82" w:rsidR="001303C2" w:rsidRDefault="001303C2" w:rsidP="001303C2">
      <w:pPr>
        <w:pStyle w:val="ListParagraph"/>
        <w:numPr>
          <w:ilvl w:val="0"/>
          <w:numId w:val="15"/>
        </w:numPr>
        <w:jc w:val="both"/>
        <w:rPr>
          <w:sz w:val="22"/>
          <w:szCs w:val="22"/>
        </w:rPr>
      </w:pPr>
      <w:r w:rsidRPr="001303C2">
        <w:rPr>
          <w:sz w:val="22"/>
          <w:szCs w:val="22"/>
        </w:rPr>
        <w:t>Finally, environmental fiscal reform is part of the environmental strategy for Moldova that was endorsed in 2014. Under the Specific Objective 4 of this strategy “Regulatory framework for activities with impact on environment”, one proposed action is “</w:t>
      </w:r>
      <w:r w:rsidRPr="001303C2">
        <w:rPr>
          <w:i/>
          <w:sz w:val="22"/>
          <w:szCs w:val="22"/>
        </w:rPr>
        <w:t>to improve and increase efficiency of fiscal and economic instruments in the field of environmental protection</w:t>
      </w:r>
      <w:r w:rsidRPr="001303C2">
        <w:rPr>
          <w:sz w:val="22"/>
          <w:szCs w:val="22"/>
        </w:rPr>
        <w:t xml:space="preserve">” in order to take into account the limited role of current environmental pollution payments system in terms of generating revenues for ecological funds. The strategy stated that it is necessary to perform a comprehensive reform of this system: a) review of environmental taxes and </w:t>
      </w:r>
      <w:r w:rsidRPr="001303C2">
        <w:rPr>
          <w:sz w:val="22"/>
          <w:szCs w:val="22"/>
        </w:rPr>
        <w:lastRenderedPageBreak/>
        <w:t>pollution charges; b) creation and implementation of a mechanism to participate in emission allowances trade through the establishment of environmental emission limits and allowances; and</w:t>
      </w:r>
      <w:r>
        <w:rPr>
          <w:sz w:val="22"/>
          <w:szCs w:val="22"/>
        </w:rPr>
        <w:t xml:space="preserve"> c</w:t>
      </w:r>
      <w:r w:rsidRPr="001303C2">
        <w:rPr>
          <w:sz w:val="22"/>
          <w:szCs w:val="22"/>
        </w:rPr>
        <w:t>) creation and implementation of ecological assurance mechanism</w:t>
      </w:r>
      <w:r>
        <w:rPr>
          <w:sz w:val="22"/>
          <w:szCs w:val="22"/>
        </w:rPr>
        <w:t>.</w:t>
      </w:r>
    </w:p>
    <w:p w14:paraId="2013E142" w14:textId="77777777" w:rsidR="001303C2" w:rsidRPr="001303C2" w:rsidRDefault="001303C2" w:rsidP="001303C2">
      <w:pPr>
        <w:jc w:val="both"/>
        <w:rPr>
          <w:sz w:val="22"/>
          <w:szCs w:val="22"/>
        </w:rPr>
      </w:pPr>
    </w:p>
    <w:p w14:paraId="44CA1382" w14:textId="277E36CF" w:rsidR="001303C2" w:rsidRPr="001303C2" w:rsidRDefault="00021041" w:rsidP="001303C2">
      <w:pPr>
        <w:pStyle w:val="ListParagraph"/>
        <w:numPr>
          <w:ilvl w:val="0"/>
          <w:numId w:val="15"/>
        </w:numPr>
        <w:jc w:val="both"/>
        <w:rPr>
          <w:sz w:val="22"/>
          <w:szCs w:val="22"/>
        </w:rPr>
      </w:pPr>
      <w:r>
        <w:rPr>
          <w:sz w:val="22"/>
          <w:szCs w:val="22"/>
        </w:rPr>
        <w:t>This project was strongly linked with the government strategy to reform the environmental fiscal and economic instruments in place in Moldova in order to improve environmental protection, including the production of global environmental benefits. It was a key project focusing on the fiscal aspects in Moldova.</w:t>
      </w:r>
    </w:p>
    <w:p w14:paraId="25056025" w14:textId="77777777" w:rsidR="00A200BF" w:rsidRDefault="00A200BF" w:rsidP="00A200BF">
      <w:pPr>
        <w:pStyle w:val="ListParagraph"/>
        <w:ind w:left="0"/>
        <w:jc w:val="both"/>
        <w:rPr>
          <w:sz w:val="22"/>
          <w:szCs w:val="22"/>
        </w:rPr>
      </w:pPr>
    </w:p>
    <w:p w14:paraId="26A57945" w14:textId="77777777" w:rsidR="00905221" w:rsidRPr="00FB6D4E" w:rsidRDefault="00905221" w:rsidP="00905221">
      <w:pPr>
        <w:pStyle w:val="Heading3"/>
        <w:numPr>
          <w:ilvl w:val="2"/>
          <w:numId w:val="1"/>
        </w:numPr>
        <w:tabs>
          <w:tab w:val="clear" w:pos="1440"/>
        </w:tabs>
        <w:ind w:left="1276" w:hanging="709"/>
        <w:rPr>
          <w:rFonts w:ascii="Arial" w:hAnsi="Arial" w:cs="Arial"/>
          <w:i/>
          <w:sz w:val="22"/>
          <w:szCs w:val="22"/>
        </w:rPr>
      </w:pPr>
      <w:bookmarkStart w:id="38" w:name="_Toc308103248"/>
      <w:r w:rsidRPr="00FB6D4E">
        <w:rPr>
          <w:rFonts w:ascii="Arial" w:hAnsi="Arial" w:cs="Arial"/>
          <w:i/>
          <w:sz w:val="22"/>
          <w:szCs w:val="22"/>
        </w:rPr>
        <w:t>Lessons from other Relevant Projects</w:t>
      </w:r>
      <w:r>
        <w:rPr>
          <w:rFonts w:ascii="Arial" w:hAnsi="Arial" w:cs="Arial"/>
          <w:i/>
          <w:sz w:val="22"/>
          <w:szCs w:val="22"/>
        </w:rPr>
        <w:t>/Initiatives</w:t>
      </w:r>
      <w:bookmarkEnd w:id="38"/>
    </w:p>
    <w:p w14:paraId="352A13A0" w14:textId="77777777" w:rsidR="00905221" w:rsidRPr="00FB6D4E" w:rsidRDefault="00905221" w:rsidP="00905221">
      <w:pPr>
        <w:tabs>
          <w:tab w:val="left" w:pos="1472"/>
        </w:tabs>
        <w:jc w:val="both"/>
        <w:rPr>
          <w:sz w:val="22"/>
          <w:szCs w:val="22"/>
        </w:rPr>
      </w:pPr>
    </w:p>
    <w:p w14:paraId="4BC9EA52" w14:textId="62F4A1F5" w:rsidR="00F17BD4" w:rsidRDefault="00F17BD4" w:rsidP="00F17BD4">
      <w:pPr>
        <w:pStyle w:val="ListParagraph"/>
        <w:numPr>
          <w:ilvl w:val="0"/>
          <w:numId w:val="15"/>
        </w:numPr>
        <w:jc w:val="both"/>
        <w:rPr>
          <w:sz w:val="22"/>
          <w:szCs w:val="22"/>
        </w:rPr>
      </w:pPr>
      <w:r w:rsidRPr="00F17BD4">
        <w:rPr>
          <w:sz w:val="22"/>
          <w:szCs w:val="22"/>
        </w:rPr>
        <w:t xml:space="preserve">Limited lessons from other relevant projects seem to have been taken into account in the design of the project. The concept of this project was </w:t>
      </w:r>
      <w:r>
        <w:rPr>
          <w:sz w:val="22"/>
          <w:szCs w:val="22"/>
        </w:rPr>
        <w:t>relatively unique and new for Moldova; hence needed to be innovative. As discussed in the previous section, it was a direct res</w:t>
      </w:r>
      <w:r w:rsidR="009467A5">
        <w:rPr>
          <w:sz w:val="22"/>
          <w:szCs w:val="22"/>
        </w:rPr>
        <w:t>ponse to a national need and has been</w:t>
      </w:r>
      <w:r>
        <w:rPr>
          <w:sz w:val="22"/>
          <w:szCs w:val="22"/>
        </w:rPr>
        <w:t xml:space="preserve"> part of </w:t>
      </w:r>
      <w:r w:rsidR="009467A5">
        <w:rPr>
          <w:sz w:val="22"/>
          <w:szCs w:val="22"/>
        </w:rPr>
        <w:t xml:space="preserve">a roadmap to implement a green growth programme in Moldova, and part of </w:t>
      </w:r>
      <w:r>
        <w:rPr>
          <w:sz w:val="22"/>
          <w:szCs w:val="22"/>
        </w:rPr>
        <w:t xml:space="preserve">the national strategy to </w:t>
      </w:r>
      <w:r w:rsidR="009467A5">
        <w:rPr>
          <w:sz w:val="22"/>
          <w:szCs w:val="22"/>
        </w:rPr>
        <w:t xml:space="preserve">improve environmental management in Moldova since 2014. </w:t>
      </w:r>
    </w:p>
    <w:p w14:paraId="67EEF673" w14:textId="3B831DEF" w:rsidR="00AE02D2" w:rsidRDefault="00AE02D2" w:rsidP="00AE02D2">
      <w:pPr>
        <w:pStyle w:val="ListParagraph"/>
        <w:ind w:left="0"/>
        <w:jc w:val="both"/>
        <w:rPr>
          <w:sz w:val="22"/>
          <w:szCs w:val="22"/>
        </w:rPr>
      </w:pPr>
    </w:p>
    <w:p w14:paraId="557179E9" w14:textId="743369C3" w:rsidR="00AE02D2" w:rsidRDefault="00AE02D2" w:rsidP="00F17BD4">
      <w:pPr>
        <w:pStyle w:val="ListParagraph"/>
        <w:numPr>
          <w:ilvl w:val="0"/>
          <w:numId w:val="15"/>
        </w:numPr>
        <w:jc w:val="both"/>
        <w:rPr>
          <w:sz w:val="22"/>
          <w:szCs w:val="22"/>
        </w:rPr>
      </w:pPr>
      <w:r>
        <w:rPr>
          <w:sz w:val="22"/>
          <w:szCs w:val="22"/>
        </w:rPr>
        <w:t xml:space="preserve">The Evaluation Team noted that international best practices were used during the implementation of the project. Studies conducted to develop revisions to the National Environment Fund  (NEF) and also to the Law on pollution charges included a review of best practices; particularly in the European context. These studies also included </w:t>
      </w:r>
      <w:r w:rsidR="007F60B1">
        <w:rPr>
          <w:sz w:val="22"/>
          <w:szCs w:val="22"/>
        </w:rPr>
        <w:t xml:space="preserve">a review of </w:t>
      </w:r>
      <w:r>
        <w:rPr>
          <w:sz w:val="22"/>
          <w:szCs w:val="22"/>
        </w:rPr>
        <w:t xml:space="preserve">the requirements from the EU environmental management framework </w:t>
      </w:r>
      <w:r w:rsidR="007F60B1">
        <w:rPr>
          <w:sz w:val="22"/>
          <w:szCs w:val="22"/>
        </w:rPr>
        <w:t xml:space="preserve">and an overview of environmental taxes and charges </w:t>
      </w:r>
      <w:r w:rsidR="00D41D5B">
        <w:rPr>
          <w:sz w:val="22"/>
          <w:szCs w:val="22"/>
        </w:rPr>
        <w:t xml:space="preserve">as well as of environmental funds </w:t>
      </w:r>
      <w:r w:rsidR="007F60B1">
        <w:rPr>
          <w:sz w:val="22"/>
          <w:szCs w:val="22"/>
        </w:rPr>
        <w:t xml:space="preserve">in Eastern European countries that were used </w:t>
      </w:r>
      <w:r>
        <w:rPr>
          <w:sz w:val="22"/>
          <w:szCs w:val="22"/>
        </w:rPr>
        <w:t>to propose revisions that would be aligned with EU</w:t>
      </w:r>
      <w:r w:rsidRPr="00AE02D2">
        <w:rPr>
          <w:sz w:val="22"/>
          <w:szCs w:val="22"/>
        </w:rPr>
        <w:t xml:space="preserve"> </w:t>
      </w:r>
      <w:r>
        <w:rPr>
          <w:sz w:val="22"/>
          <w:szCs w:val="22"/>
        </w:rPr>
        <w:t xml:space="preserve">Directives. </w:t>
      </w:r>
    </w:p>
    <w:p w14:paraId="6341A43F" w14:textId="77777777" w:rsidR="00160B7F" w:rsidRPr="00160B7F" w:rsidRDefault="00160B7F" w:rsidP="00160B7F">
      <w:pPr>
        <w:jc w:val="both"/>
        <w:rPr>
          <w:sz w:val="22"/>
          <w:szCs w:val="22"/>
        </w:rPr>
      </w:pPr>
    </w:p>
    <w:p w14:paraId="0F2D988A" w14:textId="6393CFB8" w:rsidR="00160B7F" w:rsidRPr="000A2C4D" w:rsidRDefault="00160B7F" w:rsidP="000A2C4D">
      <w:pPr>
        <w:pStyle w:val="ListParagraph"/>
        <w:numPr>
          <w:ilvl w:val="0"/>
          <w:numId w:val="15"/>
        </w:numPr>
        <w:jc w:val="both"/>
        <w:rPr>
          <w:sz w:val="22"/>
          <w:szCs w:val="22"/>
        </w:rPr>
      </w:pPr>
      <w:r>
        <w:rPr>
          <w:sz w:val="22"/>
          <w:szCs w:val="22"/>
        </w:rPr>
        <w:t>This project was set up as a support to the government to initiate environmental fiscal reform</w:t>
      </w:r>
      <w:r w:rsidR="000A2C4D">
        <w:rPr>
          <w:sz w:val="22"/>
          <w:szCs w:val="22"/>
        </w:rPr>
        <w:t xml:space="preserve"> process in Moldova</w:t>
      </w:r>
      <w:r>
        <w:rPr>
          <w:sz w:val="22"/>
          <w:szCs w:val="22"/>
        </w:rPr>
        <w:t xml:space="preserve">. By providing extra resources to the government, it had a strong catalytic role. </w:t>
      </w:r>
      <w:r w:rsidR="000A2C4D">
        <w:rPr>
          <w:sz w:val="22"/>
          <w:szCs w:val="22"/>
        </w:rPr>
        <w:t>Despite that the proposed revisions were not approved by the government (see Section 4.3.1), a</w:t>
      </w:r>
      <w:r>
        <w:rPr>
          <w:sz w:val="22"/>
          <w:szCs w:val="22"/>
        </w:rPr>
        <w:t xml:space="preserve">ll key stakeholders </w:t>
      </w:r>
      <w:r w:rsidR="000A2C4D">
        <w:rPr>
          <w:sz w:val="22"/>
          <w:szCs w:val="22"/>
        </w:rPr>
        <w:t xml:space="preserve">participated and benefited from capacity development activities supported by the project. There is now a better national capacity to continue to address these environmental fiscal issues. As Moldova is seeking to strengthen and widen its relations with the EU, the building blocks built with the support of the project should be used in the future for Moldova to continue to harmonize its environmental fiscal framework with the rest of Europe. </w:t>
      </w:r>
    </w:p>
    <w:p w14:paraId="66E3AAB5" w14:textId="77777777" w:rsidR="005034AE" w:rsidRPr="00C9288B" w:rsidRDefault="005034AE" w:rsidP="00C9288B">
      <w:pPr>
        <w:pStyle w:val="ListParagraph"/>
        <w:ind w:left="0"/>
        <w:jc w:val="both"/>
        <w:rPr>
          <w:sz w:val="22"/>
          <w:szCs w:val="22"/>
        </w:rPr>
      </w:pPr>
    </w:p>
    <w:p w14:paraId="4718C7A8" w14:textId="77777777" w:rsidR="00A52B28"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39" w:name="_Toc308103249"/>
      <w:r w:rsidRPr="00FB6D4E">
        <w:rPr>
          <w:rFonts w:ascii="Arial" w:hAnsi="Arial" w:cs="Arial"/>
          <w:i/>
          <w:sz w:val="22"/>
          <w:szCs w:val="22"/>
        </w:rPr>
        <w:t>Planned Stakeholder Participation</w:t>
      </w:r>
      <w:bookmarkEnd w:id="39"/>
    </w:p>
    <w:p w14:paraId="1CB05312" w14:textId="77777777" w:rsidR="006E3DAE" w:rsidRDefault="006E3DAE" w:rsidP="006E3DAE">
      <w:pPr>
        <w:tabs>
          <w:tab w:val="left" w:pos="1472"/>
        </w:tabs>
        <w:jc w:val="both"/>
        <w:rPr>
          <w:sz w:val="22"/>
          <w:szCs w:val="22"/>
        </w:rPr>
      </w:pPr>
    </w:p>
    <w:p w14:paraId="49271033" w14:textId="4D9121B9" w:rsidR="00BD319C" w:rsidRPr="00A44FCD" w:rsidRDefault="00DA2D99" w:rsidP="00A44FCD">
      <w:pPr>
        <w:pStyle w:val="ListParagraph"/>
        <w:numPr>
          <w:ilvl w:val="0"/>
          <w:numId w:val="15"/>
        </w:numPr>
        <w:jc w:val="both"/>
        <w:rPr>
          <w:sz w:val="22"/>
          <w:szCs w:val="22"/>
        </w:rPr>
      </w:pPr>
      <w:r w:rsidRPr="00533964">
        <w:rPr>
          <w:sz w:val="22"/>
          <w:szCs w:val="22"/>
        </w:rPr>
        <w:t xml:space="preserve">A stakeholder analysis was conducted during the formulation phase to identify key stakeholders </w:t>
      </w:r>
      <w:r>
        <w:rPr>
          <w:sz w:val="22"/>
          <w:szCs w:val="22"/>
        </w:rPr>
        <w:t xml:space="preserve">and their responsibility(ies) related to environmental taxes and charges as well as the </w:t>
      </w:r>
      <w:r w:rsidR="002872D1">
        <w:rPr>
          <w:sz w:val="22"/>
          <w:szCs w:val="22"/>
        </w:rPr>
        <w:t>operations</w:t>
      </w:r>
      <w:r w:rsidR="00A44FCD">
        <w:rPr>
          <w:sz w:val="22"/>
          <w:szCs w:val="22"/>
        </w:rPr>
        <w:t xml:space="preserve"> of the NEF. This </w:t>
      </w:r>
      <w:r w:rsidR="008F2344" w:rsidRPr="00A44FCD">
        <w:rPr>
          <w:sz w:val="22"/>
          <w:szCs w:val="22"/>
        </w:rPr>
        <w:t>analysis identified the following list of key stakeholders:</w:t>
      </w:r>
    </w:p>
    <w:p w14:paraId="7AA554A8" w14:textId="77777777" w:rsidR="00C04A07" w:rsidRDefault="00C04A07" w:rsidP="00C04A07">
      <w:pPr>
        <w:jc w:val="both"/>
        <w:rPr>
          <w:sz w:val="22"/>
          <w:szCs w:val="22"/>
        </w:rPr>
      </w:pPr>
    </w:p>
    <w:p w14:paraId="33ADB2F5" w14:textId="2303B6EC" w:rsidR="00F06397" w:rsidRPr="00F06397" w:rsidRDefault="00F06397" w:rsidP="00F06397">
      <w:pPr>
        <w:pStyle w:val="Caption"/>
        <w:jc w:val="center"/>
        <w:rPr>
          <w:rFonts w:ascii="Arial" w:hAnsi="Arial"/>
          <w:bCs w:val="0"/>
          <w:sz w:val="22"/>
          <w:szCs w:val="22"/>
        </w:rPr>
      </w:pPr>
      <w:bookmarkStart w:id="40" w:name="_Toc305531034"/>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6</w:t>
      </w:r>
      <w:r w:rsidRPr="00FB6D4E">
        <w:fldChar w:fldCharType="end"/>
      </w:r>
      <w:r w:rsidRPr="00FB6D4E">
        <w:rPr>
          <w:rFonts w:ascii="Arial" w:hAnsi="Arial"/>
        </w:rPr>
        <w:t>:</w:t>
      </w:r>
      <w:r w:rsidRPr="00FB6D4E">
        <w:rPr>
          <w:rFonts w:ascii="Arial" w:hAnsi="Arial"/>
          <w:b w:val="0"/>
        </w:rPr>
        <w:t xml:space="preserve">  List of </w:t>
      </w:r>
      <w:r>
        <w:rPr>
          <w:rFonts w:ascii="Arial" w:hAnsi="Arial"/>
          <w:b w:val="0"/>
        </w:rPr>
        <w:t xml:space="preserve">Stakeholders and their </w:t>
      </w:r>
      <w:r w:rsidR="0083476B">
        <w:rPr>
          <w:rFonts w:ascii="Arial" w:hAnsi="Arial"/>
          <w:b w:val="0"/>
        </w:rPr>
        <w:t>Main Functions</w:t>
      </w:r>
      <w:bookmarkEnd w:id="40"/>
    </w:p>
    <w:tbl>
      <w:tblPr>
        <w:tblStyle w:val="TableGrid"/>
        <w:tblW w:w="0" w:type="auto"/>
        <w:tblLook w:val="04A0" w:firstRow="1" w:lastRow="0" w:firstColumn="1" w:lastColumn="0" w:noHBand="0" w:noVBand="1"/>
      </w:tblPr>
      <w:tblGrid>
        <w:gridCol w:w="2376"/>
        <w:gridCol w:w="7264"/>
      </w:tblGrid>
      <w:tr w:rsidR="00C04A07" w:rsidRPr="00C04A07" w14:paraId="17E49A38" w14:textId="77777777" w:rsidTr="009B1822">
        <w:trPr>
          <w:trHeight w:val="425"/>
        </w:trPr>
        <w:tc>
          <w:tcPr>
            <w:tcW w:w="2376" w:type="dxa"/>
            <w:shd w:val="clear" w:color="auto" w:fill="D9D9D9"/>
            <w:vAlign w:val="center"/>
          </w:tcPr>
          <w:p w14:paraId="29B739A5" w14:textId="77777777" w:rsidR="00C04A07" w:rsidRPr="00C04A07" w:rsidRDefault="00C04A07" w:rsidP="005D3098">
            <w:pPr>
              <w:tabs>
                <w:tab w:val="left" w:pos="1472"/>
              </w:tabs>
              <w:jc w:val="center"/>
              <w:rPr>
                <w:b/>
                <w:sz w:val="22"/>
                <w:szCs w:val="22"/>
              </w:rPr>
            </w:pPr>
            <w:r w:rsidRPr="00C04A07">
              <w:rPr>
                <w:b/>
                <w:sz w:val="22"/>
                <w:szCs w:val="22"/>
              </w:rPr>
              <w:t>Stakeholders</w:t>
            </w:r>
          </w:p>
        </w:tc>
        <w:tc>
          <w:tcPr>
            <w:tcW w:w="7264" w:type="dxa"/>
            <w:shd w:val="clear" w:color="auto" w:fill="D9D9D9"/>
            <w:vAlign w:val="center"/>
          </w:tcPr>
          <w:p w14:paraId="752B4435" w14:textId="4134024C" w:rsidR="00C04A07" w:rsidRPr="00C04A07" w:rsidRDefault="0083476B" w:rsidP="0083476B">
            <w:pPr>
              <w:pStyle w:val="ListParagraph"/>
              <w:ind w:left="0"/>
              <w:jc w:val="center"/>
              <w:rPr>
                <w:b/>
                <w:sz w:val="22"/>
                <w:szCs w:val="22"/>
              </w:rPr>
            </w:pPr>
            <w:r w:rsidRPr="0083476B">
              <w:rPr>
                <w:b/>
                <w:sz w:val="22"/>
                <w:szCs w:val="22"/>
              </w:rPr>
              <w:t>Main Functions</w:t>
            </w:r>
          </w:p>
        </w:tc>
      </w:tr>
      <w:tr w:rsidR="00C04A07" w14:paraId="49E64A5C" w14:textId="77777777" w:rsidTr="009B1822">
        <w:tc>
          <w:tcPr>
            <w:tcW w:w="2376" w:type="dxa"/>
          </w:tcPr>
          <w:p w14:paraId="37FD1EA6" w14:textId="2B0D611A" w:rsidR="00C04A07" w:rsidRPr="00124DCB" w:rsidRDefault="00A44FCD" w:rsidP="005D3098">
            <w:pPr>
              <w:tabs>
                <w:tab w:val="left" w:pos="1472"/>
              </w:tabs>
              <w:rPr>
                <w:b/>
                <w:sz w:val="22"/>
                <w:szCs w:val="22"/>
              </w:rPr>
            </w:pPr>
            <w:r>
              <w:rPr>
                <w:b/>
                <w:sz w:val="22"/>
                <w:szCs w:val="22"/>
              </w:rPr>
              <w:t>Ministry of Environment  (MO</w:t>
            </w:r>
            <w:r w:rsidR="00DA2D99" w:rsidRPr="00124DCB">
              <w:rPr>
                <w:b/>
                <w:sz w:val="22"/>
                <w:szCs w:val="22"/>
              </w:rPr>
              <w:t>E)</w:t>
            </w:r>
          </w:p>
        </w:tc>
        <w:tc>
          <w:tcPr>
            <w:tcW w:w="7264" w:type="dxa"/>
          </w:tcPr>
          <w:p w14:paraId="7B4167D5" w14:textId="30DF5830" w:rsidR="00124DCB" w:rsidRPr="00124DCB" w:rsidRDefault="00124DCB" w:rsidP="005D3098">
            <w:pPr>
              <w:pStyle w:val="ListParagraph"/>
              <w:numPr>
                <w:ilvl w:val="0"/>
                <w:numId w:val="16"/>
              </w:numPr>
              <w:ind w:left="176" w:hanging="176"/>
              <w:rPr>
                <w:sz w:val="22"/>
                <w:szCs w:val="22"/>
              </w:rPr>
            </w:pPr>
            <w:r w:rsidRPr="00DA2D99">
              <w:rPr>
                <w:sz w:val="22"/>
                <w:szCs w:val="22"/>
              </w:rPr>
              <w:t xml:space="preserve">The Ministry of Environment </w:t>
            </w:r>
            <w:r>
              <w:rPr>
                <w:sz w:val="22"/>
                <w:szCs w:val="22"/>
              </w:rPr>
              <w:t>(MO</w:t>
            </w:r>
            <w:r w:rsidRPr="00DA2D99">
              <w:rPr>
                <w:sz w:val="22"/>
                <w:szCs w:val="22"/>
              </w:rPr>
              <w:t>E</w:t>
            </w:r>
            <w:r>
              <w:rPr>
                <w:sz w:val="22"/>
                <w:szCs w:val="22"/>
              </w:rPr>
              <w:t>)</w:t>
            </w:r>
            <w:r w:rsidRPr="00DA2D99">
              <w:rPr>
                <w:sz w:val="22"/>
                <w:szCs w:val="22"/>
              </w:rPr>
              <w:t xml:space="preserve"> is responsible for ensuring the development, promotion and implementation of state policy on environmental </w:t>
            </w:r>
            <w:r w:rsidRPr="00DA2D99">
              <w:rPr>
                <w:sz w:val="22"/>
                <w:szCs w:val="22"/>
              </w:rPr>
              <w:lastRenderedPageBreak/>
              <w:t>protection and rational use of natura</w:t>
            </w:r>
            <w:r>
              <w:rPr>
                <w:sz w:val="22"/>
                <w:szCs w:val="22"/>
              </w:rPr>
              <w:t>l resources.</w:t>
            </w:r>
            <w:r w:rsidRPr="00DA2D99">
              <w:rPr>
                <w:sz w:val="22"/>
                <w:szCs w:val="22"/>
              </w:rPr>
              <w:t xml:space="preserve"> </w:t>
            </w:r>
            <w:r>
              <w:rPr>
                <w:sz w:val="22"/>
                <w:szCs w:val="22"/>
              </w:rPr>
              <w:t>MO</w:t>
            </w:r>
            <w:r w:rsidRPr="00124DCB">
              <w:rPr>
                <w:sz w:val="22"/>
                <w:szCs w:val="22"/>
              </w:rPr>
              <w:t xml:space="preserve">E basic functions is to ensure the integration of environmental requirements in the processes of economic and sector policy reform, management of the National Ecological Fund, and coordination of local environmental funds, etc.  </w:t>
            </w:r>
          </w:p>
          <w:p w14:paraId="3A1E8C22" w14:textId="4488A16C" w:rsidR="00124DCB" w:rsidRPr="00124DCB" w:rsidRDefault="00124DCB" w:rsidP="005D3098">
            <w:pPr>
              <w:pStyle w:val="ListParagraph"/>
              <w:numPr>
                <w:ilvl w:val="0"/>
                <w:numId w:val="16"/>
              </w:numPr>
              <w:ind w:left="176" w:hanging="176"/>
              <w:rPr>
                <w:sz w:val="22"/>
                <w:szCs w:val="22"/>
              </w:rPr>
            </w:pPr>
            <w:r>
              <w:rPr>
                <w:sz w:val="22"/>
                <w:szCs w:val="22"/>
              </w:rPr>
              <w:t>The main agencies of MO</w:t>
            </w:r>
            <w:r w:rsidRPr="00124DCB">
              <w:rPr>
                <w:sz w:val="22"/>
                <w:szCs w:val="22"/>
              </w:rPr>
              <w:t xml:space="preserve">E which play a key role in EFR are the following: </w:t>
            </w:r>
          </w:p>
          <w:p w14:paraId="31AB67E0" w14:textId="77777777" w:rsidR="00124DCB" w:rsidRDefault="00124DCB" w:rsidP="005D3098">
            <w:pPr>
              <w:pStyle w:val="ListParagraph"/>
              <w:numPr>
                <w:ilvl w:val="1"/>
                <w:numId w:val="16"/>
              </w:numPr>
              <w:ind w:left="601" w:hanging="283"/>
              <w:rPr>
                <w:sz w:val="22"/>
                <w:szCs w:val="22"/>
              </w:rPr>
            </w:pPr>
            <w:r>
              <w:rPr>
                <w:sz w:val="22"/>
                <w:szCs w:val="22"/>
              </w:rPr>
              <w:t>S</w:t>
            </w:r>
            <w:r w:rsidRPr="00124DCB">
              <w:rPr>
                <w:sz w:val="22"/>
                <w:szCs w:val="22"/>
              </w:rPr>
              <w:t>tate Ecological Inspectorate  (SEI).</w:t>
            </w:r>
          </w:p>
          <w:p w14:paraId="048DAB03" w14:textId="1D15D510" w:rsidR="00C04A07" w:rsidRPr="005D3098" w:rsidRDefault="00124DCB" w:rsidP="005D3098">
            <w:pPr>
              <w:pStyle w:val="ListParagraph"/>
              <w:numPr>
                <w:ilvl w:val="1"/>
                <w:numId w:val="16"/>
              </w:numPr>
              <w:ind w:left="601" w:hanging="283"/>
              <w:rPr>
                <w:sz w:val="22"/>
                <w:szCs w:val="22"/>
              </w:rPr>
            </w:pPr>
            <w:r>
              <w:rPr>
                <w:sz w:val="22"/>
                <w:szCs w:val="22"/>
              </w:rPr>
              <w:t>Ecological Funds</w:t>
            </w:r>
            <w:r w:rsidRPr="00124DCB">
              <w:rPr>
                <w:sz w:val="22"/>
                <w:szCs w:val="22"/>
              </w:rPr>
              <w:t>. Ecological funds were established in accordance with the L</w:t>
            </w:r>
            <w:r w:rsidR="005D3098">
              <w:rPr>
                <w:sz w:val="22"/>
                <w:szCs w:val="22"/>
              </w:rPr>
              <w:t xml:space="preserve">aw on Environmental Protection </w:t>
            </w:r>
            <w:r w:rsidRPr="00124DCB">
              <w:rPr>
                <w:sz w:val="22"/>
                <w:szCs w:val="22"/>
              </w:rPr>
              <w:t xml:space="preserve">for the collection of additional resources to finance environmental protection and restoration of ecosystems.  Local Ecological Funds (LEF) are subordinated to the State Ecological Inspectorate and the National Ecological Fund (NEF) to </w:t>
            </w:r>
            <w:r w:rsidR="005D3098">
              <w:rPr>
                <w:sz w:val="22"/>
                <w:szCs w:val="22"/>
              </w:rPr>
              <w:t xml:space="preserve">the </w:t>
            </w:r>
            <w:r w:rsidRPr="00124DCB">
              <w:rPr>
                <w:sz w:val="22"/>
                <w:szCs w:val="22"/>
              </w:rPr>
              <w:t xml:space="preserve">Ministry of Environment </w:t>
            </w:r>
          </w:p>
        </w:tc>
      </w:tr>
      <w:tr w:rsidR="00C04A07" w14:paraId="239CEC69" w14:textId="77777777" w:rsidTr="009B1822">
        <w:tc>
          <w:tcPr>
            <w:tcW w:w="2376" w:type="dxa"/>
          </w:tcPr>
          <w:p w14:paraId="22BF9513" w14:textId="23F663FB" w:rsidR="00C04A07" w:rsidRPr="005D3098" w:rsidRDefault="00DA2D99" w:rsidP="005D3098">
            <w:pPr>
              <w:rPr>
                <w:b/>
                <w:sz w:val="22"/>
                <w:szCs w:val="22"/>
              </w:rPr>
            </w:pPr>
            <w:r w:rsidRPr="005D3098">
              <w:rPr>
                <w:b/>
                <w:sz w:val="22"/>
                <w:szCs w:val="22"/>
              </w:rPr>
              <w:lastRenderedPageBreak/>
              <w:t>Ministry of Agric</w:t>
            </w:r>
            <w:r w:rsidR="002C16D5">
              <w:rPr>
                <w:b/>
                <w:sz w:val="22"/>
                <w:szCs w:val="22"/>
              </w:rPr>
              <w:t>ulture and Food Industry (MAFI)</w:t>
            </w:r>
          </w:p>
        </w:tc>
        <w:tc>
          <w:tcPr>
            <w:tcW w:w="7264" w:type="dxa"/>
          </w:tcPr>
          <w:p w14:paraId="4F8D97CA" w14:textId="77777777" w:rsidR="005D3098" w:rsidRPr="00DA2D99" w:rsidRDefault="005D3098" w:rsidP="005D3098">
            <w:pPr>
              <w:pStyle w:val="ListParagraph"/>
              <w:numPr>
                <w:ilvl w:val="0"/>
                <w:numId w:val="16"/>
              </w:numPr>
              <w:ind w:left="176" w:hanging="176"/>
              <w:rPr>
                <w:sz w:val="22"/>
                <w:szCs w:val="22"/>
              </w:rPr>
            </w:pPr>
            <w:r w:rsidRPr="00DA2D99">
              <w:rPr>
                <w:sz w:val="22"/>
                <w:szCs w:val="22"/>
              </w:rPr>
              <w:t xml:space="preserve">The MAFI has the mission to ensure national policies promoting sustainable development of the country's agro industrial sector by increasing productivity and competitiveness of the sector and ensure food sufficiency and safety of the country in order to create prerequisites for permanent increase in welfare.  </w:t>
            </w:r>
          </w:p>
          <w:p w14:paraId="2AC6B1BA" w14:textId="14AD92E5" w:rsidR="00C04A07" w:rsidRPr="005D3098" w:rsidRDefault="005D3098" w:rsidP="005D3098">
            <w:pPr>
              <w:pStyle w:val="ListParagraph"/>
              <w:numPr>
                <w:ilvl w:val="0"/>
                <w:numId w:val="16"/>
              </w:numPr>
              <w:ind w:left="176" w:hanging="176"/>
              <w:rPr>
                <w:sz w:val="22"/>
                <w:szCs w:val="22"/>
              </w:rPr>
            </w:pPr>
            <w:r>
              <w:rPr>
                <w:sz w:val="22"/>
                <w:szCs w:val="22"/>
              </w:rPr>
              <w:t xml:space="preserve">Under MAFI, the </w:t>
            </w:r>
            <w:r w:rsidRPr="00DA2D99">
              <w:rPr>
                <w:sz w:val="22"/>
                <w:szCs w:val="22"/>
              </w:rPr>
              <w:t>Agency for Payments a</w:t>
            </w:r>
            <w:r>
              <w:rPr>
                <w:sz w:val="22"/>
                <w:szCs w:val="22"/>
              </w:rPr>
              <w:t>nd Intervention in Agriculture (APIA)</w:t>
            </w:r>
            <w:r w:rsidRPr="00DA2D99">
              <w:rPr>
                <w:sz w:val="22"/>
                <w:szCs w:val="22"/>
              </w:rPr>
              <w:t xml:space="preserve"> is an administrative body</w:t>
            </w:r>
            <w:r>
              <w:rPr>
                <w:sz w:val="22"/>
                <w:szCs w:val="22"/>
              </w:rPr>
              <w:t xml:space="preserve"> </w:t>
            </w:r>
            <w:r w:rsidRPr="00DA2D99">
              <w:rPr>
                <w:sz w:val="22"/>
                <w:szCs w:val="22"/>
              </w:rPr>
              <w:t>responsible for managing and monitoring the distribution of financial resources intended to support agricultural producers, as well as quantitative and qualitative assessment of the impact caused by measures to support farmers by the state.</w:t>
            </w:r>
          </w:p>
        </w:tc>
      </w:tr>
      <w:tr w:rsidR="00C04A07" w14:paraId="715AAD4A" w14:textId="77777777" w:rsidTr="009B1822">
        <w:tc>
          <w:tcPr>
            <w:tcW w:w="2376" w:type="dxa"/>
          </w:tcPr>
          <w:p w14:paraId="562648B1" w14:textId="1D5ADA46" w:rsidR="00C04A07" w:rsidRPr="002C16D5" w:rsidRDefault="002C16D5" w:rsidP="005D3098">
            <w:pPr>
              <w:rPr>
                <w:b/>
                <w:sz w:val="22"/>
                <w:szCs w:val="22"/>
              </w:rPr>
            </w:pPr>
            <w:r w:rsidRPr="002C16D5">
              <w:rPr>
                <w:b/>
                <w:sz w:val="22"/>
                <w:szCs w:val="22"/>
              </w:rPr>
              <w:t>Moldsilva Agency</w:t>
            </w:r>
          </w:p>
        </w:tc>
        <w:tc>
          <w:tcPr>
            <w:tcW w:w="7264" w:type="dxa"/>
          </w:tcPr>
          <w:p w14:paraId="15BF9242" w14:textId="09CA2781" w:rsidR="00C04A07" w:rsidRPr="003E1BD7" w:rsidRDefault="002C16D5" w:rsidP="00553C40">
            <w:pPr>
              <w:pStyle w:val="ListParagraph"/>
              <w:numPr>
                <w:ilvl w:val="0"/>
                <w:numId w:val="16"/>
              </w:numPr>
              <w:ind w:left="176" w:hanging="176"/>
              <w:rPr>
                <w:sz w:val="22"/>
                <w:szCs w:val="22"/>
              </w:rPr>
            </w:pPr>
            <w:r w:rsidRPr="00DA2D99">
              <w:rPr>
                <w:sz w:val="22"/>
                <w:szCs w:val="22"/>
              </w:rPr>
              <w:t xml:space="preserve">Moldsilva is </w:t>
            </w:r>
            <w:r w:rsidR="00553C40">
              <w:rPr>
                <w:sz w:val="22"/>
                <w:szCs w:val="22"/>
              </w:rPr>
              <w:t xml:space="preserve">the </w:t>
            </w:r>
            <w:r w:rsidRPr="00DA2D99">
              <w:rPr>
                <w:sz w:val="22"/>
                <w:szCs w:val="22"/>
              </w:rPr>
              <w:t xml:space="preserve">central administrative agency, under the </w:t>
            </w:r>
            <w:r w:rsidR="00553C40">
              <w:rPr>
                <w:sz w:val="22"/>
                <w:szCs w:val="22"/>
              </w:rPr>
              <w:t>MOE</w:t>
            </w:r>
            <w:r w:rsidRPr="00DA2D99">
              <w:rPr>
                <w:sz w:val="22"/>
                <w:szCs w:val="22"/>
              </w:rPr>
              <w:t>, empowered to promote the state policy in the areas of forestry and hunting.  The responsibilities of Moldsilva is to promote sustainable development of forestry and hunting sectors, protection, protection of forests and wildlife, maintaining and preserving biodiversity, conducting organizational reforms and economic developments in the areas managed.</w:t>
            </w:r>
            <w:r w:rsidR="00726492">
              <w:rPr>
                <w:sz w:val="22"/>
                <w:szCs w:val="22"/>
              </w:rPr>
              <w:t xml:space="preserve"> I</w:t>
            </w:r>
            <w:r w:rsidR="00726492" w:rsidRPr="00726492">
              <w:rPr>
                <w:sz w:val="22"/>
                <w:szCs w:val="22"/>
              </w:rPr>
              <w:t xml:space="preserve">n August 2015, </w:t>
            </w:r>
            <w:r w:rsidR="00726492">
              <w:rPr>
                <w:sz w:val="22"/>
                <w:szCs w:val="22"/>
              </w:rPr>
              <w:t xml:space="preserve">this </w:t>
            </w:r>
            <w:r w:rsidR="00726492" w:rsidRPr="00726492">
              <w:rPr>
                <w:sz w:val="22"/>
                <w:szCs w:val="22"/>
              </w:rPr>
              <w:t xml:space="preserve">Agency was subordinated to </w:t>
            </w:r>
            <w:r w:rsidR="00726492">
              <w:rPr>
                <w:sz w:val="22"/>
                <w:szCs w:val="22"/>
              </w:rPr>
              <w:t>MOE</w:t>
            </w:r>
            <w:r w:rsidR="00726492" w:rsidRPr="00726492">
              <w:rPr>
                <w:sz w:val="22"/>
                <w:szCs w:val="22"/>
              </w:rPr>
              <w:t>.</w:t>
            </w:r>
          </w:p>
        </w:tc>
      </w:tr>
      <w:tr w:rsidR="00C04A07" w14:paraId="66CA82E7" w14:textId="77777777" w:rsidTr="009B1822">
        <w:tc>
          <w:tcPr>
            <w:tcW w:w="2376" w:type="dxa"/>
          </w:tcPr>
          <w:p w14:paraId="3EB6DC61" w14:textId="03DEB13A" w:rsidR="00C04A07" w:rsidRPr="0073285C" w:rsidRDefault="003B5B1B" w:rsidP="0073285C">
            <w:pPr>
              <w:rPr>
                <w:b/>
                <w:sz w:val="22"/>
                <w:szCs w:val="22"/>
              </w:rPr>
            </w:pPr>
            <w:r w:rsidRPr="0073285C">
              <w:rPr>
                <w:b/>
                <w:sz w:val="22"/>
                <w:szCs w:val="22"/>
              </w:rPr>
              <w:t>Minist</w:t>
            </w:r>
            <w:r w:rsidR="0073285C">
              <w:rPr>
                <w:b/>
                <w:sz w:val="22"/>
                <w:szCs w:val="22"/>
              </w:rPr>
              <w:t>ry of Finance (MOF)</w:t>
            </w:r>
          </w:p>
        </w:tc>
        <w:tc>
          <w:tcPr>
            <w:tcW w:w="7264" w:type="dxa"/>
          </w:tcPr>
          <w:p w14:paraId="08314FAE" w14:textId="432DD147" w:rsidR="00C04A07" w:rsidRDefault="0073285C" w:rsidP="0073285C">
            <w:pPr>
              <w:pStyle w:val="ListParagraph"/>
              <w:numPr>
                <w:ilvl w:val="0"/>
                <w:numId w:val="16"/>
              </w:numPr>
              <w:ind w:left="176" w:hanging="176"/>
              <w:rPr>
                <w:sz w:val="22"/>
                <w:szCs w:val="22"/>
              </w:rPr>
            </w:pPr>
            <w:r>
              <w:rPr>
                <w:sz w:val="22"/>
                <w:szCs w:val="22"/>
              </w:rPr>
              <w:t>The MO</w:t>
            </w:r>
            <w:r w:rsidRPr="00DA2D99">
              <w:rPr>
                <w:sz w:val="22"/>
                <w:szCs w:val="22"/>
              </w:rPr>
              <w:t>F’s mission is to develop and implement state policy on public fina</w:t>
            </w:r>
            <w:r>
              <w:rPr>
                <w:sz w:val="22"/>
                <w:szCs w:val="22"/>
              </w:rPr>
              <w:t>nce (budget and fiscal).  The MO</w:t>
            </w:r>
            <w:r w:rsidRPr="00DA2D99">
              <w:rPr>
                <w:sz w:val="22"/>
                <w:szCs w:val="22"/>
              </w:rPr>
              <w:t>F basic functions that contribute to the promotion of environmental management include the accumulation of government budget revenue, management and control of public finances for its intended use, compliance with the legal framework for budget and tax at European and international standards and practices.</w:t>
            </w:r>
          </w:p>
        </w:tc>
      </w:tr>
      <w:tr w:rsidR="00C04A07" w14:paraId="28EDA4FB" w14:textId="77777777" w:rsidTr="009B1822">
        <w:tc>
          <w:tcPr>
            <w:tcW w:w="2376" w:type="dxa"/>
          </w:tcPr>
          <w:p w14:paraId="020CB6B5" w14:textId="3EC18F44" w:rsidR="00C04A07" w:rsidRPr="0073285C" w:rsidRDefault="0073285C" w:rsidP="0073285C">
            <w:pPr>
              <w:rPr>
                <w:b/>
                <w:sz w:val="22"/>
                <w:szCs w:val="22"/>
              </w:rPr>
            </w:pPr>
            <w:r>
              <w:rPr>
                <w:b/>
                <w:sz w:val="22"/>
                <w:szCs w:val="22"/>
              </w:rPr>
              <w:t>Ministry of Economy (MOEco)</w:t>
            </w:r>
          </w:p>
        </w:tc>
        <w:tc>
          <w:tcPr>
            <w:tcW w:w="7264" w:type="dxa"/>
          </w:tcPr>
          <w:p w14:paraId="3CC9E89D" w14:textId="3B52DF5D" w:rsidR="00C04A07" w:rsidRDefault="0073285C" w:rsidP="0073285C">
            <w:pPr>
              <w:pStyle w:val="ListParagraph"/>
              <w:numPr>
                <w:ilvl w:val="0"/>
                <w:numId w:val="16"/>
              </w:numPr>
              <w:ind w:left="176" w:hanging="176"/>
              <w:rPr>
                <w:sz w:val="22"/>
                <w:szCs w:val="22"/>
              </w:rPr>
            </w:pPr>
            <w:r>
              <w:rPr>
                <w:sz w:val="22"/>
                <w:szCs w:val="22"/>
              </w:rPr>
              <w:t>The MO</w:t>
            </w:r>
            <w:r w:rsidRPr="003B5B1B">
              <w:rPr>
                <w:sz w:val="22"/>
                <w:szCs w:val="22"/>
              </w:rPr>
              <w:t>Ec</w:t>
            </w:r>
            <w:r>
              <w:rPr>
                <w:sz w:val="22"/>
                <w:szCs w:val="22"/>
              </w:rPr>
              <w:t>o</w:t>
            </w:r>
            <w:r w:rsidRPr="003B5B1B">
              <w:rPr>
                <w:sz w:val="22"/>
                <w:szCs w:val="22"/>
              </w:rPr>
              <w:t xml:space="preserve"> is responsible for ensuring the development of a sustainable economy by optimizing the framework for entrepreneurial activity, creating an attractive investment environment and predictable internation</w:t>
            </w:r>
            <w:r>
              <w:rPr>
                <w:sz w:val="22"/>
                <w:szCs w:val="22"/>
              </w:rPr>
              <w:t>al economic cooperation.  The MO</w:t>
            </w:r>
            <w:r w:rsidRPr="003B5B1B">
              <w:rPr>
                <w:sz w:val="22"/>
                <w:szCs w:val="22"/>
              </w:rPr>
              <w:t>Ec</w:t>
            </w:r>
            <w:r w:rsidR="00A44FCD">
              <w:rPr>
                <w:sz w:val="22"/>
                <w:szCs w:val="22"/>
              </w:rPr>
              <w:t>o</w:t>
            </w:r>
            <w:r w:rsidRPr="003B5B1B">
              <w:rPr>
                <w:sz w:val="22"/>
                <w:szCs w:val="22"/>
              </w:rPr>
              <w:t xml:space="preserve"> tasks that contribute to the promotion of environmental management is the participation in organizing the budget process, developing the draft state budget law, submitting proposals to amend the tax system.</w:t>
            </w:r>
          </w:p>
        </w:tc>
      </w:tr>
      <w:tr w:rsidR="003E1BD7" w14:paraId="125139DE" w14:textId="77777777" w:rsidTr="009B1822">
        <w:tc>
          <w:tcPr>
            <w:tcW w:w="2376" w:type="dxa"/>
          </w:tcPr>
          <w:p w14:paraId="3FDF08C6" w14:textId="099CE121" w:rsidR="003E1BD7" w:rsidRPr="0073285C" w:rsidRDefault="003B5B1B" w:rsidP="0073285C">
            <w:pPr>
              <w:rPr>
                <w:b/>
                <w:sz w:val="22"/>
                <w:szCs w:val="22"/>
              </w:rPr>
            </w:pPr>
            <w:r w:rsidRPr="0073285C">
              <w:rPr>
                <w:b/>
                <w:sz w:val="22"/>
                <w:szCs w:val="22"/>
              </w:rPr>
              <w:t>National En</w:t>
            </w:r>
            <w:r w:rsidR="0073285C">
              <w:rPr>
                <w:b/>
                <w:sz w:val="22"/>
                <w:szCs w:val="22"/>
              </w:rPr>
              <w:t>ergy Regulatory Agency (ANRE)</w:t>
            </w:r>
          </w:p>
        </w:tc>
        <w:tc>
          <w:tcPr>
            <w:tcW w:w="7264" w:type="dxa"/>
          </w:tcPr>
          <w:p w14:paraId="6A607ABB" w14:textId="4F827C0B" w:rsidR="003E1BD7" w:rsidRDefault="0073285C" w:rsidP="0073285C">
            <w:pPr>
              <w:pStyle w:val="ListParagraph"/>
              <w:numPr>
                <w:ilvl w:val="0"/>
                <w:numId w:val="16"/>
              </w:numPr>
              <w:ind w:left="176" w:hanging="176"/>
              <w:rPr>
                <w:sz w:val="22"/>
                <w:szCs w:val="22"/>
              </w:rPr>
            </w:pPr>
            <w:r w:rsidRPr="003B5B1B">
              <w:rPr>
                <w:sz w:val="22"/>
                <w:szCs w:val="22"/>
              </w:rPr>
              <w:t>The ANRE is the regulatory body for the energy sector, and falls under to the Ministry of Economy.  The ANRE has the following tasks: ensuring the transparency of prices and regulated tariffs for electricity and natural gas, development of methodologies for calculating, determining the adjustment, approval, and changes in prices and tariffs for energy services, etc</w:t>
            </w:r>
            <w:r>
              <w:rPr>
                <w:sz w:val="22"/>
                <w:szCs w:val="22"/>
              </w:rPr>
              <w:t>.</w:t>
            </w:r>
          </w:p>
        </w:tc>
      </w:tr>
      <w:tr w:rsidR="003E1BD7" w14:paraId="5309BA5E" w14:textId="77777777" w:rsidTr="009B1822">
        <w:tc>
          <w:tcPr>
            <w:tcW w:w="2376" w:type="dxa"/>
          </w:tcPr>
          <w:p w14:paraId="5125BCA2" w14:textId="65DAB207" w:rsidR="003E1BD7" w:rsidRPr="0073285C" w:rsidRDefault="003B5B1B" w:rsidP="0073285C">
            <w:pPr>
              <w:rPr>
                <w:b/>
                <w:sz w:val="22"/>
                <w:szCs w:val="22"/>
              </w:rPr>
            </w:pPr>
            <w:r w:rsidRPr="0073285C">
              <w:rPr>
                <w:b/>
                <w:sz w:val="22"/>
                <w:szCs w:val="22"/>
              </w:rPr>
              <w:t xml:space="preserve">Ministry of Transport </w:t>
            </w:r>
            <w:r w:rsidR="0073285C">
              <w:rPr>
                <w:b/>
                <w:sz w:val="22"/>
                <w:szCs w:val="22"/>
              </w:rPr>
              <w:t>and Road Infrastructure  (MTRI)</w:t>
            </w:r>
          </w:p>
        </w:tc>
        <w:tc>
          <w:tcPr>
            <w:tcW w:w="7264" w:type="dxa"/>
          </w:tcPr>
          <w:p w14:paraId="2FC27B87" w14:textId="3E966CCE" w:rsidR="003E1BD7" w:rsidRDefault="0073285C" w:rsidP="0073285C">
            <w:pPr>
              <w:pStyle w:val="ListParagraph"/>
              <w:numPr>
                <w:ilvl w:val="0"/>
                <w:numId w:val="16"/>
              </w:numPr>
              <w:ind w:left="176" w:hanging="176"/>
              <w:rPr>
                <w:sz w:val="22"/>
                <w:szCs w:val="22"/>
              </w:rPr>
            </w:pPr>
            <w:r w:rsidRPr="003B5B1B">
              <w:rPr>
                <w:sz w:val="22"/>
                <w:szCs w:val="22"/>
              </w:rPr>
              <w:t>The MTRI’s mission is to promote and implement state policy on transport and road infrastructure.</w:t>
            </w:r>
          </w:p>
        </w:tc>
      </w:tr>
      <w:tr w:rsidR="003B5B1B" w14:paraId="7D441A81" w14:textId="77777777" w:rsidTr="009B1822">
        <w:tc>
          <w:tcPr>
            <w:tcW w:w="2376" w:type="dxa"/>
          </w:tcPr>
          <w:p w14:paraId="68B1439F" w14:textId="3DC3E4F8" w:rsidR="003B5B1B" w:rsidRPr="0073285C" w:rsidRDefault="003B5B1B" w:rsidP="0073285C">
            <w:pPr>
              <w:rPr>
                <w:b/>
                <w:sz w:val="22"/>
                <w:szCs w:val="22"/>
              </w:rPr>
            </w:pPr>
            <w:r w:rsidRPr="0073285C">
              <w:rPr>
                <w:b/>
                <w:sz w:val="22"/>
                <w:szCs w:val="22"/>
              </w:rPr>
              <w:t>Ministry of Regional Development and Construction (MRDC)</w:t>
            </w:r>
          </w:p>
        </w:tc>
        <w:tc>
          <w:tcPr>
            <w:tcW w:w="7264" w:type="dxa"/>
          </w:tcPr>
          <w:p w14:paraId="737C292A" w14:textId="23F7850D" w:rsidR="003B5B1B" w:rsidRPr="0073285C" w:rsidRDefault="0073285C" w:rsidP="0073285C">
            <w:pPr>
              <w:pStyle w:val="ListParagraph"/>
              <w:numPr>
                <w:ilvl w:val="0"/>
                <w:numId w:val="16"/>
              </w:numPr>
              <w:ind w:left="176" w:hanging="176"/>
              <w:rPr>
                <w:sz w:val="22"/>
                <w:szCs w:val="22"/>
              </w:rPr>
            </w:pPr>
            <w:r w:rsidRPr="003B5B1B">
              <w:rPr>
                <w:sz w:val="22"/>
                <w:szCs w:val="22"/>
              </w:rPr>
              <w:t>The MRDC develops and promotes the state policy in territory planning, architecture, urban planning, construction, construction materials production, housing and regional development.  The MRDC develops, monitors, and evaluates the implementation of national and regional development strategies, managing the National Fund for Regional Development, and proposes funding mechanism for regional development.  The Regional Development Agencies (RDA) are subordinated to the authorities in implementing regional developmen</w:t>
            </w:r>
            <w:r>
              <w:rPr>
                <w:sz w:val="22"/>
                <w:szCs w:val="22"/>
              </w:rPr>
              <w:t>t policy, created under the law</w:t>
            </w:r>
            <w:r w:rsidRPr="003B5B1B">
              <w:rPr>
                <w:sz w:val="22"/>
                <w:szCs w:val="22"/>
              </w:rPr>
              <w:t>, to implement regional development strategy and operational plan.  The Regional Development Council (RDC) is established for the coordination and promotion of regional development policy at local level within each region.  The RDC is responsible for the overall development of the region and approval of regional development strategy and action plan.</w:t>
            </w:r>
          </w:p>
        </w:tc>
      </w:tr>
      <w:tr w:rsidR="003B5B1B" w14:paraId="02CAE59B" w14:textId="77777777" w:rsidTr="009B1822">
        <w:tc>
          <w:tcPr>
            <w:tcW w:w="2376" w:type="dxa"/>
          </w:tcPr>
          <w:p w14:paraId="1DD84626" w14:textId="3B9EEDEB" w:rsidR="003B5B1B" w:rsidRPr="0073285C" w:rsidRDefault="003B5B1B" w:rsidP="005D3098">
            <w:pPr>
              <w:rPr>
                <w:b/>
                <w:sz w:val="22"/>
                <w:szCs w:val="22"/>
              </w:rPr>
            </w:pPr>
            <w:r w:rsidRPr="0073285C">
              <w:rPr>
                <w:b/>
                <w:sz w:val="22"/>
                <w:szCs w:val="22"/>
              </w:rPr>
              <w:t>Local Public Administrations (LPAs)</w:t>
            </w:r>
          </w:p>
        </w:tc>
        <w:tc>
          <w:tcPr>
            <w:tcW w:w="7264" w:type="dxa"/>
          </w:tcPr>
          <w:p w14:paraId="0D07E438" w14:textId="5A0A003D" w:rsidR="003B5B1B" w:rsidRPr="0073285C" w:rsidRDefault="0073285C" w:rsidP="0073285C">
            <w:pPr>
              <w:pStyle w:val="ListParagraph"/>
              <w:numPr>
                <w:ilvl w:val="0"/>
                <w:numId w:val="16"/>
              </w:numPr>
              <w:ind w:left="176" w:hanging="176"/>
              <w:rPr>
                <w:sz w:val="22"/>
                <w:szCs w:val="22"/>
              </w:rPr>
            </w:pPr>
            <w:r w:rsidRPr="003B5B1B">
              <w:rPr>
                <w:sz w:val="22"/>
                <w:szCs w:val="22"/>
              </w:rPr>
              <w:t>The LPAs</w:t>
            </w:r>
            <w:r>
              <w:rPr>
                <w:sz w:val="22"/>
                <w:szCs w:val="22"/>
              </w:rPr>
              <w:t xml:space="preserve"> </w:t>
            </w:r>
            <w:r w:rsidRPr="003B5B1B">
              <w:rPr>
                <w:sz w:val="22"/>
                <w:szCs w:val="22"/>
              </w:rPr>
              <w:t xml:space="preserve">promote the general interests of the inhabitants of territorial-administrative units.  The LPAs are divided into two levels: first level - public authorities, which are established and operating in the village (commune), city (municipality), the second level - public authorities, which are established and operating in the district, Chisinau, in autonomous territorial unit with special legal status.  The LPAs are based on the principles of local autonomy, decentralization of public services, eligibility and public consultation on local issues of interest.  The LPAs are legal entities of public law and has a heritage distinct of the State and other administrative units.  </w:t>
            </w:r>
          </w:p>
        </w:tc>
      </w:tr>
      <w:tr w:rsidR="003B5B1B" w14:paraId="586BC99E" w14:textId="77777777" w:rsidTr="009B1822">
        <w:tc>
          <w:tcPr>
            <w:tcW w:w="2376" w:type="dxa"/>
          </w:tcPr>
          <w:p w14:paraId="10B7FCE1" w14:textId="072BEFC7" w:rsidR="003B5B1B" w:rsidRPr="0073285C" w:rsidRDefault="003B5B1B" w:rsidP="005D3098">
            <w:pPr>
              <w:rPr>
                <w:b/>
                <w:sz w:val="22"/>
                <w:szCs w:val="22"/>
              </w:rPr>
            </w:pPr>
            <w:r w:rsidRPr="0073285C">
              <w:rPr>
                <w:b/>
                <w:sz w:val="22"/>
                <w:szCs w:val="22"/>
              </w:rPr>
              <w:t>Non Government Organizations</w:t>
            </w:r>
            <w:r w:rsidR="0073285C" w:rsidRPr="0073285C">
              <w:rPr>
                <w:b/>
                <w:sz w:val="22"/>
                <w:szCs w:val="22"/>
              </w:rPr>
              <w:t xml:space="preserve"> (NGOs)</w:t>
            </w:r>
          </w:p>
        </w:tc>
        <w:tc>
          <w:tcPr>
            <w:tcW w:w="7264" w:type="dxa"/>
          </w:tcPr>
          <w:p w14:paraId="22FF002D" w14:textId="5793200E" w:rsidR="0073285C" w:rsidRPr="003B5B1B" w:rsidRDefault="0073285C" w:rsidP="0073285C">
            <w:pPr>
              <w:pStyle w:val="ListParagraph"/>
              <w:numPr>
                <w:ilvl w:val="0"/>
                <w:numId w:val="16"/>
              </w:numPr>
              <w:ind w:left="176" w:hanging="176"/>
              <w:rPr>
                <w:sz w:val="22"/>
                <w:szCs w:val="22"/>
              </w:rPr>
            </w:pPr>
            <w:r w:rsidRPr="003B5B1B">
              <w:rPr>
                <w:sz w:val="22"/>
                <w:szCs w:val="22"/>
              </w:rPr>
              <w:t>The State Register o</w:t>
            </w:r>
            <w:r>
              <w:rPr>
                <w:sz w:val="22"/>
                <w:szCs w:val="22"/>
              </w:rPr>
              <w:t xml:space="preserve">f non-commercial organizations in Moldova </w:t>
            </w:r>
            <w:r w:rsidRPr="003B5B1B">
              <w:rPr>
                <w:sz w:val="22"/>
                <w:szCs w:val="22"/>
              </w:rPr>
              <w:t xml:space="preserve">includes </w:t>
            </w:r>
            <w:r w:rsidR="00DD65A5">
              <w:rPr>
                <w:sz w:val="22"/>
                <w:szCs w:val="22"/>
              </w:rPr>
              <w:t>more than 7,000</w:t>
            </w:r>
            <w:r w:rsidRPr="003B5B1B">
              <w:rPr>
                <w:sz w:val="22"/>
                <w:szCs w:val="22"/>
              </w:rPr>
              <w:t xml:space="preserve"> organizations, of which </w:t>
            </w:r>
            <w:r w:rsidR="00DD65A5">
              <w:rPr>
                <w:sz w:val="22"/>
                <w:szCs w:val="22"/>
              </w:rPr>
              <w:t>over 400</w:t>
            </w:r>
            <w:r w:rsidRPr="003B5B1B">
              <w:rPr>
                <w:sz w:val="22"/>
                <w:szCs w:val="22"/>
              </w:rPr>
              <w:t xml:space="preserve"> f</w:t>
            </w:r>
            <w:r w:rsidR="00DD65A5">
              <w:rPr>
                <w:sz w:val="22"/>
                <w:szCs w:val="22"/>
              </w:rPr>
              <w:t>ocus on sustainable development and environment</w:t>
            </w:r>
            <w:r w:rsidRPr="003B5B1B">
              <w:rPr>
                <w:sz w:val="22"/>
                <w:szCs w:val="22"/>
              </w:rPr>
              <w:t>.</w:t>
            </w:r>
          </w:p>
          <w:p w14:paraId="7D6CF7CF" w14:textId="6554CFF9" w:rsidR="003B5B1B" w:rsidRDefault="0073285C" w:rsidP="0073285C">
            <w:pPr>
              <w:pStyle w:val="ListParagraph"/>
              <w:numPr>
                <w:ilvl w:val="0"/>
                <w:numId w:val="16"/>
              </w:numPr>
              <w:ind w:left="176" w:hanging="176"/>
              <w:rPr>
                <w:sz w:val="22"/>
                <w:szCs w:val="22"/>
              </w:rPr>
            </w:pPr>
            <w:r>
              <w:rPr>
                <w:sz w:val="22"/>
                <w:szCs w:val="22"/>
              </w:rPr>
              <w:t>REC Moldova</w:t>
            </w:r>
            <w:r w:rsidRPr="00DA2D99">
              <w:rPr>
                <w:sz w:val="22"/>
                <w:szCs w:val="22"/>
              </w:rPr>
              <w:t xml:space="preserve"> also has a database of more than 250 NGOs working in the field of environment in </w:t>
            </w:r>
            <w:r>
              <w:rPr>
                <w:sz w:val="22"/>
                <w:szCs w:val="22"/>
              </w:rPr>
              <w:t>Moldova.</w:t>
            </w:r>
            <w:r w:rsidRPr="00DA2D99">
              <w:rPr>
                <w:sz w:val="22"/>
                <w:szCs w:val="22"/>
              </w:rPr>
              <w:t xml:space="preserve"> Some NGOs are able to contribute to the </w:t>
            </w:r>
            <w:r w:rsidRPr="00DA2D99">
              <w:rPr>
                <w:sz w:val="22"/>
                <w:szCs w:val="22"/>
              </w:rPr>
              <w:lastRenderedPageBreak/>
              <w:t>preparation of policies, mechanisms and instruments to promote environmentally oriented behavior, participate in consultations on actions to reform fiscal management.</w:t>
            </w:r>
          </w:p>
        </w:tc>
      </w:tr>
    </w:tbl>
    <w:p w14:paraId="373F7733" w14:textId="77777777" w:rsidR="00CF3CBB" w:rsidRDefault="00CF3CBB" w:rsidP="00A52E8E">
      <w:pPr>
        <w:pStyle w:val="ListParagraph"/>
        <w:ind w:left="0"/>
        <w:jc w:val="both"/>
        <w:rPr>
          <w:sz w:val="22"/>
          <w:szCs w:val="22"/>
        </w:rPr>
      </w:pPr>
    </w:p>
    <w:p w14:paraId="3F1DAF34" w14:textId="06EA121C" w:rsidR="00FE79B2" w:rsidRPr="00C51742" w:rsidRDefault="00C51742" w:rsidP="00FE79B2">
      <w:pPr>
        <w:pStyle w:val="ListParagraph"/>
        <w:numPr>
          <w:ilvl w:val="0"/>
          <w:numId w:val="15"/>
        </w:numPr>
        <w:tabs>
          <w:tab w:val="left" w:pos="1472"/>
        </w:tabs>
        <w:jc w:val="both"/>
        <w:rPr>
          <w:sz w:val="22"/>
          <w:szCs w:val="22"/>
        </w:rPr>
      </w:pPr>
      <w:r w:rsidRPr="00C51742">
        <w:rPr>
          <w:sz w:val="22"/>
          <w:szCs w:val="22"/>
        </w:rPr>
        <w:t xml:space="preserve">The Evaluation Team noted that project stakeholders were clearly identified during the formulation phase and the review conducted for this evaluation </w:t>
      </w:r>
      <w:r w:rsidR="00FE79B2" w:rsidRPr="00C51742">
        <w:rPr>
          <w:sz w:val="22"/>
          <w:szCs w:val="22"/>
        </w:rPr>
        <w:t>confirms that all key stakeholders were involved in the project and that they played key roles in the implementation of</w:t>
      </w:r>
      <w:r w:rsidRPr="00C51742">
        <w:rPr>
          <w:sz w:val="22"/>
          <w:szCs w:val="22"/>
        </w:rPr>
        <w:t xml:space="preserve"> the project,</w:t>
      </w:r>
      <w:r w:rsidR="00FE79B2" w:rsidRPr="00C51742">
        <w:rPr>
          <w:sz w:val="22"/>
          <w:szCs w:val="22"/>
        </w:rPr>
        <w:t xml:space="preserve"> particularly MOE, MOF,</w:t>
      </w:r>
      <w:r w:rsidR="00DD65A5">
        <w:rPr>
          <w:sz w:val="22"/>
          <w:szCs w:val="22"/>
        </w:rPr>
        <w:t xml:space="preserve"> MOEco and the LPAs in Calarasi,</w:t>
      </w:r>
      <w:r w:rsidR="00DD65A5" w:rsidRPr="00DD65A5">
        <w:rPr>
          <w:sz w:val="22"/>
          <w:szCs w:val="22"/>
        </w:rPr>
        <w:t xml:space="preserve"> Ungheni, Cahul, Floresti, Soroca </w:t>
      </w:r>
      <w:r w:rsidR="00FE79B2" w:rsidRPr="00C51742">
        <w:rPr>
          <w:sz w:val="22"/>
          <w:szCs w:val="22"/>
        </w:rPr>
        <w:t>and Telenesti.</w:t>
      </w:r>
    </w:p>
    <w:p w14:paraId="4B626006" w14:textId="77777777" w:rsidR="00C51742" w:rsidRDefault="00C51742" w:rsidP="00C51742">
      <w:pPr>
        <w:pStyle w:val="ListParagraph"/>
        <w:tabs>
          <w:tab w:val="left" w:pos="1472"/>
        </w:tabs>
        <w:ind w:left="0"/>
        <w:jc w:val="both"/>
        <w:rPr>
          <w:sz w:val="22"/>
          <w:szCs w:val="22"/>
        </w:rPr>
      </w:pPr>
    </w:p>
    <w:p w14:paraId="18CCAB35" w14:textId="1654F894" w:rsidR="008F2344" w:rsidRPr="005C5412" w:rsidRDefault="00C51742" w:rsidP="005C5412">
      <w:pPr>
        <w:pStyle w:val="ListParagraph"/>
        <w:numPr>
          <w:ilvl w:val="0"/>
          <w:numId w:val="15"/>
        </w:numPr>
        <w:tabs>
          <w:tab w:val="left" w:pos="1472"/>
        </w:tabs>
        <w:jc w:val="both"/>
        <w:rPr>
          <w:sz w:val="22"/>
          <w:szCs w:val="22"/>
        </w:rPr>
      </w:pPr>
      <w:r>
        <w:rPr>
          <w:sz w:val="22"/>
          <w:szCs w:val="22"/>
        </w:rPr>
        <w:t xml:space="preserve">The identification of stakeholders </w:t>
      </w:r>
      <w:r w:rsidR="00020F64">
        <w:rPr>
          <w:sz w:val="22"/>
          <w:szCs w:val="22"/>
        </w:rPr>
        <w:t xml:space="preserve">from the outset of the project </w:t>
      </w:r>
      <w:r>
        <w:rPr>
          <w:sz w:val="22"/>
          <w:szCs w:val="22"/>
        </w:rPr>
        <w:t xml:space="preserve">was also critical as the second component of the project was completely focused on raising the </w:t>
      </w:r>
      <w:r w:rsidR="00020F64">
        <w:rPr>
          <w:sz w:val="22"/>
          <w:szCs w:val="22"/>
        </w:rPr>
        <w:t>capacity of these stakeholders: “</w:t>
      </w:r>
      <w:r w:rsidR="00020F64" w:rsidRPr="00020F64">
        <w:rPr>
          <w:i/>
          <w:sz w:val="22"/>
          <w:szCs w:val="22"/>
        </w:rPr>
        <w:t>Capacity development for EFR to build consensus among concerned stakeholders</w:t>
      </w:r>
      <w:r w:rsidR="00020F64">
        <w:rPr>
          <w:sz w:val="22"/>
          <w:szCs w:val="22"/>
        </w:rPr>
        <w:t xml:space="preserve">”. It was part of the project strategy to ensure the adherence </w:t>
      </w:r>
      <w:r w:rsidR="00020F64" w:rsidRPr="00020F64">
        <w:rPr>
          <w:sz w:val="22"/>
          <w:szCs w:val="22"/>
        </w:rPr>
        <w:t xml:space="preserve">and involvement of all concerned stakeholders in the EFR process, its contribution to meeting obligations under the Rio Conventions, and </w:t>
      </w:r>
      <w:r w:rsidR="00020F64">
        <w:rPr>
          <w:sz w:val="22"/>
          <w:szCs w:val="22"/>
        </w:rPr>
        <w:t>in the implementation of reforms</w:t>
      </w:r>
      <w:r w:rsidR="00020F64" w:rsidRPr="00020F64">
        <w:rPr>
          <w:sz w:val="22"/>
          <w:szCs w:val="22"/>
        </w:rPr>
        <w:t>.</w:t>
      </w:r>
      <w:r w:rsidR="00020F64">
        <w:rPr>
          <w:sz w:val="22"/>
          <w:szCs w:val="22"/>
        </w:rPr>
        <w:t xml:space="preserve"> </w:t>
      </w:r>
      <w:r w:rsidR="005C5412">
        <w:rPr>
          <w:sz w:val="22"/>
          <w:szCs w:val="22"/>
        </w:rPr>
        <w:t>By ensuring</w:t>
      </w:r>
      <w:r w:rsidR="005C5412" w:rsidRPr="005C5412">
        <w:rPr>
          <w:sz w:val="22"/>
          <w:szCs w:val="22"/>
        </w:rPr>
        <w:t xml:space="preserve"> </w:t>
      </w:r>
      <w:r w:rsidR="005C5412">
        <w:rPr>
          <w:sz w:val="22"/>
          <w:szCs w:val="22"/>
        </w:rPr>
        <w:t xml:space="preserve">the </w:t>
      </w:r>
      <w:r w:rsidR="005C5412" w:rsidRPr="005C5412">
        <w:rPr>
          <w:sz w:val="22"/>
          <w:szCs w:val="22"/>
        </w:rPr>
        <w:t>visibility of national and global environmental priorities in Moldova</w:t>
      </w:r>
      <w:r w:rsidR="005C5412">
        <w:rPr>
          <w:sz w:val="22"/>
          <w:szCs w:val="22"/>
        </w:rPr>
        <w:t xml:space="preserve">, the development of capacity of stakeholders was also </w:t>
      </w:r>
      <w:r w:rsidR="00020F64">
        <w:rPr>
          <w:sz w:val="22"/>
          <w:szCs w:val="22"/>
        </w:rPr>
        <w:t xml:space="preserve">seeking to establish </w:t>
      </w:r>
      <w:r w:rsidR="005C5412">
        <w:rPr>
          <w:sz w:val="22"/>
          <w:szCs w:val="22"/>
        </w:rPr>
        <w:t>a multi-stakeholder consultative process to catalyze policy processes in the future.</w:t>
      </w:r>
    </w:p>
    <w:p w14:paraId="7ED0D542" w14:textId="77777777" w:rsidR="00110D74" w:rsidRDefault="00110D74" w:rsidP="00CB4491">
      <w:pPr>
        <w:tabs>
          <w:tab w:val="left" w:pos="1472"/>
        </w:tabs>
        <w:jc w:val="both"/>
        <w:rPr>
          <w:sz w:val="22"/>
          <w:szCs w:val="22"/>
        </w:rPr>
      </w:pPr>
    </w:p>
    <w:p w14:paraId="2C925058" w14:textId="77777777" w:rsidR="00A52B28" w:rsidRPr="00FB6D4E" w:rsidRDefault="006B7EF6" w:rsidP="006B3375">
      <w:pPr>
        <w:pStyle w:val="Heading3"/>
        <w:numPr>
          <w:ilvl w:val="2"/>
          <w:numId w:val="1"/>
        </w:numPr>
        <w:tabs>
          <w:tab w:val="clear" w:pos="1440"/>
        </w:tabs>
        <w:ind w:left="1276" w:hanging="709"/>
        <w:rPr>
          <w:rFonts w:ascii="Arial" w:hAnsi="Arial" w:cs="Arial"/>
          <w:i/>
          <w:sz w:val="22"/>
          <w:szCs w:val="22"/>
        </w:rPr>
      </w:pPr>
      <w:bookmarkStart w:id="41" w:name="_Toc308103250"/>
      <w:r>
        <w:rPr>
          <w:rFonts w:ascii="Arial" w:hAnsi="Arial" w:cs="Arial"/>
          <w:i/>
          <w:sz w:val="22"/>
          <w:szCs w:val="22"/>
        </w:rPr>
        <w:t xml:space="preserve">Planned </w:t>
      </w:r>
      <w:r w:rsidR="006E3DAE" w:rsidRPr="00FB6D4E">
        <w:rPr>
          <w:rFonts w:ascii="Arial" w:hAnsi="Arial" w:cs="Arial"/>
          <w:i/>
          <w:sz w:val="22"/>
          <w:szCs w:val="22"/>
        </w:rPr>
        <w:t>Replication Approach</w:t>
      </w:r>
      <w:bookmarkEnd w:id="41"/>
    </w:p>
    <w:p w14:paraId="0421141E" w14:textId="77777777" w:rsidR="006E3DAE" w:rsidRPr="00FB6D4E" w:rsidRDefault="006E3DAE" w:rsidP="006E3DAE">
      <w:pPr>
        <w:tabs>
          <w:tab w:val="left" w:pos="1472"/>
        </w:tabs>
        <w:jc w:val="both"/>
        <w:rPr>
          <w:sz w:val="22"/>
          <w:szCs w:val="22"/>
        </w:rPr>
      </w:pPr>
    </w:p>
    <w:p w14:paraId="57E6C15F" w14:textId="18D10CCE" w:rsidR="0016097E" w:rsidRPr="00392789" w:rsidRDefault="0016097E" w:rsidP="00392789">
      <w:pPr>
        <w:pStyle w:val="ListParagraph"/>
        <w:numPr>
          <w:ilvl w:val="0"/>
          <w:numId w:val="15"/>
        </w:numPr>
        <w:tabs>
          <w:tab w:val="left" w:pos="1472"/>
        </w:tabs>
        <w:jc w:val="both"/>
        <w:rPr>
          <w:sz w:val="22"/>
          <w:szCs w:val="22"/>
        </w:rPr>
      </w:pPr>
      <w:r w:rsidRPr="0016097E">
        <w:rPr>
          <w:sz w:val="22"/>
          <w:szCs w:val="22"/>
        </w:rPr>
        <w:t xml:space="preserve">The nature of this project – environmental fiscal reform – is such that </w:t>
      </w:r>
      <w:r w:rsidR="00A57330">
        <w:rPr>
          <w:sz w:val="22"/>
          <w:szCs w:val="22"/>
        </w:rPr>
        <w:t xml:space="preserve">to have a long-term impact, </w:t>
      </w:r>
      <w:r w:rsidRPr="0016097E">
        <w:rPr>
          <w:sz w:val="22"/>
          <w:szCs w:val="22"/>
        </w:rPr>
        <w:t xml:space="preserve">its achievements </w:t>
      </w:r>
      <w:r w:rsidR="00A57330">
        <w:rPr>
          <w:sz w:val="22"/>
          <w:szCs w:val="22"/>
        </w:rPr>
        <w:t xml:space="preserve">will need to be approved by the government, </w:t>
      </w:r>
      <w:r>
        <w:rPr>
          <w:sz w:val="22"/>
          <w:szCs w:val="22"/>
        </w:rPr>
        <w:t xml:space="preserve">to </w:t>
      </w:r>
      <w:r w:rsidRPr="0016097E">
        <w:rPr>
          <w:sz w:val="22"/>
          <w:szCs w:val="22"/>
        </w:rPr>
        <w:t xml:space="preserve">be implemented, </w:t>
      </w:r>
      <w:r w:rsidR="00A57330">
        <w:rPr>
          <w:sz w:val="22"/>
          <w:szCs w:val="22"/>
        </w:rPr>
        <w:t xml:space="preserve">and </w:t>
      </w:r>
      <w:r w:rsidRPr="0016097E">
        <w:rPr>
          <w:sz w:val="22"/>
          <w:szCs w:val="22"/>
        </w:rPr>
        <w:t>enforced over the long-term</w:t>
      </w:r>
      <w:r w:rsidR="00A57330">
        <w:rPr>
          <w:sz w:val="22"/>
          <w:szCs w:val="22"/>
        </w:rPr>
        <w:t>.</w:t>
      </w:r>
      <w:r w:rsidRPr="0016097E">
        <w:rPr>
          <w:sz w:val="22"/>
          <w:szCs w:val="22"/>
        </w:rPr>
        <w:t xml:space="preserve"> </w:t>
      </w:r>
      <w:r w:rsidR="00392789" w:rsidRPr="0016097E">
        <w:rPr>
          <w:sz w:val="22"/>
          <w:szCs w:val="22"/>
        </w:rPr>
        <w:t>As described in the project document, environmental fiscal reform falls with</w:t>
      </w:r>
      <w:r w:rsidR="00392789">
        <w:rPr>
          <w:sz w:val="22"/>
          <w:szCs w:val="22"/>
        </w:rPr>
        <w:t>in</w:t>
      </w:r>
      <w:r w:rsidR="00392789" w:rsidRPr="0016097E">
        <w:rPr>
          <w:sz w:val="22"/>
          <w:szCs w:val="22"/>
        </w:rPr>
        <w:t xml:space="preserve"> the field of public finance management, requ</w:t>
      </w:r>
      <w:r w:rsidR="00392789">
        <w:rPr>
          <w:sz w:val="22"/>
          <w:szCs w:val="22"/>
        </w:rPr>
        <w:t xml:space="preserve">iring very specialized skills. </w:t>
      </w:r>
      <w:r w:rsidR="00392789" w:rsidRPr="0016097E">
        <w:rPr>
          <w:sz w:val="22"/>
          <w:szCs w:val="22"/>
        </w:rPr>
        <w:t>Highly trained expertise is called for to develop fiscal measures that reflect and respond to socio-eco</w:t>
      </w:r>
      <w:r w:rsidR="00392789">
        <w:rPr>
          <w:sz w:val="22"/>
          <w:szCs w:val="22"/>
        </w:rPr>
        <w:t xml:space="preserve">nomic and political realities. </w:t>
      </w:r>
      <w:r w:rsidR="00392789" w:rsidRPr="0016097E">
        <w:rPr>
          <w:sz w:val="22"/>
          <w:szCs w:val="22"/>
        </w:rPr>
        <w:t xml:space="preserve">Once the environmental fiscal reforms are approved and endorsed by the </w:t>
      </w:r>
      <w:r w:rsidR="00392789">
        <w:rPr>
          <w:sz w:val="22"/>
          <w:szCs w:val="22"/>
        </w:rPr>
        <w:t>government and Parliament -</w:t>
      </w:r>
      <w:r w:rsidR="00392789" w:rsidRPr="0016097E">
        <w:rPr>
          <w:sz w:val="22"/>
          <w:szCs w:val="22"/>
        </w:rPr>
        <w:t xml:space="preserve"> that is for the project </w:t>
      </w:r>
      <w:r w:rsidR="00392789">
        <w:rPr>
          <w:sz w:val="22"/>
          <w:szCs w:val="22"/>
        </w:rPr>
        <w:t>to produce its desired outcomes -</w:t>
      </w:r>
      <w:r w:rsidR="00392789" w:rsidRPr="0016097E">
        <w:rPr>
          <w:sz w:val="22"/>
          <w:szCs w:val="22"/>
        </w:rPr>
        <w:t xml:space="preserve"> the measures/reforms developed with the support of the project w</w:t>
      </w:r>
      <w:r w:rsidR="00392789">
        <w:rPr>
          <w:sz w:val="22"/>
          <w:szCs w:val="22"/>
        </w:rPr>
        <w:t xml:space="preserve">ill </w:t>
      </w:r>
      <w:r w:rsidR="00392789" w:rsidRPr="0016097E">
        <w:rPr>
          <w:sz w:val="22"/>
          <w:szCs w:val="22"/>
        </w:rPr>
        <w:t>be institutionalized and be part of the public finance ma</w:t>
      </w:r>
      <w:r w:rsidR="00392789">
        <w:rPr>
          <w:sz w:val="22"/>
          <w:szCs w:val="22"/>
        </w:rPr>
        <w:t>nagement framework of Moldova.</w:t>
      </w:r>
    </w:p>
    <w:p w14:paraId="78DAB381" w14:textId="77777777" w:rsidR="00A70ECB" w:rsidRDefault="00A70ECB" w:rsidP="0016097E">
      <w:pPr>
        <w:pStyle w:val="ListParagraph"/>
        <w:tabs>
          <w:tab w:val="left" w:pos="1472"/>
        </w:tabs>
        <w:ind w:left="0"/>
        <w:jc w:val="both"/>
        <w:rPr>
          <w:sz w:val="22"/>
          <w:szCs w:val="22"/>
        </w:rPr>
      </w:pPr>
    </w:p>
    <w:p w14:paraId="08853E00" w14:textId="6F9A24A7" w:rsidR="00A754BE" w:rsidRPr="00A57330" w:rsidRDefault="0016097E" w:rsidP="00A754BE">
      <w:pPr>
        <w:pStyle w:val="ListParagraph"/>
        <w:numPr>
          <w:ilvl w:val="0"/>
          <w:numId w:val="15"/>
        </w:numPr>
        <w:tabs>
          <w:tab w:val="left" w:pos="1472"/>
        </w:tabs>
        <w:jc w:val="both"/>
        <w:rPr>
          <w:sz w:val="22"/>
          <w:szCs w:val="22"/>
        </w:rPr>
      </w:pPr>
      <w:r>
        <w:rPr>
          <w:sz w:val="22"/>
          <w:szCs w:val="22"/>
        </w:rPr>
        <w:t xml:space="preserve">Therefore, </w:t>
      </w:r>
      <w:r w:rsidR="00392789">
        <w:rPr>
          <w:sz w:val="22"/>
          <w:szCs w:val="22"/>
        </w:rPr>
        <w:t xml:space="preserve">the impact of </w:t>
      </w:r>
      <w:r>
        <w:rPr>
          <w:sz w:val="22"/>
          <w:szCs w:val="22"/>
        </w:rPr>
        <w:t xml:space="preserve">the critical </w:t>
      </w:r>
      <w:r w:rsidR="00A70ECB">
        <w:rPr>
          <w:sz w:val="22"/>
          <w:szCs w:val="22"/>
        </w:rPr>
        <w:t>achievements</w:t>
      </w:r>
      <w:r w:rsidR="00392789">
        <w:rPr>
          <w:sz w:val="22"/>
          <w:szCs w:val="22"/>
        </w:rPr>
        <w:t xml:space="preserve"> of the project </w:t>
      </w:r>
      <w:r w:rsidR="00A754BE">
        <w:rPr>
          <w:sz w:val="22"/>
          <w:szCs w:val="22"/>
        </w:rPr>
        <w:t xml:space="preserve">– such as proposals to reform the NEF and the pollution charges - </w:t>
      </w:r>
      <w:r w:rsidR="00392789">
        <w:rPr>
          <w:sz w:val="22"/>
          <w:szCs w:val="22"/>
        </w:rPr>
        <w:t xml:space="preserve">over </w:t>
      </w:r>
      <w:r w:rsidR="00392789" w:rsidRPr="00392789">
        <w:rPr>
          <w:sz w:val="22"/>
          <w:szCs w:val="22"/>
        </w:rPr>
        <w:t>the long-</w:t>
      </w:r>
      <w:r w:rsidRPr="00392789">
        <w:rPr>
          <w:sz w:val="22"/>
          <w:szCs w:val="22"/>
        </w:rPr>
        <w:t xml:space="preserve">term </w:t>
      </w:r>
      <w:r w:rsidR="00392789" w:rsidRPr="00392789">
        <w:rPr>
          <w:sz w:val="22"/>
          <w:szCs w:val="22"/>
        </w:rPr>
        <w:t>depends mostly</w:t>
      </w:r>
      <w:r w:rsidR="00392789">
        <w:rPr>
          <w:sz w:val="22"/>
          <w:szCs w:val="22"/>
        </w:rPr>
        <w:t xml:space="preserve"> on the government and Parliament’s abilities to endorse the</w:t>
      </w:r>
      <w:r w:rsidR="00A754BE">
        <w:rPr>
          <w:sz w:val="22"/>
          <w:szCs w:val="22"/>
        </w:rPr>
        <w:t>se</w:t>
      </w:r>
      <w:r w:rsidR="00392789">
        <w:rPr>
          <w:sz w:val="22"/>
          <w:szCs w:val="22"/>
        </w:rPr>
        <w:t xml:space="preserve"> proposals</w:t>
      </w:r>
      <w:r w:rsidR="00A754BE">
        <w:rPr>
          <w:sz w:val="22"/>
          <w:szCs w:val="22"/>
        </w:rPr>
        <w:t xml:space="preserve">. They would </w:t>
      </w:r>
      <w:r w:rsidR="00392789">
        <w:rPr>
          <w:sz w:val="22"/>
          <w:szCs w:val="22"/>
        </w:rPr>
        <w:t>become part of the national fiscal measures</w:t>
      </w:r>
      <w:r w:rsidR="00A754BE">
        <w:rPr>
          <w:sz w:val="22"/>
          <w:szCs w:val="22"/>
        </w:rPr>
        <w:t xml:space="preserve">, </w:t>
      </w:r>
      <w:r w:rsidR="00392789">
        <w:rPr>
          <w:sz w:val="22"/>
          <w:szCs w:val="22"/>
        </w:rPr>
        <w:t>be implemented and enforced to increase the allocation of financial resources for the management of the environment in Moldova and by extension the greater protection of this environment.</w:t>
      </w:r>
      <w:r w:rsidR="00A754BE">
        <w:rPr>
          <w:sz w:val="22"/>
          <w:szCs w:val="22"/>
        </w:rPr>
        <w:t xml:space="preserve"> This endorsement </w:t>
      </w:r>
      <w:r w:rsidR="00A754BE" w:rsidRPr="00A754BE">
        <w:rPr>
          <w:sz w:val="22"/>
          <w:szCs w:val="22"/>
        </w:rPr>
        <w:t>is a work in progress that is depending a lot on the political will of the government in place to approve and endorse these reforms.</w:t>
      </w:r>
    </w:p>
    <w:p w14:paraId="64D88E0E" w14:textId="77777777" w:rsidR="00A754BE" w:rsidRDefault="00A754BE" w:rsidP="00A754BE">
      <w:pPr>
        <w:pStyle w:val="ListParagraph"/>
        <w:tabs>
          <w:tab w:val="left" w:pos="1472"/>
        </w:tabs>
        <w:ind w:left="0"/>
        <w:jc w:val="both"/>
        <w:rPr>
          <w:sz w:val="22"/>
          <w:szCs w:val="22"/>
        </w:rPr>
      </w:pPr>
    </w:p>
    <w:p w14:paraId="6470B5D4" w14:textId="33C0CFC1" w:rsidR="00392789" w:rsidRPr="00A57330" w:rsidRDefault="00361541" w:rsidP="00392789">
      <w:pPr>
        <w:pStyle w:val="ListParagraph"/>
        <w:numPr>
          <w:ilvl w:val="0"/>
          <w:numId w:val="15"/>
        </w:numPr>
        <w:tabs>
          <w:tab w:val="left" w:pos="1472"/>
        </w:tabs>
        <w:jc w:val="both"/>
        <w:rPr>
          <w:sz w:val="22"/>
          <w:szCs w:val="22"/>
        </w:rPr>
      </w:pPr>
      <w:r>
        <w:rPr>
          <w:sz w:val="22"/>
          <w:szCs w:val="22"/>
        </w:rPr>
        <w:t>In addition to project achievements that need to be endorsed by the government</w:t>
      </w:r>
      <w:r w:rsidR="00E739C1">
        <w:rPr>
          <w:sz w:val="22"/>
          <w:szCs w:val="22"/>
        </w:rPr>
        <w:t xml:space="preserve"> – such as proposals to reform the NEF and the pollution charges</w:t>
      </w:r>
      <w:r>
        <w:rPr>
          <w:sz w:val="22"/>
          <w:szCs w:val="22"/>
        </w:rPr>
        <w:t>, the project also supported activities at the local level to integrate environmental considerations in local policies, strategies and budgets</w:t>
      </w:r>
      <w:r w:rsidR="00A754BE">
        <w:rPr>
          <w:sz w:val="22"/>
          <w:szCs w:val="22"/>
        </w:rPr>
        <w:t xml:space="preserve"> such as </w:t>
      </w:r>
      <w:r w:rsidR="00A754BE" w:rsidRPr="00A754BE">
        <w:rPr>
          <w:sz w:val="22"/>
          <w:szCs w:val="22"/>
        </w:rPr>
        <w:t>implement</w:t>
      </w:r>
      <w:r w:rsidR="00A754BE">
        <w:rPr>
          <w:sz w:val="22"/>
          <w:szCs w:val="22"/>
        </w:rPr>
        <w:t>ing</w:t>
      </w:r>
      <w:r w:rsidR="00A754BE" w:rsidRPr="00A754BE">
        <w:rPr>
          <w:sz w:val="22"/>
          <w:szCs w:val="22"/>
        </w:rPr>
        <w:t xml:space="preserve"> the MTEF guidelines and the related three-year budgetary system at the local level</w:t>
      </w:r>
      <w:r>
        <w:rPr>
          <w:sz w:val="22"/>
          <w:szCs w:val="22"/>
        </w:rPr>
        <w:t xml:space="preserve">. These activities were implemented in 6 towns </w:t>
      </w:r>
      <w:r>
        <w:rPr>
          <w:sz w:val="22"/>
          <w:szCs w:val="22"/>
        </w:rPr>
        <w:lastRenderedPageBreak/>
        <w:t>across Moldova</w:t>
      </w:r>
      <w:r w:rsidR="00E739C1">
        <w:rPr>
          <w:sz w:val="22"/>
          <w:szCs w:val="22"/>
        </w:rPr>
        <w:t xml:space="preserve"> (</w:t>
      </w:r>
      <w:r w:rsidR="00E739C1" w:rsidRPr="00E739C1">
        <w:rPr>
          <w:i/>
          <w:sz w:val="22"/>
          <w:szCs w:val="22"/>
        </w:rPr>
        <w:t>see Section 4.3.1 and Annex 9</w:t>
      </w:r>
      <w:r w:rsidR="00E739C1">
        <w:rPr>
          <w:sz w:val="22"/>
          <w:szCs w:val="22"/>
        </w:rPr>
        <w:t>)</w:t>
      </w:r>
      <w:r>
        <w:rPr>
          <w:sz w:val="22"/>
          <w:szCs w:val="22"/>
        </w:rPr>
        <w:t xml:space="preserve">. </w:t>
      </w:r>
      <w:r w:rsidR="00A754BE">
        <w:rPr>
          <w:sz w:val="22"/>
          <w:szCs w:val="22"/>
        </w:rPr>
        <w:t>The sustainability of these achievements will depend on the replication of these results throughout</w:t>
      </w:r>
      <w:r w:rsidR="00A57330">
        <w:rPr>
          <w:sz w:val="22"/>
          <w:szCs w:val="22"/>
        </w:rPr>
        <w:t xml:space="preserve"> Moldova’s towns. Therefore, the need to showcase these results to other Mayors in Moldova is important for the replication of these achievements throughout the country.</w:t>
      </w:r>
    </w:p>
    <w:p w14:paraId="136933B7" w14:textId="77777777" w:rsidR="00CF3CBB" w:rsidRPr="00FB6D4E" w:rsidRDefault="00CF3CBB" w:rsidP="00D700FF">
      <w:pPr>
        <w:pStyle w:val="ListParagraph"/>
        <w:ind w:left="0"/>
        <w:jc w:val="both"/>
        <w:rPr>
          <w:sz w:val="22"/>
          <w:szCs w:val="22"/>
        </w:rPr>
      </w:pPr>
    </w:p>
    <w:p w14:paraId="45F1A53C" w14:textId="77777777" w:rsidR="006E3DAE"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42" w:name="_Toc308103251"/>
      <w:r w:rsidRPr="00FB6D4E">
        <w:rPr>
          <w:rFonts w:ascii="Arial" w:hAnsi="Arial" w:cs="Arial"/>
          <w:i/>
          <w:sz w:val="22"/>
          <w:szCs w:val="22"/>
        </w:rPr>
        <w:t>UNDP Comparative Advantage</w:t>
      </w:r>
      <w:bookmarkEnd w:id="42"/>
    </w:p>
    <w:p w14:paraId="625CB9A6" w14:textId="77777777" w:rsidR="006E3DAE" w:rsidRPr="00FB6D4E" w:rsidRDefault="006E3DAE" w:rsidP="006E3DAE">
      <w:pPr>
        <w:tabs>
          <w:tab w:val="left" w:pos="1472"/>
        </w:tabs>
        <w:jc w:val="both"/>
        <w:rPr>
          <w:sz w:val="22"/>
          <w:szCs w:val="22"/>
        </w:rPr>
      </w:pPr>
    </w:p>
    <w:p w14:paraId="24FAA967" w14:textId="2D7F933B" w:rsidR="002D11A3" w:rsidRDefault="00E52CB9" w:rsidP="002D11A3">
      <w:pPr>
        <w:pStyle w:val="ListParagraph"/>
        <w:numPr>
          <w:ilvl w:val="0"/>
          <w:numId w:val="15"/>
        </w:numPr>
        <w:jc w:val="both"/>
        <w:rPr>
          <w:sz w:val="22"/>
          <w:szCs w:val="22"/>
        </w:rPr>
      </w:pPr>
      <w:r>
        <w:rPr>
          <w:sz w:val="22"/>
          <w:szCs w:val="22"/>
        </w:rPr>
        <w:t>UNDP has been supporting the development of Moldova since October 1992 when it signed an agreement (SBBA) with the Government of Moldova to detail the conditions under which UNDP will assist the government in carrying out its development agenda.</w:t>
      </w:r>
      <w:r w:rsidR="002D11A3">
        <w:rPr>
          <w:sz w:val="22"/>
          <w:szCs w:val="22"/>
        </w:rPr>
        <w:t xml:space="preserve"> </w:t>
      </w:r>
      <w:r w:rsidR="002D11A3" w:rsidRPr="002D11A3">
        <w:rPr>
          <w:sz w:val="22"/>
          <w:szCs w:val="22"/>
        </w:rPr>
        <w:t xml:space="preserve">UNDP functions as a knowledge-based organization, providing technical assistance and support to Moldova in achieving its development goals. Its programs in Moldova are part of the UN Development Assistance Framework (UNDAF) that provides an overarching framework to guide and facilitate the development of partnerships between the UN, the Government of Moldova, other stakeholders as well as donor agencies. </w:t>
      </w:r>
    </w:p>
    <w:p w14:paraId="6B4148C5" w14:textId="77777777" w:rsidR="002D11A3" w:rsidRDefault="002D11A3" w:rsidP="002D11A3">
      <w:pPr>
        <w:pStyle w:val="ListParagraph"/>
        <w:ind w:left="0"/>
        <w:jc w:val="both"/>
        <w:rPr>
          <w:sz w:val="22"/>
          <w:szCs w:val="22"/>
        </w:rPr>
      </w:pPr>
    </w:p>
    <w:p w14:paraId="123FF97B" w14:textId="11A9F226" w:rsidR="002D11A3" w:rsidRDefault="002D11A3" w:rsidP="00FE78FA">
      <w:pPr>
        <w:pStyle w:val="ListParagraph"/>
        <w:numPr>
          <w:ilvl w:val="0"/>
          <w:numId w:val="15"/>
        </w:numPr>
        <w:jc w:val="both"/>
        <w:rPr>
          <w:sz w:val="22"/>
          <w:szCs w:val="22"/>
        </w:rPr>
      </w:pPr>
      <w:r w:rsidRPr="00FE78FA">
        <w:rPr>
          <w:sz w:val="22"/>
          <w:szCs w:val="22"/>
        </w:rPr>
        <w:t xml:space="preserve">Based on a Common Country Assessment (CCA) conducted in 2005, which focused on a comprehensive assessment of the human development situation in Moldova, the UN system in Moldova developed an UNDAF for the period 2007-2011. </w:t>
      </w:r>
      <w:r w:rsidR="00FE78FA" w:rsidRPr="00FE78FA">
        <w:rPr>
          <w:sz w:val="22"/>
          <w:szCs w:val="22"/>
        </w:rPr>
        <w:t>At the time, it focused on three collective priorities for the UN System: a) Governance and participation; b) Increasing access to quality services; and c) Regional and local development. Each of these priority areas of cooperation made a strategic contribution to the achievement of the Millennium Development Goals (MDGs) in Moldova; there were also aligned closely with the Economic Growth and Poverty Reduction Strategy (EGPRS) and the EU-Moldova Action Plan</w:t>
      </w:r>
      <w:r w:rsidR="00FE78FA">
        <w:rPr>
          <w:sz w:val="22"/>
          <w:szCs w:val="22"/>
        </w:rPr>
        <w:t>.</w:t>
      </w:r>
    </w:p>
    <w:p w14:paraId="116FBCBA" w14:textId="77777777" w:rsidR="00FE78FA" w:rsidRPr="00FE78FA" w:rsidRDefault="00FE78FA" w:rsidP="00FE78FA">
      <w:pPr>
        <w:jc w:val="both"/>
        <w:rPr>
          <w:sz w:val="22"/>
          <w:szCs w:val="22"/>
        </w:rPr>
      </w:pPr>
    </w:p>
    <w:p w14:paraId="3FBB59C5" w14:textId="38F30610" w:rsidR="00FE78FA" w:rsidRDefault="005F51EE" w:rsidP="005F51EE">
      <w:pPr>
        <w:pStyle w:val="ListParagraph"/>
        <w:numPr>
          <w:ilvl w:val="0"/>
          <w:numId w:val="15"/>
        </w:numPr>
        <w:jc w:val="both"/>
        <w:rPr>
          <w:sz w:val="22"/>
          <w:szCs w:val="22"/>
        </w:rPr>
      </w:pPr>
      <w:r w:rsidRPr="005F51EE">
        <w:rPr>
          <w:sz w:val="22"/>
          <w:szCs w:val="22"/>
        </w:rPr>
        <w:t>Following the evaluation of the UNDAF</w:t>
      </w:r>
      <w:r w:rsidR="00FE78FA" w:rsidRPr="005F51EE">
        <w:rPr>
          <w:sz w:val="22"/>
          <w:szCs w:val="22"/>
        </w:rPr>
        <w:t xml:space="preserve"> 2007-2011, the UN Country Team and the Government of Moldova developed collectively a </w:t>
      </w:r>
      <w:r w:rsidRPr="005F51EE">
        <w:rPr>
          <w:sz w:val="22"/>
          <w:szCs w:val="22"/>
        </w:rPr>
        <w:t xml:space="preserve">UN-Republic of Moldova </w:t>
      </w:r>
      <w:r w:rsidR="00FE78FA" w:rsidRPr="005F51EE">
        <w:rPr>
          <w:sz w:val="22"/>
          <w:szCs w:val="22"/>
        </w:rPr>
        <w:t>Partnership Framework “</w:t>
      </w:r>
      <w:r w:rsidR="00FE78FA" w:rsidRPr="005F51EE">
        <w:rPr>
          <w:i/>
          <w:sz w:val="22"/>
          <w:szCs w:val="22"/>
        </w:rPr>
        <w:t>Towards Unity in Action</w:t>
      </w:r>
      <w:r w:rsidR="00FE78FA" w:rsidRPr="005F51EE">
        <w:rPr>
          <w:sz w:val="22"/>
          <w:szCs w:val="22"/>
        </w:rPr>
        <w:t>”</w:t>
      </w:r>
      <w:r w:rsidRPr="005F51EE">
        <w:rPr>
          <w:sz w:val="22"/>
          <w:szCs w:val="22"/>
        </w:rPr>
        <w:t xml:space="preserve"> (UNPF)</w:t>
      </w:r>
      <w:r w:rsidR="00FE78FA" w:rsidRPr="005F51EE">
        <w:rPr>
          <w:sz w:val="22"/>
          <w:szCs w:val="22"/>
        </w:rPr>
        <w:t xml:space="preserve"> for the period 2013-2017. It provides focus and direction to the UN Development System in Moldova in setting its operational priorities. It was designed with a view to supporting Moldova’s efforts to achieve the MDGs, as well as its European integration ambitions. This framework is organized </w:t>
      </w:r>
      <w:r w:rsidRPr="005F51EE">
        <w:rPr>
          <w:sz w:val="22"/>
          <w:szCs w:val="22"/>
        </w:rPr>
        <w:t>in</w:t>
      </w:r>
      <w:r w:rsidR="00FE78FA" w:rsidRPr="005F51EE">
        <w:rPr>
          <w:sz w:val="22"/>
          <w:szCs w:val="22"/>
        </w:rPr>
        <w:t xml:space="preserve"> three thematic pillars:</w:t>
      </w:r>
      <w:r w:rsidRPr="005F51EE">
        <w:rPr>
          <w:sz w:val="22"/>
          <w:szCs w:val="22"/>
        </w:rPr>
        <w:t xml:space="preserve"> </w:t>
      </w:r>
      <w:r w:rsidRPr="005F51EE">
        <w:rPr>
          <w:i/>
          <w:sz w:val="22"/>
          <w:szCs w:val="22"/>
        </w:rPr>
        <w:t>Pillar 1</w:t>
      </w:r>
      <w:r w:rsidRPr="005F51EE">
        <w:rPr>
          <w:sz w:val="22"/>
          <w:szCs w:val="22"/>
        </w:rPr>
        <w:t xml:space="preserve">: Democratic Governance, Justice, Equality and Human Rights (Enabling Environment); </w:t>
      </w:r>
      <w:r w:rsidRPr="005F51EE">
        <w:rPr>
          <w:i/>
          <w:sz w:val="22"/>
          <w:szCs w:val="22"/>
        </w:rPr>
        <w:t>Pillar 2</w:t>
      </w:r>
      <w:r w:rsidRPr="005F51EE">
        <w:rPr>
          <w:sz w:val="22"/>
          <w:szCs w:val="22"/>
        </w:rPr>
        <w:t xml:space="preserve">: Human Development and Social Inclusion (Sector Capacity); and </w:t>
      </w:r>
      <w:r w:rsidRPr="005F51EE">
        <w:rPr>
          <w:i/>
          <w:sz w:val="22"/>
          <w:szCs w:val="22"/>
        </w:rPr>
        <w:t>Pillar 3</w:t>
      </w:r>
      <w:r w:rsidRPr="005F51EE">
        <w:rPr>
          <w:sz w:val="22"/>
          <w:szCs w:val="22"/>
        </w:rPr>
        <w:t>: Environment, Climate Change and Disaster Risk Management (Sector Capacity).</w:t>
      </w:r>
      <w:r w:rsidR="00F52D46">
        <w:rPr>
          <w:sz w:val="22"/>
          <w:szCs w:val="22"/>
        </w:rPr>
        <w:t xml:space="preserve"> Under each pillar expected outcomes were identified for a total of 10 UNPF outcomes. </w:t>
      </w:r>
    </w:p>
    <w:p w14:paraId="14424EE4" w14:textId="77777777" w:rsidR="005F51EE" w:rsidRPr="005F51EE" w:rsidRDefault="005F51EE" w:rsidP="005F51EE">
      <w:pPr>
        <w:jc w:val="both"/>
        <w:rPr>
          <w:sz w:val="22"/>
          <w:szCs w:val="22"/>
        </w:rPr>
      </w:pPr>
    </w:p>
    <w:p w14:paraId="0F5A3F7D" w14:textId="2221EE29" w:rsidR="005F51EE" w:rsidRDefault="005F51EE" w:rsidP="005F51EE">
      <w:pPr>
        <w:pStyle w:val="ListParagraph"/>
        <w:numPr>
          <w:ilvl w:val="0"/>
          <w:numId w:val="15"/>
        </w:numPr>
        <w:jc w:val="both"/>
        <w:rPr>
          <w:sz w:val="22"/>
          <w:szCs w:val="22"/>
        </w:rPr>
      </w:pPr>
      <w:r w:rsidRPr="00763BAC">
        <w:rPr>
          <w:sz w:val="22"/>
          <w:szCs w:val="22"/>
        </w:rPr>
        <w:t xml:space="preserve">Under the third pillar, two outcomes have been identified: </w:t>
      </w:r>
      <w:r w:rsidRPr="00763BAC">
        <w:rPr>
          <w:i/>
          <w:sz w:val="22"/>
          <w:szCs w:val="22"/>
        </w:rPr>
        <w:t>Outcome 3.1</w:t>
      </w:r>
      <w:r w:rsidRPr="00763BAC">
        <w:rPr>
          <w:sz w:val="22"/>
          <w:szCs w:val="22"/>
        </w:rPr>
        <w:t xml:space="preserve">: Improved environmental management in increased compliance with international and regional standards; and </w:t>
      </w:r>
      <w:r w:rsidRPr="00763BAC">
        <w:rPr>
          <w:i/>
          <w:sz w:val="22"/>
          <w:szCs w:val="22"/>
        </w:rPr>
        <w:t>Outcome 3.2</w:t>
      </w:r>
      <w:r w:rsidRPr="00763BAC">
        <w:rPr>
          <w:sz w:val="22"/>
          <w:szCs w:val="22"/>
        </w:rPr>
        <w:t xml:space="preserve">: Strengthened national policies and capacities enable climate and disaster resilient, low emission economic development and sustainable consumption. Under outcome 3.1 it was planned that the UN will provide support to reform and modernize its environmental management system, including </w:t>
      </w:r>
      <w:r w:rsidR="00763BAC" w:rsidRPr="00763BAC">
        <w:rPr>
          <w:sz w:val="22"/>
          <w:szCs w:val="22"/>
        </w:rPr>
        <w:t xml:space="preserve">the development and use of </w:t>
      </w:r>
      <w:r w:rsidRPr="00763BAC">
        <w:rPr>
          <w:sz w:val="22"/>
          <w:szCs w:val="22"/>
        </w:rPr>
        <w:t>market-based</w:t>
      </w:r>
      <w:r w:rsidR="00763BAC" w:rsidRPr="00763BAC">
        <w:rPr>
          <w:sz w:val="22"/>
          <w:szCs w:val="22"/>
        </w:rPr>
        <w:t xml:space="preserve"> </w:t>
      </w:r>
      <w:r w:rsidRPr="00763BAC">
        <w:rPr>
          <w:sz w:val="22"/>
          <w:szCs w:val="22"/>
        </w:rPr>
        <w:t>instruments and fiscal mechanisms for environmental</w:t>
      </w:r>
      <w:r w:rsidR="00763BAC" w:rsidRPr="00763BAC">
        <w:rPr>
          <w:sz w:val="22"/>
          <w:szCs w:val="22"/>
        </w:rPr>
        <w:t xml:space="preserve"> </w:t>
      </w:r>
      <w:r w:rsidRPr="00763BAC">
        <w:rPr>
          <w:sz w:val="22"/>
          <w:szCs w:val="22"/>
        </w:rPr>
        <w:t>management.</w:t>
      </w:r>
    </w:p>
    <w:p w14:paraId="2968B828" w14:textId="77777777" w:rsidR="00763BAC" w:rsidRPr="00763BAC" w:rsidRDefault="00763BAC" w:rsidP="00763BAC">
      <w:pPr>
        <w:jc w:val="both"/>
        <w:rPr>
          <w:sz w:val="22"/>
          <w:szCs w:val="22"/>
        </w:rPr>
      </w:pPr>
    </w:p>
    <w:p w14:paraId="5231F4E7" w14:textId="5E4E5AC5" w:rsidR="002D11A3" w:rsidRPr="00AE0A1F" w:rsidRDefault="00763BAC" w:rsidP="00AE0A1F">
      <w:pPr>
        <w:pStyle w:val="ListParagraph"/>
        <w:numPr>
          <w:ilvl w:val="0"/>
          <w:numId w:val="15"/>
        </w:numPr>
        <w:jc w:val="both"/>
        <w:rPr>
          <w:sz w:val="22"/>
          <w:szCs w:val="22"/>
        </w:rPr>
      </w:pPr>
      <w:r w:rsidRPr="00AE0A1F">
        <w:rPr>
          <w:sz w:val="22"/>
          <w:szCs w:val="22"/>
        </w:rPr>
        <w:lastRenderedPageBreak/>
        <w:t>In the context of the UNPF, UNDP formulated its Country Programme Development (CPD) for the same period 2013-2017 in partnership with the government of Moldova and in harmony with strategic documents of Moldova, including the “</w:t>
      </w:r>
      <w:r w:rsidRPr="00AE0A1F">
        <w:rPr>
          <w:i/>
          <w:sz w:val="22"/>
          <w:szCs w:val="22"/>
        </w:rPr>
        <w:t>Moldova 2020</w:t>
      </w:r>
      <w:r w:rsidRPr="00AE0A1F">
        <w:rPr>
          <w:sz w:val="22"/>
          <w:szCs w:val="22"/>
        </w:rPr>
        <w:t xml:space="preserve">” strategy. </w:t>
      </w:r>
      <w:r w:rsidR="005D76C7" w:rsidRPr="00AE0A1F">
        <w:rPr>
          <w:sz w:val="22"/>
          <w:szCs w:val="22"/>
        </w:rPr>
        <w:t xml:space="preserve">This programme was developed on the basis of a comprehensive assessment of development results conducted in 2011, which found several strategic advantages for UNDP intervention in Moldova. As a result, </w:t>
      </w:r>
      <w:r w:rsidR="00F52D46" w:rsidRPr="00AE0A1F">
        <w:rPr>
          <w:sz w:val="22"/>
          <w:szCs w:val="22"/>
        </w:rPr>
        <w:t>a programme was formulated following the same structure – three pillars - as the UNPF 2013-2017. Under the two UNPF outcomes which are under the third pillar “</w:t>
      </w:r>
      <w:r w:rsidR="00F52D46" w:rsidRPr="00AE0A1F">
        <w:rPr>
          <w:i/>
          <w:sz w:val="22"/>
          <w:szCs w:val="22"/>
        </w:rPr>
        <w:t>Environment, Climate Change and Disaster Risk Management</w:t>
      </w:r>
      <w:r w:rsidR="00F52D46" w:rsidRPr="00AE0A1F">
        <w:rPr>
          <w:sz w:val="22"/>
          <w:szCs w:val="22"/>
        </w:rPr>
        <w:t xml:space="preserve">”, </w:t>
      </w:r>
      <w:r w:rsidR="00AE0A1F" w:rsidRPr="00AE0A1F">
        <w:rPr>
          <w:sz w:val="22"/>
          <w:szCs w:val="22"/>
        </w:rPr>
        <w:t>UNDP planned to provide advice and enhance capacity for environmental management in line with EU/international requirements, as well as supporting innovative climate change adaptation/mitigation, energy efficiency and disaster risk management</w:t>
      </w:r>
      <w:r w:rsidR="00AE0A1F">
        <w:rPr>
          <w:sz w:val="22"/>
          <w:szCs w:val="22"/>
        </w:rPr>
        <w:t xml:space="preserve"> for a total indicative regular budget of $3.1M and an additional indicative budget from external sources of $23M. </w:t>
      </w:r>
    </w:p>
    <w:p w14:paraId="0859CC8B" w14:textId="77777777" w:rsidR="00E52CB9" w:rsidRPr="00AE0A1F" w:rsidRDefault="00E52CB9" w:rsidP="00E52CB9">
      <w:pPr>
        <w:pStyle w:val="ListParagraph"/>
        <w:ind w:left="0"/>
        <w:jc w:val="both"/>
        <w:rPr>
          <w:sz w:val="22"/>
          <w:szCs w:val="22"/>
        </w:rPr>
      </w:pPr>
    </w:p>
    <w:p w14:paraId="2B4D3DF5" w14:textId="554F26FB" w:rsidR="00AE0A1F" w:rsidRPr="00AE0A1F" w:rsidRDefault="00E52CB9" w:rsidP="00E52CB9">
      <w:pPr>
        <w:pStyle w:val="ListParagraph"/>
        <w:numPr>
          <w:ilvl w:val="0"/>
          <w:numId w:val="15"/>
        </w:numPr>
        <w:jc w:val="both"/>
        <w:rPr>
          <w:sz w:val="22"/>
          <w:szCs w:val="22"/>
        </w:rPr>
      </w:pPr>
      <w:r w:rsidRPr="00AE0A1F">
        <w:rPr>
          <w:sz w:val="22"/>
          <w:szCs w:val="22"/>
        </w:rPr>
        <w:t>The project has been directly aligned with</w:t>
      </w:r>
      <w:r w:rsidR="00AE0A1F" w:rsidRPr="00AE0A1F">
        <w:rPr>
          <w:sz w:val="22"/>
          <w:szCs w:val="22"/>
        </w:rPr>
        <w:t xml:space="preserve"> the UNDP Country Programme 2013-2017</w:t>
      </w:r>
      <w:r w:rsidRPr="00AE0A1F">
        <w:rPr>
          <w:sz w:val="22"/>
          <w:szCs w:val="22"/>
        </w:rPr>
        <w:t xml:space="preserve"> and the U</w:t>
      </w:r>
      <w:r w:rsidR="00AE0A1F" w:rsidRPr="00AE0A1F">
        <w:rPr>
          <w:sz w:val="22"/>
          <w:szCs w:val="22"/>
        </w:rPr>
        <w:t xml:space="preserve">NPF 2013-2017  (outcome 3.1), contributing to “improving environmental management in increased compliance with international and regional standards”. </w:t>
      </w:r>
    </w:p>
    <w:p w14:paraId="4A68B1B9" w14:textId="77777777" w:rsidR="00816597" w:rsidRDefault="00816597" w:rsidP="00552F80">
      <w:pPr>
        <w:pStyle w:val="ListParagraph"/>
        <w:ind w:left="0"/>
        <w:jc w:val="both"/>
        <w:rPr>
          <w:sz w:val="22"/>
          <w:szCs w:val="22"/>
        </w:rPr>
      </w:pPr>
    </w:p>
    <w:p w14:paraId="2D76D63B" w14:textId="77777777" w:rsidR="006E3DAE"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43" w:name="_Toc308103252"/>
      <w:r w:rsidRPr="00FB6D4E">
        <w:rPr>
          <w:rFonts w:ascii="Arial" w:hAnsi="Arial" w:cs="Arial"/>
          <w:i/>
          <w:sz w:val="22"/>
          <w:szCs w:val="22"/>
        </w:rPr>
        <w:t>Management Arrangements</w:t>
      </w:r>
      <w:bookmarkEnd w:id="43"/>
    </w:p>
    <w:p w14:paraId="43056EF9" w14:textId="77777777" w:rsidR="006E3DAE" w:rsidRPr="00FB6D4E" w:rsidRDefault="006E3DAE" w:rsidP="006E3DAE">
      <w:pPr>
        <w:tabs>
          <w:tab w:val="left" w:pos="1472"/>
        </w:tabs>
        <w:jc w:val="both"/>
        <w:rPr>
          <w:sz w:val="22"/>
          <w:szCs w:val="22"/>
        </w:rPr>
      </w:pPr>
    </w:p>
    <w:p w14:paraId="427F229E" w14:textId="77777777" w:rsidR="00F7578B" w:rsidRPr="00FB6D4E" w:rsidRDefault="00F7578B" w:rsidP="005D59CA">
      <w:pPr>
        <w:pStyle w:val="ListParagraph"/>
        <w:numPr>
          <w:ilvl w:val="0"/>
          <w:numId w:val="15"/>
        </w:numPr>
        <w:jc w:val="both"/>
        <w:rPr>
          <w:sz w:val="22"/>
          <w:szCs w:val="22"/>
        </w:rPr>
      </w:pPr>
      <w:r w:rsidRPr="00FB6D4E">
        <w:rPr>
          <w:sz w:val="22"/>
          <w:szCs w:val="22"/>
        </w:rPr>
        <w:t>The management arrangements planned at the onset of the project included:</w:t>
      </w:r>
    </w:p>
    <w:p w14:paraId="4FFDA773" w14:textId="6D21CC9B" w:rsidR="005F7116" w:rsidRPr="006106D3" w:rsidRDefault="00E21E2F" w:rsidP="006106D3">
      <w:pPr>
        <w:pStyle w:val="ListParagraph"/>
        <w:numPr>
          <w:ilvl w:val="0"/>
          <w:numId w:val="16"/>
        </w:numPr>
        <w:spacing w:before="120" w:after="120"/>
        <w:ind w:left="851" w:hanging="284"/>
        <w:contextualSpacing w:val="0"/>
        <w:jc w:val="both"/>
        <w:rPr>
          <w:sz w:val="22"/>
          <w:szCs w:val="22"/>
        </w:rPr>
      </w:pPr>
      <w:r w:rsidRPr="005F7116">
        <w:rPr>
          <w:sz w:val="22"/>
          <w:szCs w:val="22"/>
        </w:rPr>
        <w:t xml:space="preserve">A </w:t>
      </w:r>
      <w:r w:rsidRPr="005F7116">
        <w:rPr>
          <w:i/>
          <w:sz w:val="22"/>
          <w:szCs w:val="22"/>
        </w:rPr>
        <w:t>Moldovan EFR Commission (EFRC)</w:t>
      </w:r>
      <w:r w:rsidRPr="005F7116">
        <w:rPr>
          <w:sz w:val="22"/>
          <w:szCs w:val="22"/>
        </w:rPr>
        <w:t xml:space="preserve"> </w:t>
      </w:r>
      <w:r w:rsidR="00940424" w:rsidRPr="005F7116">
        <w:rPr>
          <w:sz w:val="22"/>
          <w:szCs w:val="22"/>
        </w:rPr>
        <w:t>was to</w:t>
      </w:r>
      <w:r w:rsidRPr="005F7116">
        <w:rPr>
          <w:sz w:val="22"/>
          <w:szCs w:val="22"/>
        </w:rPr>
        <w:t xml:space="preserve"> be established and act as the project’s coordination and decision-making body (</w:t>
      </w:r>
      <w:r w:rsidRPr="005F7116">
        <w:rPr>
          <w:i/>
          <w:sz w:val="22"/>
          <w:szCs w:val="22"/>
        </w:rPr>
        <w:t>Project Board</w:t>
      </w:r>
      <w:r w:rsidRPr="005F7116">
        <w:rPr>
          <w:sz w:val="22"/>
          <w:szCs w:val="22"/>
        </w:rPr>
        <w:t>).  Th</w:t>
      </w:r>
      <w:r w:rsidR="00940424" w:rsidRPr="005F7116">
        <w:rPr>
          <w:sz w:val="22"/>
          <w:szCs w:val="22"/>
        </w:rPr>
        <w:t xml:space="preserve">is body was to be </w:t>
      </w:r>
      <w:r w:rsidRPr="005F7116">
        <w:rPr>
          <w:sz w:val="22"/>
          <w:szCs w:val="22"/>
        </w:rPr>
        <w:t>responsible for ensuring that the project remains on course to deliver products of the required quality to meet the outcomes as de</w:t>
      </w:r>
      <w:r w:rsidR="00940424" w:rsidRPr="005F7116">
        <w:rPr>
          <w:sz w:val="22"/>
          <w:szCs w:val="22"/>
        </w:rPr>
        <w:t xml:space="preserve">fined in the project document. </w:t>
      </w:r>
      <w:r w:rsidR="005F7116" w:rsidRPr="005F7116">
        <w:rPr>
          <w:sz w:val="22"/>
          <w:szCs w:val="22"/>
        </w:rPr>
        <w:t xml:space="preserve">Its role was to </w:t>
      </w:r>
      <w:r w:rsidRPr="005F7116">
        <w:rPr>
          <w:sz w:val="22"/>
          <w:szCs w:val="22"/>
        </w:rPr>
        <w:t xml:space="preserve">include: (i) overseeing project implementation; (ii) approving all project work plans and budgets </w:t>
      </w:r>
      <w:r w:rsidR="005F7116" w:rsidRPr="005F7116">
        <w:rPr>
          <w:sz w:val="22"/>
          <w:szCs w:val="22"/>
        </w:rPr>
        <w:t xml:space="preserve">submitted by </w:t>
      </w:r>
      <w:r w:rsidRPr="005F7116">
        <w:rPr>
          <w:sz w:val="22"/>
          <w:szCs w:val="22"/>
        </w:rPr>
        <w:t xml:space="preserve">the Project Manager (PM); (iii) approving any major changes in project plans or programmes; (iv) providing technical input and advice; (v) approving major project deliverables; (vi) ensuring long-term commitment of resources and accountability to support project implementation; (vii) arbitrating any conflicts within the project and/or negotiating solutions between the project and any parties beyond the scope of the project; and (viii) overall project evaluation.  </w:t>
      </w:r>
      <w:r w:rsidR="005F7116" w:rsidRPr="005F7116">
        <w:rPr>
          <w:sz w:val="22"/>
          <w:szCs w:val="22"/>
        </w:rPr>
        <w:t xml:space="preserve">The composition of the </w:t>
      </w:r>
      <w:r w:rsidRPr="005F7116">
        <w:rPr>
          <w:sz w:val="22"/>
          <w:szCs w:val="22"/>
        </w:rPr>
        <w:t>EFRC</w:t>
      </w:r>
      <w:r w:rsidR="005F7116" w:rsidRPr="005F7116">
        <w:rPr>
          <w:sz w:val="22"/>
          <w:szCs w:val="22"/>
        </w:rPr>
        <w:t xml:space="preserve"> was to </w:t>
      </w:r>
      <w:r w:rsidRPr="005F7116">
        <w:rPr>
          <w:sz w:val="22"/>
          <w:szCs w:val="22"/>
        </w:rPr>
        <w:t xml:space="preserve">include: </w:t>
      </w:r>
      <w:r w:rsidR="005F7116" w:rsidRPr="005F7116">
        <w:rPr>
          <w:sz w:val="22"/>
          <w:szCs w:val="22"/>
        </w:rPr>
        <w:t>MO</w:t>
      </w:r>
      <w:r w:rsidRPr="005F7116">
        <w:rPr>
          <w:sz w:val="22"/>
          <w:szCs w:val="22"/>
        </w:rPr>
        <w:t>E, Ministry of Finance, Ministry of Agriculture, Ministry of Economy, ANRE, Ministry of Regional Development and Construction, Chamber of Commerce, private sector representative (one commercial bank, one in</w:t>
      </w:r>
      <w:r w:rsidR="005F7116" w:rsidRPr="005F7116">
        <w:rPr>
          <w:sz w:val="22"/>
          <w:szCs w:val="22"/>
        </w:rPr>
        <w:t xml:space="preserve">dustry representative) and UNDP as well as </w:t>
      </w:r>
      <w:r w:rsidRPr="005F7116">
        <w:rPr>
          <w:sz w:val="22"/>
          <w:szCs w:val="22"/>
        </w:rPr>
        <w:t>representatives of NGOs, civil society and Local Public Administration</w:t>
      </w:r>
      <w:r w:rsidR="005F7116" w:rsidRPr="005F7116">
        <w:rPr>
          <w:sz w:val="22"/>
          <w:szCs w:val="22"/>
        </w:rPr>
        <w:t>s</w:t>
      </w:r>
      <w:r w:rsidRPr="005F7116">
        <w:rPr>
          <w:sz w:val="22"/>
          <w:szCs w:val="22"/>
        </w:rPr>
        <w:t xml:space="preserve">. The </w:t>
      </w:r>
      <w:r w:rsidR="005F7116" w:rsidRPr="005F7116">
        <w:rPr>
          <w:sz w:val="22"/>
          <w:szCs w:val="22"/>
        </w:rPr>
        <w:t>Secretariat function was to be provided by the</w:t>
      </w:r>
      <w:r w:rsidRPr="005F7116">
        <w:rPr>
          <w:sz w:val="22"/>
          <w:szCs w:val="22"/>
        </w:rPr>
        <w:t xml:space="preserve"> Project Management Unit (PT).</w:t>
      </w:r>
    </w:p>
    <w:p w14:paraId="76F87EAC" w14:textId="42ECFD89" w:rsidR="005F7116" w:rsidRPr="006106D3" w:rsidRDefault="005F7116" w:rsidP="006106D3">
      <w:pPr>
        <w:pStyle w:val="ListParagraph"/>
        <w:spacing w:before="120" w:after="120"/>
        <w:ind w:left="851"/>
        <w:contextualSpacing w:val="0"/>
        <w:jc w:val="both"/>
        <w:rPr>
          <w:sz w:val="22"/>
          <w:szCs w:val="22"/>
        </w:rPr>
      </w:pPr>
      <w:r>
        <w:rPr>
          <w:sz w:val="22"/>
          <w:szCs w:val="22"/>
        </w:rPr>
        <w:t xml:space="preserve">The review conducted for this evaluation indicates that this EFRC has never been formalized as a national commission on EFR. However, a </w:t>
      </w:r>
      <w:r w:rsidRPr="006106D3">
        <w:rPr>
          <w:i/>
          <w:sz w:val="22"/>
          <w:szCs w:val="22"/>
        </w:rPr>
        <w:t>Project Board (PB)</w:t>
      </w:r>
      <w:r>
        <w:rPr>
          <w:sz w:val="22"/>
          <w:szCs w:val="22"/>
        </w:rPr>
        <w:t xml:space="preserve"> was structured along these lines to perform the same functions and roles as presented above; particularly those related to the implementation of the project. </w:t>
      </w:r>
      <w:r w:rsidR="006106D3">
        <w:rPr>
          <w:sz w:val="22"/>
          <w:szCs w:val="22"/>
        </w:rPr>
        <w:t xml:space="preserve">The </w:t>
      </w:r>
      <w:r w:rsidR="006106D3">
        <w:rPr>
          <w:sz w:val="22"/>
          <w:szCs w:val="22"/>
        </w:rPr>
        <w:lastRenderedPageBreak/>
        <w:t>PB met once a year to oversee the progress of the project and approve the annual work plans</w:t>
      </w:r>
      <w:r w:rsidR="005940A9">
        <w:rPr>
          <w:sz w:val="22"/>
          <w:szCs w:val="22"/>
        </w:rPr>
        <w:t xml:space="preserve"> and twice a year in 2015</w:t>
      </w:r>
      <w:r w:rsidR="006106D3">
        <w:rPr>
          <w:sz w:val="22"/>
          <w:szCs w:val="22"/>
        </w:rPr>
        <w:t>. At the same time, the concept of creating a national EFR Commission was kept alive as a discussion topic throughout the implementation of the project. At the time of this terminal evaluation no concrete steps have been taken to formalize the proposal to create a national commission on EFR.</w:t>
      </w:r>
    </w:p>
    <w:p w14:paraId="03333DE4" w14:textId="353A0DD2" w:rsidR="006106D3" w:rsidRPr="006106D3" w:rsidRDefault="009D7CDE" w:rsidP="006106D3">
      <w:pPr>
        <w:pStyle w:val="ListParagraph"/>
        <w:numPr>
          <w:ilvl w:val="0"/>
          <w:numId w:val="16"/>
        </w:numPr>
        <w:spacing w:before="120" w:after="120"/>
        <w:ind w:left="851" w:hanging="284"/>
        <w:contextualSpacing w:val="0"/>
        <w:jc w:val="both"/>
        <w:rPr>
          <w:sz w:val="22"/>
          <w:szCs w:val="22"/>
        </w:rPr>
      </w:pPr>
      <w:r>
        <w:rPr>
          <w:sz w:val="22"/>
          <w:szCs w:val="22"/>
        </w:rPr>
        <w:t xml:space="preserve">A </w:t>
      </w:r>
      <w:r w:rsidRPr="009D7CDE">
        <w:rPr>
          <w:i/>
          <w:sz w:val="22"/>
          <w:szCs w:val="22"/>
        </w:rPr>
        <w:t>Project Team</w:t>
      </w:r>
      <w:r>
        <w:rPr>
          <w:sz w:val="22"/>
          <w:szCs w:val="22"/>
        </w:rPr>
        <w:t xml:space="preserve"> carried out </w:t>
      </w:r>
      <w:r w:rsidRPr="009D7CDE">
        <w:rPr>
          <w:sz w:val="22"/>
          <w:szCs w:val="22"/>
        </w:rPr>
        <w:t xml:space="preserve">day-to-day </w:t>
      </w:r>
      <w:r>
        <w:rPr>
          <w:sz w:val="22"/>
          <w:szCs w:val="22"/>
        </w:rPr>
        <w:t xml:space="preserve">implementation </w:t>
      </w:r>
      <w:r w:rsidRPr="009D7CDE">
        <w:rPr>
          <w:sz w:val="22"/>
          <w:szCs w:val="22"/>
        </w:rPr>
        <w:t>of the project</w:t>
      </w:r>
      <w:r>
        <w:rPr>
          <w:sz w:val="22"/>
          <w:szCs w:val="22"/>
        </w:rPr>
        <w:t xml:space="preserve"> that was comprised of </w:t>
      </w:r>
      <w:r w:rsidRPr="009D7CDE">
        <w:rPr>
          <w:sz w:val="22"/>
          <w:szCs w:val="22"/>
        </w:rPr>
        <w:t xml:space="preserve">a </w:t>
      </w:r>
      <w:r w:rsidRPr="009D7CDE">
        <w:rPr>
          <w:i/>
          <w:sz w:val="22"/>
          <w:szCs w:val="22"/>
        </w:rPr>
        <w:t>Project Manager</w:t>
      </w:r>
      <w:r w:rsidRPr="009D7CDE">
        <w:rPr>
          <w:sz w:val="22"/>
          <w:szCs w:val="22"/>
        </w:rPr>
        <w:t xml:space="preserve"> (PM) and </w:t>
      </w:r>
      <w:r>
        <w:rPr>
          <w:sz w:val="22"/>
          <w:szCs w:val="22"/>
        </w:rPr>
        <w:t xml:space="preserve">a </w:t>
      </w:r>
      <w:r w:rsidRPr="009D7CDE">
        <w:rPr>
          <w:i/>
          <w:sz w:val="22"/>
          <w:szCs w:val="22"/>
        </w:rPr>
        <w:t>Project Assistant</w:t>
      </w:r>
      <w:r w:rsidRPr="009D7CDE">
        <w:rPr>
          <w:sz w:val="22"/>
          <w:szCs w:val="22"/>
        </w:rPr>
        <w:t xml:space="preserve"> (PA) recruited on a competitive basis. </w:t>
      </w:r>
      <w:r>
        <w:rPr>
          <w:sz w:val="22"/>
          <w:szCs w:val="22"/>
        </w:rPr>
        <w:t xml:space="preserve">A project unit was set up in government </w:t>
      </w:r>
      <w:r w:rsidRPr="009D7CDE">
        <w:rPr>
          <w:sz w:val="22"/>
          <w:szCs w:val="22"/>
        </w:rPr>
        <w:t xml:space="preserve">premises. The PT </w:t>
      </w:r>
      <w:r>
        <w:rPr>
          <w:sz w:val="22"/>
          <w:szCs w:val="22"/>
        </w:rPr>
        <w:t>managed</w:t>
      </w:r>
      <w:r w:rsidRPr="009D7CDE">
        <w:rPr>
          <w:sz w:val="22"/>
          <w:szCs w:val="22"/>
        </w:rPr>
        <w:t xml:space="preserve"> the implementation of all project activities, including the preparation of progress reports, work plans, budgets, record keeping, accounting, technical specifications, and other documents as necessary; </w:t>
      </w:r>
      <w:r>
        <w:rPr>
          <w:sz w:val="22"/>
          <w:szCs w:val="22"/>
        </w:rPr>
        <w:t xml:space="preserve">was responsible for hiring and supervising </w:t>
      </w:r>
      <w:r w:rsidRPr="009D7CDE">
        <w:rPr>
          <w:sz w:val="22"/>
          <w:szCs w:val="22"/>
        </w:rPr>
        <w:t>consultants and suppliers, organiz</w:t>
      </w:r>
      <w:r>
        <w:rPr>
          <w:sz w:val="22"/>
          <w:szCs w:val="22"/>
        </w:rPr>
        <w:t xml:space="preserve">ing </w:t>
      </w:r>
      <w:r w:rsidRPr="009D7CDE">
        <w:rPr>
          <w:sz w:val="22"/>
          <w:szCs w:val="22"/>
        </w:rPr>
        <w:t>duty travel, seminars, public outreach activities and other project events, and maintaining working contacts with project partners at the central and local levels.</w:t>
      </w:r>
      <w:r>
        <w:rPr>
          <w:sz w:val="22"/>
          <w:szCs w:val="22"/>
        </w:rPr>
        <w:t xml:space="preserve"> </w:t>
      </w:r>
      <w:r w:rsidRPr="009D7CDE">
        <w:rPr>
          <w:sz w:val="22"/>
          <w:szCs w:val="22"/>
        </w:rPr>
        <w:t xml:space="preserve">The Project Manager </w:t>
      </w:r>
      <w:r>
        <w:rPr>
          <w:sz w:val="22"/>
          <w:szCs w:val="22"/>
        </w:rPr>
        <w:t xml:space="preserve">(PM) </w:t>
      </w:r>
      <w:r w:rsidRPr="009D7CDE">
        <w:rPr>
          <w:sz w:val="22"/>
          <w:szCs w:val="22"/>
        </w:rPr>
        <w:t xml:space="preserve">liaised and worked closely with all concerned stakeholders, at local, national and international levels, and linked the project with complementary national programmes and initiatives.  </w:t>
      </w:r>
    </w:p>
    <w:p w14:paraId="1A99D45C" w14:textId="38A117F0" w:rsidR="009D7CDE" w:rsidRPr="009D7CDE" w:rsidRDefault="00940424" w:rsidP="009D7CDE">
      <w:pPr>
        <w:pStyle w:val="ListParagraph"/>
        <w:numPr>
          <w:ilvl w:val="0"/>
          <w:numId w:val="16"/>
        </w:numPr>
        <w:ind w:left="851" w:hanging="284"/>
        <w:jc w:val="both"/>
        <w:rPr>
          <w:sz w:val="22"/>
          <w:szCs w:val="22"/>
        </w:rPr>
      </w:pPr>
      <w:r w:rsidRPr="00940424">
        <w:rPr>
          <w:i/>
          <w:sz w:val="22"/>
          <w:szCs w:val="22"/>
        </w:rPr>
        <w:t>Technical assistance</w:t>
      </w:r>
      <w:r w:rsidRPr="00940424">
        <w:rPr>
          <w:sz w:val="22"/>
          <w:szCs w:val="22"/>
        </w:rPr>
        <w:t xml:space="preserve"> </w:t>
      </w:r>
      <w:r>
        <w:rPr>
          <w:sz w:val="22"/>
          <w:szCs w:val="22"/>
        </w:rPr>
        <w:t>was</w:t>
      </w:r>
      <w:r w:rsidRPr="00940424">
        <w:rPr>
          <w:sz w:val="22"/>
          <w:szCs w:val="22"/>
        </w:rPr>
        <w:t xml:space="preserve"> provided by the project through the deployment of specialized </w:t>
      </w:r>
      <w:r>
        <w:rPr>
          <w:sz w:val="22"/>
          <w:szCs w:val="22"/>
        </w:rPr>
        <w:t xml:space="preserve">international and national technical expertise to </w:t>
      </w:r>
      <w:r w:rsidRPr="00940424">
        <w:rPr>
          <w:sz w:val="22"/>
          <w:szCs w:val="22"/>
        </w:rPr>
        <w:t>ensure that up-to-date and relevant know-how is accessible, and that national capacities are strengthened through on-the-job implementation of project activities</w:t>
      </w:r>
      <w:r>
        <w:rPr>
          <w:sz w:val="22"/>
          <w:szCs w:val="22"/>
        </w:rPr>
        <w:t>.</w:t>
      </w:r>
    </w:p>
    <w:p w14:paraId="64EA07F4" w14:textId="77777777" w:rsidR="00C65269" w:rsidRPr="009D7CDE" w:rsidRDefault="00C65269" w:rsidP="009D7CDE">
      <w:pPr>
        <w:jc w:val="both"/>
        <w:rPr>
          <w:sz w:val="22"/>
          <w:szCs w:val="22"/>
        </w:rPr>
      </w:pPr>
    </w:p>
    <w:p w14:paraId="3FB4F89E" w14:textId="4F4FC661" w:rsidR="00C02060" w:rsidRPr="00C02060" w:rsidRDefault="00CE2853" w:rsidP="00C02060">
      <w:pPr>
        <w:pStyle w:val="ListParagraph"/>
        <w:numPr>
          <w:ilvl w:val="0"/>
          <w:numId w:val="15"/>
        </w:numPr>
        <w:jc w:val="both"/>
        <w:rPr>
          <w:sz w:val="22"/>
          <w:szCs w:val="22"/>
        </w:rPr>
      </w:pPr>
      <w:r>
        <w:rPr>
          <w:sz w:val="22"/>
          <w:szCs w:val="22"/>
        </w:rPr>
        <w:t>During the formulation of the project</w:t>
      </w:r>
      <w:r w:rsidR="00D334F0" w:rsidRPr="006F53EC">
        <w:rPr>
          <w:sz w:val="22"/>
          <w:szCs w:val="22"/>
        </w:rPr>
        <w:t xml:space="preserve">, roles and responsibilities were clearly identified and accepted, </w:t>
      </w:r>
      <w:r w:rsidR="006F53EC" w:rsidRPr="006F53EC">
        <w:rPr>
          <w:sz w:val="22"/>
          <w:szCs w:val="22"/>
        </w:rPr>
        <w:t xml:space="preserve">including </w:t>
      </w:r>
      <w:r w:rsidR="006F53EC">
        <w:rPr>
          <w:sz w:val="22"/>
          <w:szCs w:val="22"/>
        </w:rPr>
        <w:t xml:space="preserve">the need to follow </w:t>
      </w:r>
      <w:r w:rsidR="006F53EC" w:rsidRPr="006F53EC">
        <w:rPr>
          <w:sz w:val="22"/>
          <w:szCs w:val="22"/>
        </w:rPr>
        <w:t xml:space="preserve">administrative procedures </w:t>
      </w:r>
      <w:r w:rsidR="006F53EC">
        <w:rPr>
          <w:sz w:val="22"/>
          <w:szCs w:val="22"/>
        </w:rPr>
        <w:t xml:space="preserve">from </w:t>
      </w:r>
      <w:r w:rsidR="006F53EC" w:rsidRPr="006F53EC">
        <w:rPr>
          <w:sz w:val="22"/>
          <w:szCs w:val="22"/>
        </w:rPr>
        <w:t>UNDP</w:t>
      </w:r>
      <w:r w:rsidR="006F53EC">
        <w:rPr>
          <w:sz w:val="22"/>
          <w:szCs w:val="22"/>
        </w:rPr>
        <w:t xml:space="preserve"> and the Government of </w:t>
      </w:r>
      <w:r w:rsidR="006106D3">
        <w:rPr>
          <w:sz w:val="22"/>
          <w:szCs w:val="22"/>
        </w:rPr>
        <w:t>Moldova</w:t>
      </w:r>
      <w:r w:rsidR="006F53EC" w:rsidRPr="006F53EC">
        <w:rPr>
          <w:sz w:val="22"/>
          <w:szCs w:val="22"/>
        </w:rPr>
        <w:t>.</w:t>
      </w:r>
      <w:r w:rsidR="00D334F0" w:rsidRPr="006F53EC">
        <w:rPr>
          <w:sz w:val="22"/>
          <w:szCs w:val="22"/>
        </w:rPr>
        <w:t xml:space="preserve"> </w:t>
      </w:r>
      <w:r w:rsidR="00C02060" w:rsidRPr="00C02060">
        <w:rPr>
          <w:sz w:val="22"/>
          <w:szCs w:val="22"/>
        </w:rPr>
        <w:t>The project was implemented using the National Implementation (NIM) modality of UNDP (</w:t>
      </w:r>
      <w:r w:rsidR="00C02060" w:rsidRPr="00C02060">
        <w:rPr>
          <w:i/>
          <w:sz w:val="22"/>
          <w:szCs w:val="22"/>
        </w:rPr>
        <w:t>see Section 4.2.3</w:t>
      </w:r>
      <w:r w:rsidR="00C02060" w:rsidRPr="00C02060">
        <w:rPr>
          <w:sz w:val="22"/>
          <w:szCs w:val="22"/>
        </w:rPr>
        <w:t xml:space="preserve">) with the Ministry of Environment being the Executing Agency of the project. </w:t>
      </w:r>
    </w:p>
    <w:p w14:paraId="110DD559" w14:textId="77777777" w:rsidR="00C02060" w:rsidRPr="000914DC" w:rsidRDefault="00C02060" w:rsidP="00C02060">
      <w:pPr>
        <w:pStyle w:val="ListParagraph"/>
        <w:ind w:left="0"/>
        <w:jc w:val="both"/>
        <w:rPr>
          <w:sz w:val="22"/>
          <w:szCs w:val="22"/>
        </w:rPr>
      </w:pPr>
    </w:p>
    <w:p w14:paraId="571FACD8" w14:textId="20A8846B" w:rsidR="00C02060" w:rsidRPr="00CE2853" w:rsidRDefault="00C02060" w:rsidP="00CE2853">
      <w:pPr>
        <w:pStyle w:val="ListParagraph"/>
        <w:numPr>
          <w:ilvl w:val="0"/>
          <w:numId w:val="15"/>
        </w:numPr>
        <w:jc w:val="both"/>
        <w:rPr>
          <w:sz w:val="22"/>
          <w:szCs w:val="22"/>
        </w:rPr>
      </w:pPr>
      <w:r w:rsidRPr="000914DC">
        <w:rPr>
          <w:sz w:val="22"/>
          <w:szCs w:val="22"/>
        </w:rPr>
        <w:t xml:space="preserve">The review indicates that the management arrangements were adequate </w:t>
      </w:r>
      <w:r>
        <w:rPr>
          <w:sz w:val="22"/>
          <w:szCs w:val="22"/>
        </w:rPr>
        <w:t xml:space="preserve">and effective </w:t>
      </w:r>
      <w:r w:rsidRPr="000914DC">
        <w:rPr>
          <w:sz w:val="22"/>
          <w:szCs w:val="22"/>
        </w:rPr>
        <w:t>for the implementation of the project. They provided the project with clear roles and responsibilities</w:t>
      </w:r>
      <w:r>
        <w:rPr>
          <w:sz w:val="22"/>
          <w:szCs w:val="22"/>
        </w:rPr>
        <w:t xml:space="preserve"> as well as clear reporting lines of authority. </w:t>
      </w:r>
      <w:r w:rsidRPr="000914DC">
        <w:rPr>
          <w:sz w:val="22"/>
          <w:szCs w:val="22"/>
        </w:rPr>
        <w:t xml:space="preserve">The good functioning of the PB provided an effective way to communicate and keep stakeholders engaged, contributing to an effective use of project resources and a good national ownership of project achievements. </w:t>
      </w:r>
      <w:r w:rsidRPr="00CE2853">
        <w:rPr>
          <w:sz w:val="22"/>
          <w:szCs w:val="22"/>
        </w:rPr>
        <w:t xml:space="preserve">This oversight body met </w:t>
      </w:r>
      <w:r w:rsidR="00CE2853" w:rsidRPr="00CE2853">
        <w:rPr>
          <w:sz w:val="22"/>
          <w:szCs w:val="22"/>
        </w:rPr>
        <w:t xml:space="preserve">6 times </w:t>
      </w:r>
      <w:r w:rsidRPr="00CE2853">
        <w:rPr>
          <w:sz w:val="22"/>
          <w:szCs w:val="22"/>
        </w:rPr>
        <w:t xml:space="preserve">during the implementation of the project </w:t>
      </w:r>
      <w:r w:rsidR="00CE2853" w:rsidRPr="00CE2853">
        <w:rPr>
          <w:sz w:val="22"/>
          <w:szCs w:val="22"/>
        </w:rPr>
        <w:t>including the inception workshop on June 12, 2012.</w:t>
      </w:r>
      <w:r w:rsidRPr="00CE2853">
        <w:rPr>
          <w:sz w:val="22"/>
          <w:szCs w:val="22"/>
        </w:rPr>
        <w:t xml:space="preserve"> The last </w:t>
      </w:r>
      <w:r w:rsidR="00CE2853" w:rsidRPr="00CE2853">
        <w:rPr>
          <w:sz w:val="22"/>
          <w:szCs w:val="22"/>
        </w:rPr>
        <w:t xml:space="preserve">recorded </w:t>
      </w:r>
      <w:r w:rsidRPr="00CE2853">
        <w:rPr>
          <w:sz w:val="22"/>
          <w:szCs w:val="22"/>
        </w:rPr>
        <w:t xml:space="preserve">meeting was </w:t>
      </w:r>
      <w:r w:rsidR="00CE2853" w:rsidRPr="00CE2853">
        <w:rPr>
          <w:sz w:val="22"/>
          <w:szCs w:val="22"/>
        </w:rPr>
        <w:t>on July 21, 2015 to</w:t>
      </w:r>
      <w:r w:rsidRPr="00CE2853">
        <w:rPr>
          <w:sz w:val="22"/>
          <w:szCs w:val="22"/>
        </w:rPr>
        <w:t xml:space="preserve"> review the </w:t>
      </w:r>
      <w:r w:rsidR="00CE2853" w:rsidRPr="00CE2853">
        <w:rPr>
          <w:sz w:val="22"/>
          <w:szCs w:val="22"/>
        </w:rPr>
        <w:t xml:space="preserve">progress of the first half of </w:t>
      </w:r>
      <w:r w:rsidR="007E7191">
        <w:rPr>
          <w:sz w:val="22"/>
          <w:szCs w:val="22"/>
        </w:rPr>
        <w:t>this year</w:t>
      </w:r>
      <w:r w:rsidR="00CE2853" w:rsidRPr="00CE2853">
        <w:rPr>
          <w:sz w:val="22"/>
          <w:szCs w:val="22"/>
        </w:rPr>
        <w:t>, endorse the work plan for the remaining period of the project and app</w:t>
      </w:r>
      <w:r w:rsidR="00CE2853">
        <w:rPr>
          <w:sz w:val="22"/>
          <w:szCs w:val="22"/>
        </w:rPr>
        <w:t>rove</w:t>
      </w:r>
      <w:r w:rsidR="00CE2853" w:rsidRPr="00CE2853">
        <w:rPr>
          <w:sz w:val="22"/>
          <w:szCs w:val="22"/>
        </w:rPr>
        <w:t xml:space="preserve"> the grants for environmental projects in 6 pilot towns throughout Moldova.</w:t>
      </w:r>
    </w:p>
    <w:p w14:paraId="728BBDC7" w14:textId="77777777" w:rsidR="00E21E2F" w:rsidRPr="00E21E2F" w:rsidRDefault="00E21E2F" w:rsidP="00E21E2F">
      <w:pPr>
        <w:pStyle w:val="ListParagraph"/>
        <w:ind w:left="0"/>
        <w:jc w:val="both"/>
        <w:rPr>
          <w:sz w:val="22"/>
          <w:szCs w:val="22"/>
        </w:rPr>
      </w:pPr>
    </w:p>
    <w:p w14:paraId="543A34B9" w14:textId="77777777" w:rsidR="00661CB8" w:rsidRPr="00FB6D4E" w:rsidRDefault="00661CB8" w:rsidP="00661CB8">
      <w:pPr>
        <w:pStyle w:val="Heading2"/>
        <w:numPr>
          <w:ilvl w:val="1"/>
          <w:numId w:val="1"/>
        </w:numPr>
        <w:tabs>
          <w:tab w:val="clear" w:pos="792"/>
          <w:tab w:val="num" w:pos="709"/>
        </w:tabs>
        <w:spacing w:before="0" w:after="0"/>
        <w:ind w:left="720" w:hanging="720"/>
        <w:rPr>
          <w:i w:val="0"/>
          <w:sz w:val="22"/>
          <w:szCs w:val="22"/>
        </w:rPr>
      </w:pPr>
      <w:bookmarkStart w:id="44" w:name="_Toc308103253"/>
      <w:r w:rsidRPr="00FB6D4E">
        <w:rPr>
          <w:i w:val="0"/>
          <w:sz w:val="22"/>
          <w:szCs w:val="22"/>
        </w:rPr>
        <w:t xml:space="preserve">Project </w:t>
      </w:r>
      <w:r>
        <w:rPr>
          <w:i w:val="0"/>
          <w:sz w:val="22"/>
          <w:szCs w:val="22"/>
        </w:rPr>
        <w:t>Implementation</w:t>
      </w:r>
      <w:bookmarkEnd w:id="44"/>
    </w:p>
    <w:p w14:paraId="5805910C" w14:textId="77777777" w:rsidR="00661CB8" w:rsidRPr="00FB6D4E" w:rsidRDefault="00661CB8" w:rsidP="00661CB8">
      <w:pPr>
        <w:widowControl/>
        <w:tabs>
          <w:tab w:val="left" w:pos="-720"/>
        </w:tabs>
        <w:jc w:val="both"/>
        <w:rPr>
          <w:sz w:val="22"/>
          <w:szCs w:val="22"/>
        </w:rPr>
      </w:pPr>
    </w:p>
    <w:p w14:paraId="689A4C27" w14:textId="77777777" w:rsidR="00661CB8" w:rsidRPr="00661CB8" w:rsidRDefault="00661CB8" w:rsidP="00661CB8">
      <w:pPr>
        <w:pStyle w:val="ListParagraph"/>
        <w:numPr>
          <w:ilvl w:val="0"/>
          <w:numId w:val="15"/>
        </w:numPr>
        <w:jc w:val="both"/>
        <w:rPr>
          <w:sz w:val="22"/>
          <w:szCs w:val="22"/>
        </w:rPr>
      </w:pPr>
      <w:r w:rsidRPr="00654F46">
        <w:rPr>
          <w:sz w:val="22"/>
        </w:rPr>
        <w:t>T</w:t>
      </w:r>
      <w:r w:rsidRPr="00654F46">
        <w:rPr>
          <w:sz w:val="22"/>
          <w:szCs w:val="22"/>
        </w:rPr>
        <w:t xml:space="preserve">his section </w:t>
      </w:r>
      <w:r w:rsidRPr="005F75D6">
        <w:rPr>
          <w:sz w:val="22"/>
          <w:szCs w:val="22"/>
        </w:rPr>
        <w:t>discusses the assessment of how the project has been implemented. It assessed how efficient the management of the project was and how conducive it was to contribute to a successful project</w:t>
      </w:r>
      <w:r w:rsidRPr="00654F46">
        <w:rPr>
          <w:sz w:val="22"/>
          <w:szCs w:val="22"/>
        </w:rPr>
        <w:t>.</w:t>
      </w:r>
    </w:p>
    <w:p w14:paraId="0268695C" w14:textId="77777777" w:rsidR="00661CB8" w:rsidRDefault="00661CB8" w:rsidP="000C45A2">
      <w:pPr>
        <w:jc w:val="both"/>
        <w:rPr>
          <w:sz w:val="22"/>
          <w:szCs w:val="22"/>
        </w:rPr>
      </w:pPr>
    </w:p>
    <w:p w14:paraId="7A9EA531" w14:textId="77777777" w:rsidR="00FF605D" w:rsidRPr="00FB6D4E" w:rsidRDefault="00FF605D" w:rsidP="006B3375">
      <w:pPr>
        <w:pStyle w:val="Heading3"/>
        <w:numPr>
          <w:ilvl w:val="2"/>
          <w:numId w:val="1"/>
        </w:numPr>
        <w:tabs>
          <w:tab w:val="clear" w:pos="1440"/>
        </w:tabs>
        <w:ind w:left="1276" w:hanging="709"/>
        <w:rPr>
          <w:rFonts w:ascii="Arial" w:hAnsi="Arial" w:cs="Arial"/>
          <w:i/>
          <w:sz w:val="22"/>
          <w:szCs w:val="22"/>
        </w:rPr>
      </w:pPr>
      <w:bookmarkStart w:id="45" w:name="_Toc308103254"/>
      <w:r>
        <w:rPr>
          <w:rFonts w:ascii="Arial" w:hAnsi="Arial" w:cs="Arial"/>
          <w:i/>
          <w:sz w:val="22"/>
          <w:szCs w:val="22"/>
        </w:rPr>
        <w:t>Adaptive Management</w:t>
      </w:r>
      <w:bookmarkEnd w:id="45"/>
    </w:p>
    <w:p w14:paraId="3334408A" w14:textId="77777777" w:rsidR="00FF605D" w:rsidRPr="00FB6D4E" w:rsidRDefault="00FF605D" w:rsidP="00FF605D">
      <w:pPr>
        <w:tabs>
          <w:tab w:val="left" w:pos="1472"/>
        </w:tabs>
        <w:jc w:val="both"/>
        <w:rPr>
          <w:sz w:val="22"/>
          <w:szCs w:val="22"/>
        </w:rPr>
      </w:pPr>
    </w:p>
    <w:p w14:paraId="0BA1ED7A" w14:textId="0C86645B" w:rsidR="006E0D9D" w:rsidRPr="006E0D9D" w:rsidRDefault="00217780" w:rsidP="00217780">
      <w:pPr>
        <w:pStyle w:val="ListParagraph"/>
        <w:numPr>
          <w:ilvl w:val="0"/>
          <w:numId w:val="15"/>
        </w:numPr>
        <w:jc w:val="both"/>
        <w:rPr>
          <w:sz w:val="22"/>
          <w:szCs w:val="22"/>
        </w:rPr>
      </w:pPr>
      <w:r w:rsidRPr="006E0D9D">
        <w:rPr>
          <w:sz w:val="22"/>
          <w:szCs w:val="22"/>
        </w:rPr>
        <w:t xml:space="preserve">The management of the project was </w:t>
      </w:r>
      <w:r w:rsidR="00725811">
        <w:rPr>
          <w:sz w:val="22"/>
          <w:szCs w:val="22"/>
        </w:rPr>
        <w:t>adequate</w:t>
      </w:r>
      <w:r w:rsidRPr="006E0D9D">
        <w:rPr>
          <w:sz w:val="22"/>
          <w:szCs w:val="22"/>
        </w:rPr>
        <w:t xml:space="preserve">. The Project Team followed the Government of </w:t>
      </w:r>
      <w:r w:rsidR="006E0D9D" w:rsidRPr="006E0D9D">
        <w:rPr>
          <w:sz w:val="22"/>
          <w:szCs w:val="22"/>
        </w:rPr>
        <w:t>Moldova</w:t>
      </w:r>
      <w:r w:rsidRPr="006E0D9D">
        <w:rPr>
          <w:sz w:val="22"/>
          <w:szCs w:val="22"/>
        </w:rPr>
        <w:t xml:space="preserve"> and UNDP</w:t>
      </w:r>
      <w:r w:rsidR="006E0D9D" w:rsidRPr="006E0D9D">
        <w:rPr>
          <w:sz w:val="22"/>
          <w:szCs w:val="22"/>
        </w:rPr>
        <w:t>/GEF</w:t>
      </w:r>
      <w:r w:rsidRPr="006E0D9D">
        <w:rPr>
          <w:sz w:val="22"/>
          <w:szCs w:val="22"/>
        </w:rPr>
        <w:t xml:space="preserve"> procedures for the implementation of the project and used adaptive management to secure project deliverables while maintaining adherence to the overall project design. The review indicates that project achievements are aligned with the project document that was endorsed by stakeholders. As discussed in Section 4.1.1, the </w:t>
      </w:r>
      <w:r w:rsidRPr="006E0D9D">
        <w:rPr>
          <w:i/>
          <w:sz w:val="22"/>
          <w:szCs w:val="22"/>
        </w:rPr>
        <w:t>Result and Resources Framework</w:t>
      </w:r>
      <w:r w:rsidRPr="006E0D9D">
        <w:rPr>
          <w:sz w:val="22"/>
          <w:szCs w:val="22"/>
        </w:rPr>
        <w:t xml:space="preserve"> identified during the design phase of this project presents a </w:t>
      </w:r>
      <w:r w:rsidR="006E0D9D" w:rsidRPr="006E0D9D">
        <w:rPr>
          <w:sz w:val="22"/>
          <w:szCs w:val="22"/>
        </w:rPr>
        <w:t>good</w:t>
      </w:r>
      <w:r w:rsidRPr="006E0D9D">
        <w:rPr>
          <w:sz w:val="22"/>
          <w:szCs w:val="22"/>
        </w:rPr>
        <w:t xml:space="preserve"> and logical “chain of results” that was used as a “blueprint” to guide the implementation of the project. </w:t>
      </w:r>
    </w:p>
    <w:p w14:paraId="0F2F6EC5" w14:textId="77777777" w:rsidR="006E0D9D" w:rsidRPr="006E0D9D" w:rsidRDefault="006E0D9D" w:rsidP="006E0D9D">
      <w:pPr>
        <w:pStyle w:val="ListParagraph"/>
        <w:ind w:left="0"/>
        <w:jc w:val="both"/>
        <w:rPr>
          <w:sz w:val="22"/>
          <w:szCs w:val="22"/>
        </w:rPr>
      </w:pPr>
    </w:p>
    <w:p w14:paraId="19641EE8" w14:textId="03D2D6DF" w:rsidR="001664FF" w:rsidRDefault="00217780" w:rsidP="00217780">
      <w:pPr>
        <w:pStyle w:val="ListParagraph"/>
        <w:numPr>
          <w:ilvl w:val="0"/>
          <w:numId w:val="15"/>
        </w:numPr>
        <w:jc w:val="both"/>
        <w:rPr>
          <w:sz w:val="22"/>
          <w:szCs w:val="22"/>
        </w:rPr>
      </w:pPr>
      <w:r w:rsidRPr="006E0D9D">
        <w:rPr>
          <w:sz w:val="22"/>
          <w:szCs w:val="22"/>
        </w:rPr>
        <w:t>An efficient implementation team was in place</w:t>
      </w:r>
      <w:r w:rsidR="006E0D9D" w:rsidRPr="006E0D9D">
        <w:rPr>
          <w:sz w:val="22"/>
          <w:szCs w:val="22"/>
        </w:rPr>
        <w:t xml:space="preserve"> for the second half of the project</w:t>
      </w:r>
      <w:r w:rsidRPr="006E0D9D">
        <w:rPr>
          <w:sz w:val="22"/>
          <w:szCs w:val="22"/>
        </w:rPr>
        <w:t xml:space="preserve">, detailed work plans were guiding the implementation, assignments were conducted with the required participation of relevant </w:t>
      </w:r>
      <w:r w:rsidRPr="00FF0583">
        <w:rPr>
          <w:sz w:val="22"/>
          <w:szCs w:val="22"/>
        </w:rPr>
        <w:t>stakeholders and the project progress was well monitored. Adaptive management was used regularly to adapt to a constantly changing environment</w:t>
      </w:r>
      <w:r w:rsidR="006E0D9D" w:rsidRPr="00FF0583">
        <w:rPr>
          <w:sz w:val="22"/>
          <w:szCs w:val="22"/>
        </w:rPr>
        <w:t xml:space="preserve">, particularly the political environment </w:t>
      </w:r>
      <w:r w:rsidR="00DD65A5">
        <w:rPr>
          <w:sz w:val="22"/>
          <w:szCs w:val="22"/>
        </w:rPr>
        <w:t>with</w:t>
      </w:r>
      <w:r w:rsidR="00121C0C" w:rsidRPr="00FF0583">
        <w:rPr>
          <w:sz w:val="22"/>
          <w:szCs w:val="22"/>
        </w:rPr>
        <w:t xml:space="preserve"> </w:t>
      </w:r>
      <w:r w:rsidR="00DD65A5">
        <w:rPr>
          <w:sz w:val="22"/>
          <w:szCs w:val="22"/>
        </w:rPr>
        <w:t xml:space="preserve">four different governments over the lifetime of the project, and including </w:t>
      </w:r>
      <w:r w:rsidR="00121C0C" w:rsidRPr="00FF0583">
        <w:rPr>
          <w:sz w:val="22"/>
          <w:szCs w:val="22"/>
        </w:rPr>
        <w:t xml:space="preserve">several changes </w:t>
      </w:r>
      <w:r w:rsidR="00FF0583" w:rsidRPr="00FF0583">
        <w:rPr>
          <w:sz w:val="22"/>
          <w:szCs w:val="22"/>
        </w:rPr>
        <w:t>at the Ministry of Environment with</w:t>
      </w:r>
      <w:r w:rsidR="006E0D9D" w:rsidRPr="00FF0583">
        <w:rPr>
          <w:sz w:val="22"/>
          <w:szCs w:val="22"/>
        </w:rPr>
        <w:t xml:space="preserve"> </w:t>
      </w:r>
      <w:r w:rsidR="00406DA7" w:rsidRPr="00FF0583">
        <w:rPr>
          <w:sz w:val="22"/>
          <w:szCs w:val="22"/>
        </w:rPr>
        <w:t>four</w:t>
      </w:r>
      <w:r w:rsidR="006E0D9D" w:rsidRPr="00FF0583">
        <w:rPr>
          <w:sz w:val="22"/>
          <w:szCs w:val="22"/>
        </w:rPr>
        <w:t xml:space="preserve"> </w:t>
      </w:r>
      <w:r w:rsidR="00FF0583" w:rsidRPr="00FF0583">
        <w:rPr>
          <w:sz w:val="22"/>
          <w:szCs w:val="22"/>
        </w:rPr>
        <w:t xml:space="preserve">different </w:t>
      </w:r>
      <w:r w:rsidR="006E0D9D" w:rsidRPr="00FF0583">
        <w:rPr>
          <w:sz w:val="22"/>
          <w:szCs w:val="22"/>
        </w:rPr>
        <w:t>Ministers</w:t>
      </w:r>
      <w:r w:rsidR="00FF0583" w:rsidRPr="00FF0583">
        <w:rPr>
          <w:sz w:val="22"/>
          <w:szCs w:val="22"/>
        </w:rPr>
        <w:t>, 5 Deputy</w:t>
      </w:r>
      <w:r w:rsidR="00406DA7" w:rsidRPr="00FF0583">
        <w:rPr>
          <w:sz w:val="22"/>
          <w:szCs w:val="22"/>
        </w:rPr>
        <w:t xml:space="preserve"> Ministers</w:t>
      </w:r>
      <w:r w:rsidR="00FF0583" w:rsidRPr="00FF0583">
        <w:rPr>
          <w:sz w:val="22"/>
          <w:szCs w:val="22"/>
        </w:rPr>
        <w:t xml:space="preserve"> and two State Secretaries</w:t>
      </w:r>
      <w:r w:rsidR="00406DA7" w:rsidRPr="00FF0583">
        <w:rPr>
          <w:sz w:val="22"/>
          <w:szCs w:val="22"/>
        </w:rPr>
        <w:t xml:space="preserve"> </w:t>
      </w:r>
      <w:r w:rsidR="006E0D9D" w:rsidRPr="00FF0583">
        <w:rPr>
          <w:sz w:val="22"/>
          <w:szCs w:val="22"/>
        </w:rPr>
        <w:t xml:space="preserve">in the </w:t>
      </w:r>
      <w:r w:rsidR="00406DA7" w:rsidRPr="00FF0583">
        <w:rPr>
          <w:sz w:val="22"/>
          <w:szCs w:val="22"/>
        </w:rPr>
        <w:t xml:space="preserve">last </w:t>
      </w:r>
      <w:r w:rsidR="006E0D9D" w:rsidRPr="00FF0583">
        <w:rPr>
          <w:sz w:val="22"/>
          <w:szCs w:val="22"/>
        </w:rPr>
        <w:t>18 months</w:t>
      </w:r>
      <w:r w:rsidRPr="00FF0583">
        <w:rPr>
          <w:sz w:val="22"/>
          <w:szCs w:val="22"/>
        </w:rPr>
        <w:t xml:space="preserve">. </w:t>
      </w:r>
      <w:r w:rsidR="006E0D9D" w:rsidRPr="00FF0583">
        <w:rPr>
          <w:sz w:val="22"/>
          <w:szCs w:val="22"/>
        </w:rPr>
        <w:t xml:space="preserve">Adaptive management </w:t>
      </w:r>
      <w:r w:rsidRPr="00FF0583">
        <w:rPr>
          <w:sz w:val="22"/>
          <w:szCs w:val="22"/>
        </w:rPr>
        <w:t>was used as a mechanism to respond to stakeholders’ needs and priorities and address issues at hand</w:t>
      </w:r>
      <w:r w:rsidR="006E0D9D" w:rsidRPr="00FF0583">
        <w:rPr>
          <w:sz w:val="22"/>
          <w:szCs w:val="22"/>
        </w:rPr>
        <w:t>, including finding ways to “push” the government to approve and</w:t>
      </w:r>
      <w:r w:rsidR="006E0D9D" w:rsidRPr="006E0D9D">
        <w:rPr>
          <w:sz w:val="22"/>
          <w:szCs w:val="22"/>
        </w:rPr>
        <w:t xml:space="preserve"> endorse the proposed reforms developed with the support of the project to revise the pollution charges and </w:t>
      </w:r>
      <w:r w:rsidR="00121C0C">
        <w:rPr>
          <w:sz w:val="22"/>
          <w:szCs w:val="22"/>
        </w:rPr>
        <w:t xml:space="preserve">reform </w:t>
      </w:r>
      <w:r w:rsidR="006E0D9D" w:rsidRPr="006E0D9D">
        <w:rPr>
          <w:sz w:val="22"/>
          <w:szCs w:val="22"/>
        </w:rPr>
        <w:t>the NEF</w:t>
      </w:r>
      <w:r w:rsidR="00121C0C">
        <w:rPr>
          <w:sz w:val="22"/>
          <w:szCs w:val="22"/>
        </w:rPr>
        <w:t xml:space="preserve"> and its operations</w:t>
      </w:r>
      <w:r w:rsidRPr="006E0D9D">
        <w:rPr>
          <w:sz w:val="22"/>
          <w:szCs w:val="22"/>
        </w:rPr>
        <w:t>. As a result, activities supported by the project benefited from a good participation of stakeholders. Each assignment was conducted following well-defined terms of reference.</w:t>
      </w:r>
      <w:r w:rsidR="001664FF">
        <w:rPr>
          <w:sz w:val="22"/>
          <w:szCs w:val="22"/>
        </w:rPr>
        <w:t xml:space="preserve"> </w:t>
      </w:r>
    </w:p>
    <w:p w14:paraId="4CD8F9CA" w14:textId="77777777" w:rsidR="00217780" w:rsidRPr="006E0D9D" w:rsidRDefault="00217780" w:rsidP="00217780">
      <w:pPr>
        <w:jc w:val="both"/>
        <w:rPr>
          <w:sz w:val="22"/>
          <w:szCs w:val="22"/>
        </w:rPr>
      </w:pPr>
    </w:p>
    <w:p w14:paraId="2CC0720D" w14:textId="2E66CCCA" w:rsidR="006E0D9D" w:rsidRDefault="006E0D9D" w:rsidP="006E0D9D">
      <w:pPr>
        <w:pStyle w:val="ListParagraph"/>
        <w:numPr>
          <w:ilvl w:val="0"/>
          <w:numId w:val="15"/>
        </w:numPr>
        <w:jc w:val="both"/>
        <w:rPr>
          <w:sz w:val="22"/>
          <w:szCs w:val="22"/>
        </w:rPr>
      </w:pPr>
      <w:r w:rsidRPr="00DC0C17">
        <w:rPr>
          <w:sz w:val="22"/>
          <w:szCs w:val="22"/>
        </w:rPr>
        <w:t xml:space="preserve">However, the review conducted by the Evaluation Team </w:t>
      </w:r>
      <w:r w:rsidR="00121C0C">
        <w:rPr>
          <w:sz w:val="22"/>
          <w:szCs w:val="22"/>
        </w:rPr>
        <w:t xml:space="preserve">also </w:t>
      </w:r>
      <w:r w:rsidRPr="00DC0C17">
        <w:rPr>
          <w:sz w:val="22"/>
          <w:szCs w:val="22"/>
        </w:rPr>
        <w:t>indicates that the implementation of the project had a difficult first half. A PM was leading the implementation of the project</w:t>
      </w:r>
      <w:r w:rsidR="00DC0C17" w:rsidRPr="00DC0C17">
        <w:rPr>
          <w:sz w:val="22"/>
          <w:szCs w:val="22"/>
        </w:rPr>
        <w:t xml:space="preserve"> but very limited progress was made during the first 18 months of implementation. Following an internal review at the Project </w:t>
      </w:r>
      <w:r w:rsidR="00DC0C17" w:rsidRPr="00FF0583">
        <w:rPr>
          <w:sz w:val="22"/>
          <w:szCs w:val="22"/>
        </w:rPr>
        <w:t xml:space="preserve">Board level, the decision was taken to change the PM. A new PM was hired </w:t>
      </w:r>
      <w:r w:rsidR="00121C0C" w:rsidRPr="00FF0583">
        <w:rPr>
          <w:sz w:val="22"/>
          <w:szCs w:val="22"/>
        </w:rPr>
        <w:t xml:space="preserve">in </w:t>
      </w:r>
      <w:r w:rsidR="00B21BA6" w:rsidRPr="00FF0583">
        <w:rPr>
          <w:sz w:val="22"/>
          <w:szCs w:val="22"/>
        </w:rPr>
        <w:t xml:space="preserve">January 2014 </w:t>
      </w:r>
      <w:r w:rsidR="00DC0C17" w:rsidRPr="00FF0583">
        <w:rPr>
          <w:sz w:val="22"/>
          <w:szCs w:val="22"/>
        </w:rPr>
        <w:t>with excellent</w:t>
      </w:r>
      <w:r w:rsidR="00DC0C17" w:rsidRPr="00DC0C17">
        <w:rPr>
          <w:sz w:val="22"/>
          <w:szCs w:val="22"/>
        </w:rPr>
        <w:t xml:space="preserve"> credentials, including experience as a Deputy Minister </w:t>
      </w:r>
      <w:r w:rsidR="00DD65A5">
        <w:rPr>
          <w:sz w:val="22"/>
          <w:szCs w:val="22"/>
        </w:rPr>
        <w:t xml:space="preserve">of Economy </w:t>
      </w:r>
      <w:r w:rsidR="00DC0C17" w:rsidRPr="00DC0C17">
        <w:rPr>
          <w:sz w:val="22"/>
          <w:szCs w:val="22"/>
        </w:rPr>
        <w:t xml:space="preserve">in the government and also as a highly performing PM for another UNDP funded project. The adaptive measure to change the PM at this stage was an important and critical decision that allowed the project implementation to get back on track and, through fast-track operations to catch up with the planned implementation timeline. The result of this change was that overall, the project delivered most of the planned activities. As discussed in Section 4.3.1, the project did not succeed </w:t>
      </w:r>
      <w:r w:rsidR="001664FF">
        <w:rPr>
          <w:sz w:val="22"/>
          <w:szCs w:val="22"/>
        </w:rPr>
        <w:t xml:space="preserve">yet </w:t>
      </w:r>
      <w:r w:rsidR="00DC0C17" w:rsidRPr="00DC0C17">
        <w:rPr>
          <w:sz w:val="22"/>
          <w:szCs w:val="22"/>
        </w:rPr>
        <w:t>to get the proposed reforms approved and endorsed by the government and Parliament but an Environmental Fiscal Reform (EFR) process has been definitely launched in Moldova as a result of the project. It has been a catalyst to put EFR on the national agenda.</w:t>
      </w:r>
    </w:p>
    <w:p w14:paraId="5079CACA" w14:textId="77777777" w:rsidR="00BD7735" w:rsidRPr="001664FF" w:rsidRDefault="00BD7735" w:rsidP="00BD7735">
      <w:pPr>
        <w:jc w:val="both"/>
        <w:rPr>
          <w:sz w:val="22"/>
          <w:szCs w:val="22"/>
        </w:rPr>
      </w:pPr>
    </w:p>
    <w:p w14:paraId="6B65820B" w14:textId="532C802F" w:rsidR="00BD7735" w:rsidRPr="006E0D9D" w:rsidRDefault="00BD7735" w:rsidP="00BD7735">
      <w:pPr>
        <w:pStyle w:val="ListParagraph"/>
        <w:numPr>
          <w:ilvl w:val="0"/>
          <w:numId w:val="15"/>
        </w:numPr>
        <w:jc w:val="both"/>
        <w:rPr>
          <w:sz w:val="22"/>
          <w:szCs w:val="22"/>
        </w:rPr>
      </w:pPr>
      <w:r>
        <w:rPr>
          <w:sz w:val="22"/>
          <w:szCs w:val="22"/>
        </w:rPr>
        <w:t>Following this change of PM, adaptive management was also used when the PB decided to request a time extension of 9 months for the project</w:t>
      </w:r>
      <w:r w:rsidR="006C4F80">
        <w:rPr>
          <w:sz w:val="22"/>
          <w:szCs w:val="22"/>
        </w:rPr>
        <w:t xml:space="preserve"> at the June 20, 2014 PB meeting</w:t>
      </w:r>
      <w:r>
        <w:rPr>
          <w:sz w:val="22"/>
          <w:szCs w:val="22"/>
        </w:rPr>
        <w:t>. Due to a very low disbursement during the first 2 years of the project, the project was not in a position to achieve its objective and to disburse its budget after 36 months of operation</w:t>
      </w:r>
      <w:r w:rsidR="006C4F80">
        <w:rPr>
          <w:sz w:val="22"/>
          <w:szCs w:val="22"/>
        </w:rPr>
        <w:t xml:space="preserve">. Furthermore, following the Parliamentary election that took place in </w:t>
      </w:r>
      <w:r w:rsidR="006C4F80">
        <w:rPr>
          <w:sz w:val="22"/>
          <w:szCs w:val="22"/>
        </w:rPr>
        <w:lastRenderedPageBreak/>
        <w:t>November 2014 and a change of government, there was a risk of delays of some project activities, particularly those related to the reform of the NEF and the reform of the agriculture and energy subsidies</w:t>
      </w:r>
      <w:r>
        <w:rPr>
          <w:sz w:val="22"/>
          <w:szCs w:val="22"/>
        </w:rPr>
        <w:t>. Financial resources were available for a 9-month-extension. This extension was granted by UNDP-GEF and the closing date for the project was postponed to end of September 2015.</w:t>
      </w:r>
    </w:p>
    <w:p w14:paraId="5FD90E20" w14:textId="77777777" w:rsidR="00F6282A" w:rsidRDefault="00F6282A" w:rsidP="00F6282A">
      <w:pPr>
        <w:pStyle w:val="ListParagraph"/>
        <w:ind w:left="0"/>
        <w:jc w:val="both"/>
        <w:rPr>
          <w:sz w:val="22"/>
          <w:szCs w:val="22"/>
        </w:rPr>
      </w:pPr>
    </w:p>
    <w:p w14:paraId="3080373B" w14:textId="267FC0EE" w:rsidR="006C7D4B" w:rsidRPr="00EA0830" w:rsidRDefault="006C686B" w:rsidP="006C7D4B">
      <w:pPr>
        <w:pStyle w:val="ListParagraph"/>
        <w:numPr>
          <w:ilvl w:val="0"/>
          <w:numId w:val="15"/>
        </w:numPr>
        <w:jc w:val="both"/>
        <w:rPr>
          <w:sz w:val="22"/>
          <w:szCs w:val="22"/>
        </w:rPr>
      </w:pPr>
      <w:r w:rsidRPr="00EA0830">
        <w:rPr>
          <w:sz w:val="22"/>
          <w:szCs w:val="22"/>
        </w:rPr>
        <w:t xml:space="preserve">Finally, the Evaluation Team noted that the Project Team and UNDP did not use the option of conducting </w:t>
      </w:r>
      <w:r w:rsidR="006C7D4B" w:rsidRPr="00EA0830">
        <w:rPr>
          <w:sz w:val="22"/>
          <w:szCs w:val="22"/>
        </w:rPr>
        <w:t xml:space="preserve">a </w:t>
      </w:r>
      <w:r w:rsidRPr="00EA0830">
        <w:rPr>
          <w:sz w:val="22"/>
          <w:szCs w:val="22"/>
        </w:rPr>
        <w:t xml:space="preserve">mid-term review to review how well the project was progressing. </w:t>
      </w:r>
      <w:r w:rsidR="00EA0830" w:rsidRPr="00EA0830">
        <w:rPr>
          <w:sz w:val="22"/>
          <w:szCs w:val="22"/>
        </w:rPr>
        <w:t>Due to the project size and duration, a decision was made at the inception workshop on not conducting a mid-term review of the project. However, c</w:t>
      </w:r>
      <w:r w:rsidR="006C7D4B" w:rsidRPr="00EA0830">
        <w:rPr>
          <w:sz w:val="22"/>
          <w:szCs w:val="22"/>
        </w:rPr>
        <w:t xml:space="preserve">onsidering that the project was not doing well up to its mid-point and that the project total duration was only 36 months, an </w:t>
      </w:r>
      <w:r w:rsidR="00217780" w:rsidRPr="00EA0830">
        <w:rPr>
          <w:sz w:val="22"/>
          <w:szCs w:val="22"/>
        </w:rPr>
        <w:t>external review at the mid-point would have certainly provided valuable insight</w:t>
      </w:r>
      <w:r w:rsidR="006C7D4B" w:rsidRPr="00EA0830">
        <w:rPr>
          <w:sz w:val="22"/>
          <w:szCs w:val="22"/>
        </w:rPr>
        <w:t>s</w:t>
      </w:r>
      <w:r w:rsidR="00217780" w:rsidRPr="00EA0830">
        <w:rPr>
          <w:sz w:val="22"/>
          <w:szCs w:val="22"/>
        </w:rPr>
        <w:t xml:space="preserve"> on the overall progress of the project and </w:t>
      </w:r>
      <w:r w:rsidR="006C7D4B" w:rsidRPr="00EA0830">
        <w:rPr>
          <w:sz w:val="22"/>
          <w:szCs w:val="22"/>
        </w:rPr>
        <w:t>help</w:t>
      </w:r>
      <w:r w:rsidR="00EA0830" w:rsidRPr="00EA0830">
        <w:rPr>
          <w:sz w:val="22"/>
          <w:szCs w:val="22"/>
        </w:rPr>
        <w:t>ed</w:t>
      </w:r>
      <w:r w:rsidR="006C7D4B" w:rsidRPr="00EA0830">
        <w:rPr>
          <w:sz w:val="22"/>
          <w:szCs w:val="22"/>
        </w:rPr>
        <w:t xml:space="preserve"> the Project Board to make decisions to address the issues at hand at the time. Nevertheless, the Evaluation Team also noted that the Project Board with UNDP lead made the right decision and move quickly enough to address the issue by replacing the PM. </w:t>
      </w:r>
    </w:p>
    <w:p w14:paraId="495DDACE" w14:textId="77777777" w:rsidR="00217780" w:rsidRPr="00550B05" w:rsidRDefault="00217780" w:rsidP="00217780">
      <w:pPr>
        <w:jc w:val="both"/>
        <w:rPr>
          <w:sz w:val="22"/>
          <w:szCs w:val="22"/>
        </w:rPr>
      </w:pPr>
    </w:p>
    <w:p w14:paraId="2A804FCE" w14:textId="47191E91" w:rsidR="00B54761" w:rsidRPr="00550B05" w:rsidRDefault="00217780" w:rsidP="00550B05">
      <w:pPr>
        <w:pStyle w:val="ListParagraph"/>
        <w:numPr>
          <w:ilvl w:val="0"/>
          <w:numId w:val="15"/>
        </w:numPr>
        <w:jc w:val="both"/>
        <w:rPr>
          <w:sz w:val="22"/>
          <w:szCs w:val="22"/>
        </w:rPr>
      </w:pPr>
      <w:r w:rsidRPr="00550B05">
        <w:rPr>
          <w:sz w:val="22"/>
          <w:szCs w:val="22"/>
        </w:rPr>
        <w:t xml:space="preserve">In conclusion, the </w:t>
      </w:r>
      <w:r w:rsidR="00550B05" w:rsidRPr="00550B05">
        <w:rPr>
          <w:sz w:val="22"/>
          <w:szCs w:val="22"/>
        </w:rPr>
        <w:t>review of project management activities reveals that adaptive management was used as a management approach to particularly allocate effectively and efficiently project financial resources, including the provision of international and national technical expertise. On one hand, the log-frame gave the project team an overall plan to guide the implementation and on the other hand the project management team used adaptive management to properly allocate the financial resources available</w:t>
      </w:r>
      <w:r w:rsidR="00550B05">
        <w:rPr>
          <w:sz w:val="22"/>
          <w:szCs w:val="22"/>
        </w:rPr>
        <w:t xml:space="preserve"> and find ways to stay on time</w:t>
      </w:r>
      <w:r w:rsidR="00550B05" w:rsidRPr="00550B05">
        <w:rPr>
          <w:sz w:val="22"/>
          <w:szCs w:val="22"/>
        </w:rPr>
        <w:t>.</w:t>
      </w:r>
      <w:r w:rsidR="00550B05">
        <w:rPr>
          <w:sz w:val="22"/>
          <w:szCs w:val="22"/>
        </w:rPr>
        <w:t xml:space="preserve"> This approach certainly contributed to the long-term sustainability of project achievements. </w:t>
      </w:r>
      <w:r w:rsidR="00B54761" w:rsidRPr="00550B05">
        <w:rPr>
          <w:sz w:val="22"/>
          <w:szCs w:val="22"/>
        </w:rPr>
        <w:t xml:space="preserve"> </w:t>
      </w:r>
    </w:p>
    <w:p w14:paraId="76E7362E" w14:textId="77777777" w:rsidR="00FF605D" w:rsidRPr="00FB6D4E" w:rsidRDefault="00FF605D" w:rsidP="000C45A2">
      <w:pPr>
        <w:jc w:val="both"/>
        <w:rPr>
          <w:sz w:val="22"/>
          <w:szCs w:val="22"/>
        </w:rPr>
      </w:pPr>
    </w:p>
    <w:p w14:paraId="1F167009" w14:textId="77777777" w:rsidR="006E3DAE"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46" w:name="_Toc308103255"/>
      <w:r w:rsidRPr="00FB6D4E">
        <w:rPr>
          <w:rFonts w:ascii="Arial" w:hAnsi="Arial" w:cs="Arial"/>
          <w:i/>
          <w:sz w:val="22"/>
          <w:szCs w:val="22"/>
        </w:rPr>
        <w:t>Partnership Arrangements</w:t>
      </w:r>
      <w:bookmarkEnd w:id="46"/>
    </w:p>
    <w:p w14:paraId="3EDD1B11" w14:textId="77777777" w:rsidR="00695DF1" w:rsidRDefault="00695DF1" w:rsidP="00695DF1">
      <w:pPr>
        <w:pStyle w:val="ListParagraph"/>
        <w:ind w:left="0"/>
        <w:jc w:val="both"/>
        <w:rPr>
          <w:sz w:val="22"/>
          <w:szCs w:val="22"/>
        </w:rPr>
      </w:pPr>
    </w:p>
    <w:p w14:paraId="1723C232" w14:textId="4368BC6D" w:rsidR="00695DF1" w:rsidRPr="00052319" w:rsidRDefault="00695DF1" w:rsidP="00695DF1">
      <w:pPr>
        <w:pStyle w:val="ListParagraph"/>
        <w:numPr>
          <w:ilvl w:val="0"/>
          <w:numId w:val="15"/>
        </w:numPr>
        <w:jc w:val="both"/>
        <w:rPr>
          <w:sz w:val="22"/>
          <w:szCs w:val="22"/>
        </w:rPr>
      </w:pPr>
      <w:r w:rsidRPr="00052319">
        <w:rPr>
          <w:sz w:val="22"/>
          <w:szCs w:val="22"/>
        </w:rPr>
        <w:t>As discussed in Section</w:t>
      </w:r>
      <w:r w:rsidR="00052319" w:rsidRPr="00052319">
        <w:rPr>
          <w:sz w:val="22"/>
          <w:szCs w:val="22"/>
        </w:rPr>
        <w:t>s 4.1.5 and 4.1.8</w:t>
      </w:r>
      <w:r w:rsidRPr="00052319">
        <w:rPr>
          <w:sz w:val="22"/>
          <w:szCs w:val="22"/>
        </w:rPr>
        <w:t xml:space="preserve"> above, the Stakeholders engagement and the management arrangements of the project were adequate for the implementation of the project</w:t>
      </w:r>
      <w:r w:rsidR="00052319" w:rsidRPr="00052319">
        <w:rPr>
          <w:sz w:val="22"/>
          <w:szCs w:val="22"/>
        </w:rPr>
        <w:t>. Most of them were already involved in the implementation of the National Capacity Self-Assessment (NCSA) and they were consult</w:t>
      </w:r>
      <w:r w:rsidR="00F25F74">
        <w:rPr>
          <w:sz w:val="22"/>
          <w:szCs w:val="22"/>
        </w:rPr>
        <w:t>ed during the formulation of this</w:t>
      </w:r>
      <w:r w:rsidR="00052319" w:rsidRPr="00052319">
        <w:rPr>
          <w:sz w:val="22"/>
          <w:szCs w:val="22"/>
        </w:rPr>
        <w:t xml:space="preserve"> project</w:t>
      </w:r>
      <w:r w:rsidR="00F25F74">
        <w:rPr>
          <w:sz w:val="22"/>
          <w:szCs w:val="22"/>
        </w:rPr>
        <w:t>, which is a follow up to the NCSA</w:t>
      </w:r>
      <w:r w:rsidR="00052319" w:rsidRPr="00052319">
        <w:rPr>
          <w:sz w:val="22"/>
          <w:szCs w:val="22"/>
        </w:rPr>
        <w:t>. As a result,</w:t>
      </w:r>
      <w:r w:rsidRPr="00052319">
        <w:rPr>
          <w:sz w:val="22"/>
          <w:szCs w:val="22"/>
        </w:rPr>
        <w:t xml:space="preserve"> clear roles and responsibilities for each party engaged in the implementation </w:t>
      </w:r>
      <w:r w:rsidR="00052319" w:rsidRPr="00052319">
        <w:rPr>
          <w:sz w:val="22"/>
          <w:szCs w:val="22"/>
        </w:rPr>
        <w:t>were identified at the outset of the project</w:t>
      </w:r>
      <w:r w:rsidRPr="00052319">
        <w:rPr>
          <w:sz w:val="22"/>
          <w:szCs w:val="22"/>
        </w:rPr>
        <w:t xml:space="preserve">. The list of Stakeholders and their </w:t>
      </w:r>
      <w:r w:rsidR="0083476B">
        <w:rPr>
          <w:sz w:val="22"/>
          <w:szCs w:val="22"/>
        </w:rPr>
        <w:t>main functions</w:t>
      </w:r>
      <w:r w:rsidRPr="00052319">
        <w:rPr>
          <w:sz w:val="22"/>
          <w:szCs w:val="22"/>
        </w:rPr>
        <w:t xml:space="preserve"> is provided in table 6 in Section 4.1.5.</w:t>
      </w:r>
    </w:p>
    <w:p w14:paraId="51DDB9F3" w14:textId="77777777" w:rsidR="00695DF1" w:rsidRPr="00052319" w:rsidRDefault="00695DF1" w:rsidP="00695DF1">
      <w:pPr>
        <w:pStyle w:val="ListParagraph"/>
        <w:ind w:left="0"/>
        <w:jc w:val="both"/>
        <w:rPr>
          <w:sz w:val="22"/>
          <w:szCs w:val="22"/>
        </w:rPr>
      </w:pPr>
    </w:p>
    <w:p w14:paraId="20C847FE" w14:textId="516E71AB" w:rsidR="00052319" w:rsidRPr="0083476B" w:rsidRDefault="00695DF1" w:rsidP="00695DF1">
      <w:pPr>
        <w:pStyle w:val="ListParagraph"/>
        <w:numPr>
          <w:ilvl w:val="0"/>
          <w:numId w:val="15"/>
        </w:numPr>
        <w:jc w:val="both"/>
        <w:rPr>
          <w:sz w:val="22"/>
          <w:szCs w:val="22"/>
        </w:rPr>
      </w:pPr>
      <w:r w:rsidRPr="0083476B">
        <w:rPr>
          <w:sz w:val="22"/>
          <w:szCs w:val="22"/>
        </w:rPr>
        <w:t>The Evaluation Team particularly noted the valuable partnership between the project</w:t>
      </w:r>
      <w:r w:rsidR="00052319" w:rsidRPr="0083476B">
        <w:rPr>
          <w:sz w:val="22"/>
          <w:szCs w:val="22"/>
        </w:rPr>
        <w:t xml:space="preserve"> Team, MOE, MOF and MOEco</w:t>
      </w:r>
      <w:r w:rsidRPr="0083476B">
        <w:rPr>
          <w:sz w:val="22"/>
          <w:szCs w:val="22"/>
        </w:rPr>
        <w:t xml:space="preserve">. </w:t>
      </w:r>
      <w:r w:rsidR="00052319" w:rsidRPr="0083476B">
        <w:rPr>
          <w:sz w:val="22"/>
          <w:szCs w:val="22"/>
        </w:rPr>
        <w:t xml:space="preserve">These stakeholders played a key role in the implementation of the project. They participated to the functions of the Project Board and provided </w:t>
      </w:r>
      <w:r w:rsidR="00875D86">
        <w:rPr>
          <w:sz w:val="22"/>
          <w:szCs w:val="22"/>
        </w:rPr>
        <w:t xml:space="preserve">overall </w:t>
      </w:r>
      <w:r w:rsidR="00052319" w:rsidRPr="0083476B">
        <w:rPr>
          <w:sz w:val="22"/>
          <w:szCs w:val="22"/>
        </w:rPr>
        <w:t xml:space="preserve">guidance to the implementation of project activities. </w:t>
      </w:r>
      <w:r w:rsidR="00F25F74">
        <w:rPr>
          <w:sz w:val="22"/>
          <w:szCs w:val="22"/>
        </w:rPr>
        <w:t>They also provided the political link</w:t>
      </w:r>
      <w:r w:rsidR="00213F78">
        <w:rPr>
          <w:sz w:val="22"/>
          <w:szCs w:val="22"/>
        </w:rPr>
        <w:t>s</w:t>
      </w:r>
      <w:r w:rsidR="00F25F74">
        <w:rPr>
          <w:sz w:val="22"/>
          <w:szCs w:val="22"/>
        </w:rPr>
        <w:t xml:space="preserve"> between project activities and the high level of government. Due to the nature of this project – environmental fiscal reform – any proposal has a political side. All activities conducted to review the existing NEF, to learn from similar international experiences and to develop a proposal to reform it ended up at the political level for a final decision to approve and endorse the proposal before any change</w:t>
      </w:r>
      <w:r w:rsidR="00213F78">
        <w:rPr>
          <w:sz w:val="22"/>
          <w:szCs w:val="22"/>
        </w:rPr>
        <w:t>s</w:t>
      </w:r>
      <w:r w:rsidR="00F25F74">
        <w:rPr>
          <w:sz w:val="22"/>
          <w:szCs w:val="22"/>
        </w:rPr>
        <w:t xml:space="preserve"> can take place. The same is true for re</w:t>
      </w:r>
      <w:r w:rsidR="00F25F74">
        <w:rPr>
          <w:sz w:val="22"/>
          <w:szCs w:val="22"/>
        </w:rPr>
        <w:lastRenderedPageBreak/>
        <w:t>forming the pollution charges. A review of the existing Law was conducted, international best practices were analyzed and a proposal to change these charges was develop</w:t>
      </w:r>
      <w:r w:rsidR="00213F78">
        <w:rPr>
          <w:sz w:val="22"/>
          <w:szCs w:val="22"/>
        </w:rPr>
        <w:t>ed</w:t>
      </w:r>
      <w:r w:rsidR="00F25F74">
        <w:rPr>
          <w:sz w:val="22"/>
          <w:szCs w:val="22"/>
        </w:rPr>
        <w:t>. This proposal needs now to be approved and endorsed by the Parliament to become a new Law in order for changes to take place.</w:t>
      </w:r>
    </w:p>
    <w:p w14:paraId="4E7D65C1" w14:textId="77777777" w:rsidR="00695DF1" w:rsidRPr="009206DC" w:rsidRDefault="00695DF1" w:rsidP="00695DF1">
      <w:pPr>
        <w:jc w:val="both"/>
        <w:rPr>
          <w:sz w:val="22"/>
          <w:szCs w:val="22"/>
        </w:rPr>
      </w:pPr>
    </w:p>
    <w:p w14:paraId="581D7BAF" w14:textId="6524E0BD" w:rsidR="0083476B" w:rsidRPr="009206DC" w:rsidRDefault="0083476B" w:rsidP="00695DF1">
      <w:pPr>
        <w:pStyle w:val="ListParagraph"/>
        <w:numPr>
          <w:ilvl w:val="0"/>
          <w:numId w:val="15"/>
        </w:numPr>
        <w:jc w:val="both"/>
        <w:rPr>
          <w:sz w:val="22"/>
          <w:szCs w:val="22"/>
        </w:rPr>
      </w:pPr>
      <w:r w:rsidRPr="009206DC">
        <w:rPr>
          <w:sz w:val="22"/>
          <w:szCs w:val="22"/>
        </w:rPr>
        <w:t>These partnership</w:t>
      </w:r>
      <w:r w:rsidR="00695DF1" w:rsidRPr="009206DC">
        <w:rPr>
          <w:sz w:val="22"/>
          <w:szCs w:val="22"/>
        </w:rPr>
        <w:t xml:space="preserve"> arrangement</w:t>
      </w:r>
      <w:r w:rsidRPr="009206DC">
        <w:rPr>
          <w:sz w:val="22"/>
          <w:szCs w:val="22"/>
        </w:rPr>
        <w:t>s</w:t>
      </w:r>
      <w:r w:rsidR="00695DF1" w:rsidRPr="009206DC">
        <w:rPr>
          <w:sz w:val="22"/>
          <w:szCs w:val="22"/>
        </w:rPr>
        <w:t xml:space="preserve"> provided a good collaboration between government services and the project. It provided the project with a good “conduit” to communicate </w:t>
      </w:r>
      <w:r w:rsidR="00F25F74">
        <w:rPr>
          <w:sz w:val="22"/>
          <w:szCs w:val="22"/>
        </w:rPr>
        <w:t xml:space="preserve">and collaborate </w:t>
      </w:r>
      <w:r w:rsidR="00695DF1" w:rsidRPr="009206DC">
        <w:rPr>
          <w:sz w:val="22"/>
          <w:szCs w:val="22"/>
        </w:rPr>
        <w:t xml:space="preserve">with </w:t>
      </w:r>
      <w:r w:rsidRPr="009206DC">
        <w:rPr>
          <w:sz w:val="22"/>
          <w:szCs w:val="22"/>
        </w:rPr>
        <w:t xml:space="preserve">key </w:t>
      </w:r>
      <w:r w:rsidR="00695DF1" w:rsidRPr="009206DC">
        <w:rPr>
          <w:sz w:val="22"/>
          <w:szCs w:val="22"/>
        </w:rPr>
        <w:t>government services</w:t>
      </w:r>
      <w:r w:rsidRPr="009206DC">
        <w:rPr>
          <w:sz w:val="22"/>
          <w:szCs w:val="22"/>
        </w:rPr>
        <w:t>.</w:t>
      </w:r>
      <w:r w:rsidR="00F25F74">
        <w:rPr>
          <w:sz w:val="22"/>
          <w:szCs w:val="22"/>
        </w:rPr>
        <w:t xml:space="preserve"> Ultimately, the project document </w:t>
      </w:r>
      <w:r w:rsidR="00410F4B">
        <w:rPr>
          <w:sz w:val="22"/>
          <w:szCs w:val="22"/>
        </w:rPr>
        <w:t xml:space="preserve">was developed with the concept that all these partners will be brought together in a national commission on EFR, which would have acted also </w:t>
      </w:r>
      <w:r w:rsidR="00410F4B" w:rsidRPr="00410F4B">
        <w:rPr>
          <w:sz w:val="22"/>
          <w:szCs w:val="22"/>
        </w:rPr>
        <w:t>as the project’s coordination and decision-making body (Project Board)</w:t>
      </w:r>
      <w:r w:rsidR="00213F78">
        <w:rPr>
          <w:sz w:val="22"/>
          <w:szCs w:val="22"/>
        </w:rPr>
        <w:t xml:space="preserve"> during the lifetime of the project. </w:t>
      </w:r>
      <w:r w:rsidR="00410F4B" w:rsidRPr="00410F4B">
        <w:rPr>
          <w:sz w:val="22"/>
          <w:szCs w:val="22"/>
        </w:rPr>
        <w:t xml:space="preserve"> </w:t>
      </w:r>
      <w:r w:rsidR="00410F4B">
        <w:rPr>
          <w:sz w:val="22"/>
          <w:szCs w:val="22"/>
        </w:rPr>
        <w:t>At the time of this evaluation, this commission has not been created yet. Proposals and discussions took place during the implementation of the project to set up such as commission but the political instability o</w:t>
      </w:r>
      <w:r w:rsidR="001C6260">
        <w:rPr>
          <w:sz w:val="22"/>
          <w:szCs w:val="22"/>
        </w:rPr>
        <w:t>f the last few years in Moldova</w:t>
      </w:r>
      <w:r w:rsidR="00410F4B">
        <w:rPr>
          <w:sz w:val="22"/>
          <w:szCs w:val="22"/>
        </w:rPr>
        <w:t xml:space="preserve"> has so far prevented the creation of such body. However, the concept is not “buried” and the topic of EFR may end up in a new commission or </w:t>
      </w:r>
      <w:r w:rsidR="001C6260">
        <w:rPr>
          <w:sz w:val="22"/>
          <w:szCs w:val="22"/>
        </w:rPr>
        <w:t xml:space="preserve">in </w:t>
      </w:r>
      <w:r w:rsidR="00410F4B">
        <w:rPr>
          <w:sz w:val="22"/>
          <w:szCs w:val="22"/>
        </w:rPr>
        <w:t xml:space="preserve">an existing body. </w:t>
      </w:r>
      <w:r w:rsidR="00213F78">
        <w:rPr>
          <w:sz w:val="22"/>
          <w:szCs w:val="22"/>
        </w:rPr>
        <w:t xml:space="preserve">Based on interviews of stakeholders conducted by the Evaluation Team, there is a strong interest to continue “pushing” for these reforms </w:t>
      </w:r>
      <w:r w:rsidR="002D0E7A">
        <w:rPr>
          <w:sz w:val="22"/>
          <w:szCs w:val="22"/>
        </w:rPr>
        <w:t>in Moldova to – ultimately – comply with the EU regulations in the context of implementing the Association Agreement (AA) (</w:t>
      </w:r>
      <w:r w:rsidR="002D0E7A" w:rsidRPr="002D0E7A">
        <w:rPr>
          <w:i/>
          <w:sz w:val="22"/>
          <w:szCs w:val="22"/>
        </w:rPr>
        <w:t>see Section 4.3</w:t>
      </w:r>
      <w:r w:rsidR="002D0E7A">
        <w:rPr>
          <w:sz w:val="22"/>
          <w:szCs w:val="22"/>
        </w:rPr>
        <w:t xml:space="preserve">). </w:t>
      </w:r>
    </w:p>
    <w:p w14:paraId="15EA10F8" w14:textId="77777777" w:rsidR="009828C0" w:rsidRPr="009828C0" w:rsidRDefault="009828C0" w:rsidP="009828C0">
      <w:pPr>
        <w:jc w:val="both"/>
        <w:rPr>
          <w:sz w:val="22"/>
          <w:szCs w:val="22"/>
        </w:rPr>
      </w:pPr>
    </w:p>
    <w:p w14:paraId="4F99A4F4" w14:textId="77777777" w:rsidR="006E3DAE"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47" w:name="_Toc308103256"/>
      <w:r w:rsidRPr="00FB6D4E">
        <w:rPr>
          <w:rFonts w:ascii="Arial" w:hAnsi="Arial" w:cs="Arial"/>
          <w:i/>
          <w:sz w:val="22"/>
          <w:szCs w:val="22"/>
        </w:rPr>
        <w:t>Project Finance</w:t>
      </w:r>
      <w:bookmarkEnd w:id="47"/>
    </w:p>
    <w:p w14:paraId="5459FA95" w14:textId="77777777" w:rsidR="006E3DAE" w:rsidRPr="00FB6D4E" w:rsidRDefault="006E3DAE" w:rsidP="006E3DAE">
      <w:pPr>
        <w:tabs>
          <w:tab w:val="left" w:pos="1472"/>
        </w:tabs>
        <w:jc w:val="both"/>
        <w:rPr>
          <w:sz w:val="22"/>
          <w:szCs w:val="22"/>
        </w:rPr>
      </w:pPr>
    </w:p>
    <w:p w14:paraId="1AEF0D15" w14:textId="41BCC5BD" w:rsidR="001305A4" w:rsidRDefault="002D0E7A" w:rsidP="00986CED">
      <w:pPr>
        <w:pStyle w:val="ListParagraph"/>
        <w:numPr>
          <w:ilvl w:val="0"/>
          <w:numId w:val="15"/>
        </w:numPr>
        <w:jc w:val="both"/>
        <w:rPr>
          <w:sz w:val="22"/>
          <w:szCs w:val="22"/>
        </w:rPr>
      </w:pPr>
      <w:r>
        <w:rPr>
          <w:sz w:val="22"/>
          <w:szCs w:val="22"/>
        </w:rPr>
        <w:t>As indicated in Section 4.1.8</w:t>
      </w:r>
      <w:r w:rsidR="00986CED" w:rsidRPr="00D9241A">
        <w:rPr>
          <w:sz w:val="22"/>
          <w:szCs w:val="22"/>
        </w:rPr>
        <w:t>, the implementation modality of the project to allocate, administer and report on pr</w:t>
      </w:r>
      <w:r w:rsidR="00986CED">
        <w:rPr>
          <w:sz w:val="22"/>
          <w:szCs w:val="22"/>
        </w:rPr>
        <w:t xml:space="preserve">oject resources was the UNDP </w:t>
      </w:r>
      <w:r w:rsidR="005940A9">
        <w:rPr>
          <w:sz w:val="22"/>
          <w:szCs w:val="22"/>
        </w:rPr>
        <w:t xml:space="preserve">support to </w:t>
      </w:r>
      <w:r w:rsidR="00986CED" w:rsidRPr="00A14C13">
        <w:rPr>
          <w:sz w:val="22"/>
          <w:szCs w:val="22"/>
        </w:rPr>
        <w:t>N</w:t>
      </w:r>
      <w:r w:rsidR="00986CED">
        <w:rPr>
          <w:sz w:val="22"/>
          <w:szCs w:val="22"/>
        </w:rPr>
        <w:t>IM</w:t>
      </w:r>
      <w:r w:rsidR="00986CED" w:rsidRPr="00A14C13">
        <w:rPr>
          <w:rStyle w:val="FootnoteReference"/>
          <w:sz w:val="22"/>
          <w:szCs w:val="22"/>
          <w:vertAlign w:val="superscript"/>
        </w:rPr>
        <w:footnoteReference w:id="3"/>
      </w:r>
      <w:r w:rsidR="00986CED" w:rsidRPr="00D9241A">
        <w:rPr>
          <w:sz w:val="22"/>
          <w:szCs w:val="22"/>
        </w:rPr>
        <w:t xml:space="preserve"> (National </w:t>
      </w:r>
      <w:r w:rsidR="00986CED">
        <w:rPr>
          <w:sz w:val="22"/>
          <w:szCs w:val="22"/>
        </w:rPr>
        <w:t>Implementation Modality</w:t>
      </w:r>
      <w:r w:rsidR="00986CED" w:rsidRPr="00D9241A">
        <w:rPr>
          <w:sz w:val="22"/>
          <w:szCs w:val="22"/>
        </w:rPr>
        <w:t>)</w:t>
      </w:r>
      <w:r w:rsidR="00DD65A5">
        <w:rPr>
          <w:sz w:val="22"/>
          <w:szCs w:val="22"/>
        </w:rPr>
        <w:t xml:space="preserve"> approach</w:t>
      </w:r>
      <w:r w:rsidR="00986CED">
        <w:rPr>
          <w:sz w:val="22"/>
          <w:szCs w:val="22"/>
        </w:rPr>
        <w:t>; that is project</w:t>
      </w:r>
      <w:r w:rsidR="00986CED" w:rsidRPr="0011184D">
        <w:rPr>
          <w:sz w:val="22"/>
          <w:szCs w:val="22"/>
        </w:rPr>
        <w:t xml:space="preserve"> activities </w:t>
      </w:r>
      <w:r w:rsidR="00986CED">
        <w:rPr>
          <w:sz w:val="22"/>
          <w:szCs w:val="22"/>
        </w:rPr>
        <w:t xml:space="preserve">were </w:t>
      </w:r>
      <w:r w:rsidR="00986CED" w:rsidRPr="0011184D">
        <w:rPr>
          <w:sz w:val="22"/>
          <w:szCs w:val="22"/>
        </w:rPr>
        <w:t xml:space="preserve">carried out by </w:t>
      </w:r>
      <w:r w:rsidR="00DD65A5">
        <w:rPr>
          <w:sz w:val="22"/>
          <w:szCs w:val="22"/>
        </w:rPr>
        <w:t>the</w:t>
      </w:r>
      <w:r w:rsidR="008C27CD">
        <w:rPr>
          <w:sz w:val="22"/>
          <w:szCs w:val="22"/>
        </w:rPr>
        <w:t xml:space="preserve"> Project </w:t>
      </w:r>
      <w:r w:rsidR="005940A9">
        <w:rPr>
          <w:sz w:val="22"/>
          <w:szCs w:val="22"/>
        </w:rPr>
        <w:t xml:space="preserve">Team in partnership with </w:t>
      </w:r>
      <w:r w:rsidR="008C27CD">
        <w:rPr>
          <w:sz w:val="22"/>
          <w:szCs w:val="22"/>
        </w:rPr>
        <w:t>the Ministry of Environment.</w:t>
      </w:r>
    </w:p>
    <w:p w14:paraId="5FD5A822" w14:textId="77777777" w:rsidR="007F547F" w:rsidRPr="0032426E" w:rsidRDefault="007F547F" w:rsidP="007F547F">
      <w:pPr>
        <w:pStyle w:val="ListParagraph"/>
        <w:ind w:left="0"/>
        <w:jc w:val="both"/>
        <w:rPr>
          <w:sz w:val="22"/>
          <w:szCs w:val="22"/>
        </w:rPr>
      </w:pPr>
    </w:p>
    <w:p w14:paraId="6F64CEED" w14:textId="54C46DD7" w:rsidR="00B92D9E" w:rsidRPr="002D0E7A" w:rsidRDefault="00DA40FE" w:rsidP="00B92D9E">
      <w:pPr>
        <w:pStyle w:val="ListParagraph"/>
        <w:numPr>
          <w:ilvl w:val="0"/>
          <w:numId w:val="15"/>
        </w:numPr>
        <w:jc w:val="both"/>
        <w:rPr>
          <w:sz w:val="22"/>
          <w:szCs w:val="22"/>
        </w:rPr>
      </w:pPr>
      <w:r>
        <w:rPr>
          <w:sz w:val="22"/>
          <w:szCs w:val="22"/>
        </w:rPr>
        <w:t xml:space="preserve">At the time of this evaluation, the </w:t>
      </w:r>
      <w:r w:rsidRPr="00DA40FE">
        <w:rPr>
          <w:sz w:val="22"/>
          <w:szCs w:val="22"/>
        </w:rPr>
        <w:t>review of financial records – including both the actual expenditur</w:t>
      </w:r>
      <w:r>
        <w:rPr>
          <w:sz w:val="22"/>
          <w:szCs w:val="22"/>
        </w:rPr>
        <w:t>es for the years 2012 to 2014</w:t>
      </w:r>
      <w:r w:rsidRPr="00DA40FE">
        <w:rPr>
          <w:sz w:val="22"/>
          <w:szCs w:val="22"/>
        </w:rPr>
        <w:t xml:space="preserve"> and actual expenditures plus estimates </w:t>
      </w:r>
      <w:r>
        <w:rPr>
          <w:sz w:val="22"/>
          <w:szCs w:val="22"/>
        </w:rPr>
        <w:t>for the remaining period in 2015</w:t>
      </w:r>
      <w:r w:rsidR="00B92D9E" w:rsidRPr="00B92D9E">
        <w:rPr>
          <w:sz w:val="22"/>
          <w:szCs w:val="22"/>
        </w:rPr>
        <w:t xml:space="preserve"> - </w:t>
      </w:r>
      <w:r w:rsidR="007F547F" w:rsidRPr="00B92D9E">
        <w:rPr>
          <w:sz w:val="22"/>
          <w:szCs w:val="22"/>
        </w:rPr>
        <w:t>indicate</w:t>
      </w:r>
      <w:r w:rsidR="00B27879" w:rsidRPr="00B92D9E">
        <w:rPr>
          <w:sz w:val="22"/>
          <w:szCs w:val="22"/>
        </w:rPr>
        <w:t>s</w:t>
      </w:r>
      <w:r w:rsidR="007F547F" w:rsidRPr="00B92D9E">
        <w:rPr>
          <w:sz w:val="22"/>
          <w:szCs w:val="22"/>
        </w:rPr>
        <w:t xml:space="preserve"> that </w:t>
      </w:r>
      <w:r w:rsidR="00B92D9E" w:rsidRPr="00B92D9E">
        <w:rPr>
          <w:sz w:val="22"/>
          <w:szCs w:val="22"/>
        </w:rPr>
        <w:t xml:space="preserve">about </w:t>
      </w:r>
      <w:r w:rsidRPr="00DA40FE">
        <w:rPr>
          <w:sz w:val="22"/>
          <w:szCs w:val="22"/>
        </w:rPr>
        <w:t>99</w:t>
      </w:r>
      <w:r w:rsidR="007F547F" w:rsidRPr="00B92D9E">
        <w:rPr>
          <w:sz w:val="22"/>
          <w:szCs w:val="22"/>
        </w:rPr>
        <w:t xml:space="preserve">% </w:t>
      </w:r>
      <w:r w:rsidR="0062192C">
        <w:rPr>
          <w:sz w:val="22"/>
          <w:szCs w:val="22"/>
        </w:rPr>
        <w:t>($</w:t>
      </w:r>
      <w:r>
        <w:rPr>
          <w:sz w:val="22"/>
          <w:szCs w:val="22"/>
        </w:rPr>
        <w:t>504,802</w:t>
      </w:r>
      <w:r w:rsidR="0062192C">
        <w:rPr>
          <w:sz w:val="22"/>
          <w:szCs w:val="22"/>
        </w:rPr>
        <w:t xml:space="preserve">) </w:t>
      </w:r>
      <w:r w:rsidR="007F547F" w:rsidRPr="00B92D9E">
        <w:rPr>
          <w:sz w:val="22"/>
          <w:szCs w:val="22"/>
        </w:rPr>
        <w:t xml:space="preserve">of the original </w:t>
      </w:r>
      <w:r>
        <w:rPr>
          <w:sz w:val="22"/>
          <w:szCs w:val="22"/>
        </w:rPr>
        <w:t xml:space="preserve">GEF </w:t>
      </w:r>
      <w:r w:rsidR="0015202D" w:rsidRPr="00B92D9E">
        <w:rPr>
          <w:sz w:val="22"/>
          <w:szCs w:val="22"/>
        </w:rPr>
        <w:t xml:space="preserve">budget (USD </w:t>
      </w:r>
      <w:r>
        <w:rPr>
          <w:sz w:val="22"/>
          <w:szCs w:val="22"/>
        </w:rPr>
        <w:t>510,450</w:t>
      </w:r>
      <w:r w:rsidR="0032426E" w:rsidRPr="00B92D9E">
        <w:rPr>
          <w:sz w:val="22"/>
          <w:szCs w:val="22"/>
        </w:rPr>
        <w:t xml:space="preserve">) </w:t>
      </w:r>
      <w:r>
        <w:rPr>
          <w:sz w:val="22"/>
          <w:szCs w:val="22"/>
        </w:rPr>
        <w:t>will be</w:t>
      </w:r>
      <w:r w:rsidR="00B92D9E" w:rsidRPr="00B92D9E">
        <w:rPr>
          <w:sz w:val="22"/>
          <w:szCs w:val="22"/>
        </w:rPr>
        <w:t xml:space="preserve"> expended </w:t>
      </w:r>
      <w:r>
        <w:rPr>
          <w:sz w:val="22"/>
          <w:szCs w:val="22"/>
        </w:rPr>
        <w:t>by the end of the project (end of September 2015)</w:t>
      </w:r>
      <w:r w:rsidR="00BD03BE">
        <w:rPr>
          <w:sz w:val="22"/>
          <w:szCs w:val="22"/>
        </w:rPr>
        <w:t>; an implementation period of 47</w:t>
      </w:r>
      <w:r>
        <w:rPr>
          <w:sz w:val="22"/>
          <w:szCs w:val="22"/>
        </w:rPr>
        <w:t xml:space="preserve"> months. </w:t>
      </w:r>
      <w:r w:rsidR="003E7735" w:rsidRPr="00B92D9E">
        <w:rPr>
          <w:sz w:val="22"/>
          <w:szCs w:val="22"/>
        </w:rPr>
        <w:t>The breakdown of project expenditures by outcome and by year is presented in the table below.</w:t>
      </w:r>
    </w:p>
    <w:p w14:paraId="096349BF" w14:textId="77777777" w:rsidR="00AC61A2" w:rsidRPr="00B92D9E" w:rsidRDefault="00AC61A2" w:rsidP="00B92D9E">
      <w:pPr>
        <w:jc w:val="both"/>
        <w:rPr>
          <w:sz w:val="22"/>
          <w:szCs w:val="22"/>
          <w:highlight w:val="yellow"/>
        </w:rPr>
      </w:pPr>
    </w:p>
    <w:p w14:paraId="4110CA60" w14:textId="6DEA3893" w:rsidR="00C87072" w:rsidRPr="00FB6D4E" w:rsidRDefault="00C87072" w:rsidP="00FF5CCE">
      <w:pPr>
        <w:pStyle w:val="Caption"/>
        <w:jc w:val="center"/>
        <w:rPr>
          <w:rFonts w:ascii="Arial" w:hAnsi="Arial"/>
        </w:rPr>
      </w:pPr>
      <w:bookmarkStart w:id="48" w:name="_Toc305531035"/>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7</w:t>
      </w:r>
      <w:r w:rsidRPr="00FB6D4E">
        <w:fldChar w:fldCharType="end"/>
      </w:r>
      <w:r w:rsidRPr="00FB6D4E">
        <w:rPr>
          <w:rFonts w:ascii="Arial" w:hAnsi="Arial"/>
        </w:rPr>
        <w:t>:</w:t>
      </w:r>
      <w:r w:rsidR="0083476B">
        <w:rPr>
          <w:rFonts w:ascii="Arial" w:hAnsi="Arial"/>
          <w:b w:val="0"/>
        </w:rPr>
        <w:t xml:space="preserve">  UNDP-GEF</w:t>
      </w:r>
      <w:r w:rsidR="00E92C42">
        <w:rPr>
          <w:rFonts w:ascii="Arial" w:hAnsi="Arial"/>
          <w:b w:val="0"/>
        </w:rPr>
        <w:t xml:space="preserve"> </w:t>
      </w:r>
      <w:r w:rsidRPr="00FB6D4E">
        <w:rPr>
          <w:rFonts w:ascii="Arial" w:hAnsi="Arial"/>
          <w:b w:val="0"/>
        </w:rPr>
        <w:t>Fund</w:t>
      </w:r>
      <w:r w:rsidR="00295370">
        <w:rPr>
          <w:rFonts w:ascii="Arial" w:hAnsi="Arial"/>
          <w:b w:val="0"/>
        </w:rPr>
        <w:t>s</w:t>
      </w:r>
      <w:r w:rsidRPr="00FB6D4E">
        <w:rPr>
          <w:rFonts w:ascii="Arial" w:hAnsi="Arial"/>
          <w:b w:val="0"/>
        </w:rPr>
        <w:t xml:space="preserve"> Disbursement Status</w:t>
      </w:r>
      <w:r w:rsidR="009B4C2A">
        <w:rPr>
          <w:rFonts w:ascii="Arial" w:hAnsi="Arial"/>
          <w:b w:val="0"/>
        </w:rPr>
        <w:t xml:space="preserve"> (in USD)</w:t>
      </w:r>
      <w:bookmarkEnd w:id="48"/>
    </w:p>
    <w:tbl>
      <w:tblPr>
        <w:tblW w:w="0" w:type="auto"/>
        <w:jc w:val="center"/>
        <w:tblLayout w:type="fixed"/>
        <w:tblLook w:val="04A0" w:firstRow="1" w:lastRow="0" w:firstColumn="1" w:lastColumn="0" w:noHBand="0" w:noVBand="1"/>
      </w:tblPr>
      <w:tblGrid>
        <w:gridCol w:w="1895"/>
        <w:gridCol w:w="1021"/>
        <w:gridCol w:w="851"/>
        <w:gridCol w:w="992"/>
        <w:gridCol w:w="851"/>
        <w:gridCol w:w="850"/>
        <w:gridCol w:w="1276"/>
        <w:gridCol w:w="850"/>
      </w:tblGrid>
      <w:tr w:rsidR="00223E0A" w:rsidRPr="00F20F19" w14:paraId="096168C5" w14:textId="77777777" w:rsidTr="00B47FCE">
        <w:trPr>
          <w:trHeight w:val="700"/>
          <w:tblHeader/>
          <w:jc w:val="center"/>
        </w:trPr>
        <w:tc>
          <w:tcPr>
            <w:tcW w:w="1895" w:type="dxa"/>
            <w:tcBorders>
              <w:top w:val="single" w:sz="8" w:space="0" w:color="000000"/>
              <w:left w:val="single" w:sz="8" w:space="0" w:color="000000"/>
              <w:bottom w:val="single" w:sz="8" w:space="0" w:color="000000"/>
              <w:right w:val="single" w:sz="4" w:space="0" w:color="000000"/>
            </w:tcBorders>
            <w:shd w:val="clear" w:color="000000" w:fill="000000"/>
            <w:noWrap/>
            <w:vAlign w:val="center"/>
            <w:hideMark/>
          </w:tcPr>
          <w:p w14:paraId="3C30A23C" w14:textId="77777777" w:rsidR="00223E0A" w:rsidRPr="007F173E" w:rsidRDefault="00223E0A" w:rsidP="00F20F19">
            <w:pPr>
              <w:widowControl/>
              <w:autoSpaceDE/>
              <w:autoSpaceDN/>
              <w:adjustRightInd/>
              <w:jc w:val="center"/>
              <w:rPr>
                <w:rFonts w:ascii="Calibri" w:hAnsi="Calibri"/>
                <w:b/>
                <w:bCs/>
                <w:color w:val="FFFFFF"/>
                <w:sz w:val="18"/>
                <w:szCs w:val="18"/>
              </w:rPr>
            </w:pPr>
            <w:r w:rsidRPr="007F173E">
              <w:rPr>
                <w:rFonts w:ascii="Calibri" w:hAnsi="Calibri"/>
                <w:b/>
                <w:bCs/>
                <w:color w:val="FFFFFF"/>
                <w:sz w:val="18"/>
                <w:szCs w:val="18"/>
              </w:rPr>
              <w:lastRenderedPageBreak/>
              <w:t>Component</w:t>
            </w:r>
          </w:p>
        </w:tc>
        <w:tc>
          <w:tcPr>
            <w:tcW w:w="1021" w:type="dxa"/>
            <w:tcBorders>
              <w:top w:val="single" w:sz="8" w:space="0" w:color="000000"/>
              <w:left w:val="double" w:sz="6" w:space="0" w:color="000000"/>
              <w:bottom w:val="single" w:sz="8" w:space="0" w:color="000000"/>
              <w:right w:val="double" w:sz="6" w:space="0" w:color="000000"/>
            </w:tcBorders>
            <w:shd w:val="clear" w:color="000000" w:fill="000000"/>
            <w:noWrap/>
            <w:vAlign w:val="center"/>
            <w:hideMark/>
          </w:tcPr>
          <w:p w14:paraId="30CCBE13" w14:textId="77777777" w:rsidR="00223E0A" w:rsidRPr="007F173E" w:rsidRDefault="00223E0A" w:rsidP="00F20F19">
            <w:pPr>
              <w:widowControl/>
              <w:autoSpaceDE/>
              <w:autoSpaceDN/>
              <w:adjustRightInd/>
              <w:jc w:val="center"/>
              <w:rPr>
                <w:rFonts w:ascii="Calibri" w:hAnsi="Calibri"/>
                <w:b/>
                <w:bCs/>
                <w:color w:val="FFFFFF"/>
                <w:sz w:val="18"/>
                <w:szCs w:val="18"/>
              </w:rPr>
            </w:pPr>
            <w:r w:rsidRPr="007F173E">
              <w:rPr>
                <w:rFonts w:ascii="Calibri" w:hAnsi="Calibri"/>
                <w:b/>
                <w:bCs/>
                <w:color w:val="FFFFFF"/>
                <w:sz w:val="18"/>
                <w:szCs w:val="18"/>
              </w:rPr>
              <w:t>Budget</w:t>
            </w:r>
          </w:p>
        </w:tc>
        <w:tc>
          <w:tcPr>
            <w:tcW w:w="851"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14:paraId="39A4B66B" w14:textId="7ED79220" w:rsidR="00223E0A" w:rsidRPr="007F173E" w:rsidRDefault="00223E0A" w:rsidP="00F20F19">
            <w:pPr>
              <w:widowControl/>
              <w:autoSpaceDE/>
              <w:autoSpaceDN/>
              <w:adjustRightInd/>
              <w:jc w:val="center"/>
              <w:rPr>
                <w:rFonts w:ascii="Calibri" w:hAnsi="Calibri"/>
                <w:b/>
                <w:bCs/>
                <w:color w:val="FFFFFF"/>
                <w:sz w:val="18"/>
                <w:szCs w:val="18"/>
              </w:rPr>
            </w:pPr>
            <w:r>
              <w:rPr>
                <w:rFonts w:ascii="Calibri" w:hAnsi="Calibri"/>
                <w:b/>
                <w:bCs/>
                <w:color w:val="FFFFFF"/>
                <w:sz w:val="18"/>
                <w:szCs w:val="18"/>
              </w:rPr>
              <w:t>2012</w:t>
            </w:r>
            <w:r w:rsidR="00BD03BE" w:rsidRPr="003C763D">
              <w:rPr>
                <w:rStyle w:val="FootnoteReference"/>
                <w:rFonts w:ascii="Calibri" w:hAnsi="Calibri"/>
                <w:b/>
                <w:bCs/>
                <w:color w:val="FFFFFF"/>
                <w:sz w:val="20"/>
                <w:szCs w:val="20"/>
                <w:vertAlign w:val="superscript"/>
              </w:rPr>
              <w:footnoteReference w:id="4"/>
            </w:r>
          </w:p>
        </w:tc>
        <w:tc>
          <w:tcPr>
            <w:tcW w:w="992"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14:paraId="7EF706B3" w14:textId="77777777" w:rsidR="00223E0A" w:rsidRPr="007F173E" w:rsidRDefault="00223E0A" w:rsidP="00F20F19">
            <w:pPr>
              <w:widowControl/>
              <w:autoSpaceDE/>
              <w:autoSpaceDN/>
              <w:adjustRightInd/>
              <w:jc w:val="center"/>
              <w:rPr>
                <w:rFonts w:ascii="Calibri" w:hAnsi="Calibri"/>
                <w:b/>
                <w:bCs/>
                <w:color w:val="FFFFFF"/>
                <w:sz w:val="18"/>
                <w:szCs w:val="18"/>
              </w:rPr>
            </w:pPr>
            <w:r>
              <w:rPr>
                <w:rFonts w:ascii="Calibri" w:hAnsi="Calibri"/>
                <w:b/>
                <w:bCs/>
                <w:color w:val="FFFFFF"/>
                <w:sz w:val="18"/>
                <w:szCs w:val="18"/>
              </w:rPr>
              <w:t>2013</w:t>
            </w:r>
          </w:p>
        </w:tc>
        <w:tc>
          <w:tcPr>
            <w:tcW w:w="851"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65C90D71" w14:textId="77777777" w:rsidR="00223E0A" w:rsidRPr="007F173E" w:rsidRDefault="00223E0A" w:rsidP="00F20F19">
            <w:pPr>
              <w:widowControl/>
              <w:autoSpaceDE/>
              <w:autoSpaceDN/>
              <w:adjustRightInd/>
              <w:jc w:val="center"/>
              <w:rPr>
                <w:rFonts w:ascii="Calibri" w:hAnsi="Calibri"/>
                <w:b/>
                <w:bCs/>
                <w:color w:val="FFFFFF"/>
                <w:sz w:val="18"/>
                <w:szCs w:val="18"/>
              </w:rPr>
            </w:pPr>
            <w:r>
              <w:rPr>
                <w:rFonts w:ascii="Calibri" w:hAnsi="Calibri"/>
                <w:b/>
                <w:bCs/>
                <w:color w:val="FFFFFF"/>
                <w:sz w:val="18"/>
                <w:szCs w:val="18"/>
              </w:rPr>
              <w:t>2014</w:t>
            </w:r>
          </w:p>
        </w:tc>
        <w:tc>
          <w:tcPr>
            <w:tcW w:w="850"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6D15912C" w14:textId="3F0672A2" w:rsidR="00223E0A" w:rsidRPr="007F173E" w:rsidRDefault="00223E0A" w:rsidP="00F20F19">
            <w:pPr>
              <w:widowControl/>
              <w:autoSpaceDE/>
              <w:autoSpaceDN/>
              <w:adjustRightInd/>
              <w:jc w:val="center"/>
              <w:rPr>
                <w:rFonts w:ascii="Calibri" w:hAnsi="Calibri"/>
                <w:b/>
                <w:bCs/>
                <w:color w:val="FFFFFF"/>
                <w:sz w:val="18"/>
                <w:szCs w:val="18"/>
              </w:rPr>
            </w:pPr>
            <w:r>
              <w:rPr>
                <w:rFonts w:ascii="Calibri" w:hAnsi="Calibri"/>
                <w:b/>
                <w:bCs/>
                <w:color w:val="FFFFFF"/>
                <w:sz w:val="18"/>
                <w:szCs w:val="18"/>
              </w:rPr>
              <w:t>2015</w:t>
            </w:r>
            <w:r w:rsidR="003C763D" w:rsidRPr="003C763D">
              <w:rPr>
                <w:rStyle w:val="FootnoteReference"/>
                <w:rFonts w:ascii="Calibri" w:hAnsi="Calibri"/>
                <w:b/>
                <w:bCs/>
                <w:color w:val="FFFFFF"/>
                <w:sz w:val="20"/>
                <w:szCs w:val="20"/>
                <w:vertAlign w:val="superscript"/>
              </w:rPr>
              <w:footnoteReference w:id="5"/>
            </w:r>
          </w:p>
        </w:tc>
        <w:tc>
          <w:tcPr>
            <w:tcW w:w="1276" w:type="dxa"/>
            <w:tcBorders>
              <w:top w:val="single" w:sz="8" w:space="0" w:color="000000"/>
              <w:left w:val="single" w:sz="4" w:space="0" w:color="000000"/>
              <w:bottom w:val="single" w:sz="8" w:space="0" w:color="000000"/>
              <w:right w:val="single" w:sz="8" w:space="0" w:color="000000"/>
            </w:tcBorders>
            <w:shd w:val="clear" w:color="000000" w:fill="000000"/>
            <w:vAlign w:val="center"/>
            <w:hideMark/>
          </w:tcPr>
          <w:p w14:paraId="6F6F3F1D" w14:textId="77777777" w:rsidR="00223E0A" w:rsidRPr="007F173E" w:rsidRDefault="00223E0A" w:rsidP="00F20F19">
            <w:pPr>
              <w:widowControl/>
              <w:autoSpaceDE/>
              <w:autoSpaceDN/>
              <w:adjustRightInd/>
              <w:jc w:val="center"/>
              <w:rPr>
                <w:rFonts w:ascii="Calibri" w:hAnsi="Calibri"/>
                <w:b/>
                <w:bCs/>
                <w:color w:val="FFFFFF"/>
                <w:sz w:val="18"/>
                <w:szCs w:val="18"/>
              </w:rPr>
            </w:pPr>
            <w:r w:rsidRPr="007F173E">
              <w:rPr>
                <w:rFonts w:ascii="Calibri" w:hAnsi="Calibri"/>
                <w:b/>
                <w:bCs/>
                <w:color w:val="FFFFFF"/>
                <w:sz w:val="18"/>
                <w:szCs w:val="18"/>
              </w:rPr>
              <w:t>Total</w:t>
            </w:r>
          </w:p>
        </w:tc>
        <w:tc>
          <w:tcPr>
            <w:tcW w:w="850" w:type="dxa"/>
            <w:tcBorders>
              <w:top w:val="single" w:sz="8" w:space="0" w:color="000000"/>
              <w:left w:val="single" w:sz="4" w:space="0" w:color="000000"/>
              <w:bottom w:val="single" w:sz="8" w:space="0" w:color="000000"/>
              <w:right w:val="single" w:sz="8" w:space="0" w:color="000000"/>
            </w:tcBorders>
            <w:shd w:val="clear" w:color="000000" w:fill="000000"/>
            <w:vAlign w:val="center"/>
            <w:hideMark/>
          </w:tcPr>
          <w:p w14:paraId="19D53EBD" w14:textId="77777777" w:rsidR="00223E0A" w:rsidRPr="007F173E" w:rsidRDefault="00223E0A" w:rsidP="00F20F19">
            <w:pPr>
              <w:widowControl/>
              <w:autoSpaceDE/>
              <w:autoSpaceDN/>
              <w:adjustRightInd/>
              <w:jc w:val="center"/>
              <w:rPr>
                <w:rFonts w:ascii="Calibri" w:hAnsi="Calibri"/>
                <w:b/>
                <w:bCs/>
                <w:color w:val="FFFFFF"/>
                <w:sz w:val="18"/>
                <w:szCs w:val="18"/>
              </w:rPr>
            </w:pPr>
            <w:r w:rsidRPr="007F173E">
              <w:rPr>
                <w:rFonts w:ascii="Calibri" w:hAnsi="Calibri"/>
                <w:b/>
                <w:bCs/>
                <w:color w:val="FFFFFF"/>
                <w:sz w:val="18"/>
                <w:szCs w:val="18"/>
              </w:rPr>
              <w:t>Total/</w:t>
            </w:r>
          </w:p>
          <w:p w14:paraId="24D48E3C" w14:textId="77777777" w:rsidR="00223E0A" w:rsidRPr="007F173E" w:rsidRDefault="00223E0A" w:rsidP="00F20F19">
            <w:pPr>
              <w:widowControl/>
              <w:autoSpaceDE/>
              <w:autoSpaceDN/>
              <w:adjustRightInd/>
              <w:jc w:val="center"/>
              <w:rPr>
                <w:rFonts w:ascii="Calibri" w:hAnsi="Calibri"/>
                <w:b/>
                <w:bCs/>
                <w:color w:val="FFFFFF"/>
                <w:sz w:val="18"/>
                <w:szCs w:val="18"/>
              </w:rPr>
            </w:pPr>
            <w:r w:rsidRPr="007F173E">
              <w:rPr>
                <w:rFonts w:ascii="Calibri" w:hAnsi="Calibri"/>
                <w:b/>
                <w:bCs/>
                <w:color w:val="FFFFFF"/>
                <w:sz w:val="18"/>
                <w:szCs w:val="18"/>
              </w:rPr>
              <w:t>Budget</w:t>
            </w:r>
          </w:p>
        </w:tc>
      </w:tr>
      <w:tr w:rsidR="00223E0A" w:rsidRPr="00F20F19" w14:paraId="3C3BBA5D" w14:textId="77777777" w:rsidTr="00B47FCE">
        <w:trPr>
          <w:trHeight w:val="420"/>
          <w:jc w:val="center"/>
        </w:trPr>
        <w:tc>
          <w:tcPr>
            <w:tcW w:w="1895" w:type="dxa"/>
            <w:tcBorders>
              <w:top w:val="single" w:sz="4" w:space="0" w:color="000000"/>
              <w:left w:val="single" w:sz="8" w:space="0" w:color="000000"/>
              <w:bottom w:val="single" w:sz="4" w:space="0" w:color="000000"/>
              <w:right w:val="single" w:sz="4" w:space="0" w:color="000000"/>
            </w:tcBorders>
            <w:shd w:val="clear" w:color="D9D9D9" w:fill="D9D9D9"/>
            <w:noWrap/>
            <w:vAlign w:val="center"/>
            <w:hideMark/>
          </w:tcPr>
          <w:p w14:paraId="78FD004A" w14:textId="77777777" w:rsidR="00223E0A" w:rsidRPr="00F20F19" w:rsidRDefault="00223E0A" w:rsidP="00D46F51">
            <w:pPr>
              <w:widowControl/>
              <w:autoSpaceDE/>
              <w:autoSpaceDN/>
              <w:adjustRightInd/>
              <w:rPr>
                <w:rFonts w:ascii="Calibri" w:hAnsi="Calibri"/>
                <w:b/>
                <w:bCs/>
                <w:color w:val="000000"/>
                <w:sz w:val="18"/>
                <w:szCs w:val="18"/>
              </w:rPr>
            </w:pPr>
            <w:r w:rsidRPr="00F20F19">
              <w:rPr>
                <w:rFonts w:ascii="Calibri" w:hAnsi="Calibri"/>
                <w:b/>
                <w:bCs/>
                <w:color w:val="000000"/>
                <w:sz w:val="18"/>
                <w:szCs w:val="18"/>
              </w:rPr>
              <w:t>Outcome 1</w:t>
            </w:r>
          </w:p>
        </w:tc>
        <w:tc>
          <w:tcPr>
            <w:tcW w:w="1021" w:type="dxa"/>
            <w:tcBorders>
              <w:top w:val="single" w:sz="4" w:space="0" w:color="000000"/>
              <w:left w:val="double" w:sz="6" w:space="0" w:color="000000"/>
              <w:bottom w:val="single" w:sz="4" w:space="0" w:color="000000"/>
              <w:right w:val="double" w:sz="6" w:space="0" w:color="000000"/>
            </w:tcBorders>
            <w:shd w:val="clear" w:color="D9D9D9" w:fill="D9D9D9"/>
            <w:noWrap/>
            <w:vAlign w:val="center"/>
          </w:tcPr>
          <w:p w14:paraId="1D0115F7" w14:textId="102ABEB4" w:rsidR="00223E0A" w:rsidRPr="002E6227" w:rsidRDefault="00BD03BE" w:rsidP="00D46F51">
            <w:pPr>
              <w:widowControl/>
              <w:autoSpaceDE/>
              <w:autoSpaceDN/>
              <w:adjustRightInd/>
              <w:jc w:val="right"/>
              <w:rPr>
                <w:rFonts w:ascii="Calibri" w:hAnsi="Calibri"/>
                <w:b/>
                <w:color w:val="000000"/>
                <w:sz w:val="18"/>
                <w:szCs w:val="18"/>
              </w:rPr>
            </w:pPr>
            <w:r>
              <w:rPr>
                <w:rFonts w:ascii="Calibri" w:hAnsi="Calibri"/>
                <w:b/>
                <w:color w:val="000000"/>
                <w:sz w:val="18"/>
                <w:szCs w:val="18"/>
              </w:rPr>
              <w:t>157,500</w:t>
            </w:r>
          </w:p>
        </w:tc>
        <w:tc>
          <w:tcPr>
            <w:tcW w:w="851"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4DB45A9A" w14:textId="49626B6E" w:rsidR="00223E0A" w:rsidRPr="00F20F19" w:rsidRDefault="00BD03BE" w:rsidP="00D46F51">
            <w:pPr>
              <w:widowControl/>
              <w:autoSpaceDE/>
              <w:autoSpaceDN/>
              <w:adjustRightInd/>
              <w:jc w:val="right"/>
              <w:rPr>
                <w:rFonts w:ascii="Calibri" w:hAnsi="Calibri"/>
                <w:color w:val="000000"/>
                <w:sz w:val="18"/>
                <w:szCs w:val="18"/>
              </w:rPr>
            </w:pPr>
            <w:r>
              <w:rPr>
                <w:rFonts w:ascii="Calibri" w:hAnsi="Calibri"/>
                <w:color w:val="000000"/>
                <w:sz w:val="18"/>
                <w:szCs w:val="18"/>
              </w:rPr>
              <w:t>29,890</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1B04B6CA" w14:textId="5183C855"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27,032</w:t>
            </w:r>
          </w:p>
        </w:tc>
        <w:tc>
          <w:tcPr>
            <w:tcW w:w="851"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1EE52BFE" w14:textId="4CB25293"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98,784</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58D5631F" w14:textId="676170F7"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w:t>
            </w:r>
          </w:p>
        </w:tc>
        <w:tc>
          <w:tcPr>
            <w:tcW w:w="1276" w:type="dxa"/>
            <w:tcBorders>
              <w:top w:val="single" w:sz="4" w:space="0" w:color="000000"/>
              <w:left w:val="single" w:sz="4" w:space="0" w:color="000000"/>
              <w:bottom w:val="single" w:sz="4" w:space="0" w:color="000000"/>
              <w:right w:val="single" w:sz="8" w:space="0" w:color="000000"/>
            </w:tcBorders>
            <w:shd w:val="clear" w:color="D9D9D9" w:fill="D9D9D9"/>
            <w:noWrap/>
            <w:vAlign w:val="center"/>
          </w:tcPr>
          <w:p w14:paraId="0D4890C7" w14:textId="0DFCBEDE" w:rsidR="00223E0A" w:rsidRPr="002E6227" w:rsidRDefault="003C763D" w:rsidP="00D46F51">
            <w:pPr>
              <w:widowControl/>
              <w:autoSpaceDE/>
              <w:autoSpaceDN/>
              <w:adjustRightInd/>
              <w:jc w:val="right"/>
              <w:rPr>
                <w:rFonts w:ascii="Calibri" w:hAnsi="Calibri"/>
                <w:b/>
                <w:bCs/>
                <w:color w:val="000000"/>
                <w:sz w:val="20"/>
                <w:szCs w:val="20"/>
              </w:rPr>
            </w:pPr>
            <w:r>
              <w:rPr>
                <w:rFonts w:ascii="Calibri" w:hAnsi="Calibri"/>
                <w:b/>
                <w:bCs/>
                <w:color w:val="000000"/>
                <w:sz w:val="20"/>
                <w:szCs w:val="20"/>
              </w:rPr>
              <w:t>155,706</w:t>
            </w:r>
          </w:p>
        </w:tc>
        <w:tc>
          <w:tcPr>
            <w:tcW w:w="850" w:type="dxa"/>
            <w:tcBorders>
              <w:top w:val="single" w:sz="4" w:space="0" w:color="000000"/>
              <w:left w:val="single" w:sz="4" w:space="0" w:color="000000"/>
              <w:bottom w:val="single" w:sz="4" w:space="0" w:color="000000"/>
              <w:right w:val="single" w:sz="8" w:space="0" w:color="000000"/>
            </w:tcBorders>
            <w:shd w:val="clear" w:color="D9D9D9" w:fill="D9D9D9"/>
            <w:noWrap/>
            <w:vAlign w:val="center"/>
          </w:tcPr>
          <w:p w14:paraId="33E6E714" w14:textId="6A02BC3F" w:rsidR="00223E0A" w:rsidRPr="00B47FCE" w:rsidRDefault="003C763D" w:rsidP="00E76716">
            <w:pPr>
              <w:widowControl/>
              <w:autoSpaceDE/>
              <w:autoSpaceDN/>
              <w:adjustRightInd/>
              <w:jc w:val="center"/>
              <w:rPr>
                <w:rFonts w:ascii="Calibri" w:hAnsi="Calibri"/>
                <w:b/>
                <w:bCs/>
                <w:color w:val="000000"/>
                <w:sz w:val="18"/>
                <w:szCs w:val="18"/>
              </w:rPr>
            </w:pPr>
            <w:r>
              <w:rPr>
                <w:rFonts w:ascii="Calibri" w:hAnsi="Calibri"/>
                <w:b/>
                <w:bCs/>
                <w:color w:val="000000"/>
                <w:sz w:val="18"/>
                <w:szCs w:val="18"/>
              </w:rPr>
              <w:t>98.9%</w:t>
            </w:r>
          </w:p>
        </w:tc>
      </w:tr>
      <w:tr w:rsidR="00223E0A" w:rsidRPr="00F20F19" w14:paraId="69293680" w14:textId="77777777" w:rsidTr="00B47FCE">
        <w:trPr>
          <w:trHeight w:val="420"/>
          <w:jc w:val="center"/>
        </w:trPr>
        <w:tc>
          <w:tcPr>
            <w:tcW w:w="189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A69624B" w14:textId="77777777" w:rsidR="00223E0A" w:rsidRPr="00F20F19" w:rsidRDefault="00223E0A" w:rsidP="00D46F51">
            <w:pPr>
              <w:widowControl/>
              <w:autoSpaceDE/>
              <w:autoSpaceDN/>
              <w:adjustRightInd/>
              <w:rPr>
                <w:rFonts w:ascii="Calibri" w:hAnsi="Calibri"/>
                <w:b/>
                <w:bCs/>
                <w:color w:val="000000"/>
                <w:sz w:val="18"/>
                <w:szCs w:val="18"/>
              </w:rPr>
            </w:pPr>
            <w:r w:rsidRPr="00F20F19">
              <w:rPr>
                <w:rFonts w:ascii="Calibri" w:hAnsi="Calibri"/>
                <w:b/>
                <w:bCs/>
                <w:color w:val="000000"/>
                <w:sz w:val="18"/>
                <w:szCs w:val="18"/>
              </w:rPr>
              <w:t>Outcome 2</w:t>
            </w:r>
          </w:p>
        </w:tc>
        <w:tc>
          <w:tcPr>
            <w:tcW w:w="1021" w:type="dxa"/>
            <w:tcBorders>
              <w:top w:val="single" w:sz="4" w:space="0" w:color="000000"/>
              <w:left w:val="double" w:sz="6" w:space="0" w:color="000000"/>
              <w:bottom w:val="single" w:sz="4" w:space="0" w:color="000000"/>
              <w:right w:val="double" w:sz="6" w:space="0" w:color="000000"/>
            </w:tcBorders>
            <w:shd w:val="clear" w:color="auto" w:fill="auto"/>
            <w:noWrap/>
            <w:vAlign w:val="center"/>
          </w:tcPr>
          <w:p w14:paraId="17ECAF4A" w14:textId="5D5C672C" w:rsidR="00223E0A" w:rsidRPr="002E6227" w:rsidRDefault="00BD03BE" w:rsidP="00D46F51">
            <w:pPr>
              <w:widowControl/>
              <w:autoSpaceDE/>
              <w:autoSpaceDN/>
              <w:adjustRightInd/>
              <w:jc w:val="right"/>
              <w:rPr>
                <w:rFonts w:ascii="Calibri" w:hAnsi="Calibri"/>
                <w:b/>
                <w:color w:val="000000"/>
                <w:sz w:val="18"/>
                <w:szCs w:val="18"/>
              </w:rPr>
            </w:pPr>
            <w:r>
              <w:rPr>
                <w:rFonts w:ascii="Calibri" w:hAnsi="Calibri"/>
                <w:b/>
                <w:color w:val="000000"/>
                <w:sz w:val="18"/>
                <w:szCs w:val="18"/>
              </w:rPr>
              <w:t>137,200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D6DC4" w14:textId="5FC03878" w:rsidR="00223E0A" w:rsidRPr="00F20F19" w:rsidRDefault="00BD03BE" w:rsidP="00D46F51">
            <w:pPr>
              <w:widowControl/>
              <w:autoSpaceDE/>
              <w:autoSpaceDN/>
              <w:adjustRightInd/>
              <w:jc w:val="right"/>
              <w:rPr>
                <w:rFonts w:ascii="Calibri" w:hAnsi="Calibri"/>
                <w:color w:val="000000"/>
                <w:sz w:val="18"/>
                <w:szCs w:val="18"/>
              </w:rPr>
            </w:pPr>
            <w:r>
              <w:rPr>
                <w:rFonts w:ascii="Calibri" w:hAnsi="Calibri"/>
                <w:color w:val="000000"/>
                <w:sz w:val="18"/>
                <w:szCs w:val="18"/>
              </w:rPr>
              <w:t>1,463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E7C6" w14:textId="47A94935"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1,713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5C3D" w14:textId="7016BC3F"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51,616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F6AAD" w14:textId="0A619289" w:rsidR="00223E0A" w:rsidRPr="00F20F19" w:rsidRDefault="00EA630B" w:rsidP="00D46F51">
            <w:pPr>
              <w:widowControl/>
              <w:autoSpaceDE/>
              <w:autoSpaceDN/>
              <w:adjustRightInd/>
              <w:jc w:val="right"/>
              <w:rPr>
                <w:rFonts w:ascii="Calibri" w:hAnsi="Calibri"/>
                <w:color w:val="000000"/>
                <w:sz w:val="18"/>
                <w:szCs w:val="18"/>
              </w:rPr>
            </w:pPr>
            <w:r>
              <w:rPr>
                <w:rFonts w:ascii="Calibri" w:hAnsi="Calibri"/>
                <w:color w:val="000000"/>
                <w:sz w:val="18"/>
                <w:szCs w:val="18"/>
              </w:rPr>
              <w:t>80,526</w:t>
            </w:r>
          </w:p>
        </w:tc>
        <w:tc>
          <w:tcPr>
            <w:tcW w:w="1276" w:type="dxa"/>
            <w:tcBorders>
              <w:top w:val="single" w:sz="4" w:space="0" w:color="000000"/>
              <w:left w:val="single" w:sz="4" w:space="0" w:color="000000"/>
              <w:bottom w:val="single" w:sz="4" w:space="0" w:color="000000"/>
              <w:right w:val="single" w:sz="8" w:space="0" w:color="000000"/>
            </w:tcBorders>
            <w:shd w:val="clear" w:color="D9D9D9" w:fill="auto"/>
            <w:noWrap/>
            <w:vAlign w:val="center"/>
          </w:tcPr>
          <w:p w14:paraId="6D2C3281" w14:textId="7E571C2C" w:rsidR="00223E0A" w:rsidRPr="002E6227" w:rsidRDefault="00925883" w:rsidP="00D46F51">
            <w:pPr>
              <w:widowControl/>
              <w:autoSpaceDE/>
              <w:autoSpaceDN/>
              <w:adjustRightInd/>
              <w:jc w:val="right"/>
              <w:rPr>
                <w:rFonts w:ascii="Calibri" w:hAnsi="Calibri"/>
                <w:b/>
                <w:bCs/>
                <w:color w:val="000000"/>
                <w:sz w:val="20"/>
                <w:szCs w:val="20"/>
              </w:rPr>
            </w:pPr>
            <w:r>
              <w:rPr>
                <w:rFonts w:ascii="Calibri" w:hAnsi="Calibri"/>
                <w:b/>
                <w:bCs/>
                <w:color w:val="000000"/>
                <w:sz w:val="20"/>
                <w:szCs w:val="20"/>
              </w:rPr>
              <w:t>135,318</w:t>
            </w:r>
          </w:p>
        </w:tc>
        <w:tc>
          <w:tcPr>
            <w:tcW w:w="850" w:type="dxa"/>
            <w:tcBorders>
              <w:top w:val="single" w:sz="4" w:space="0" w:color="000000"/>
              <w:left w:val="single" w:sz="4" w:space="0" w:color="000000"/>
              <w:bottom w:val="single" w:sz="8" w:space="0" w:color="000000"/>
              <w:right w:val="single" w:sz="8" w:space="0" w:color="000000"/>
            </w:tcBorders>
            <w:shd w:val="clear" w:color="D9D9D9" w:fill="auto"/>
            <w:noWrap/>
            <w:vAlign w:val="center"/>
          </w:tcPr>
          <w:p w14:paraId="539A7FE4" w14:textId="744C0E4C" w:rsidR="00223E0A" w:rsidRPr="00B47FCE" w:rsidRDefault="00925883" w:rsidP="00E76716">
            <w:pPr>
              <w:widowControl/>
              <w:autoSpaceDE/>
              <w:autoSpaceDN/>
              <w:adjustRightInd/>
              <w:jc w:val="center"/>
              <w:rPr>
                <w:rFonts w:ascii="Calibri" w:hAnsi="Calibri"/>
                <w:b/>
                <w:bCs/>
                <w:color w:val="000000"/>
                <w:sz w:val="18"/>
                <w:szCs w:val="18"/>
              </w:rPr>
            </w:pPr>
            <w:r>
              <w:rPr>
                <w:rFonts w:ascii="Calibri" w:hAnsi="Calibri"/>
                <w:b/>
                <w:bCs/>
                <w:color w:val="000000"/>
                <w:sz w:val="18"/>
                <w:szCs w:val="18"/>
              </w:rPr>
              <w:t>98.6</w:t>
            </w:r>
            <w:r w:rsidR="003C763D">
              <w:rPr>
                <w:rFonts w:ascii="Calibri" w:hAnsi="Calibri"/>
                <w:b/>
                <w:bCs/>
                <w:color w:val="000000"/>
                <w:sz w:val="18"/>
                <w:szCs w:val="18"/>
              </w:rPr>
              <w:t>%</w:t>
            </w:r>
          </w:p>
        </w:tc>
      </w:tr>
      <w:tr w:rsidR="00223E0A" w:rsidRPr="00F20F19" w14:paraId="38BE71BC" w14:textId="77777777" w:rsidTr="00B47FCE">
        <w:trPr>
          <w:trHeight w:val="420"/>
          <w:jc w:val="center"/>
        </w:trPr>
        <w:tc>
          <w:tcPr>
            <w:tcW w:w="1895" w:type="dxa"/>
            <w:tcBorders>
              <w:top w:val="single" w:sz="4" w:space="0" w:color="000000"/>
              <w:left w:val="single" w:sz="8" w:space="0" w:color="000000"/>
              <w:bottom w:val="single" w:sz="4" w:space="0" w:color="000000"/>
              <w:right w:val="single" w:sz="4" w:space="0" w:color="000000"/>
            </w:tcBorders>
            <w:shd w:val="clear" w:color="D9D9D9" w:fill="D9D9D9"/>
            <w:noWrap/>
            <w:vAlign w:val="center"/>
            <w:hideMark/>
          </w:tcPr>
          <w:p w14:paraId="6D1CC32F" w14:textId="77777777" w:rsidR="00223E0A" w:rsidRPr="00F20F19" w:rsidRDefault="00223E0A" w:rsidP="00D46F51">
            <w:pPr>
              <w:widowControl/>
              <w:autoSpaceDE/>
              <w:autoSpaceDN/>
              <w:adjustRightInd/>
              <w:rPr>
                <w:rFonts w:ascii="Calibri" w:hAnsi="Calibri"/>
                <w:b/>
                <w:bCs/>
                <w:color w:val="000000"/>
                <w:sz w:val="18"/>
                <w:szCs w:val="18"/>
              </w:rPr>
            </w:pPr>
            <w:r>
              <w:rPr>
                <w:rFonts w:ascii="Calibri" w:hAnsi="Calibri"/>
                <w:b/>
                <w:bCs/>
                <w:color w:val="000000"/>
                <w:sz w:val="18"/>
                <w:szCs w:val="18"/>
              </w:rPr>
              <w:t>Outcome 3</w:t>
            </w:r>
          </w:p>
        </w:tc>
        <w:tc>
          <w:tcPr>
            <w:tcW w:w="1021" w:type="dxa"/>
            <w:tcBorders>
              <w:top w:val="single" w:sz="4" w:space="0" w:color="000000"/>
              <w:left w:val="double" w:sz="6" w:space="0" w:color="000000"/>
              <w:bottom w:val="single" w:sz="4" w:space="0" w:color="000000"/>
              <w:right w:val="double" w:sz="6" w:space="0" w:color="000000"/>
            </w:tcBorders>
            <w:shd w:val="clear" w:color="D9D9D9" w:fill="D9D9D9"/>
            <w:noWrap/>
            <w:vAlign w:val="center"/>
          </w:tcPr>
          <w:p w14:paraId="0378D77E" w14:textId="36858F31" w:rsidR="00223E0A" w:rsidRPr="002E6227" w:rsidRDefault="00BD03BE" w:rsidP="00D46F51">
            <w:pPr>
              <w:widowControl/>
              <w:autoSpaceDE/>
              <w:autoSpaceDN/>
              <w:adjustRightInd/>
              <w:jc w:val="right"/>
              <w:rPr>
                <w:rFonts w:ascii="Calibri" w:hAnsi="Calibri"/>
                <w:b/>
                <w:color w:val="000000"/>
                <w:sz w:val="18"/>
                <w:szCs w:val="18"/>
              </w:rPr>
            </w:pPr>
            <w:r>
              <w:rPr>
                <w:rFonts w:ascii="Calibri" w:hAnsi="Calibri"/>
                <w:b/>
                <w:color w:val="000000"/>
                <w:sz w:val="18"/>
                <w:szCs w:val="18"/>
              </w:rPr>
              <w:t>169,750</w:t>
            </w:r>
          </w:p>
        </w:tc>
        <w:tc>
          <w:tcPr>
            <w:tcW w:w="851"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4DEFA22A" w14:textId="6C4347CE" w:rsidR="00223E0A" w:rsidRPr="00F20F19" w:rsidRDefault="00BD03BE" w:rsidP="00D46F51">
            <w:pPr>
              <w:widowControl/>
              <w:autoSpaceDE/>
              <w:autoSpaceDN/>
              <w:adjustRightInd/>
              <w:jc w:val="right"/>
              <w:rPr>
                <w:rFonts w:ascii="Calibri" w:hAnsi="Calibri"/>
                <w:color w:val="000000"/>
                <w:sz w:val="18"/>
                <w:szCs w:val="18"/>
              </w:rPr>
            </w:pPr>
            <w:r>
              <w:rPr>
                <w:rFonts w:ascii="Calibri" w:hAnsi="Calibri"/>
                <w:color w:val="000000"/>
                <w:sz w:val="18"/>
                <w:szCs w:val="18"/>
              </w:rPr>
              <w:t>5,821</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7D2CF13B" w14:textId="446A5869"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402F6BAE" w14:textId="3340BDD7"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1,654</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noWrap/>
            <w:vAlign w:val="center"/>
          </w:tcPr>
          <w:p w14:paraId="7642C6CD" w14:textId="00B26630" w:rsidR="00223E0A" w:rsidRPr="00F20F19" w:rsidRDefault="00EA630B" w:rsidP="00D46F51">
            <w:pPr>
              <w:widowControl/>
              <w:autoSpaceDE/>
              <w:autoSpaceDN/>
              <w:adjustRightInd/>
              <w:jc w:val="right"/>
              <w:rPr>
                <w:rFonts w:ascii="Calibri" w:hAnsi="Calibri"/>
                <w:color w:val="000000"/>
                <w:sz w:val="18"/>
                <w:szCs w:val="18"/>
              </w:rPr>
            </w:pPr>
            <w:r>
              <w:rPr>
                <w:rFonts w:ascii="Calibri" w:hAnsi="Calibri"/>
                <w:color w:val="000000"/>
                <w:sz w:val="18"/>
                <w:szCs w:val="18"/>
              </w:rPr>
              <w:t>161</w:t>
            </w:r>
            <w:r w:rsidR="003C763D">
              <w:rPr>
                <w:rFonts w:ascii="Calibri" w:hAnsi="Calibri"/>
                <w:color w:val="000000"/>
                <w:sz w:val="18"/>
                <w:szCs w:val="18"/>
              </w:rPr>
              <w:t>,228</w:t>
            </w:r>
          </w:p>
        </w:tc>
        <w:tc>
          <w:tcPr>
            <w:tcW w:w="1276" w:type="dxa"/>
            <w:tcBorders>
              <w:top w:val="nil"/>
              <w:left w:val="single" w:sz="4" w:space="0" w:color="000000"/>
              <w:bottom w:val="single" w:sz="4" w:space="0" w:color="000000"/>
              <w:right w:val="single" w:sz="8" w:space="0" w:color="000000"/>
            </w:tcBorders>
            <w:shd w:val="clear" w:color="D9D9D9" w:fill="D9D9D9"/>
            <w:noWrap/>
            <w:vAlign w:val="center"/>
          </w:tcPr>
          <w:p w14:paraId="7AD1A972" w14:textId="405A512E" w:rsidR="00223E0A" w:rsidRPr="002E6227" w:rsidRDefault="00925883" w:rsidP="00D46F51">
            <w:pPr>
              <w:widowControl/>
              <w:autoSpaceDE/>
              <w:autoSpaceDN/>
              <w:adjustRightInd/>
              <w:jc w:val="right"/>
              <w:rPr>
                <w:rFonts w:ascii="Calibri" w:hAnsi="Calibri"/>
                <w:b/>
                <w:bCs/>
                <w:color w:val="000000"/>
                <w:sz w:val="20"/>
                <w:szCs w:val="20"/>
              </w:rPr>
            </w:pPr>
            <w:r>
              <w:rPr>
                <w:rFonts w:ascii="Calibri" w:hAnsi="Calibri"/>
                <w:b/>
                <w:bCs/>
                <w:color w:val="000000"/>
                <w:sz w:val="20"/>
                <w:szCs w:val="20"/>
              </w:rPr>
              <w:t>168</w:t>
            </w:r>
            <w:r w:rsidR="003C763D">
              <w:rPr>
                <w:rFonts w:ascii="Calibri" w:hAnsi="Calibri"/>
                <w:b/>
                <w:bCs/>
                <w:color w:val="000000"/>
                <w:sz w:val="20"/>
                <w:szCs w:val="20"/>
              </w:rPr>
              <w:t>,703</w:t>
            </w:r>
          </w:p>
        </w:tc>
        <w:tc>
          <w:tcPr>
            <w:tcW w:w="850" w:type="dxa"/>
            <w:tcBorders>
              <w:top w:val="single" w:sz="8" w:space="0" w:color="000000"/>
              <w:left w:val="single" w:sz="4" w:space="0" w:color="000000"/>
              <w:bottom w:val="single" w:sz="4" w:space="0" w:color="000000"/>
              <w:right w:val="single" w:sz="8" w:space="0" w:color="000000"/>
            </w:tcBorders>
            <w:shd w:val="clear" w:color="D9D9D9" w:fill="D9D9D9"/>
            <w:noWrap/>
            <w:vAlign w:val="center"/>
          </w:tcPr>
          <w:p w14:paraId="585E67BC" w14:textId="2459DF77" w:rsidR="00223E0A" w:rsidRPr="00B47FCE" w:rsidRDefault="00925883" w:rsidP="00E76716">
            <w:pPr>
              <w:widowControl/>
              <w:autoSpaceDE/>
              <w:autoSpaceDN/>
              <w:adjustRightInd/>
              <w:jc w:val="center"/>
              <w:rPr>
                <w:rFonts w:ascii="Calibri" w:hAnsi="Calibri"/>
                <w:b/>
                <w:bCs/>
                <w:color w:val="000000"/>
                <w:sz w:val="18"/>
                <w:szCs w:val="18"/>
              </w:rPr>
            </w:pPr>
            <w:r>
              <w:rPr>
                <w:rFonts w:ascii="Calibri" w:hAnsi="Calibri"/>
                <w:b/>
                <w:bCs/>
                <w:color w:val="000000"/>
                <w:sz w:val="18"/>
                <w:szCs w:val="18"/>
              </w:rPr>
              <w:t>99.4</w:t>
            </w:r>
            <w:r w:rsidR="003C763D">
              <w:rPr>
                <w:rFonts w:ascii="Calibri" w:hAnsi="Calibri"/>
                <w:b/>
                <w:bCs/>
                <w:color w:val="000000"/>
                <w:sz w:val="18"/>
                <w:szCs w:val="18"/>
              </w:rPr>
              <w:t>%</w:t>
            </w:r>
          </w:p>
        </w:tc>
      </w:tr>
      <w:tr w:rsidR="00223E0A" w:rsidRPr="00F20F19" w14:paraId="301F1158" w14:textId="77777777" w:rsidTr="00B47FCE">
        <w:trPr>
          <w:trHeight w:val="420"/>
          <w:jc w:val="center"/>
        </w:trPr>
        <w:tc>
          <w:tcPr>
            <w:tcW w:w="1895" w:type="dxa"/>
            <w:tcBorders>
              <w:top w:val="single" w:sz="8" w:space="0" w:color="000000"/>
              <w:left w:val="single" w:sz="8" w:space="0" w:color="000000"/>
              <w:bottom w:val="double" w:sz="6" w:space="0" w:color="auto"/>
              <w:right w:val="single" w:sz="4" w:space="0" w:color="000000"/>
            </w:tcBorders>
            <w:shd w:val="clear" w:color="D9D9D9" w:fill="D9D9D9"/>
            <w:noWrap/>
            <w:vAlign w:val="center"/>
          </w:tcPr>
          <w:p w14:paraId="0DB48E1B" w14:textId="5B7AFEC1" w:rsidR="00223E0A" w:rsidRDefault="00C0598A" w:rsidP="00BD03BE">
            <w:pPr>
              <w:widowControl/>
              <w:autoSpaceDE/>
              <w:autoSpaceDN/>
              <w:adjustRightInd/>
              <w:rPr>
                <w:rFonts w:ascii="Calibri" w:hAnsi="Calibri"/>
                <w:b/>
                <w:bCs/>
                <w:color w:val="000000"/>
                <w:sz w:val="18"/>
                <w:szCs w:val="18"/>
              </w:rPr>
            </w:pPr>
            <w:r>
              <w:rPr>
                <w:rFonts w:ascii="Calibri" w:hAnsi="Calibri"/>
                <w:b/>
                <w:bCs/>
                <w:color w:val="000000"/>
                <w:sz w:val="18"/>
                <w:szCs w:val="18"/>
              </w:rPr>
              <w:t>Project Management</w:t>
            </w:r>
          </w:p>
        </w:tc>
        <w:tc>
          <w:tcPr>
            <w:tcW w:w="1021" w:type="dxa"/>
            <w:tcBorders>
              <w:top w:val="single" w:sz="8" w:space="0" w:color="000000"/>
              <w:left w:val="double" w:sz="6" w:space="0" w:color="000000"/>
              <w:bottom w:val="double" w:sz="6" w:space="0" w:color="auto"/>
              <w:right w:val="double" w:sz="6" w:space="0" w:color="000000"/>
            </w:tcBorders>
            <w:shd w:val="clear" w:color="D9D9D9" w:fill="D9D9D9"/>
            <w:noWrap/>
            <w:vAlign w:val="center"/>
          </w:tcPr>
          <w:p w14:paraId="62BC61DF" w14:textId="084EBA7E" w:rsidR="00223E0A" w:rsidRPr="002E6227" w:rsidRDefault="00BD03BE" w:rsidP="00D46F51">
            <w:pPr>
              <w:widowControl/>
              <w:autoSpaceDE/>
              <w:autoSpaceDN/>
              <w:adjustRightInd/>
              <w:jc w:val="right"/>
              <w:rPr>
                <w:rFonts w:ascii="Calibri" w:hAnsi="Calibri"/>
                <w:b/>
                <w:color w:val="000000"/>
                <w:sz w:val="18"/>
                <w:szCs w:val="18"/>
              </w:rPr>
            </w:pPr>
            <w:r>
              <w:rPr>
                <w:rFonts w:ascii="Calibri" w:hAnsi="Calibri"/>
                <w:b/>
                <w:color w:val="000000"/>
                <w:sz w:val="18"/>
                <w:szCs w:val="18"/>
              </w:rPr>
              <w:t>46,000</w:t>
            </w:r>
          </w:p>
        </w:tc>
        <w:tc>
          <w:tcPr>
            <w:tcW w:w="851" w:type="dxa"/>
            <w:tcBorders>
              <w:top w:val="single" w:sz="8" w:space="0" w:color="000000"/>
              <w:left w:val="single" w:sz="4" w:space="0" w:color="000000"/>
              <w:bottom w:val="double" w:sz="6" w:space="0" w:color="auto"/>
              <w:right w:val="single" w:sz="4" w:space="0" w:color="000000"/>
            </w:tcBorders>
            <w:shd w:val="clear" w:color="D9D9D9" w:fill="D9D9D9"/>
            <w:noWrap/>
            <w:vAlign w:val="center"/>
          </w:tcPr>
          <w:p w14:paraId="70038D76" w14:textId="6C269F79" w:rsidR="00223E0A" w:rsidRPr="00F20F19" w:rsidRDefault="00BD03BE" w:rsidP="00D46F51">
            <w:pPr>
              <w:widowControl/>
              <w:autoSpaceDE/>
              <w:autoSpaceDN/>
              <w:adjustRightInd/>
              <w:jc w:val="right"/>
              <w:rPr>
                <w:rFonts w:ascii="Calibri" w:hAnsi="Calibri"/>
                <w:color w:val="000000"/>
                <w:sz w:val="18"/>
                <w:szCs w:val="18"/>
              </w:rPr>
            </w:pPr>
            <w:r>
              <w:rPr>
                <w:rFonts w:ascii="Calibri" w:hAnsi="Calibri"/>
                <w:color w:val="000000"/>
                <w:sz w:val="18"/>
                <w:szCs w:val="18"/>
              </w:rPr>
              <w:t>12,631</w:t>
            </w:r>
          </w:p>
        </w:tc>
        <w:tc>
          <w:tcPr>
            <w:tcW w:w="992" w:type="dxa"/>
            <w:tcBorders>
              <w:top w:val="single" w:sz="8" w:space="0" w:color="000000"/>
              <w:left w:val="single" w:sz="4" w:space="0" w:color="000000"/>
              <w:bottom w:val="double" w:sz="6" w:space="0" w:color="auto"/>
              <w:right w:val="single" w:sz="4" w:space="0" w:color="000000"/>
            </w:tcBorders>
            <w:shd w:val="clear" w:color="D9D9D9" w:fill="D9D9D9"/>
            <w:noWrap/>
            <w:vAlign w:val="center"/>
          </w:tcPr>
          <w:p w14:paraId="5356E5D2" w14:textId="3ECE8C09"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8,623</w:t>
            </w:r>
          </w:p>
        </w:tc>
        <w:tc>
          <w:tcPr>
            <w:tcW w:w="851" w:type="dxa"/>
            <w:tcBorders>
              <w:top w:val="single" w:sz="8" w:space="0" w:color="000000"/>
              <w:left w:val="single" w:sz="4" w:space="0" w:color="000000"/>
              <w:bottom w:val="double" w:sz="6" w:space="0" w:color="auto"/>
              <w:right w:val="single" w:sz="4" w:space="0" w:color="000000"/>
            </w:tcBorders>
            <w:shd w:val="clear" w:color="D9D9D9" w:fill="D9D9D9"/>
            <w:noWrap/>
            <w:vAlign w:val="center"/>
          </w:tcPr>
          <w:p w14:paraId="47BB902A" w14:textId="55BFABCF" w:rsidR="00223E0A" w:rsidRPr="00F20F19" w:rsidRDefault="003C763D" w:rsidP="00D46F51">
            <w:pPr>
              <w:widowControl/>
              <w:autoSpaceDE/>
              <w:autoSpaceDN/>
              <w:adjustRightInd/>
              <w:jc w:val="right"/>
              <w:rPr>
                <w:rFonts w:ascii="Calibri" w:hAnsi="Calibri"/>
                <w:color w:val="000000"/>
                <w:sz w:val="18"/>
                <w:szCs w:val="18"/>
              </w:rPr>
            </w:pPr>
            <w:r>
              <w:rPr>
                <w:rFonts w:ascii="Calibri" w:hAnsi="Calibri"/>
                <w:color w:val="000000"/>
                <w:sz w:val="18"/>
                <w:szCs w:val="18"/>
              </w:rPr>
              <w:t>7,340</w:t>
            </w:r>
          </w:p>
        </w:tc>
        <w:tc>
          <w:tcPr>
            <w:tcW w:w="850" w:type="dxa"/>
            <w:tcBorders>
              <w:top w:val="single" w:sz="8" w:space="0" w:color="000000"/>
              <w:left w:val="single" w:sz="4" w:space="0" w:color="000000"/>
              <w:bottom w:val="double" w:sz="6" w:space="0" w:color="auto"/>
              <w:right w:val="single" w:sz="4" w:space="0" w:color="000000"/>
            </w:tcBorders>
            <w:shd w:val="clear" w:color="D9D9D9" w:fill="D9D9D9"/>
            <w:noWrap/>
            <w:vAlign w:val="center"/>
          </w:tcPr>
          <w:p w14:paraId="01968429" w14:textId="59BF1675" w:rsidR="00223E0A" w:rsidRPr="00F20F19" w:rsidRDefault="00EA630B" w:rsidP="00D46F51">
            <w:pPr>
              <w:widowControl/>
              <w:autoSpaceDE/>
              <w:autoSpaceDN/>
              <w:adjustRightInd/>
              <w:jc w:val="right"/>
              <w:rPr>
                <w:rFonts w:ascii="Calibri" w:hAnsi="Calibri"/>
                <w:color w:val="000000"/>
                <w:sz w:val="18"/>
                <w:szCs w:val="18"/>
              </w:rPr>
            </w:pPr>
            <w:r>
              <w:rPr>
                <w:rFonts w:ascii="Calibri" w:hAnsi="Calibri"/>
                <w:color w:val="000000"/>
                <w:sz w:val="18"/>
                <w:szCs w:val="18"/>
              </w:rPr>
              <w:t>17,140</w:t>
            </w:r>
          </w:p>
        </w:tc>
        <w:tc>
          <w:tcPr>
            <w:tcW w:w="1276" w:type="dxa"/>
            <w:tcBorders>
              <w:top w:val="single" w:sz="8" w:space="0" w:color="000000"/>
              <w:left w:val="single" w:sz="4" w:space="0" w:color="000000"/>
              <w:bottom w:val="double" w:sz="6" w:space="0" w:color="auto"/>
              <w:right w:val="single" w:sz="8" w:space="0" w:color="000000"/>
            </w:tcBorders>
            <w:shd w:val="clear" w:color="D9D9D9" w:fill="D9D9D9"/>
            <w:noWrap/>
            <w:vAlign w:val="center"/>
          </w:tcPr>
          <w:p w14:paraId="0658D7C3" w14:textId="5F2A5E86" w:rsidR="00223E0A" w:rsidRPr="002E6227" w:rsidRDefault="00925883" w:rsidP="001E476E">
            <w:pPr>
              <w:widowControl/>
              <w:autoSpaceDE/>
              <w:autoSpaceDN/>
              <w:adjustRightInd/>
              <w:jc w:val="right"/>
              <w:rPr>
                <w:rFonts w:ascii="Calibri" w:hAnsi="Calibri"/>
                <w:b/>
                <w:bCs/>
                <w:color w:val="000000"/>
                <w:sz w:val="20"/>
                <w:szCs w:val="20"/>
              </w:rPr>
            </w:pPr>
            <w:r>
              <w:rPr>
                <w:rFonts w:ascii="Calibri" w:hAnsi="Calibri"/>
                <w:b/>
                <w:bCs/>
                <w:color w:val="000000"/>
                <w:sz w:val="20"/>
                <w:szCs w:val="20"/>
              </w:rPr>
              <w:t>45,735</w:t>
            </w:r>
          </w:p>
        </w:tc>
        <w:tc>
          <w:tcPr>
            <w:tcW w:w="850" w:type="dxa"/>
            <w:tcBorders>
              <w:top w:val="single" w:sz="8" w:space="0" w:color="000000"/>
              <w:left w:val="single" w:sz="4" w:space="0" w:color="000000"/>
              <w:bottom w:val="double" w:sz="6" w:space="0" w:color="auto"/>
              <w:right w:val="single" w:sz="8" w:space="0" w:color="000000"/>
            </w:tcBorders>
            <w:shd w:val="clear" w:color="D9D9D9" w:fill="D9D9D9"/>
            <w:noWrap/>
            <w:vAlign w:val="center"/>
          </w:tcPr>
          <w:p w14:paraId="195A1688" w14:textId="66C4CCA1" w:rsidR="00223E0A" w:rsidRPr="00B47FCE" w:rsidRDefault="00925883" w:rsidP="00E76716">
            <w:pPr>
              <w:widowControl/>
              <w:autoSpaceDE/>
              <w:autoSpaceDN/>
              <w:adjustRightInd/>
              <w:jc w:val="center"/>
              <w:rPr>
                <w:rFonts w:ascii="Calibri" w:hAnsi="Calibri"/>
                <w:b/>
                <w:color w:val="000000"/>
                <w:sz w:val="18"/>
                <w:szCs w:val="18"/>
              </w:rPr>
            </w:pPr>
            <w:r>
              <w:rPr>
                <w:rFonts w:ascii="Calibri" w:hAnsi="Calibri"/>
                <w:b/>
                <w:color w:val="000000"/>
                <w:sz w:val="18"/>
                <w:szCs w:val="18"/>
              </w:rPr>
              <w:t>99.4</w:t>
            </w:r>
            <w:r w:rsidR="003C763D">
              <w:rPr>
                <w:rFonts w:ascii="Calibri" w:hAnsi="Calibri"/>
                <w:b/>
                <w:color w:val="000000"/>
                <w:sz w:val="18"/>
                <w:szCs w:val="18"/>
              </w:rPr>
              <w:t>%</w:t>
            </w:r>
          </w:p>
        </w:tc>
      </w:tr>
      <w:tr w:rsidR="00223E0A" w:rsidRPr="00F20F19" w14:paraId="16A8DA19" w14:textId="77777777" w:rsidTr="00B47FCE">
        <w:trPr>
          <w:trHeight w:val="420"/>
          <w:jc w:val="center"/>
        </w:trPr>
        <w:tc>
          <w:tcPr>
            <w:tcW w:w="1895" w:type="dxa"/>
            <w:tcBorders>
              <w:top w:val="double" w:sz="6" w:space="0" w:color="auto"/>
              <w:left w:val="single" w:sz="8" w:space="0" w:color="000000"/>
              <w:bottom w:val="single" w:sz="4" w:space="0" w:color="000000"/>
              <w:right w:val="single" w:sz="4" w:space="0" w:color="000000"/>
            </w:tcBorders>
            <w:shd w:val="clear" w:color="auto" w:fill="auto"/>
            <w:noWrap/>
            <w:vAlign w:val="center"/>
            <w:hideMark/>
          </w:tcPr>
          <w:p w14:paraId="32E91E70" w14:textId="77777777" w:rsidR="00223E0A" w:rsidRPr="00F20F19" w:rsidRDefault="00223E0A" w:rsidP="00D46F51">
            <w:pPr>
              <w:widowControl/>
              <w:autoSpaceDE/>
              <w:autoSpaceDN/>
              <w:adjustRightInd/>
              <w:rPr>
                <w:rFonts w:ascii="Calibri" w:hAnsi="Calibri"/>
                <w:b/>
                <w:bCs/>
                <w:color w:val="000000"/>
                <w:sz w:val="18"/>
                <w:szCs w:val="18"/>
              </w:rPr>
            </w:pPr>
            <w:r w:rsidRPr="00F20F19">
              <w:rPr>
                <w:rFonts w:ascii="Calibri" w:hAnsi="Calibri"/>
                <w:b/>
                <w:bCs/>
                <w:color w:val="000000"/>
                <w:sz w:val="18"/>
                <w:szCs w:val="18"/>
              </w:rPr>
              <w:t>TOTAL</w:t>
            </w:r>
          </w:p>
        </w:tc>
        <w:tc>
          <w:tcPr>
            <w:tcW w:w="1021" w:type="dxa"/>
            <w:tcBorders>
              <w:top w:val="double" w:sz="6" w:space="0" w:color="auto"/>
              <w:left w:val="double" w:sz="6" w:space="0" w:color="000000"/>
              <w:bottom w:val="single" w:sz="4" w:space="0" w:color="000000"/>
              <w:right w:val="double" w:sz="6" w:space="0" w:color="000000"/>
            </w:tcBorders>
            <w:shd w:val="clear" w:color="auto" w:fill="auto"/>
            <w:noWrap/>
            <w:vAlign w:val="center"/>
          </w:tcPr>
          <w:p w14:paraId="344186F4" w14:textId="0E7C8EB2" w:rsidR="00223E0A" w:rsidRPr="00F20F19" w:rsidRDefault="00BD03BE" w:rsidP="00D46F51">
            <w:pPr>
              <w:widowControl/>
              <w:autoSpaceDE/>
              <w:autoSpaceDN/>
              <w:adjustRightInd/>
              <w:jc w:val="right"/>
              <w:rPr>
                <w:rFonts w:ascii="Calibri" w:hAnsi="Calibri"/>
                <w:b/>
                <w:bCs/>
                <w:color w:val="000000"/>
                <w:sz w:val="18"/>
                <w:szCs w:val="18"/>
              </w:rPr>
            </w:pPr>
            <w:r>
              <w:rPr>
                <w:rFonts w:ascii="Calibri" w:hAnsi="Calibri"/>
                <w:b/>
                <w:bCs/>
                <w:color w:val="000000"/>
                <w:sz w:val="18"/>
                <w:szCs w:val="18"/>
              </w:rPr>
              <w:t>510,450</w:t>
            </w:r>
          </w:p>
        </w:tc>
        <w:tc>
          <w:tcPr>
            <w:tcW w:w="851" w:type="dxa"/>
            <w:tcBorders>
              <w:top w:val="double" w:sz="6" w:space="0" w:color="auto"/>
              <w:left w:val="single" w:sz="4" w:space="0" w:color="000000"/>
              <w:bottom w:val="single" w:sz="4" w:space="0" w:color="000000"/>
              <w:right w:val="single" w:sz="4" w:space="0" w:color="000000"/>
            </w:tcBorders>
            <w:shd w:val="clear" w:color="auto" w:fill="auto"/>
            <w:noWrap/>
            <w:vAlign w:val="center"/>
          </w:tcPr>
          <w:p w14:paraId="50E3176E" w14:textId="20C0C5B1" w:rsidR="00223E0A" w:rsidRPr="00CF07CC" w:rsidRDefault="00BD03BE" w:rsidP="00D46F51">
            <w:pPr>
              <w:widowControl/>
              <w:autoSpaceDE/>
              <w:autoSpaceDN/>
              <w:adjustRightInd/>
              <w:jc w:val="right"/>
              <w:rPr>
                <w:rFonts w:ascii="Calibri" w:hAnsi="Calibri"/>
                <w:bCs/>
                <w:color w:val="000000"/>
                <w:sz w:val="18"/>
                <w:szCs w:val="18"/>
              </w:rPr>
            </w:pPr>
            <w:r>
              <w:rPr>
                <w:rFonts w:ascii="Calibri" w:hAnsi="Calibri"/>
                <w:bCs/>
                <w:color w:val="000000"/>
                <w:sz w:val="18"/>
                <w:szCs w:val="18"/>
              </w:rPr>
              <w:t>49,805</w:t>
            </w:r>
          </w:p>
        </w:tc>
        <w:tc>
          <w:tcPr>
            <w:tcW w:w="992" w:type="dxa"/>
            <w:tcBorders>
              <w:top w:val="double" w:sz="6" w:space="0" w:color="auto"/>
              <w:left w:val="single" w:sz="4" w:space="0" w:color="000000"/>
              <w:bottom w:val="single" w:sz="4" w:space="0" w:color="000000"/>
              <w:right w:val="single" w:sz="4" w:space="0" w:color="000000"/>
            </w:tcBorders>
            <w:shd w:val="clear" w:color="auto" w:fill="auto"/>
            <w:noWrap/>
            <w:vAlign w:val="center"/>
          </w:tcPr>
          <w:p w14:paraId="3306BA2B" w14:textId="14DF1196" w:rsidR="00223E0A" w:rsidRPr="00CF07CC" w:rsidRDefault="003C763D" w:rsidP="00D46F51">
            <w:pPr>
              <w:widowControl/>
              <w:autoSpaceDE/>
              <w:autoSpaceDN/>
              <w:adjustRightInd/>
              <w:jc w:val="right"/>
              <w:rPr>
                <w:rFonts w:ascii="Calibri" w:hAnsi="Calibri"/>
                <w:bCs/>
                <w:color w:val="000000"/>
                <w:sz w:val="18"/>
                <w:szCs w:val="18"/>
              </w:rPr>
            </w:pPr>
            <w:r>
              <w:rPr>
                <w:rFonts w:ascii="Calibri" w:hAnsi="Calibri"/>
                <w:bCs/>
                <w:color w:val="000000"/>
                <w:sz w:val="18"/>
                <w:szCs w:val="18"/>
              </w:rPr>
              <w:t>37,369</w:t>
            </w:r>
          </w:p>
        </w:tc>
        <w:tc>
          <w:tcPr>
            <w:tcW w:w="851" w:type="dxa"/>
            <w:tcBorders>
              <w:top w:val="double" w:sz="6" w:space="0" w:color="auto"/>
              <w:left w:val="single" w:sz="4" w:space="0" w:color="000000"/>
              <w:bottom w:val="single" w:sz="4" w:space="0" w:color="000000"/>
              <w:right w:val="single" w:sz="4" w:space="0" w:color="000000"/>
            </w:tcBorders>
            <w:shd w:val="clear" w:color="auto" w:fill="auto"/>
            <w:noWrap/>
            <w:vAlign w:val="center"/>
          </w:tcPr>
          <w:p w14:paraId="2420C9FB" w14:textId="352F01B6" w:rsidR="00223E0A" w:rsidRPr="00CF07CC" w:rsidRDefault="003C763D" w:rsidP="00D46F51">
            <w:pPr>
              <w:widowControl/>
              <w:autoSpaceDE/>
              <w:autoSpaceDN/>
              <w:adjustRightInd/>
              <w:jc w:val="right"/>
              <w:rPr>
                <w:rFonts w:ascii="Calibri" w:hAnsi="Calibri"/>
                <w:bCs/>
                <w:color w:val="000000"/>
                <w:sz w:val="18"/>
                <w:szCs w:val="18"/>
              </w:rPr>
            </w:pPr>
            <w:r>
              <w:rPr>
                <w:rFonts w:ascii="Calibri" w:hAnsi="Calibri"/>
                <w:bCs/>
                <w:color w:val="000000"/>
                <w:sz w:val="18"/>
                <w:szCs w:val="18"/>
              </w:rPr>
              <w:t>159,394</w:t>
            </w:r>
          </w:p>
        </w:tc>
        <w:tc>
          <w:tcPr>
            <w:tcW w:w="850" w:type="dxa"/>
            <w:tcBorders>
              <w:top w:val="double" w:sz="6" w:space="0" w:color="auto"/>
              <w:left w:val="single" w:sz="4" w:space="0" w:color="000000"/>
              <w:bottom w:val="single" w:sz="4" w:space="0" w:color="000000"/>
              <w:right w:val="single" w:sz="4" w:space="0" w:color="000000"/>
            </w:tcBorders>
            <w:shd w:val="clear" w:color="auto" w:fill="auto"/>
            <w:noWrap/>
            <w:vAlign w:val="center"/>
          </w:tcPr>
          <w:p w14:paraId="18F16B2B" w14:textId="70682E6D" w:rsidR="00223E0A" w:rsidRPr="00CF07CC" w:rsidRDefault="00EA630B" w:rsidP="00D46F51">
            <w:pPr>
              <w:widowControl/>
              <w:autoSpaceDE/>
              <w:autoSpaceDN/>
              <w:adjustRightInd/>
              <w:jc w:val="right"/>
              <w:rPr>
                <w:rFonts w:ascii="Calibri" w:hAnsi="Calibri"/>
                <w:bCs/>
                <w:color w:val="000000"/>
                <w:sz w:val="18"/>
                <w:szCs w:val="18"/>
              </w:rPr>
            </w:pPr>
            <w:r>
              <w:rPr>
                <w:rFonts w:ascii="Calibri" w:hAnsi="Calibri"/>
                <w:bCs/>
                <w:color w:val="000000"/>
                <w:sz w:val="18"/>
                <w:szCs w:val="18"/>
              </w:rPr>
              <w:t>258,89</w:t>
            </w:r>
            <w:r w:rsidR="003C763D">
              <w:rPr>
                <w:rFonts w:ascii="Calibri" w:hAnsi="Calibri"/>
                <w:bCs/>
                <w:color w:val="000000"/>
                <w:sz w:val="18"/>
                <w:szCs w:val="18"/>
              </w:rPr>
              <w:t>4</w:t>
            </w:r>
          </w:p>
        </w:tc>
        <w:tc>
          <w:tcPr>
            <w:tcW w:w="1276" w:type="dxa"/>
            <w:tcBorders>
              <w:top w:val="double" w:sz="6" w:space="0" w:color="auto"/>
              <w:left w:val="single" w:sz="4" w:space="0" w:color="000000"/>
              <w:bottom w:val="single" w:sz="8" w:space="0" w:color="000000"/>
              <w:right w:val="single" w:sz="8" w:space="0" w:color="000000"/>
            </w:tcBorders>
            <w:shd w:val="clear" w:color="auto" w:fill="auto"/>
            <w:noWrap/>
            <w:vAlign w:val="center"/>
          </w:tcPr>
          <w:p w14:paraId="00A900F4" w14:textId="5DE3D10E" w:rsidR="00223E0A" w:rsidRPr="002E6227" w:rsidRDefault="00925883" w:rsidP="00D46F51">
            <w:pPr>
              <w:widowControl/>
              <w:autoSpaceDE/>
              <w:autoSpaceDN/>
              <w:adjustRightInd/>
              <w:jc w:val="right"/>
              <w:rPr>
                <w:rFonts w:ascii="Calibri" w:hAnsi="Calibri"/>
                <w:b/>
                <w:bCs/>
                <w:color w:val="000000"/>
                <w:sz w:val="20"/>
                <w:szCs w:val="20"/>
              </w:rPr>
            </w:pPr>
            <w:r>
              <w:rPr>
                <w:rFonts w:ascii="Calibri" w:hAnsi="Calibri"/>
                <w:b/>
                <w:bCs/>
                <w:color w:val="000000"/>
                <w:sz w:val="20"/>
                <w:szCs w:val="20"/>
              </w:rPr>
              <w:t>505,46</w:t>
            </w:r>
            <w:r w:rsidR="003C763D">
              <w:rPr>
                <w:rFonts w:ascii="Calibri" w:hAnsi="Calibri"/>
                <w:b/>
                <w:bCs/>
                <w:color w:val="000000"/>
                <w:sz w:val="20"/>
                <w:szCs w:val="20"/>
              </w:rPr>
              <w:t>2</w:t>
            </w:r>
          </w:p>
        </w:tc>
        <w:tc>
          <w:tcPr>
            <w:tcW w:w="850" w:type="dxa"/>
            <w:tcBorders>
              <w:top w:val="double" w:sz="6" w:space="0" w:color="auto"/>
              <w:left w:val="single" w:sz="4" w:space="0" w:color="000000"/>
              <w:bottom w:val="single" w:sz="8" w:space="0" w:color="000000"/>
              <w:right w:val="single" w:sz="8" w:space="0" w:color="000000"/>
            </w:tcBorders>
            <w:shd w:val="clear" w:color="auto" w:fill="auto"/>
            <w:noWrap/>
            <w:vAlign w:val="center"/>
          </w:tcPr>
          <w:p w14:paraId="6E964A2F" w14:textId="04A655E8" w:rsidR="00223E0A" w:rsidRPr="00B47FCE" w:rsidRDefault="00925883" w:rsidP="00E76716">
            <w:pPr>
              <w:widowControl/>
              <w:autoSpaceDE/>
              <w:autoSpaceDN/>
              <w:adjustRightInd/>
              <w:jc w:val="center"/>
              <w:rPr>
                <w:rFonts w:ascii="Calibri" w:hAnsi="Calibri"/>
                <w:b/>
                <w:bCs/>
                <w:color w:val="000000"/>
                <w:sz w:val="18"/>
                <w:szCs w:val="18"/>
              </w:rPr>
            </w:pPr>
            <w:r>
              <w:rPr>
                <w:rFonts w:ascii="Calibri" w:hAnsi="Calibri"/>
                <w:b/>
                <w:bCs/>
                <w:color w:val="000000"/>
                <w:sz w:val="18"/>
                <w:szCs w:val="18"/>
              </w:rPr>
              <w:t>99.0</w:t>
            </w:r>
            <w:r w:rsidR="003C763D">
              <w:rPr>
                <w:rFonts w:ascii="Calibri" w:hAnsi="Calibri"/>
                <w:b/>
                <w:bCs/>
                <w:color w:val="000000"/>
                <w:sz w:val="18"/>
                <w:szCs w:val="18"/>
              </w:rPr>
              <w:t>%</w:t>
            </w:r>
          </w:p>
        </w:tc>
      </w:tr>
    </w:tbl>
    <w:p w14:paraId="79807D85" w14:textId="7AE449AD" w:rsidR="00BD03BE" w:rsidRPr="00642445" w:rsidRDefault="00B47FCE" w:rsidP="00542F55">
      <w:pPr>
        <w:pStyle w:val="ListParagraph"/>
        <w:ind w:left="0"/>
        <w:jc w:val="both"/>
        <w:rPr>
          <w:i/>
          <w:sz w:val="18"/>
          <w:szCs w:val="18"/>
        </w:rPr>
      </w:pPr>
      <w:r>
        <w:rPr>
          <w:i/>
          <w:sz w:val="18"/>
          <w:szCs w:val="18"/>
        </w:rPr>
        <w:tab/>
      </w:r>
      <w:r w:rsidR="009B4C2A" w:rsidRPr="009B4C2A">
        <w:rPr>
          <w:i/>
          <w:sz w:val="18"/>
          <w:szCs w:val="18"/>
        </w:rPr>
        <w:t>Source</w:t>
      </w:r>
      <w:r w:rsidR="00BD03BE">
        <w:rPr>
          <w:i/>
          <w:sz w:val="18"/>
          <w:szCs w:val="18"/>
        </w:rPr>
        <w:t>s</w:t>
      </w:r>
      <w:r w:rsidR="009B4C2A" w:rsidRPr="009B4C2A">
        <w:rPr>
          <w:i/>
          <w:sz w:val="18"/>
          <w:szCs w:val="18"/>
        </w:rPr>
        <w:t>: UNDP</w:t>
      </w:r>
      <w:r>
        <w:rPr>
          <w:i/>
          <w:sz w:val="18"/>
          <w:szCs w:val="18"/>
        </w:rPr>
        <w:t xml:space="preserve"> Atlas Financial Reports</w:t>
      </w:r>
      <w:r w:rsidR="008066FE">
        <w:rPr>
          <w:i/>
          <w:sz w:val="18"/>
          <w:szCs w:val="18"/>
        </w:rPr>
        <w:t xml:space="preserve"> (CDRs)</w:t>
      </w:r>
      <w:r w:rsidR="00BD03BE">
        <w:rPr>
          <w:i/>
          <w:sz w:val="18"/>
          <w:szCs w:val="18"/>
        </w:rPr>
        <w:t xml:space="preserve"> and information collected from the Project Team</w:t>
      </w:r>
      <w:r>
        <w:rPr>
          <w:i/>
          <w:sz w:val="18"/>
          <w:szCs w:val="18"/>
        </w:rPr>
        <w:t>.</w:t>
      </w:r>
    </w:p>
    <w:p w14:paraId="7BA298AD" w14:textId="5C701CDB" w:rsidR="003C763D" w:rsidRDefault="00925883" w:rsidP="003C763D">
      <w:pPr>
        <w:pStyle w:val="ListParagraph"/>
        <w:ind w:left="0"/>
        <w:jc w:val="both"/>
        <w:rPr>
          <w:sz w:val="22"/>
          <w:szCs w:val="22"/>
        </w:rPr>
      </w:pPr>
      <w:r w:rsidRPr="00925883">
        <w:rPr>
          <w:noProof/>
        </w:rPr>
        <w:drawing>
          <wp:anchor distT="0" distB="0" distL="114300" distR="114300" simplePos="0" relativeHeight="251757568" behindDoc="0" locked="0" layoutInCell="1" allowOverlap="1" wp14:anchorId="0C3EAAAA" wp14:editId="5AB3C907">
            <wp:simplePos x="0" y="0"/>
            <wp:positionH relativeFrom="column">
              <wp:posOffset>3055620</wp:posOffset>
            </wp:positionH>
            <wp:positionV relativeFrom="paragraph">
              <wp:posOffset>154940</wp:posOffset>
            </wp:positionV>
            <wp:extent cx="3140075" cy="1799590"/>
            <wp:effectExtent l="0" t="0" r="9525" b="3810"/>
            <wp:wrapTight wrapText="bothSides">
              <wp:wrapPolygon edited="0">
                <wp:start x="0" y="0"/>
                <wp:lineTo x="0" y="21341"/>
                <wp:lineTo x="21491" y="21341"/>
                <wp:lineTo x="214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007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883">
        <w:rPr>
          <w:noProof/>
        </w:rPr>
        <w:drawing>
          <wp:anchor distT="0" distB="0" distL="114300" distR="114300" simplePos="0" relativeHeight="251758592" behindDoc="0" locked="0" layoutInCell="1" allowOverlap="1" wp14:anchorId="38770C83" wp14:editId="540FD6AF">
            <wp:simplePos x="0" y="0"/>
            <wp:positionH relativeFrom="column">
              <wp:posOffset>-81280</wp:posOffset>
            </wp:positionH>
            <wp:positionV relativeFrom="paragraph">
              <wp:posOffset>160655</wp:posOffset>
            </wp:positionV>
            <wp:extent cx="3302635" cy="1799590"/>
            <wp:effectExtent l="0" t="0" r="0" b="3810"/>
            <wp:wrapTight wrapText="bothSides">
              <wp:wrapPolygon edited="0">
                <wp:start x="0" y="0"/>
                <wp:lineTo x="0" y="21341"/>
                <wp:lineTo x="21430" y="21341"/>
                <wp:lineTo x="214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263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D51A0" w14:textId="2FA7F7A0" w:rsidR="00996B84" w:rsidRDefault="00996B84" w:rsidP="00996B84">
      <w:pPr>
        <w:pStyle w:val="ListParagraph"/>
        <w:numPr>
          <w:ilvl w:val="0"/>
          <w:numId w:val="15"/>
        </w:numPr>
        <w:jc w:val="both"/>
        <w:rPr>
          <w:sz w:val="22"/>
          <w:szCs w:val="22"/>
        </w:rPr>
      </w:pPr>
      <w:r w:rsidRPr="00F875F5">
        <w:rPr>
          <w:sz w:val="22"/>
          <w:szCs w:val="22"/>
        </w:rPr>
        <w:t>The</w:t>
      </w:r>
      <w:r>
        <w:rPr>
          <w:sz w:val="22"/>
          <w:szCs w:val="22"/>
        </w:rPr>
        <w:t>se financial</w:t>
      </w:r>
      <w:r w:rsidRPr="00F875F5">
        <w:rPr>
          <w:sz w:val="22"/>
          <w:szCs w:val="22"/>
        </w:rPr>
        <w:t xml:space="preserve"> figures presented</w:t>
      </w:r>
      <w:r>
        <w:rPr>
          <w:sz w:val="22"/>
          <w:szCs w:val="22"/>
        </w:rPr>
        <w:t xml:space="preserve"> above indicate that almost an equal part of the GEF grant</w:t>
      </w:r>
      <w:r w:rsidRPr="00F875F5">
        <w:rPr>
          <w:sz w:val="22"/>
          <w:szCs w:val="22"/>
        </w:rPr>
        <w:t xml:space="preserve"> was </w:t>
      </w:r>
      <w:r>
        <w:rPr>
          <w:sz w:val="22"/>
          <w:szCs w:val="22"/>
        </w:rPr>
        <w:t>expended</w:t>
      </w:r>
      <w:r w:rsidRPr="00F875F5">
        <w:rPr>
          <w:sz w:val="22"/>
          <w:szCs w:val="22"/>
        </w:rPr>
        <w:t xml:space="preserve"> </w:t>
      </w:r>
      <w:r>
        <w:rPr>
          <w:sz w:val="22"/>
          <w:szCs w:val="22"/>
        </w:rPr>
        <w:t>on</w:t>
      </w:r>
      <w:r w:rsidRPr="00F875F5">
        <w:rPr>
          <w:sz w:val="22"/>
          <w:szCs w:val="22"/>
        </w:rPr>
        <w:t xml:space="preserve"> </w:t>
      </w:r>
      <w:r>
        <w:rPr>
          <w:sz w:val="22"/>
          <w:szCs w:val="22"/>
        </w:rPr>
        <w:t xml:space="preserve">the three </w:t>
      </w:r>
      <w:r w:rsidRPr="00F875F5">
        <w:rPr>
          <w:sz w:val="22"/>
          <w:szCs w:val="22"/>
        </w:rPr>
        <w:t>outcome</w:t>
      </w:r>
      <w:r>
        <w:rPr>
          <w:sz w:val="22"/>
          <w:szCs w:val="22"/>
        </w:rPr>
        <w:t>s with 31% on outcome 1 that was to “</w:t>
      </w:r>
      <w:r>
        <w:rPr>
          <w:i/>
          <w:sz w:val="22"/>
          <w:szCs w:val="22"/>
        </w:rPr>
        <w:t>r</w:t>
      </w:r>
      <w:r w:rsidRPr="00996B84">
        <w:rPr>
          <w:i/>
          <w:sz w:val="22"/>
          <w:szCs w:val="22"/>
        </w:rPr>
        <w:t>eform environmentally harmful subsidies, green subsidies as well as environmental charges</w:t>
      </w:r>
      <w:r>
        <w:rPr>
          <w:sz w:val="22"/>
          <w:szCs w:val="22"/>
        </w:rPr>
        <w:t>”; 26% on outcome 2 that was to “</w:t>
      </w:r>
      <w:r w:rsidRPr="00996B84">
        <w:rPr>
          <w:i/>
          <w:sz w:val="22"/>
          <w:szCs w:val="22"/>
        </w:rPr>
        <w:t>develop the capacity to engage and build consensus among all stakeholders</w:t>
      </w:r>
      <w:r>
        <w:rPr>
          <w:sz w:val="22"/>
          <w:szCs w:val="22"/>
        </w:rPr>
        <w:t>”; 34% on outcome 3 that was to “</w:t>
      </w:r>
      <w:r w:rsidRPr="00996B84">
        <w:rPr>
          <w:i/>
          <w:sz w:val="22"/>
          <w:szCs w:val="22"/>
        </w:rPr>
        <w:t>integrate of EFR in local and central planning processes</w:t>
      </w:r>
      <w:r>
        <w:rPr>
          <w:sz w:val="22"/>
          <w:szCs w:val="22"/>
        </w:rPr>
        <w:t>”</w:t>
      </w:r>
      <w:r w:rsidR="002655FA">
        <w:rPr>
          <w:sz w:val="22"/>
          <w:szCs w:val="22"/>
        </w:rPr>
        <w:t>; and the rest (9%) expended on project management.</w:t>
      </w:r>
      <w:r>
        <w:rPr>
          <w:sz w:val="22"/>
          <w:szCs w:val="22"/>
        </w:rPr>
        <w:t xml:space="preserve"> This is </w:t>
      </w:r>
      <w:r w:rsidR="002655FA">
        <w:rPr>
          <w:sz w:val="22"/>
          <w:szCs w:val="22"/>
        </w:rPr>
        <w:t xml:space="preserve">well </w:t>
      </w:r>
      <w:r>
        <w:rPr>
          <w:sz w:val="22"/>
          <w:szCs w:val="22"/>
        </w:rPr>
        <w:t xml:space="preserve">in line with the budget formulated in the project document. </w:t>
      </w:r>
    </w:p>
    <w:p w14:paraId="6A47581E" w14:textId="77777777" w:rsidR="00996B84" w:rsidRPr="002655FA" w:rsidRDefault="00996B84" w:rsidP="00996B84">
      <w:pPr>
        <w:pStyle w:val="ListParagraph"/>
        <w:ind w:left="0"/>
        <w:jc w:val="both"/>
        <w:rPr>
          <w:sz w:val="22"/>
          <w:szCs w:val="22"/>
        </w:rPr>
      </w:pPr>
    </w:p>
    <w:p w14:paraId="25730388" w14:textId="5C99FE93" w:rsidR="002655FA" w:rsidRPr="00F5637B" w:rsidRDefault="002655FA" w:rsidP="00F5637B">
      <w:pPr>
        <w:pStyle w:val="ListParagraph"/>
        <w:numPr>
          <w:ilvl w:val="0"/>
          <w:numId w:val="15"/>
        </w:numPr>
        <w:jc w:val="both"/>
        <w:rPr>
          <w:sz w:val="22"/>
          <w:szCs w:val="22"/>
        </w:rPr>
      </w:pPr>
      <w:r w:rsidRPr="002655FA">
        <w:rPr>
          <w:sz w:val="22"/>
          <w:szCs w:val="22"/>
        </w:rPr>
        <w:t xml:space="preserve">As discussed in section 4.2.1 above, the project had a difficult period during the first 18 months of its implementation with very limited progress made. This is well illustrated on the graph above on the left where we can see limited disbursements during the years 2012 and 2013; mostly on outcome 1 with some initial work on environmental fiscal reform. It is only in 2014 that the project disbursements started to happen, which is a reflection on a huge acceleration in project activities being implemented. </w:t>
      </w:r>
      <w:r w:rsidRPr="00F5637B">
        <w:rPr>
          <w:sz w:val="22"/>
          <w:szCs w:val="22"/>
        </w:rPr>
        <w:t xml:space="preserve">Since the hiring of the new PM, project activities were ramped up; first by focusing on outcome 1 with studies on pollution charges, green taxes, and to some extent on outcome 2 with capacity development activities during the year 2014 and then focusing on outcome 3 in the last year of the project. </w:t>
      </w:r>
    </w:p>
    <w:p w14:paraId="4F3672A2" w14:textId="77777777" w:rsidR="00996B84" w:rsidRPr="002655FA" w:rsidRDefault="00996B84" w:rsidP="00996B84">
      <w:pPr>
        <w:pStyle w:val="ListParagraph"/>
        <w:ind w:left="0"/>
        <w:jc w:val="both"/>
        <w:rPr>
          <w:sz w:val="22"/>
          <w:szCs w:val="22"/>
        </w:rPr>
      </w:pPr>
    </w:p>
    <w:p w14:paraId="7CABF8B6" w14:textId="7143092A" w:rsidR="00996B84" w:rsidRPr="00F5637B" w:rsidRDefault="00F5637B" w:rsidP="00996B84">
      <w:pPr>
        <w:pStyle w:val="ListParagraph"/>
        <w:numPr>
          <w:ilvl w:val="0"/>
          <w:numId w:val="15"/>
        </w:numPr>
        <w:jc w:val="both"/>
        <w:rPr>
          <w:sz w:val="22"/>
          <w:szCs w:val="22"/>
        </w:rPr>
      </w:pPr>
      <w:r w:rsidRPr="00F5637B">
        <w:rPr>
          <w:sz w:val="22"/>
          <w:szCs w:val="22"/>
        </w:rPr>
        <w:t xml:space="preserve">Considering the implementation </w:t>
      </w:r>
      <w:r w:rsidR="002655FA" w:rsidRPr="00F5637B">
        <w:rPr>
          <w:sz w:val="22"/>
          <w:szCs w:val="22"/>
        </w:rPr>
        <w:t>t</w:t>
      </w:r>
      <w:r w:rsidR="00996B84" w:rsidRPr="00F5637B">
        <w:rPr>
          <w:sz w:val="22"/>
          <w:szCs w:val="22"/>
        </w:rPr>
        <w:t xml:space="preserve">imeline </w:t>
      </w:r>
      <w:r w:rsidRPr="00F5637B">
        <w:rPr>
          <w:sz w:val="22"/>
          <w:szCs w:val="22"/>
        </w:rPr>
        <w:t xml:space="preserve">of the project, </w:t>
      </w:r>
      <w:r w:rsidR="002655FA" w:rsidRPr="00F5637B">
        <w:rPr>
          <w:sz w:val="22"/>
          <w:szCs w:val="22"/>
        </w:rPr>
        <w:t xml:space="preserve">the project disbursed 9.9% the first year (2012), 7.4% the second year (2013), 31.6% the third year (2014), and </w:t>
      </w:r>
      <w:r w:rsidRPr="00F5637B">
        <w:rPr>
          <w:sz w:val="22"/>
          <w:szCs w:val="22"/>
        </w:rPr>
        <w:t>51.2% the fourth year (2015), which was only 9 months of operations to end of September. Three years of implementation is already short for a project of this nature involving a lot of political activities to approve/endorse the achievements. The initial 18 months of this project with very limited progress, certainly hampered the overall achievements of this project; particularly its chance to get the various proposals approved by the government. There was no sufficient time to lobby the government and the Parliament properly at the end of the project (</w:t>
      </w:r>
      <w:r w:rsidRPr="00F5637B">
        <w:rPr>
          <w:i/>
          <w:sz w:val="22"/>
          <w:szCs w:val="22"/>
        </w:rPr>
        <w:t>see also Section 4.3.6</w:t>
      </w:r>
      <w:r w:rsidRPr="00F5637B">
        <w:rPr>
          <w:sz w:val="22"/>
          <w:szCs w:val="22"/>
        </w:rPr>
        <w:t xml:space="preserve">). </w:t>
      </w:r>
    </w:p>
    <w:p w14:paraId="1EB03F22" w14:textId="77777777" w:rsidR="000D10AC" w:rsidRPr="000D10AC" w:rsidRDefault="000D10AC" w:rsidP="000D10AC">
      <w:pPr>
        <w:jc w:val="both"/>
        <w:rPr>
          <w:sz w:val="22"/>
          <w:szCs w:val="22"/>
        </w:rPr>
      </w:pPr>
    </w:p>
    <w:p w14:paraId="6A72C7B4" w14:textId="77777777" w:rsidR="00BB609B" w:rsidRPr="00FB6D4E" w:rsidRDefault="00BB609B" w:rsidP="00FB32C5">
      <w:pPr>
        <w:jc w:val="both"/>
        <w:rPr>
          <w:b/>
          <w:i/>
          <w:sz w:val="22"/>
          <w:szCs w:val="22"/>
        </w:rPr>
      </w:pPr>
      <w:r w:rsidRPr="00FB6D4E">
        <w:rPr>
          <w:b/>
          <w:i/>
          <w:sz w:val="22"/>
          <w:szCs w:val="22"/>
        </w:rPr>
        <w:t>Co-financing</w:t>
      </w:r>
    </w:p>
    <w:p w14:paraId="431DEC2E" w14:textId="199A509B" w:rsidR="00060BDE" w:rsidRDefault="00A964AF" w:rsidP="00060BDE">
      <w:pPr>
        <w:pStyle w:val="ListParagraph"/>
        <w:numPr>
          <w:ilvl w:val="0"/>
          <w:numId w:val="15"/>
        </w:numPr>
        <w:tabs>
          <w:tab w:val="left" w:pos="567"/>
        </w:tabs>
        <w:jc w:val="both"/>
        <w:rPr>
          <w:sz w:val="22"/>
        </w:rPr>
      </w:pPr>
      <w:r w:rsidRPr="009018FE">
        <w:rPr>
          <w:sz w:val="22"/>
        </w:rPr>
        <w:t xml:space="preserve">The co-financing commitments at the outset of the project totaled the amount of USD </w:t>
      </w:r>
      <w:r w:rsidR="00541F05">
        <w:rPr>
          <w:sz w:val="22"/>
        </w:rPr>
        <w:t>610,0</w:t>
      </w:r>
      <w:r w:rsidR="00344FC5" w:rsidRPr="009018FE">
        <w:rPr>
          <w:sz w:val="22"/>
        </w:rPr>
        <w:t>00</w:t>
      </w:r>
      <w:r w:rsidR="00ED5C09">
        <w:rPr>
          <w:sz w:val="22"/>
        </w:rPr>
        <w:t xml:space="preserve"> (</w:t>
      </w:r>
      <w:r w:rsidR="00ED5C09" w:rsidRPr="00ED5C09">
        <w:rPr>
          <w:i/>
          <w:sz w:val="22"/>
        </w:rPr>
        <w:t>see table below</w:t>
      </w:r>
      <w:r w:rsidR="00ED5C09">
        <w:rPr>
          <w:sz w:val="22"/>
        </w:rPr>
        <w:t>)</w:t>
      </w:r>
      <w:r w:rsidR="009E12F3">
        <w:rPr>
          <w:sz w:val="22"/>
        </w:rPr>
        <w:t xml:space="preserve">, which represented over 54% of the total budgeted amount in the project document of USD 1,120,450 (GEF grant + co-financing). </w:t>
      </w:r>
      <w:r w:rsidR="009E12F3" w:rsidRPr="00060BDE">
        <w:rPr>
          <w:sz w:val="22"/>
        </w:rPr>
        <w:t xml:space="preserve">Co-financing commitments included an estimated $250,000 as a grant from MOE, a further grant of USD 110,000 and in-kind contributions from OECD (USD 200,000) and from UNDP Moldova (USD 50,000). </w:t>
      </w:r>
      <w:r w:rsidR="00060BDE">
        <w:rPr>
          <w:sz w:val="22"/>
        </w:rPr>
        <w:t xml:space="preserve">Official letters confirmed all these commitments during the formulation stage of the project and were attached to the project document. </w:t>
      </w:r>
    </w:p>
    <w:p w14:paraId="2C6FA907" w14:textId="77777777" w:rsidR="00250529" w:rsidRPr="00FB6D4E" w:rsidRDefault="00250529" w:rsidP="00811F33">
      <w:pPr>
        <w:pStyle w:val="ListParagraph"/>
        <w:tabs>
          <w:tab w:val="left" w:pos="567"/>
        </w:tabs>
        <w:ind w:left="0"/>
        <w:jc w:val="both"/>
        <w:rPr>
          <w:sz w:val="22"/>
        </w:rPr>
      </w:pPr>
    </w:p>
    <w:p w14:paraId="52B4490F" w14:textId="77777777" w:rsidR="001A348E" w:rsidRDefault="001A348E" w:rsidP="001A348E">
      <w:pPr>
        <w:pStyle w:val="Caption"/>
        <w:jc w:val="center"/>
        <w:rPr>
          <w:rFonts w:ascii="Arial" w:hAnsi="Arial"/>
          <w:b w:val="0"/>
        </w:rPr>
      </w:pPr>
      <w:bookmarkStart w:id="49" w:name="_Toc132532360"/>
      <w:bookmarkStart w:id="50" w:name="_Toc305531036"/>
      <w:r w:rsidRPr="00FB6D4E">
        <w:rPr>
          <w:rFonts w:ascii="Arial" w:hAnsi="Arial"/>
        </w:rPr>
        <w:t xml:space="preserve">Table </w:t>
      </w:r>
      <w:r w:rsidRPr="00FB6D4E">
        <w:rPr>
          <w:rFonts w:ascii="Arial" w:hAnsi="Arial"/>
        </w:rPr>
        <w:fldChar w:fldCharType="begin"/>
      </w:r>
      <w:r w:rsidRPr="00FB6D4E">
        <w:rPr>
          <w:rFonts w:ascii="Arial" w:hAnsi="Arial"/>
        </w:rPr>
        <w:instrText xml:space="preserve"> SEQ Table \* ARABIC </w:instrText>
      </w:r>
      <w:r w:rsidRPr="00FB6D4E">
        <w:rPr>
          <w:rFonts w:ascii="Arial" w:hAnsi="Arial"/>
        </w:rPr>
        <w:fldChar w:fldCharType="separate"/>
      </w:r>
      <w:r w:rsidR="00F91695">
        <w:rPr>
          <w:rFonts w:ascii="Arial" w:hAnsi="Arial"/>
          <w:noProof/>
        </w:rPr>
        <w:t>8</w:t>
      </w:r>
      <w:r w:rsidRPr="00FB6D4E">
        <w:rPr>
          <w:rFonts w:ascii="Arial" w:hAnsi="Arial"/>
        </w:rPr>
        <w:fldChar w:fldCharType="end"/>
      </w:r>
      <w:r w:rsidRPr="00FB6D4E">
        <w:rPr>
          <w:rFonts w:ascii="Arial" w:hAnsi="Arial"/>
        </w:rPr>
        <w:t xml:space="preserve">:  </w:t>
      </w:r>
      <w:r w:rsidRPr="00FB6D4E">
        <w:rPr>
          <w:rFonts w:ascii="Arial" w:hAnsi="Arial"/>
          <w:b w:val="0"/>
        </w:rPr>
        <w:t xml:space="preserve">Co-financing </w:t>
      </w:r>
      <w:r w:rsidR="00076680" w:rsidRPr="00FB6D4E">
        <w:rPr>
          <w:rFonts w:ascii="Arial" w:hAnsi="Arial"/>
          <w:b w:val="0"/>
        </w:rPr>
        <w:t>Status</w:t>
      </w:r>
      <w:bookmarkEnd w:id="49"/>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169"/>
        <w:gridCol w:w="1550"/>
        <w:gridCol w:w="1550"/>
      </w:tblGrid>
      <w:tr w:rsidR="008066FE" w:rsidRPr="00FB6D4E" w14:paraId="1714C008" w14:textId="77777777" w:rsidTr="004776DE">
        <w:trPr>
          <w:trHeight w:val="705"/>
          <w:tblHeader/>
          <w:jc w:val="center"/>
        </w:trPr>
        <w:tc>
          <w:tcPr>
            <w:tcW w:w="2469" w:type="dxa"/>
            <w:shd w:val="clear" w:color="auto" w:fill="000000"/>
            <w:vAlign w:val="center"/>
          </w:tcPr>
          <w:p w14:paraId="6963A448" w14:textId="77777777" w:rsidR="008066FE" w:rsidRPr="00FB6D4E" w:rsidRDefault="008066FE" w:rsidP="004776DE">
            <w:pPr>
              <w:widowControl/>
              <w:autoSpaceDE/>
              <w:autoSpaceDN/>
              <w:adjustRightInd/>
              <w:jc w:val="center"/>
              <w:rPr>
                <w:rFonts w:ascii="Calibri" w:hAnsi="Calibri"/>
                <w:b/>
                <w:color w:val="FFFFFF" w:themeColor="background1"/>
                <w:sz w:val="20"/>
                <w:szCs w:val="20"/>
              </w:rPr>
            </w:pPr>
            <w:r w:rsidRPr="00FB6D4E">
              <w:rPr>
                <w:rFonts w:ascii="Calibri" w:hAnsi="Calibri"/>
                <w:b/>
                <w:color w:val="FFFFFF" w:themeColor="background1"/>
                <w:sz w:val="20"/>
                <w:szCs w:val="20"/>
              </w:rPr>
              <w:t>Partner</w:t>
            </w:r>
          </w:p>
        </w:tc>
        <w:tc>
          <w:tcPr>
            <w:tcW w:w="1169" w:type="dxa"/>
            <w:shd w:val="clear" w:color="auto" w:fill="000000"/>
            <w:vAlign w:val="center"/>
          </w:tcPr>
          <w:p w14:paraId="2EA24436" w14:textId="77777777" w:rsidR="008066FE" w:rsidRPr="00FB6D4E" w:rsidRDefault="008066FE" w:rsidP="004776DE">
            <w:pPr>
              <w:widowControl/>
              <w:autoSpaceDE/>
              <w:autoSpaceDN/>
              <w:adjustRightInd/>
              <w:jc w:val="center"/>
              <w:rPr>
                <w:rFonts w:ascii="Calibri" w:hAnsi="Calibri"/>
                <w:b/>
                <w:color w:val="FFFFFF" w:themeColor="background1"/>
                <w:sz w:val="20"/>
                <w:szCs w:val="20"/>
              </w:rPr>
            </w:pPr>
            <w:r w:rsidRPr="00FB6D4E">
              <w:rPr>
                <w:rFonts w:ascii="Calibri" w:hAnsi="Calibri"/>
                <w:b/>
                <w:color w:val="FFFFFF" w:themeColor="background1"/>
                <w:sz w:val="20"/>
                <w:szCs w:val="20"/>
              </w:rPr>
              <w:t>Type</w:t>
            </w:r>
          </w:p>
        </w:tc>
        <w:tc>
          <w:tcPr>
            <w:tcW w:w="1550" w:type="dxa"/>
            <w:shd w:val="clear" w:color="auto" w:fill="000000"/>
            <w:vAlign w:val="center"/>
          </w:tcPr>
          <w:p w14:paraId="221F8E3B" w14:textId="77777777" w:rsidR="008066FE" w:rsidRPr="00FB6D4E" w:rsidRDefault="008066FE" w:rsidP="004776DE">
            <w:pPr>
              <w:widowControl/>
              <w:autoSpaceDE/>
              <w:autoSpaceDN/>
              <w:adjustRightInd/>
              <w:jc w:val="center"/>
              <w:rPr>
                <w:rFonts w:ascii="Calibri" w:hAnsi="Calibri"/>
                <w:b/>
                <w:color w:val="FFFFFF" w:themeColor="background1"/>
                <w:sz w:val="20"/>
                <w:szCs w:val="20"/>
              </w:rPr>
            </w:pPr>
            <w:r w:rsidRPr="00FB6D4E">
              <w:rPr>
                <w:rFonts w:ascii="Calibri" w:hAnsi="Calibri"/>
                <w:b/>
                <w:color w:val="FFFFFF" w:themeColor="background1"/>
                <w:sz w:val="20"/>
                <w:szCs w:val="20"/>
              </w:rPr>
              <w:t>Commitments (US$)</w:t>
            </w:r>
          </w:p>
        </w:tc>
        <w:tc>
          <w:tcPr>
            <w:tcW w:w="1550" w:type="dxa"/>
            <w:shd w:val="clear" w:color="auto" w:fill="000000"/>
            <w:vAlign w:val="center"/>
          </w:tcPr>
          <w:p w14:paraId="2FA03345" w14:textId="77777777" w:rsidR="008066FE" w:rsidRPr="00FB6D4E" w:rsidRDefault="008066FE" w:rsidP="004776DE">
            <w:pPr>
              <w:widowControl/>
              <w:autoSpaceDE/>
              <w:autoSpaceDN/>
              <w:adjustRightInd/>
              <w:jc w:val="center"/>
              <w:rPr>
                <w:rFonts w:ascii="Calibri" w:hAnsi="Calibri"/>
                <w:b/>
                <w:color w:val="FFFFFF" w:themeColor="background1"/>
                <w:sz w:val="20"/>
                <w:szCs w:val="20"/>
              </w:rPr>
            </w:pPr>
            <w:r w:rsidRPr="00FB6D4E">
              <w:rPr>
                <w:rFonts w:ascii="Calibri" w:hAnsi="Calibri"/>
                <w:b/>
                <w:color w:val="FFFFFF" w:themeColor="background1"/>
                <w:sz w:val="20"/>
                <w:szCs w:val="20"/>
              </w:rPr>
              <w:t>Actuals</w:t>
            </w:r>
          </w:p>
          <w:p w14:paraId="2FDB9CA2" w14:textId="77777777" w:rsidR="008066FE" w:rsidRPr="00FB6D4E" w:rsidRDefault="008066FE" w:rsidP="004776DE">
            <w:pPr>
              <w:widowControl/>
              <w:autoSpaceDE/>
              <w:autoSpaceDN/>
              <w:adjustRightInd/>
              <w:jc w:val="center"/>
              <w:rPr>
                <w:rFonts w:ascii="Calibri" w:hAnsi="Calibri"/>
                <w:b/>
                <w:color w:val="FFFFFF" w:themeColor="background1"/>
                <w:sz w:val="20"/>
                <w:szCs w:val="20"/>
              </w:rPr>
            </w:pPr>
            <w:r w:rsidRPr="00FB6D4E">
              <w:rPr>
                <w:rFonts w:ascii="Calibri" w:hAnsi="Calibri"/>
                <w:b/>
                <w:color w:val="FFFFFF" w:themeColor="background1"/>
                <w:sz w:val="20"/>
                <w:szCs w:val="20"/>
              </w:rPr>
              <w:t>(US$)</w:t>
            </w:r>
          </w:p>
        </w:tc>
      </w:tr>
      <w:tr w:rsidR="008066FE" w:rsidRPr="00FB6D4E" w14:paraId="47BB45AE" w14:textId="77777777" w:rsidTr="004776DE">
        <w:trPr>
          <w:trHeight w:val="340"/>
          <w:jc w:val="center"/>
        </w:trPr>
        <w:tc>
          <w:tcPr>
            <w:tcW w:w="2469" w:type="dxa"/>
            <w:vAlign w:val="center"/>
          </w:tcPr>
          <w:p w14:paraId="1217A9D5" w14:textId="40CC204A" w:rsidR="008066FE" w:rsidRPr="009E12F3" w:rsidRDefault="00541F05" w:rsidP="004776DE">
            <w:pPr>
              <w:widowControl/>
              <w:autoSpaceDE/>
              <w:autoSpaceDN/>
              <w:adjustRightInd/>
              <w:rPr>
                <w:rFonts w:ascii="Calibri" w:hAnsi="Calibri"/>
                <w:color w:val="000000"/>
                <w:sz w:val="20"/>
                <w:szCs w:val="20"/>
              </w:rPr>
            </w:pPr>
            <w:r w:rsidRPr="009E12F3">
              <w:rPr>
                <w:rFonts w:ascii="Calibri" w:hAnsi="Calibri"/>
                <w:color w:val="000000"/>
                <w:sz w:val="20"/>
                <w:szCs w:val="20"/>
              </w:rPr>
              <w:t>Ministry of Environment</w:t>
            </w:r>
          </w:p>
        </w:tc>
        <w:tc>
          <w:tcPr>
            <w:tcW w:w="1169" w:type="dxa"/>
            <w:vAlign w:val="center"/>
          </w:tcPr>
          <w:p w14:paraId="30DB0953" w14:textId="7911497E" w:rsidR="008066FE" w:rsidRPr="009E12F3" w:rsidRDefault="00541F05" w:rsidP="004776DE">
            <w:pPr>
              <w:widowControl/>
              <w:autoSpaceDE/>
              <w:autoSpaceDN/>
              <w:adjustRightInd/>
              <w:jc w:val="center"/>
              <w:rPr>
                <w:rFonts w:ascii="Calibri" w:hAnsi="Calibri"/>
                <w:color w:val="000000"/>
                <w:sz w:val="20"/>
                <w:szCs w:val="20"/>
              </w:rPr>
            </w:pPr>
            <w:r w:rsidRPr="009E12F3">
              <w:rPr>
                <w:rFonts w:ascii="Calibri" w:hAnsi="Calibri"/>
                <w:color w:val="000000"/>
                <w:sz w:val="20"/>
                <w:szCs w:val="20"/>
              </w:rPr>
              <w:t>Grant</w:t>
            </w:r>
          </w:p>
        </w:tc>
        <w:tc>
          <w:tcPr>
            <w:tcW w:w="1550" w:type="dxa"/>
            <w:vAlign w:val="center"/>
          </w:tcPr>
          <w:p w14:paraId="5E0190CA" w14:textId="65EE7780" w:rsidR="008066FE" w:rsidRPr="009E12F3" w:rsidRDefault="00541F05" w:rsidP="004776DE">
            <w:pPr>
              <w:widowControl/>
              <w:autoSpaceDE/>
              <w:autoSpaceDN/>
              <w:adjustRightInd/>
              <w:jc w:val="right"/>
              <w:rPr>
                <w:rFonts w:ascii="Calibri" w:hAnsi="Calibri"/>
                <w:color w:val="000000"/>
                <w:sz w:val="20"/>
                <w:szCs w:val="20"/>
              </w:rPr>
            </w:pPr>
            <w:r w:rsidRPr="009E12F3">
              <w:rPr>
                <w:rFonts w:ascii="Calibri" w:hAnsi="Calibri"/>
                <w:color w:val="000000"/>
                <w:sz w:val="20"/>
                <w:szCs w:val="20"/>
              </w:rPr>
              <w:t>250,000</w:t>
            </w:r>
          </w:p>
        </w:tc>
        <w:tc>
          <w:tcPr>
            <w:tcW w:w="1550" w:type="dxa"/>
            <w:vAlign w:val="center"/>
          </w:tcPr>
          <w:p w14:paraId="7D1C74D7" w14:textId="77777777" w:rsidR="008066FE" w:rsidRPr="009E12F3" w:rsidRDefault="008066FE" w:rsidP="004776DE">
            <w:pPr>
              <w:widowControl/>
              <w:autoSpaceDE/>
              <w:autoSpaceDN/>
              <w:adjustRightInd/>
              <w:jc w:val="right"/>
              <w:rPr>
                <w:rFonts w:ascii="Calibri" w:hAnsi="Calibri"/>
                <w:color w:val="000000"/>
                <w:sz w:val="20"/>
                <w:szCs w:val="20"/>
              </w:rPr>
            </w:pPr>
          </w:p>
        </w:tc>
      </w:tr>
      <w:tr w:rsidR="00541F05" w:rsidRPr="00FB6D4E" w14:paraId="76BA9637" w14:textId="77777777" w:rsidTr="004776DE">
        <w:trPr>
          <w:trHeight w:val="340"/>
          <w:jc w:val="center"/>
        </w:trPr>
        <w:tc>
          <w:tcPr>
            <w:tcW w:w="2469" w:type="dxa"/>
            <w:vAlign w:val="center"/>
          </w:tcPr>
          <w:p w14:paraId="0ADDAFB4" w14:textId="78BF1944" w:rsidR="00541F05" w:rsidRPr="009E12F3" w:rsidRDefault="00541F05" w:rsidP="004776DE">
            <w:pPr>
              <w:widowControl/>
              <w:autoSpaceDE/>
              <w:autoSpaceDN/>
              <w:adjustRightInd/>
              <w:rPr>
                <w:rFonts w:ascii="Calibri" w:hAnsi="Calibri"/>
                <w:color w:val="000000"/>
                <w:sz w:val="20"/>
                <w:szCs w:val="20"/>
              </w:rPr>
            </w:pPr>
            <w:r w:rsidRPr="009E12F3">
              <w:rPr>
                <w:rFonts w:ascii="Calibri" w:hAnsi="Calibri"/>
                <w:color w:val="000000"/>
                <w:sz w:val="20"/>
                <w:szCs w:val="20"/>
              </w:rPr>
              <w:t>OECD</w:t>
            </w:r>
            <w:r w:rsidR="00060BDE" w:rsidRPr="00060BDE">
              <w:rPr>
                <w:rStyle w:val="FootnoteReference"/>
                <w:rFonts w:ascii="Calibri" w:hAnsi="Calibri"/>
                <w:color w:val="000000"/>
                <w:sz w:val="20"/>
                <w:szCs w:val="20"/>
                <w:vertAlign w:val="superscript"/>
              </w:rPr>
              <w:footnoteReference w:id="6"/>
            </w:r>
          </w:p>
        </w:tc>
        <w:tc>
          <w:tcPr>
            <w:tcW w:w="1169" w:type="dxa"/>
            <w:vAlign w:val="center"/>
          </w:tcPr>
          <w:p w14:paraId="75AA55D1" w14:textId="0EA2CFDC" w:rsidR="00541F05" w:rsidRPr="009E12F3" w:rsidRDefault="00541F05" w:rsidP="004776DE">
            <w:pPr>
              <w:widowControl/>
              <w:autoSpaceDE/>
              <w:autoSpaceDN/>
              <w:adjustRightInd/>
              <w:jc w:val="center"/>
              <w:rPr>
                <w:rFonts w:ascii="Calibri" w:hAnsi="Calibri"/>
                <w:color w:val="000000"/>
                <w:sz w:val="20"/>
                <w:szCs w:val="20"/>
              </w:rPr>
            </w:pPr>
            <w:r w:rsidRPr="009E12F3">
              <w:rPr>
                <w:rFonts w:ascii="Calibri" w:hAnsi="Calibri"/>
                <w:color w:val="000000"/>
                <w:sz w:val="20"/>
                <w:szCs w:val="20"/>
              </w:rPr>
              <w:t>In-kind</w:t>
            </w:r>
          </w:p>
        </w:tc>
        <w:tc>
          <w:tcPr>
            <w:tcW w:w="1550" w:type="dxa"/>
            <w:vAlign w:val="center"/>
          </w:tcPr>
          <w:p w14:paraId="22AB336E" w14:textId="086B46CA" w:rsidR="00541F05" w:rsidRPr="009E12F3" w:rsidRDefault="00541F05" w:rsidP="004776DE">
            <w:pPr>
              <w:widowControl/>
              <w:autoSpaceDE/>
              <w:autoSpaceDN/>
              <w:adjustRightInd/>
              <w:jc w:val="right"/>
              <w:rPr>
                <w:rFonts w:ascii="Calibri" w:hAnsi="Calibri"/>
                <w:color w:val="000000"/>
                <w:sz w:val="20"/>
                <w:szCs w:val="20"/>
              </w:rPr>
            </w:pPr>
            <w:r w:rsidRPr="009E12F3">
              <w:rPr>
                <w:rFonts w:ascii="Calibri" w:hAnsi="Calibri"/>
                <w:color w:val="000000"/>
                <w:sz w:val="20"/>
                <w:szCs w:val="20"/>
              </w:rPr>
              <w:t>200,000</w:t>
            </w:r>
          </w:p>
        </w:tc>
        <w:tc>
          <w:tcPr>
            <w:tcW w:w="1550" w:type="dxa"/>
            <w:vAlign w:val="center"/>
          </w:tcPr>
          <w:p w14:paraId="1CE0CA38" w14:textId="77777777" w:rsidR="00541F05" w:rsidRPr="009E12F3" w:rsidRDefault="00541F05" w:rsidP="004776DE">
            <w:pPr>
              <w:widowControl/>
              <w:autoSpaceDE/>
              <w:autoSpaceDN/>
              <w:adjustRightInd/>
              <w:jc w:val="right"/>
              <w:rPr>
                <w:rFonts w:ascii="Calibri" w:hAnsi="Calibri"/>
                <w:color w:val="000000"/>
                <w:sz w:val="20"/>
                <w:szCs w:val="20"/>
              </w:rPr>
            </w:pPr>
          </w:p>
        </w:tc>
      </w:tr>
      <w:tr w:rsidR="00541F05" w:rsidRPr="00FB6D4E" w14:paraId="5C4629B5" w14:textId="77777777" w:rsidTr="004776DE">
        <w:trPr>
          <w:trHeight w:val="340"/>
          <w:jc w:val="center"/>
        </w:trPr>
        <w:tc>
          <w:tcPr>
            <w:tcW w:w="2469" w:type="dxa"/>
            <w:vAlign w:val="center"/>
          </w:tcPr>
          <w:p w14:paraId="54C96693" w14:textId="0ABAFD3E" w:rsidR="00541F05" w:rsidRPr="009E12F3" w:rsidRDefault="00541F05" w:rsidP="004776DE">
            <w:pPr>
              <w:widowControl/>
              <w:autoSpaceDE/>
              <w:autoSpaceDN/>
              <w:adjustRightInd/>
              <w:rPr>
                <w:rFonts w:ascii="Calibri" w:hAnsi="Calibri"/>
                <w:color w:val="000000"/>
                <w:sz w:val="20"/>
                <w:szCs w:val="20"/>
              </w:rPr>
            </w:pPr>
            <w:r w:rsidRPr="009E12F3">
              <w:rPr>
                <w:rFonts w:ascii="Calibri" w:hAnsi="Calibri"/>
                <w:color w:val="000000"/>
                <w:sz w:val="20"/>
                <w:szCs w:val="20"/>
              </w:rPr>
              <w:t>UNDP Moldova</w:t>
            </w:r>
          </w:p>
        </w:tc>
        <w:tc>
          <w:tcPr>
            <w:tcW w:w="1169" w:type="dxa"/>
            <w:vAlign w:val="center"/>
          </w:tcPr>
          <w:p w14:paraId="4D710798" w14:textId="4291E9FF" w:rsidR="00541F05" w:rsidRPr="009E12F3" w:rsidRDefault="00541F05" w:rsidP="004776DE">
            <w:pPr>
              <w:widowControl/>
              <w:autoSpaceDE/>
              <w:autoSpaceDN/>
              <w:adjustRightInd/>
              <w:jc w:val="center"/>
              <w:rPr>
                <w:rFonts w:ascii="Calibri" w:hAnsi="Calibri"/>
                <w:color w:val="000000"/>
                <w:sz w:val="20"/>
                <w:szCs w:val="20"/>
              </w:rPr>
            </w:pPr>
            <w:r w:rsidRPr="009E12F3">
              <w:rPr>
                <w:rFonts w:ascii="Calibri" w:hAnsi="Calibri"/>
                <w:color w:val="000000"/>
                <w:sz w:val="20"/>
                <w:szCs w:val="20"/>
              </w:rPr>
              <w:t>Grant</w:t>
            </w:r>
          </w:p>
        </w:tc>
        <w:tc>
          <w:tcPr>
            <w:tcW w:w="1550" w:type="dxa"/>
            <w:vAlign w:val="center"/>
          </w:tcPr>
          <w:p w14:paraId="043D252B" w14:textId="16876C55" w:rsidR="00541F05" w:rsidRPr="009E12F3" w:rsidRDefault="00541F05" w:rsidP="004776DE">
            <w:pPr>
              <w:widowControl/>
              <w:autoSpaceDE/>
              <w:autoSpaceDN/>
              <w:adjustRightInd/>
              <w:jc w:val="right"/>
              <w:rPr>
                <w:rFonts w:ascii="Calibri" w:hAnsi="Calibri"/>
                <w:color w:val="000000"/>
                <w:sz w:val="20"/>
                <w:szCs w:val="20"/>
              </w:rPr>
            </w:pPr>
            <w:r w:rsidRPr="009E12F3">
              <w:rPr>
                <w:rFonts w:ascii="Calibri" w:hAnsi="Calibri"/>
                <w:color w:val="000000"/>
                <w:sz w:val="20"/>
                <w:szCs w:val="20"/>
              </w:rPr>
              <w:t>110,000</w:t>
            </w:r>
          </w:p>
        </w:tc>
        <w:tc>
          <w:tcPr>
            <w:tcW w:w="1550" w:type="dxa"/>
            <w:vAlign w:val="center"/>
          </w:tcPr>
          <w:p w14:paraId="38C79905" w14:textId="202870AD" w:rsidR="00541F05" w:rsidRPr="009E12F3" w:rsidRDefault="009E12F3" w:rsidP="00743E15">
            <w:pPr>
              <w:widowControl/>
              <w:autoSpaceDE/>
              <w:autoSpaceDN/>
              <w:adjustRightInd/>
              <w:jc w:val="right"/>
              <w:rPr>
                <w:rFonts w:ascii="Calibri" w:hAnsi="Calibri"/>
                <w:color w:val="000000"/>
                <w:sz w:val="20"/>
                <w:szCs w:val="20"/>
              </w:rPr>
            </w:pPr>
            <w:r w:rsidRPr="009E12F3">
              <w:rPr>
                <w:rFonts w:ascii="Calibri" w:hAnsi="Calibri"/>
                <w:color w:val="000000"/>
                <w:sz w:val="20"/>
                <w:szCs w:val="20"/>
              </w:rPr>
              <w:t>62,691</w:t>
            </w:r>
          </w:p>
        </w:tc>
      </w:tr>
      <w:tr w:rsidR="008066FE" w:rsidRPr="00FB6D4E" w14:paraId="484A57EA" w14:textId="77777777" w:rsidTr="004776DE">
        <w:trPr>
          <w:trHeight w:val="340"/>
          <w:jc w:val="center"/>
        </w:trPr>
        <w:tc>
          <w:tcPr>
            <w:tcW w:w="2469" w:type="dxa"/>
            <w:vAlign w:val="center"/>
          </w:tcPr>
          <w:p w14:paraId="766CFB80" w14:textId="71FF8CAD" w:rsidR="008066FE" w:rsidRPr="009E12F3" w:rsidRDefault="00541F05" w:rsidP="004776DE">
            <w:pPr>
              <w:widowControl/>
              <w:autoSpaceDE/>
              <w:autoSpaceDN/>
              <w:adjustRightInd/>
              <w:rPr>
                <w:rFonts w:ascii="Calibri" w:hAnsi="Calibri"/>
                <w:color w:val="000000"/>
                <w:sz w:val="20"/>
                <w:szCs w:val="20"/>
              </w:rPr>
            </w:pPr>
            <w:r w:rsidRPr="009E12F3">
              <w:rPr>
                <w:rFonts w:ascii="Calibri" w:hAnsi="Calibri"/>
                <w:color w:val="000000"/>
                <w:sz w:val="20"/>
                <w:szCs w:val="20"/>
              </w:rPr>
              <w:t>UNDP Moldova</w:t>
            </w:r>
          </w:p>
        </w:tc>
        <w:tc>
          <w:tcPr>
            <w:tcW w:w="1169" w:type="dxa"/>
            <w:vAlign w:val="center"/>
          </w:tcPr>
          <w:p w14:paraId="4DF94ECB" w14:textId="170CF182" w:rsidR="008066FE" w:rsidRPr="009E12F3" w:rsidRDefault="00541F05" w:rsidP="004776DE">
            <w:pPr>
              <w:widowControl/>
              <w:autoSpaceDE/>
              <w:autoSpaceDN/>
              <w:adjustRightInd/>
              <w:jc w:val="center"/>
              <w:rPr>
                <w:rFonts w:ascii="Calibri" w:hAnsi="Calibri"/>
                <w:color w:val="000000"/>
                <w:sz w:val="20"/>
                <w:szCs w:val="20"/>
              </w:rPr>
            </w:pPr>
            <w:r w:rsidRPr="009E12F3">
              <w:rPr>
                <w:rFonts w:ascii="Calibri" w:hAnsi="Calibri"/>
                <w:color w:val="000000"/>
                <w:sz w:val="20"/>
                <w:szCs w:val="20"/>
              </w:rPr>
              <w:t>In-kind</w:t>
            </w:r>
          </w:p>
        </w:tc>
        <w:tc>
          <w:tcPr>
            <w:tcW w:w="1550" w:type="dxa"/>
            <w:vAlign w:val="center"/>
          </w:tcPr>
          <w:p w14:paraId="70508DCC" w14:textId="6453AE27" w:rsidR="008066FE" w:rsidRPr="009E12F3" w:rsidRDefault="00541F05" w:rsidP="004776DE">
            <w:pPr>
              <w:widowControl/>
              <w:autoSpaceDE/>
              <w:autoSpaceDN/>
              <w:adjustRightInd/>
              <w:jc w:val="right"/>
              <w:rPr>
                <w:rFonts w:ascii="Calibri" w:hAnsi="Calibri"/>
                <w:color w:val="000000"/>
                <w:sz w:val="20"/>
                <w:szCs w:val="20"/>
              </w:rPr>
            </w:pPr>
            <w:r w:rsidRPr="009E12F3">
              <w:rPr>
                <w:rFonts w:ascii="Calibri" w:hAnsi="Calibri"/>
                <w:color w:val="000000"/>
                <w:sz w:val="20"/>
                <w:szCs w:val="20"/>
              </w:rPr>
              <w:t>50,000</w:t>
            </w:r>
          </w:p>
        </w:tc>
        <w:tc>
          <w:tcPr>
            <w:tcW w:w="1550" w:type="dxa"/>
            <w:vAlign w:val="center"/>
          </w:tcPr>
          <w:p w14:paraId="5D5CB2F5" w14:textId="77777777" w:rsidR="008066FE" w:rsidRPr="009E12F3" w:rsidRDefault="008066FE" w:rsidP="00743E15">
            <w:pPr>
              <w:widowControl/>
              <w:autoSpaceDE/>
              <w:autoSpaceDN/>
              <w:adjustRightInd/>
              <w:jc w:val="right"/>
              <w:rPr>
                <w:rFonts w:ascii="Calibri" w:hAnsi="Calibri"/>
                <w:color w:val="000000"/>
                <w:sz w:val="20"/>
                <w:szCs w:val="20"/>
              </w:rPr>
            </w:pPr>
          </w:p>
        </w:tc>
      </w:tr>
      <w:tr w:rsidR="008066FE" w:rsidRPr="00FB6D4E" w14:paraId="1561AC37" w14:textId="77777777" w:rsidTr="004776DE">
        <w:trPr>
          <w:trHeight w:val="340"/>
          <w:jc w:val="center"/>
        </w:trPr>
        <w:tc>
          <w:tcPr>
            <w:tcW w:w="3638" w:type="dxa"/>
            <w:gridSpan w:val="2"/>
            <w:tcBorders>
              <w:top w:val="double" w:sz="4" w:space="0" w:color="auto"/>
            </w:tcBorders>
            <w:vAlign w:val="center"/>
          </w:tcPr>
          <w:p w14:paraId="671B8FF6" w14:textId="77777777" w:rsidR="008066FE" w:rsidRPr="009E12F3" w:rsidRDefault="008066FE" w:rsidP="004776DE">
            <w:pPr>
              <w:widowControl/>
              <w:autoSpaceDE/>
              <w:autoSpaceDN/>
              <w:adjustRightInd/>
              <w:jc w:val="right"/>
              <w:rPr>
                <w:rFonts w:ascii="Calibri" w:hAnsi="Calibri"/>
                <w:b/>
                <w:color w:val="000000"/>
                <w:sz w:val="20"/>
                <w:szCs w:val="20"/>
              </w:rPr>
            </w:pPr>
            <w:r w:rsidRPr="009E12F3">
              <w:rPr>
                <w:rFonts w:ascii="Calibri" w:hAnsi="Calibri"/>
                <w:b/>
                <w:color w:val="000000"/>
                <w:sz w:val="20"/>
                <w:szCs w:val="20"/>
              </w:rPr>
              <w:t>Total (US$)</w:t>
            </w:r>
          </w:p>
        </w:tc>
        <w:tc>
          <w:tcPr>
            <w:tcW w:w="1550" w:type="dxa"/>
            <w:tcBorders>
              <w:top w:val="double" w:sz="4" w:space="0" w:color="auto"/>
            </w:tcBorders>
            <w:vAlign w:val="center"/>
          </w:tcPr>
          <w:p w14:paraId="276EB60C" w14:textId="1744FCB4" w:rsidR="008066FE" w:rsidRPr="009E12F3" w:rsidRDefault="00541F05" w:rsidP="004776DE">
            <w:pPr>
              <w:widowControl/>
              <w:autoSpaceDE/>
              <w:autoSpaceDN/>
              <w:adjustRightInd/>
              <w:jc w:val="right"/>
              <w:rPr>
                <w:rFonts w:ascii="Calibri" w:hAnsi="Calibri"/>
                <w:b/>
                <w:color w:val="000000"/>
                <w:sz w:val="20"/>
                <w:szCs w:val="20"/>
              </w:rPr>
            </w:pPr>
            <w:r w:rsidRPr="009E12F3">
              <w:rPr>
                <w:rFonts w:ascii="Calibri" w:hAnsi="Calibri"/>
                <w:b/>
                <w:color w:val="000000"/>
                <w:sz w:val="20"/>
                <w:szCs w:val="20"/>
              </w:rPr>
              <w:t>610,000</w:t>
            </w:r>
          </w:p>
        </w:tc>
        <w:tc>
          <w:tcPr>
            <w:tcW w:w="1550" w:type="dxa"/>
            <w:tcBorders>
              <w:top w:val="double" w:sz="4" w:space="0" w:color="auto"/>
            </w:tcBorders>
            <w:vAlign w:val="center"/>
          </w:tcPr>
          <w:p w14:paraId="5D4AB07E" w14:textId="4A77623B" w:rsidR="008066FE" w:rsidRPr="009E12F3" w:rsidRDefault="009E12F3" w:rsidP="00743E15">
            <w:pPr>
              <w:widowControl/>
              <w:autoSpaceDE/>
              <w:autoSpaceDN/>
              <w:adjustRightInd/>
              <w:jc w:val="right"/>
              <w:rPr>
                <w:rFonts w:ascii="Calibri" w:hAnsi="Calibri"/>
                <w:b/>
                <w:color w:val="000000"/>
                <w:sz w:val="20"/>
                <w:szCs w:val="20"/>
              </w:rPr>
            </w:pPr>
            <w:r w:rsidRPr="009E12F3">
              <w:rPr>
                <w:rFonts w:ascii="Calibri" w:hAnsi="Calibri"/>
                <w:b/>
                <w:color w:val="000000"/>
                <w:sz w:val="20"/>
                <w:szCs w:val="20"/>
              </w:rPr>
              <w:t>62,691</w:t>
            </w:r>
          </w:p>
        </w:tc>
      </w:tr>
    </w:tbl>
    <w:p w14:paraId="5F1876AC" w14:textId="37967365" w:rsidR="001A348E" w:rsidRPr="00FB6D4E" w:rsidRDefault="001A348E" w:rsidP="008066FE">
      <w:pPr>
        <w:ind w:left="596" w:firstLine="680"/>
        <w:jc w:val="both"/>
        <w:rPr>
          <w:bCs/>
          <w:i/>
          <w:sz w:val="18"/>
          <w:szCs w:val="22"/>
        </w:rPr>
      </w:pPr>
      <w:r w:rsidRPr="004776DE">
        <w:rPr>
          <w:bCs/>
          <w:i/>
          <w:sz w:val="18"/>
          <w:szCs w:val="22"/>
        </w:rPr>
        <w:t>Source:</w:t>
      </w:r>
      <w:r w:rsidR="00BB609B" w:rsidRPr="004776DE">
        <w:rPr>
          <w:bCs/>
          <w:i/>
          <w:sz w:val="18"/>
          <w:szCs w:val="22"/>
        </w:rPr>
        <w:t xml:space="preserve"> </w:t>
      </w:r>
      <w:r w:rsidR="000C05F6" w:rsidRPr="004776DE">
        <w:rPr>
          <w:bCs/>
          <w:i/>
          <w:sz w:val="18"/>
          <w:szCs w:val="22"/>
        </w:rPr>
        <w:t>Pro</w:t>
      </w:r>
      <w:r w:rsidR="009E12F3">
        <w:rPr>
          <w:bCs/>
          <w:i/>
          <w:sz w:val="18"/>
          <w:szCs w:val="22"/>
        </w:rPr>
        <w:t>ject Document and UNDP CDRs</w:t>
      </w:r>
    </w:p>
    <w:p w14:paraId="488D8345" w14:textId="77777777" w:rsidR="001A348E" w:rsidRPr="00FB6D4E" w:rsidRDefault="001A348E" w:rsidP="00811F33">
      <w:pPr>
        <w:pStyle w:val="ListParagraph"/>
        <w:tabs>
          <w:tab w:val="left" w:pos="1701"/>
        </w:tabs>
        <w:ind w:left="0"/>
        <w:jc w:val="both"/>
        <w:rPr>
          <w:bCs/>
          <w:sz w:val="22"/>
          <w:szCs w:val="22"/>
        </w:rPr>
      </w:pPr>
    </w:p>
    <w:p w14:paraId="041EA977" w14:textId="5E535EA2" w:rsidR="00E409B4" w:rsidRPr="00E409B4" w:rsidRDefault="00E409B4" w:rsidP="00BF3DBA">
      <w:pPr>
        <w:pStyle w:val="ListParagraph"/>
        <w:numPr>
          <w:ilvl w:val="0"/>
          <w:numId w:val="15"/>
        </w:numPr>
        <w:tabs>
          <w:tab w:val="left" w:pos="1701"/>
        </w:tabs>
        <w:jc w:val="both"/>
        <w:rPr>
          <w:sz w:val="22"/>
          <w:szCs w:val="22"/>
        </w:rPr>
      </w:pPr>
      <w:r>
        <w:rPr>
          <w:sz w:val="22"/>
        </w:rPr>
        <w:t xml:space="preserve">Limited </w:t>
      </w:r>
      <w:r w:rsidR="00ED5C09">
        <w:rPr>
          <w:sz w:val="22"/>
        </w:rPr>
        <w:t>tracking of the planned co-financing amounts were</w:t>
      </w:r>
      <w:r>
        <w:rPr>
          <w:sz w:val="22"/>
        </w:rPr>
        <w:t xml:space="preserve"> done for this project. As per the “</w:t>
      </w:r>
      <w:r w:rsidRPr="00E409B4">
        <w:rPr>
          <w:i/>
          <w:sz w:val="22"/>
        </w:rPr>
        <w:t>Combined Delivery Reports (CDRs)</w:t>
      </w:r>
      <w:r>
        <w:rPr>
          <w:sz w:val="22"/>
        </w:rPr>
        <w:t xml:space="preserve">” of UNDP, a total amount of USD 62,691 was reported as an UNDP-Core Programme cash contribution to the project. No reporting was made on the grant contribution from MOE and </w:t>
      </w:r>
      <w:r w:rsidR="00C05D2F">
        <w:rPr>
          <w:sz w:val="22"/>
        </w:rPr>
        <w:t xml:space="preserve">limited reporting was made </w:t>
      </w:r>
      <w:r>
        <w:rPr>
          <w:sz w:val="22"/>
        </w:rPr>
        <w:t>on the in-kind contribution from OECD and from UNDP</w:t>
      </w:r>
      <w:r w:rsidR="00C05D2F">
        <w:rPr>
          <w:sz w:val="22"/>
        </w:rPr>
        <w:t xml:space="preserve"> in the PIR 2013 when they partnered to implement capacity development activities</w:t>
      </w:r>
      <w:r>
        <w:rPr>
          <w:sz w:val="22"/>
        </w:rPr>
        <w:t xml:space="preserve">. However, a total co-financing amount of USD 475,000 is being reported in the 2015 Project Implementation Review (PIR). </w:t>
      </w:r>
    </w:p>
    <w:p w14:paraId="5BB32884" w14:textId="30B14514" w:rsidR="00E409B4" w:rsidRPr="00E409B4" w:rsidRDefault="00ED5C09" w:rsidP="00E409B4">
      <w:pPr>
        <w:pStyle w:val="ListParagraph"/>
        <w:tabs>
          <w:tab w:val="left" w:pos="1701"/>
        </w:tabs>
        <w:ind w:left="0"/>
        <w:jc w:val="both"/>
        <w:rPr>
          <w:sz w:val="22"/>
          <w:szCs w:val="22"/>
        </w:rPr>
      </w:pPr>
      <w:r>
        <w:rPr>
          <w:sz w:val="22"/>
        </w:rPr>
        <w:t xml:space="preserve"> </w:t>
      </w:r>
    </w:p>
    <w:p w14:paraId="051320EA" w14:textId="7C07C78F" w:rsidR="008822E9" w:rsidRPr="00C05D2F" w:rsidRDefault="00E409B4" w:rsidP="00C05D2F">
      <w:pPr>
        <w:pStyle w:val="ListParagraph"/>
        <w:numPr>
          <w:ilvl w:val="0"/>
          <w:numId w:val="15"/>
        </w:numPr>
        <w:tabs>
          <w:tab w:val="left" w:pos="1701"/>
        </w:tabs>
        <w:jc w:val="both"/>
        <w:rPr>
          <w:sz w:val="22"/>
          <w:szCs w:val="22"/>
        </w:rPr>
      </w:pPr>
      <w:r>
        <w:rPr>
          <w:sz w:val="22"/>
        </w:rPr>
        <w:t xml:space="preserve">However, despite limited reporting on these co-financing commitments throughout the project, the Evaluation Team confirmed that MOE, OECD and UNDP have definitely contributed </w:t>
      </w:r>
      <w:r w:rsidR="00C05D2F">
        <w:rPr>
          <w:sz w:val="22"/>
        </w:rPr>
        <w:t xml:space="preserve">their fair share </w:t>
      </w:r>
      <w:r>
        <w:rPr>
          <w:sz w:val="22"/>
        </w:rPr>
        <w:t xml:space="preserve">to the implementation of this project. </w:t>
      </w:r>
    </w:p>
    <w:p w14:paraId="10444FD4" w14:textId="77777777" w:rsidR="00DF7E79" w:rsidRPr="00FB6D4E" w:rsidRDefault="00DF7E79" w:rsidP="00DF7E79">
      <w:pPr>
        <w:pStyle w:val="ListParagraph"/>
        <w:tabs>
          <w:tab w:val="left" w:pos="1701"/>
        </w:tabs>
        <w:ind w:left="0"/>
        <w:jc w:val="both"/>
        <w:rPr>
          <w:sz w:val="22"/>
          <w:szCs w:val="22"/>
        </w:rPr>
      </w:pPr>
    </w:p>
    <w:p w14:paraId="27B738AE" w14:textId="77777777" w:rsidR="006E3DAE" w:rsidRPr="00FB6D4E" w:rsidRDefault="006E3DAE" w:rsidP="006B3375">
      <w:pPr>
        <w:pStyle w:val="Heading3"/>
        <w:numPr>
          <w:ilvl w:val="2"/>
          <w:numId w:val="1"/>
        </w:numPr>
        <w:tabs>
          <w:tab w:val="clear" w:pos="1440"/>
        </w:tabs>
        <w:ind w:left="1276" w:hanging="709"/>
        <w:rPr>
          <w:rFonts w:ascii="Arial" w:hAnsi="Arial" w:cs="Arial"/>
          <w:i/>
          <w:sz w:val="22"/>
          <w:szCs w:val="22"/>
        </w:rPr>
      </w:pPr>
      <w:bookmarkStart w:id="51" w:name="_Toc308103257"/>
      <w:r w:rsidRPr="00FB6D4E">
        <w:rPr>
          <w:rFonts w:ascii="Arial" w:hAnsi="Arial" w:cs="Arial"/>
          <w:i/>
          <w:sz w:val="22"/>
          <w:szCs w:val="22"/>
        </w:rPr>
        <w:t>Monitoring and Evaluation</w:t>
      </w:r>
      <w:r w:rsidR="003D6C7F" w:rsidRPr="00FB6D4E">
        <w:rPr>
          <w:rFonts w:ascii="Arial" w:hAnsi="Arial" w:cs="Arial"/>
          <w:i/>
          <w:sz w:val="22"/>
          <w:szCs w:val="22"/>
        </w:rPr>
        <w:t xml:space="preserve"> (M&amp;E) Approach</w:t>
      </w:r>
      <w:bookmarkEnd w:id="51"/>
    </w:p>
    <w:p w14:paraId="3B063BAF" w14:textId="77777777" w:rsidR="006E3DAE" w:rsidRPr="00FB6D4E" w:rsidRDefault="006E3DAE" w:rsidP="006E3DAE">
      <w:pPr>
        <w:tabs>
          <w:tab w:val="left" w:pos="1472"/>
        </w:tabs>
        <w:jc w:val="both"/>
        <w:rPr>
          <w:sz w:val="22"/>
          <w:szCs w:val="22"/>
        </w:rPr>
      </w:pPr>
    </w:p>
    <w:p w14:paraId="792C858F" w14:textId="6A0F200E" w:rsidR="00D06E7E" w:rsidRDefault="005E3AF9" w:rsidP="005E3AF9">
      <w:pPr>
        <w:pStyle w:val="ListParagraph"/>
        <w:numPr>
          <w:ilvl w:val="0"/>
          <w:numId w:val="15"/>
        </w:numPr>
        <w:jc w:val="both"/>
        <w:rPr>
          <w:sz w:val="22"/>
          <w:szCs w:val="22"/>
        </w:rPr>
      </w:pPr>
      <w:r w:rsidRPr="00D06E7E">
        <w:rPr>
          <w:sz w:val="22"/>
          <w:szCs w:val="22"/>
        </w:rPr>
        <w:t>A</w:t>
      </w:r>
      <w:r w:rsidR="00E50BF7">
        <w:rPr>
          <w:sz w:val="22"/>
          <w:szCs w:val="22"/>
        </w:rPr>
        <w:t xml:space="preserve"> </w:t>
      </w:r>
      <w:r w:rsidR="00141B92">
        <w:rPr>
          <w:sz w:val="22"/>
          <w:szCs w:val="22"/>
        </w:rPr>
        <w:t xml:space="preserve">comprehensive </w:t>
      </w:r>
      <w:r w:rsidRPr="00D06E7E">
        <w:rPr>
          <w:sz w:val="22"/>
          <w:szCs w:val="22"/>
        </w:rPr>
        <w:t xml:space="preserve">M&amp;E plan was formulated during the formulation of the project in accordance with </w:t>
      </w:r>
      <w:r w:rsidR="00602874" w:rsidRPr="00D06E7E">
        <w:rPr>
          <w:sz w:val="22"/>
          <w:szCs w:val="22"/>
        </w:rPr>
        <w:t xml:space="preserve">standard </w:t>
      </w:r>
      <w:r w:rsidR="00141B92">
        <w:rPr>
          <w:sz w:val="22"/>
          <w:szCs w:val="22"/>
        </w:rPr>
        <w:t xml:space="preserve">UNDP and GEF </w:t>
      </w:r>
      <w:r w:rsidR="00602874" w:rsidRPr="00D06E7E">
        <w:rPr>
          <w:sz w:val="22"/>
          <w:szCs w:val="22"/>
        </w:rPr>
        <w:t>procedures</w:t>
      </w:r>
      <w:r w:rsidR="00141B92">
        <w:rPr>
          <w:sz w:val="22"/>
          <w:szCs w:val="22"/>
        </w:rPr>
        <w:t xml:space="preserve">, including the </w:t>
      </w:r>
      <w:r w:rsidR="00602874" w:rsidRPr="00D06E7E">
        <w:rPr>
          <w:sz w:val="22"/>
          <w:szCs w:val="22"/>
        </w:rPr>
        <w:t xml:space="preserve">UNDP monitoring and evaluation practices for National Implementation (NIM) projects. </w:t>
      </w:r>
      <w:r w:rsidR="00141B92">
        <w:rPr>
          <w:sz w:val="22"/>
          <w:szCs w:val="22"/>
        </w:rPr>
        <w:t xml:space="preserve">An M&amp;E budget of USD 25,000 was allocated representing about 4.9% of the GEF grant. </w:t>
      </w:r>
    </w:p>
    <w:p w14:paraId="24C1AFCE" w14:textId="204F3CA7" w:rsidR="00141B92" w:rsidRDefault="00141B92" w:rsidP="00D06E7E">
      <w:pPr>
        <w:pStyle w:val="ListParagraph"/>
        <w:ind w:left="0"/>
        <w:jc w:val="both"/>
        <w:rPr>
          <w:sz w:val="22"/>
          <w:szCs w:val="22"/>
        </w:rPr>
      </w:pPr>
      <w:r w:rsidRPr="00D06E7E">
        <w:rPr>
          <w:sz w:val="22"/>
          <w:szCs w:val="22"/>
        </w:rPr>
        <w:t xml:space="preserve"> </w:t>
      </w:r>
    </w:p>
    <w:p w14:paraId="64DE5FD6" w14:textId="059850F3" w:rsidR="00141B92" w:rsidRPr="00141B92" w:rsidRDefault="00141B92" w:rsidP="00D06E7E">
      <w:pPr>
        <w:pStyle w:val="ListParagraph"/>
        <w:numPr>
          <w:ilvl w:val="0"/>
          <w:numId w:val="15"/>
        </w:numPr>
        <w:jc w:val="both"/>
        <w:rPr>
          <w:sz w:val="22"/>
          <w:szCs w:val="22"/>
        </w:rPr>
      </w:pPr>
      <w:r w:rsidRPr="002D0BEC">
        <w:rPr>
          <w:sz w:val="22"/>
          <w:szCs w:val="22"/>
        </w:rPr>
        <w:t xml:space="preserve">This plan listed all monitoring and evaluation activities that were to be implemented during the lifetime of the project, including a mid-term </w:t>
      </w:r>
      <w:r w:rsidRPr="002D0BEC">
        <w:rPr>
          <w:sz w:val="22"/>
          <w:szCs w:val="22"/>
        </w:rPr>
        <w:lastRenderedPageBreak/>
        <w:t xml:space="preserve">evaluation and a terminal evaluation. </w:t>
      </w:r>
      <w:r>
        <w:rPr>
          <w:sz w:val="22"/>
          <w:szCs w:val="22"/>
        </w:rPr>
        <w:t xml:space="preserve">For each M&amp;E activity, the responsible party(ies) were identified, as well as the budget and the timeframe. </w:t>
      </w:r>
      <w:r w:rsidRPr="002D0BEC">
        <w:rPr>
          <w:sz w:val="22"/>
          <w:szCs w:val="22"/>
        </w:rPr>
        <w:t>The plan was based on the logical framework matrix that included a set of performance monitoring indicators along with their corresponding sources of verification.</w:t>
      </w:r>
    </w:p>
    <w:p w14:paraId="6836F796" w14:textId="77777777" w:rsidR="00141B92" w:rsidRDefault="00141B92" w:rsidP="00D06E7E">
      <w:pPr>
        <w:pStyle w:val="ListParagraph"/>
        <w:ind w:left="0"/>
        <w:jc w:val="both"/>
        <w:rPr>
          <w:sz w:val="22"/>
          <w:szCs w:val="22"/>
        </w:rPr>
      </w:pPr>
    </w:p>
    <w:p w14:paraId="4CB29382" w14:textId="77777777" w:rsidR="00C1567F" w:rsidRPr="00502258" w:rsidRDefault="00885349" w:rsidP="005D59CA">
      <w:pPr>
        <w:pStyle w:val="ListParagraph"/>
        <w:numPr>
          <w:ilvl w:val="0"/>
          <w:numId w:val="15"/>
        </w:numPr>
        <w:jc w:val="both"/>
        <w:rPr>
          <w:sz w:val="22"/>
          <w:szCs w:val="22"/>
        </w:rPr>
      </w:pPr>
      <w:r w:rsidRPr="00502258">
        <w:rPr>
          <w:sz w:val="22"/>
          <w:szCs w:val="22"/>
        </w:rPr>
        <w:t xml:space="preserve">A summary of the </w:t>
      </w:r>
      <w:r w:rsidR="00C57AA8" w:rsidRPr="00502258">
        <w:rPr>
          <w:sz w:val="22"/>
          <w:szCs w:val="22"/>
        </w:rPr>
        <w:t>operating modalities of the M&amp;E</w:t>
      </w:r>
      <w:r w:rsidR="00743C74" w:rsidRPr="00502258">
        <w:rPr>
          <w:sz w:val="22"/>
          <w:szCs w:val="22"/>
        </w:rPr>
        <w:t xml:space="preserve"> plan</w:t>
      </w:r>
      <w:r w:rsidR="0045799D" w:rsidRPr="00502258">
        <w:rPr>
          <w:sz w:val="22"/>
          <w:szCs w:val="22"/>
        </w:rPr>
        <w:t xml:space="preserve"> </w:t>
      </w:r>
      <w:r w:rsidR="00502258" w:rsidRPr="00502258">
        <w:rPr>
          <w:sz w:val="22"/>
          <w:szCs w:val="22"/>
        </w:rPr>
        <w:t>were</w:t>
      </w:r>
      <w:r w:rsidR="0045799D" w:rsidRPr="00502258">
        <w:rPr>
          <w:sz w:val="22"/>
          <w:szCs w:val="22"/>
        </w:rPr>
        <w:t xml:space="preserve"> as follows</w:t>
      </w:r>
      <w:r w:rsidR="00C1567F" w:rsidRPr="00502258">
        <w:rPr>
          <w:sz w:val="22"/>
          <w:szCs w:val="22"/>
        </w:rPr>
        <w:t>:</w:t>
      </w:r>
    </w:p>
    <w:p w14:paraId="79D1C02F" w14:textId="17336671" w:rsidR="00C1567F" w:rsidRDefault="002009DF" w:rsidP="005D59CA">
      <w:pPr>
        <w:pStyle w:val="ListParagraph"/>
        <w:numPr>
          <w:ilvl w:val="0"/>
          <w:numId w:val="17"/>
        </w:numPr>
        <w:ind w:left="1134" w:hanging="567"/>
        <w:jc w:val="both"/>
        <w:rPr>
          <w:sz w:val="22"/>
          <w:szCs w:val="22"/>
        </w:rPr>
      </w:pPr>
      <w:r>
        <w:rPr>
          <w:i/>
          <w:sz w:val="22"/>
          <w:szCs w:val="22"/>
          <w:u w:val="single"/>
        </w:rPr>
        <w:t xml:space="preserve">Performance </w:t>
      </w:r>
      <w:r w:rsidR="00C73873" w:rsidRPr="00954F06">
        <w:rPr>
          <w:i/>
          <w:sz w:val="22"/>
          <w:szCs w:val="22"/>
          <w:u w:val="single"/>
        </w:rPr>
        <w:t>indicators</w:t>
      </w:r>
      <w:r>
        <w:rPr>
          <w:i/>
          <w:sz w:val="22"/>
          <w:szCs w:val="22"/>
          <w:u w:val="single"/>
        </w:rPr>
        <w:t>:</w:t>
      </w:r>
      <w:r w:rsidR="00C73873" w:rsidRPr="00502258">
        <w:rPr>
          <w:sz w:val="22"/>
          <w:szCs w:val="22"/>
        </w:rPr>
        <w:t xml:space="preserve"> </w:t>
      </w:r>
      <w:r>
        <w:rPr>
          <w:sz w:val="22"/>
          <w:szCs w:val="22"/>
        </w:rPr>
        <w:t xml:space="preserve">A set of indicators </w:t>
      </w:r>
      <w:r w:rsidR="00C73873" w:rsidRPr="00502258">
        <w:rPr>
          <w:sz w:val="22"/>
          <w:szCs w:val="22"/>
        </w:rPr>
        <w:t xml:space="preserve">with </w:t>
      </w:r>
      <w:r w:rsidR="00385A57" w:rsidRPr="00385A57">
        <w:rPr>
          <w:sz w:val="22"/>
          <w:szCs w:val="22"/>
        </w:rPr>
        <w:t>their baseline</w:t>
      </w:r>
      <w:r w:rsidR="00385A57">
        <w:rPr>
          <w:sz w:val="22"/>
          <w:szCs w:val="22"/>
        </w:rPr>
        <w:t>s</w:t>
      </w:r>
      <w:r w:rsidR="00385A57" w:rsidRPr="00385A57">
        <w:rPr>
          <w:sz w:val="22"/>
          <w:szCs w:val="22"/>
        </w:rPr>
        <w:t xml:space="preserve"> and </w:t>
      </w:r>
      <w:r w:rsidR="001C6260">
        <w:rPr>
          <w:sz w:val="22"/>
          <w:szCs w:val="22"/>
        </w:rPr>
        <w:t xml:space="preserve">yearly </w:t>
      </w:r>
      <w:r w:rsidR="00385A57" w:rsidRPr="00385A57">
        <w:rPr>
          <w:sz w:val="22"/>
          <w:szCs w:val="22"/>
        </w:rPr>
        <w:t>target</w:t>
      </w:r>
      <w:r w:rsidR="00385A57">
        <w:rPr>
          <w:sz w:val="22"/>
          <w:szCs w:val="22"/>
        </w:rPr>
        <w:t>s</w:t>
      </w:r>
      <w:r w:rsidR="00385A57" w:rsidRPr="00385A57">
        <w:rPr>
          <w:sz w:val="22"/>
          <w:szCs w:val="22"/>
        </w:rPr>
        <w:t xml:space="preserve"> were identified and documented in the </w:t>
      </w:r>
      <w:r w:rsidR="00385A57" w:rsidRPr="00D06E7E">
        <w:rPr>
          <w:i/>
          <w:sz w:val="22"/>
          <w:szCs w:val="22"/>
        </w:rPr>
        <w:t>Result and Resources Framework</w:t>
      </w:r>
      <w:r w:rsidR="00385A57" w:rsidRPr="00385A57">
        <w:rPr>
          <w:sz w:val="22"/>
          <w:szCs w:val="22"/>
        </w:rPr>
        <w:t>.</w:t>
      </w:r>
    </w:p>
    <w:p w14:paraId="333B76F3" w14:textId="10AE84D1" w:rsidR="00954F06" w:rsidRPr="00954F06" w:rsidRDefault="00954F06" w:rsidP="00954F06">
      <w:pPr>
        <w:pStyle w:val="ListParagraph"/>
        <w:numPr>
          <w:ilvl w:val="0"/>
          <w:numId w:val="17"/>
        </w:numPr>
        <w:ind w:left="1134" w:hanging="567"/>
        <w:jc w:val="both"/>
        <w:rPr>
          <w:sz w:val="22"/>
          <w:szCs w:val="22"/>
        </w:rPr>
      </w:pPr>
      <w:r w:rsidRPr="00954F06">
        <w:rPr>
          <w:i/>
          <w:sz w:val="22"/>
          <w:szCs w:val="22"/>
          <w:u w:val="single"/>
        </w:rPr>
        <w:t>GEF Capacity Development Scorecard</w:t>
      </w:r>
      <w:r w:rsidRPr="00954F06">
        <w:rPr>
          <w:sz w:val="22"/>
          <w:szCs w:val="22"/>
        </w:rPr>
        <w:t xml:space="preserve">: This tool </w:t>
      </w:r>
      <w:r w:rsidR="002009DF">
        <w:rPr>
          <w:sz w:val="22"/>
          <w:szCs w:val="22"/>
        </w:rPr>
        <w:t xml:space="preserve">was to be </w:t>
      </w:r>
      <w:r w:rsidRPr="00954F06">
        <w:rPr>
          <w:sz w:val="22"/>
          <w:szCs w:val="22"/>
        </w:rPr>
        <w:t xml:space="preserve">implemented as a time-series </w:t>
      </w:r>
      <w:r w:rsidR="00A21197">
        <w:rPr>
          <w:sz w:val="22"/>
          <w:szCs w:val="22"/>
        </w:rPr>
        <w:t>evaluation, assessing the cross</w:t>
      </w:r>
      <w:r w:rsidRPr="00954F06">
        <w:rPr>
          <w:sz w:val="22"/>
          <w:szCs w:val="22"/>
        </w:rPr>
        <w:t>cutting capacity development to meet global environmental benefits at time 0, project mid-</w:t>
      </w:r>
      <w:r w:rsidR="002009DF">
        <w:rPr>
          <w:sz w:val="22"/>
          <w:szCs w:val="22"/>
        </w:rPr>
        <w:t xml:space="preserve">point, and project conclusion. </w:t>
      </w:r>
      <w:r w:rsidRPr="00954F06">
        <w:rPr>
          <w:sz w:val="22"/>
          <w:szCs w:val="22"/>
        </w:rPr>
        <w:t xml:space="preserve">Indicators </w:t>
      </w:r>
      <w:r w:rsidR="002009DF">
        <w:rPr>
          <w:sz w:val="22"/>
          <w:szCs w:val="22"/>
        </w:rPr>
        <w:t xml:space="preserve">were </w:t>
      </w:r>
      <w:r w:rsidRPr="00954F06">
        <w:rPr>
          <w:sz w:val="22"/>
          <w:szCs w:val="22"/>
        </w:rPr>
        <w:t xml:space="preserve">rated </w:t>
      </w:r>
      <w:r w:rsidR="002009DF">
        <w:rPr>
          <w:sz w:val="22"/>
          <w:szCs w:val="22"/>
        </w:rPr>
        <w:t>at the formulation stage</w:t>
      </w:r>
      <w:r w:rsidR="00A21197">
        <w:rPr>
          <w:sz w:val="22"/>
          <w:szCs w:val="22"/>
        </w:rPr>
        <w:t>. However, no further ratings were completed during the implementation of the project (at mid-point). An assessment was conducted during this final evaluation (</w:t>
      </w:r>
      <w:r w:rsidR="00A21197" w:rsidRPr="00A21197">
        <w:rPr>
          <w:i/>
          <w:sz w:val="22"/>
          <w:szCs w:val="22"/>
        </w:rPr>
        <w:t>see Annex 10 and Section 4.3.2</w:t>
      </w:r>
      <w:r w:rsidR="00A21197">
        <w:rPr>
          <w:sz w:val="22"/>
          <w:szCs w:val="22"/>
        </w:rPr>
        <w:t xml:space="preserve">) and is part of assessing </w:t>
      </w:r>
      <w:r w:rsidR="00A21197" w:rsidRPr="00A21197">
        <w:rPr>
          <w:sz w:val="22"/>
          <w:szCs w:val="22"/>
        </w:rPr>
        <w:t>the extent to which the project</w:t>
      </w:r>
      <w:r w:rsidR="00A21197">
        <w:rPr>
          <w:sz w:val="22"/>
          <w:szCs w:val="22"/>
        </w:rPr>
        <w:t xml:space="preserve"> has made </w:t>
      </w:r>
      <w:r w:rsidR="00A21197" w:rsidRPr="00A21197">
        <w:rPr>
          <w:sz w:val="22"/>
          <w:szCs w:val="22"/>
        </w:rPr>
        <w:t>a contribution to institutionalizing the sustainability of EFR and associated project outcomes</w:t>
      </w:r>
      <w:r w:rsidR="00A21197">
        <w:rPr>
          <w:sz w:val="22"/>
          <w:szCs w:val="22"/>
        </w:rPr>
        <w:t>.</w:t>
      </w:r>
    </w:p>
    <w:p w14:paraId="7EC6C2BB" w14:textId="03976793" w:rsidR="00E50BF7" w:rsidRDefault="00EE7B40" w:rsidP="00EE7B40">
      <w:pPr>
        <w:pStyle w:val="ListParagraph"/>
        <w:numPr>
          <w:ilvl w:val="0"/>
          <w:numId w:val="17"/>
        </w:numPr>
        <w:ind w:left="1134" w:hanging="567"/>
        <w:jc w:val="both"/>
        <w:rPr>
          <w:sz w:val="22"/>
          <w:szCs w:val="22"/>
        </w:rPr>
      </w:pPr>
      <w:r w:rsidRPr="00954F06">
        <w:rPr>
          <w:i/>
          <w:sz w:val="22"/>
          <w:szCs w:val="22"/>
          <w:u w:val="single"/>
        </w:rPr>
        <w:t xml:space="preserve">A </w:t>
      </w:r>
      <w:r w:rsidR="00353CC2" w:rsidRPr="00954F06">
        <w:rPr>
          <w:i/>
          <w:sz w:val="22"/>
          <w:szCs w:val="22"/>
          <w:u w:val="single"/>
        </w:rPr>
        <w:t>project i</w:t>
      </w:r>
      <w:r w:rsidRPr="00954F06">
        <w:rPr>
          <w:i/>
          <w:sz w:val="22"/>
          <w:szCs w:val="22"/>
          <w:u w:val="single"/>
        </w:rPr>
        <w:t xml:space="preserve">nception </w:t>
      </w:r>
      <w:r w:rsidR="00353CC2" w:rsidRPr="00954F06">
        <w:rPr>
          <w:i/>
          <w:sz w:val="22"/>
          <w:szCs w:val="22"/>
          <w:u w:val="single"/>
        </w:rPr>
        <w:t>workshop</w:t>
      </w:r>
      <w:r w:rsidR="00353CC2">
        <w:rPr>
          <w:sz w:val="22"/>
          <w:szCs w:val="22"/>
        </w:rPr>
        <w:t xml:space="preserve"> was completed on June 12, </w:t>
      </w:r>
      <w:r>
        <w:rPr>
          <w:sz w:val="22"/>
          <w:szCs w:val="22"/>
        </w:rPr>
        <w:t>2012 to summarize the inception phase conducted at the</w:t>
      </w:r>
      <w:r w:rsidR="00E50BF7">
        <w:rPr>
          <w:sz w:val="22"/>
          <w:szCs w:val="22"/>
        </w:rPr>
        <w:t xml:space="preserve"> beginning of the project. This phase</w:t>
      </w:r>
      <w:r>
        <w:rPr>
          <w:sz w:val="22"/>
          <w:szCs w:val="22"/>
        </w:rPr>
        <w:t xml:space="preserve"> was an opportunity to </w:t>
      </w:r>
      <w:r w:rsidR="00E50BF7">
        <w:rPr>
          <w:sz w:val="22"/>
          <w:szCs w:val="22"/>
        </w:rPr>
        <w:t xml:space="preserve">explain the project objectives to all Stakeholders, to </w:t>
      </w:r>
      <w:r>
        <w:rPr>
          <w:sz w:val="22"/>
          <w:szCs w:val="22"/>
        </w:rPr>
        <w:t>review the overall project strategy, management arrangements, monitoring indicators, risks</w:t>
      </w:r>
      <w:r w:rsidR="00E50BF7">
        <w:rPr>
          <w:sz w:val="22"/>
          <w:szCs w:val="22"/>
        </w:rPr>
        <w:t xml:space="preserve">, etc. and to review the project work plan and budget. </w:t>
      </w:r>
      <w:r w:rsidR="00E50BF7" w:rsidRPr="00502258">
        <w:rPr>
          <w:sz w:val="22"/>
          <w:szCs w:val="22"/>
        </w:rPr>
        <w:t xml:space="preserve">No </w:t>
      </w:r>
      <w:r w:rsidR="00E50BF7">
        <w:rPr>
          <w:sz w:val="22"/>
          <w:szCs w:val="22"/>
        </w:rPr>
        <w:t>changes to the project strategy were</w:t>
      </w:r>
      <w:r w:rsidR="00E50BF7" w:rsidRPr="00502258">
        <w:rPr>
          <w:sz w:val="22"/>
          <w:szCs w:val="22"/>
        </w:rPr>
        <w:t xml:space="preserve"> made during the inception phase</w:t>
      </w:r>
      <w:r w:rsidR="00353CC2">
        <w:rPr>
          <w:sz w:val="22"/>
          <w:szCs w:val="22"/>
        </w:rPr>
        <w:t xml:space="preserve"> and no inception report was produced.</w:t>
      </w:r>
    </w:p>
    <w:p w14:paraId="108F57B3" w14:textId="357F6D24" w:rsidR="00353CC2" w:rsidRDefault="00353CC2" w:rsidP="00353CC2">
      <w:pPr>
        <w:pStyle w:val="ListParagraph"/>
        <w:numPr>
          <w:ilvl w:val="0"/>
          <w:numId w:val="17"/>
        </w:numPr>
        <w:ind w:left="1134" w:hanging="567"/>
        <w:jc w:val="both"/>
        <w:rPr>
          <w:sz w:val="22"/>
          <w:szCs w:val="22"/>
        </w:rPr>
      </w:pPr>
      <w:r w:rsidRPr="00954F06">
        <w:rPr>
          <w:i/>
          <w:sz w:val="22"/>
          <w:szCs w:val="22"/>
          <w:u w:val="single"/>
        </w:rPr>
        <w:t>Annual Work Plans</w:t>
      </w:r>
      <w:r>
        <w:rPr>
          <w:sz w:val="22"/>
          <w:szCs w:val="22"/>
        </w:rPr>
        <w:t>: Project Team</w:t>
      </w:r>
      <w:r w:rsidRPr="00D41504">
        <w:rPr>
          <w:sz w:val="22"/>
          <w:szCs w:val="22"/>
        </w:rPr>
        <w:t xml:space="preserve"> prepare</w:t>
      </w:r>
      <w:r>
        <w:rPr>
          <w:sz w:val="22"/>
          <w:szCs w:val="22"/>
        </w:rPr>
        <w:t>d</w:t>
      </w:r>
      <w:r w:rsidRPr="00D41504">
        <w:rPr>
          <w:sz w:val="22"/>
          <w:szCs w:val="22"/>
        </w:rPr>
        <w:t xml:space="preserve"> Annual Work Plan</w:t>
      </w:r>
      <w:r>
        <w:rPr>
          <w:sz w:val="22"/>
          <w:szCs w:val="22"/>
        </w:rPr>
        <w:t>s</w:t>
      </w:r>
      <w:r w:rsidRPr="00D41504">
        <w:rPr>
          <w:sz w:val="22"/>
          <w:szCs w:val="22"/>
        </w:rPr>
        <w:t xml:space="preserve"> (AWP</w:t>
      </w:r>
      <w:r>
        <w:rPr>
          <w:sz w:val="22"/>
          <w:szCs w:val="22"/>
        </w:rPr>
        <w:t>s</w:t>
      </w:r>
      <w:r w:rsidRPr="00D41504">
        <w:rPr>
          <w:sz w:val="22"/>
          <w:szCs w:val="22"/>
        </w:rPr>
        <w:t>) detailing out project activities and budgets required for the year and also to ensure</w:t>
      </w:r>
      <w:r>
        <w:rPr>
          <w:sz w:val="22"/>
          <w:szCs w:val="22"/>
        </w:rPr>
        <w:t xml:space="preserve"> that project activities were</w:t>
      </w:r>
      <w:r w:rsidRPr="00D41504">
        <w:rPr>
          <w:sz w:val="22"/>
          <w:szCs w:val="22"/>
        </w:rPr>
        <w:t xml:space="preserve"> in line with </w:t>
      </w:r>
      <w:r>
        <w:rPr>
          <w:sz w:val="22"/>
          <w:szCs w:val="22"/>
        </w:rPr>
        <w:t xml:space="preserve">the </w:t>
      </w:r>
      <w:r w:rsidRPr="00D41504">
        <w:rPr>
          <w:sz w:val="22"/>
          <w:szCs w:val="22"/>
        </w:rPr>
        <w:t>project document.</w:t>
      </w:r>
    </w:p>
    <w:p w14:paraId="00587881" w14:textId="1D11462E" w:rsidR="00C056BE" w:rsidRPr="00C056BE" w:rsidRDefault="00C056BE" w:rsidP="00C056BE">
      <w:pPr>
        <w:pStyle w:val="ListParagraph"/>
        <w:numPr>
          <w:ilvl w:val="0"/>
          <w:numId w:val="17"/>
        </w:numPr>
        <w:ind w:left="1134" w:hanging="567"/>
        <w:jc w:val="both"/>
        <w:rPr>
          <w:sz w:val="22"/>
          <w:szCs w:val="22"/>
        </w:rPr>
      </w:pPr>
      <w:r w:rsidRPr="00954F06">
        <w:rPr>
          <w:i/>
          <w:sz w:val="22"/>
          <w:szCs w:val="22"/>
          <w:u w:val="single"/>
        </w:rPr>
        <w:t>Periodic Monitoring through site visits</w:t>
      </w:r>
      <w:r w:rsidRPr="00C056BE">
        <w:rPr>
          <w:sz w:val="22"/>
          <w:szCs w:val="22"/>
        </w:rPr>
        <w:t>: UNDP C</w:t>
      </w:r>
      <w:r>
        <w:rPr>
          <w:sz w:val="22"/>
          <w:szCs w:val="22"/>
        </w:rPr>
        <w:t>ountry Office (CO)</w:t>
      </w:r>
      <w:r w:rsidRPr="00C056BE">
        <w:rPr>
          <w:sz w:val="22"/>
          <w:szCs w:val="22"/>
        </w:rPr>
        <w:t xml:space="preserve"> conduct</w:t>
      </w:r>
      <w:r>
        <w:rPr>
          <w:sz w:val="22"/>
          <w:szCs w:val="22"/>
        </w:rPr>
        <w:t>ed</w:t>
      </w:r>
      <w:r w:rsidRPr="00C056BE">
        <w:rPr>
          <w:sz w:val="22"/>
          <w:szCs w:val="22"/>
        </w:rPr>
        <w:t xml:space="preserve"> visits to project sites </w:t>
      </w:r>
      <w:r>
        <w:rPr>
          <w:sz w:val="22"/>
          <w:szCs w:val="22"/>
        </w:rPr>
        <w:t xml:space="preserve">to assess </w:t>
      </w:r>
      <w:r w:rsidRPr="00C056BE">
        <w:rPr>
          <w:sz w:val="22"/>
          <w:szCs w:val="22"/>
        </w:rPr>
        <w:t>first hand project progress. Field Visit Report</w:t>
      </w:r>
      <w:r>
        <w:rPr>
          <w:sz w:val="22"/>
          <w:szCs w:val="22"/>
        </w:rPr>
        <w:t>s</w:t>
      </w:r>
      <w:r w:rsidRPr="00C056BE">
        <w:rPr>
          <w:sz w:val="22"/>
          <w:szCs w:val="22"/>
        </w:rPr>
        <w:t>/BTOR</w:t>
      </w:r>
      <w:r>
        <w:rPr>
          <w:sz w:val="22"/>
          <w:szCs w:val="22"/>
        </w:rPr>
        <w:t>s</w:t>
      </w:r>
      <w:r w:rsidRPr="00C056BE">
        <w:rPr>
          <w:sz w:val="22"/>
          <w:szCs w:val="22"/>
        </w:rPr>
        <w:t xml:space="preserve"> w</w:t>
      </w:r>
      <w:r>
        <w:rPr>
          <w:sz w:val="22"/>
          <w:szCs w:val="22"/>
        </w:rPr>
        <w:t xml:space="preserve">ere </w:t>
      </w:r>
      <w:r w:rsidRPr="00C056BE">
        <w:rPr>
          <w:sz w:val="22"/>
          <w:szCs w:val="22"/>
        </w:rPr>
        <w:t xml:space="preserve">prepared by the CO and </w:t>
      </w:r>
      <w:r>
        <w:rPr>
          <w:sz w:val="22"/>
          <w:szCs w:val="22"/>
        </w:rPr>
        <w:t xml:space="preserve">circulated </w:t>
      </w:r>
      <w:r w:rsidRPr="00C056BE">
        <w:rPr>
          <w:sz w:val="22"/>
          <w:szCs w:val="22"/>
        </w:rPr>
        <w:t xml:space="preserve">to the </w:t>
      </w:r>
      <w:r>
        <w:rPr>
          <w:sz w:val="22"/>
          <w:szCs w:val="22"/>
        </w:rPr>
        <w:t xml:space="preserve">PT </w:t>
      </w:r>
      <w:r w:rsidRPr="00C056BE">
        <w:rPr>
          <w:sz w:val="22"/>
          <w:szCs w:val="22"/>
        </w:rPr>
        <w:t xml:space="preserve">and </w:t>
      </w:r>
      <w:r>
        <w:rPr>
          <w:sz w:val="22"/>
          <w:szCs w:val="22"/>
        </w:rPr>
        <w:t>the PB</w:t>
      </w:r>
      <w:r w:rsidRPr="00C056BE">
        <w:rPr>
          <w:sz w:val="22"/>
          <w:szCs w:val="22"/>
        </w:rPr>
        <w:t>.</w:t>
      </w:r>
    </w:p>
    <w:p w14:paraId="159E4B08" w14:textId="3150BBA6" w:rsidR="00EE7B40" w:rsidRPr="00EE7B40" w:rsidRDefault="00EE7B40" w:rsidP="00EE7B40">
      <w:pPr>
        <w:pStyle w:val="ListParagraph"/>
        <w:numPr>
          <w:ilvl w:val="0"/>
          <w:numId w:val="17"/>
        </w:numPr>
        <w:ind w:left="1134" w:hanging="567"/>
        <w:jc w:val="both"/>
        <w:rPr>
          <w:sz w:val="22"/>
          <w:szCs w:val="22"/>
        </w:rPr>
      </w:pPr>
      <w:r w:rsidRPr="00954F06">
        <w:rPr>
          <w:i/>
          <w:sz w:val="22"/>
          <w:szCs w:val="22"/>
          <w:u w:val="single"/>
        </w:rPr>
        <w:t xml:space="preserve">Quarterly </w:t>
      </w:r>
      <w:r w:rsidR="00C056BE" w:rsidRPr="00954F06">
        <w:rPr>
          <w:i/>
          <w:sz w:val="22"/>
          <w:szCs w:val="22"/>
          <w:u w:val="single"/>
        </w:rPr>
        <w:t>Reviews</w:t>
      </w:r>
      <w:r w:rsidRPr="00EE7B40">
        <w:rPr>
          <w:sz w:val="22"/>
          <w:szCs w:val="22"/>
        </w:rPr>
        <w:t xml:space="preserve">: Monthly meetings between </w:t>
      </w:r>
      <w:r w:rsidR="00E50BF7">
        <w:rPr>
          <w:sz w:val="22"/>
          <w:szCs w:val="22"/>
        </w:rPr>
        <w:t>the P</w:t>
      </w:r>
      <w:r w:rsidRPr="00EE7B40">
        <w:rPr>
          <w:sz w:val="22"/>
          <w:szCs w:val="22"/>
        </w:rPr>
        <w:t xml:space="preserve">roject </w:t>
      </w:r>
      <w:r w:rsidR="00E50BF7">
        <w:rPr>
          <w:sz w:val="22"/>
          <w:szCs w:val="22"/>
        </w:rPr>
        <w:t xml:space="preserve">Implementation Team </w:t>
      </w:r>
      <w:r w:rsidRPr="00EE7B40">
        <w:rPr>
          <w:sz w:val="22"/>
          <w:szCs w:val="22"/>
        </w:rPr>
        <w:t xml:space="preserve">and UNDP (project assurance) </w:t>
      </w:r>
      <w:r w:rsidR="00E50BF7">
        <w:rPr>
          <w:sz w:val="22"/>
          <w:szCs w:val="22"/>
        </w:rPr>
        <w:t xml:space="preserve">were </w:t>
      </w:r>
      <w:r w:rsidRPr="00EE7B40">
        <w:rPr>
          <w:sz w:val="22"/>
          <w:szCs w:val="22"/>
        </w:rPr>
        <w:t xml:space="preserve">organized to review progress and to discuss issues related to project management and implementation. Quarterly meetings </w:t>
      </w:r>
      <w:r w:rsidR="00E50BF7">
        <w:rPr>
          <w:sz w:val="22"/>
          <w:szCs w:val="22"/>
        </w:rPr>
        <w:t>were</w:t>
      </w:r>
      <w:r w:rsidRPr="00EE7B40">
        <w:rPr>
          <w:sz w:val="22"/>
          <w:szCs w:val="22"/>
        </w:rPr>
        <w:t xml:space="preserve"> undertaken to discuss qu</w:t>
      </w:r>
      <w:r w:rsidR="00C056BE">
        <w:rPr>
          <w:sz w:val="22"/>
          <w:szCs w:val="22"/>
        </w:rPr>
        <w:t xml:space="preserve">arterly progress and work plans as well as risk analysis with the regular update of the risk log in the UNDP Atlas system. </w:t>
      </w:r>
    </w:p>
    <w:p w14:paraId="5E8BABD3" w14:textId="4DB765DB" w:rsidR="006034F7" w:rsidRPr="00C056BE" w:rsidRDefault="00EE7B40" w:rsidP="00C056BE">
      <w:pPr>
        <w:pStyle w:val="ListParagraph"/>
        <w:numPr>
          <w:ilvl w:val="0"/>
          <w:numId w:val="17"/>
        </w:numPr>
        <w:ind w:left="1134" w:hanging="567"/>
        <w:jc w:val="both"/>
        <w:rPr>
          <w:sz w:val="22"/>
          <w:szCs w:val="22"/>
        </w:rPr>
      </w:pPr>
      <w:r w:rsidRPr="00954F06">
        <w:rPr>
          <w:i/>
          <w:sz w:val="22"/>
          <w:szCs w:val="22"/>
          <w:u w:val="single"/>
        </w:rPr>
        <w:t xml:space="preserve">Annual </w:t>
      </w:r>
      <w:r w:rsidR="006034F7" w:rsidRPr="00954F06">
        <w:rPr>
          <w:i/>
          <w:sz w:val="22"/>
          <w:szCs w:val="22"/>
          <w:u w:val="single"/>
        </w:rPr>
        <w:t xml:space="preserve">Project </w:t>
      </w:r>
      <w:r w:rsidRPr="00954F06">
        <w:rPr>
          <w:i/>
          <w:sz w:val="22"/>
          <w:szCs w:val="22"/>
          <w:u w:val="single"/>
        </w:rPr>
        <w:t>Review</w:t>
      </w:r>
      <w:r w:rsidR="006034F7" w:rsidRPr="00954F06">
        <w:rPr>
          <w:i/>
          <w:sz w:val="22"/>
          <w:szCs w:val="22"/>
          <w:u w:val="single"/>
        </w:rPr>
        <w:t>s</w:t>
      </w:r>
      <w:r w:rsidR="00C056BE" w:rsidRPr="00954F06">
        <w:rPr>
          <w:i/>
          <w:sz w:val="22"/>
          <w:szCs w:val="22"/>
          <w:u w:val="single"/>
        </w:rPr>
        <w:t xml:space="preserve"> (APR)</w:t>
      </w:r>
      <w:r w:rsidRPr="00954F06">
        <w:rPr>
          <w:i/>
          <w:sz w:val="22"/>
          <w:szCs w:val="22"/>
          <w:u w:val="single"/>
        </w:rPr>
        <w:t xml:space="preserve"> </w:t>
      </w:r>
      <w:r w:rsidR="006034F7" w:rsidRPr="00954F06">
        <w:rPr>
          <w:i/>
          <w:sz w:val="22"/>
          <w:szCs w:val="22"/>
          <w:u w:val="single"/>
        </w:rPr>
        <w:t>/ Project Implementation Reviews (PIR):</w:t>
      </w:r>
      <w:r w:rsidR="005059EF" w:rsidRPr="00C056BE">
        <w:rPr>
          <w:sz w:val="22"/>
          <w:szCs w:val="22"/>
        </w:rPr>
        <w:t xml:space="preserve"> These annual reports </w:t>
      </w:r>
      <w:r w:rsidR="00C056BE" w:rsidRPr="00C056BE">
        <w:rPr>
          <w:sz w:val="22"/>
          <w:szCs w:val="22"/>
        </w:rPr>
        <w:t xml:space="preserve">were prepared to monitor progress made during the previous reporting period (30 June to 1 July).  The APR/PIR combined both UNDP and GEF reporting requirements.  It included: progress made toward project objective and project outcomes – using the indicators and their baseline data and end-of-project targets; project outputs delivered per project outcome; lesson learned/good practice; AWP and </w:t>
      </w:r>
      <w:r w:rsidR="00C056BE" w:rsidRPr="00C056BE">
        <w:rPr>
          <w:sz w:val="22"/>
          <w:szCs w:val="22"/>
        </w:rPr>
        <w:lastRenderedPageBreak/>
        <w:t xml:space="preserve">other expenditure reports; </w:t>
      </w:r>
      <w:r w:rsidR="00C056BE">
        <w:rPr>
          <w:sz w:val="22"/>
          <w:szCs w:val="22"/>
        </w:rPr>
        <w:t xml:space="preserve">and </w:t>
      </w:r>
      <w:r w:rsidR="00C056BE" w:rsidRPr="00C056BE">
        <w:rPr>
          <w:sz w:val="22"/>
          <w:szCs w:val="22"/>
        </w:rPr>
        <w:t>risk and adaptive management</w:t>
      </w:r>
      <w:r w:rsidR="00C056BE">
        <w:rPr>
          <w:sz w:val="22"/>
          <w:szCs w:val="22"/>
        </w:rPr>
        <w:t xml:space="preserve">. Three APR/PIRs were produced for this project: 2013, 2014, and 2015. </w:t>
      </w:r>
    </w:p>
    <w:p w14:paraId="74B13EA1" w14:textId="7A03123C" w:rsidR="00226D10" w:rsidRPr="00226D10" w:rsidRDefault="00226D10" w:rsidP="00EE7B40">
      <w:pPr>
        <w:pStyle w:val="ListParagraph"/>
        <w:numPr>
          <w:ilvl w:val="0"/>
          <w:numId w:val="17"/>
        </w:numPr>
        <w:ind w:left="1134" w:hanging="567"/>
        <w:jc w:val="both"/>
        <w:rPr>
          <w:sz w:val="22"/>
          <w:szCs w:val="22"/>
        </w:rPr>
      </w:pPr>
      <w:r w:rsidRPr="00954F06">
        <w:rPr>
          <w:i/>
          <w:sz w:val="22"/>
          <w:szCs w:val="22"/>
          <w:u w:val="single"/>
        </w:rPr>
        <w:t>Project Board Meetings</w:t>
      </w:r>
      <w:r w:rsidRPr="00226D10">
        <w:rPr>
          <w:sz w:val="22"/>
          <w:szCs w:val="22"/>
        </w:rPr>
        <w:t>: A</w:t>
      </w:r>
      <w:r w:rsidR="00EE7B40" w:rsidRPr="00226D10">
        <w:rPr>
          <w:sz w:val="22"/>
          <w:szCs w:val="22"/>
        </w:rPr>
        <w:t>nnual review meeting</w:t>
      </w:r>
      <w:r w:rsidRPr="00226D10">
        <w:rPr>
          <w:sz w:val="22"/>
          <w:szCs w:val="22"/>
        </w:rPr>
        <w:t>s</w:t>
      </w:r>
      <w:r w:rsidR="00EE7B40" w:rsidRPr="00226D10">
        <w:rPr>
          <w:sz w:val="22"/>
          <w:szCs w:val="22"/>
        </w:rPr>
        <w:t xml:space="preserve">, involving all </w:t>
      </w:r>
      <w:r w:rsidR="006034F7">
        <w:rPr>
          <w:sz w:val="22"/>
          <w:szCs w:val="22"/>
        </w:rPr>
        <w:t>key</w:t>
      </w:r>
      <w:r w:rsidR="00EE7B40" w:rsidRPr="00226D10">
        <w:rPr>
          <w:sz w:val="22"/>
          <w:szCs w:val="22"/>
        </w:rPr>
        <w:t xml:space="preserve"> stakeholders </w:t>
      </w:r>
      <w:r w:rsidRPr="00226D10">
        <w:rPr>
          <w:sz w:val="22"/>
          <w:szCs w:val="22"/>
        </w:rPr>
        <w:t xml:space="preserve">were </w:t>
      </w:r>
      <w:r w:rsidR="00EE7B40" w:rsidRPr="00226D10">
        <w:rPr>
          <w:sz w:val="22"/>
          <w:szCs w:val="22"/>
        </w:rPr>
        <w:t xml:space="preserve">organized to review overall progress and to discuss and review the annual work plan </w:t>
      </w:r>
      <w:r w:rsidR="006034F7">
        <w:rPr>
          <w:sz w:val="22"/>
          <w:szCs w:val="22"/>
        </w:rPr>
        <w:t>of the following calendar year.</w:t>
      </w:r>
      <w:r w:rsidR="00C056BE">
        <w:rPr>
          <w:sz w:val="22"/>
          <w:szCs w:val="22"/>
        </w:rPr>
        <w:t xml:space="preserve"> In addition to the inception workshop, five PB meetings took place during the implementation of this project: 1 in 2012, 1 in 2013, 1 in 2014 and 2 in 2015.</w:t>
      </w:r>
      <w:r w:rsidR="00FF0583">
        <w:rPr>
          <w:sz w:val="22"/>
          <w:szCs w:val="22"/>
        </w:rPr>
        <w:t xml:space="preserve"> Another final Board meeting will take place in October 2015 to close the project.</w:t>
      </w:r>
    </w:p>
    <w:p w14:paraId="4EBCA6B1" w14:textId="2DCE63B7" w:rsidR="00EE7B40" w:rsidRPr="00EE7B40" w:rsidRDefault="008B0CED" w:rsidP="00EE7B40">
      <w:pPr>
        <w:pStyle w:val="ListParagraph"/>
        <w:numPr>
          <w:ilvl w:val="0"/>
          <w:numId w:val="17"/>
        </w:numPr>
        <w:ind w:left="1134" w:hanging="567"/>
        <w:jc w:val="both"/>
        <w:rPr>
          <w:sz w:val="22"/>
          <w:szCs w:val="22"/>
        </w:rPr>
      </w:pPr>
      <w:r w:rsidRPr="00954F06">
        <w:rPr>
          <w:i/>
          <w:sz w:val="22"/>
          <w:szCs w:val="22"/>
          <w:u w:val="single"/>
        </w:rPr>
        <w:t>External m</w:t>
      </w:r>
      <w:r w:rsidR="00EE7B40" w:rsidRPr="00954F06">
        <w:rPr>
          <w:i/>
          <w:sz w:val="22"/>
          <w:szCs w:val="22"/>
          <w:u w:val="single"/>
        </w:rPr>
        <w:t>id-term and final project evaluations</w:t>
      </w:r>
      <w:r w:rsidR="003B6586">
        <w:rPr>
          <w:sz w:val="22"/>
          <w:szCs w:val="22"/>
          <w:u w:val="single"/>
        </w:rPr>
        <w:t>:</w:t>
      </w:r>
      <w:r>
        <w:rPr>
          <w:sz w:val="22"/>
          <w:szCs w:val="22"/>
        </w:rPr>
        <w:t xml:space="preserve"> </w:t>
      </w:r>
      <w:r w:rsidR="003B6586">
        <w:rPr>
          <w:sz w:val="22"/>
          <w:szCs w:val="22"/>
        </w:rPr>
        <w:t>No mid-term evaluation was conducted</w:t>
      </w:r>
      <w:r w:rsidR="00DE33E2">
        <w:rPr>
          <w:sz w:val="22"/>
          <w:szCs w:val="22"/>
        </w:rPr>
        <w:t xml:space="preserve"> </w:t>
      </w:r>
      <w:r w:rsidR="00DE33E2" w:rsidRPr="00DE33E2">
        <w:rPr>
          <w:sz w:val="22"/>
          <w:szCs w:val="22"/>
        </w:rPr>
        <w:t xml:space="preserve">as per </w:t>
      </w:r>
      <w:r w:rsidR="00DE33E2">
        <w:rPr>
          <w:sz w:val="22"/>
          <w:szCs w:val="22"/>
        </w:rPr>
        <w:t>the i</w:t>
      </w:r>
      <w:r w:rsidR="00DE33E2" w:rsidRPr="00DE33E2">
        <w:rPr>
          <w:sz w:val="22"/>
          <w:szCs w:val="22"/>
        </w:rPr>
        <w:t>nception workshop decision given the size and duration of the project</w:t>
      </w:r>
      <w:r w:rsidR="003B6586">
        <w:rPr>
          <w:sz w:val="22"/>
          <w:szCs w:val="22"/>
        </w:rPr>
        <w:t xml:space="preserve">; the final evaluation is underway following </w:t>
      </w:r>
      <w:r>
        <w:rPr>
          <w:sz w:val="22"/>
          <w:szCs w:val="22"/>
        </w:rPr>
        <w:t>UNDP</w:t>
      </w:r>
      <w:r w:rsidR="003B6586">
        <w:rPr>
          <w:sz w:val="22"/>
          <w:szCs w:val="22"/>
        </w:rPr>
        <w:t>-GEF</w:t>
      </w:r>
      <w:r>
        <w:rPr>
          <w:sz w:val="22"/>
          <w:szCs w:val="22"/>
        </w:rPr>
        <w:t xml:space="preserve"> evaluation guidelines.</w:t>
      </w:r>
    </w:p>
    <w:p w14:paraId="3653A60C" w14:textId="0625FA61" w:rsidR="00EE7B40" w:rsidRPr="00A57330" w:rsidRDefault="00EE7B40" w:rsidP="00EE7B40">
      <w:pPr>
        <w:pStyle w:val="ListParagraph"/>
        <w:numPr>
          <w:ilvl w:val="0"/>
          <w:numId w:val="17"/>
        </w:numPr>
        <w:ind w:left="1134" w:hanging="567"/>
        <w:jc w:val="both"/>
        <w:rPr>
          <w:sz w:val="22"/>
          <w:szCs w:val="22"/>
        </w:rPr>
      </w:pPr>
      <w:r w:rsidRPr="00A57330">
        <w:rPr>
          <w:i/>
          <w:sz w:val="22"/>
          <w:szCs w:val="22"/>
          <w:u w:val="single"/>
        </w:rPr>
        <w:t>Audit</w:t>
      </w:r>
      <w:r w:rsidR="00E50BF7" w:rsidRPr="00A57330">
        <w:rPr>
          <w:i/>
          <w:sz w:val="22"/>
          <w:szCs w:val="22"/>
          <w:u w:val="single"/>
        </w:rPr>
        <w:t>s</w:t>
      </w:r>
      <w:r w:rsidRPr="00A57330">
        <w:rPr>
          <w:sz w:val="22"/>
          <w:szCs w:val="22"/>
        </w:rPr>
        <w:t xml:space="preserve">: The project </w:t>
      </w:r>
      <w:r w:rsidR="00E50BF7" w:rsidRPr="00A57330">
        <w:rPr>
          <w:sz w:val="22"/>
          <w:szCs w:val="22"/>
        </w:rPr>
        <w:t xml:space="preserve">was </w:t>
      </w:r>
      <w:r w:rsidR="00FF0583" w:rsidRPr="00A57330">
        <w:rPr>
          <w:sz w:val="22"/>
          <w:szCs w:val="22"/>
        </w:rPr>
        <w:t xml:space="preserve">to be </w:t>
      </w:r>
      <w:r w:rsidR="00954F06" w:rsidRPr="00A57330">
        <w:rPr>
          <w:sz w:val="22"/>
          <w:szCs w:val="22"/>
        </w:rPr>
        <w:t xml:space="preserve">audited </w:t>
      </w:r>
      <w:r w:rsidRPr="00A57330">
        <w:rPr>
          <w:sz w:val="22"/>
          <w:szCs w:val="22"/>
        </w:rPr>
        <w:t>by a legally recognized auditor according to the establish procedures and international standards within the framework of the Harmonized Approach to Cash Transfer (HACT).</w:t>
      </w:r>
      <w:r w:rsidR="00FF0583" w:rsidRPr="00A57330">
        <w:rPr>
          <w:sz w:val="22"/>
          <w:szCs w:val="22"/>
        </w:rPr>
        <w:t xml:space="preserve"> However, due to the low disbursements for most years except in 2015, the project was not audited. </w:t>
      </w:r>
    </w:p>
    <w:p w14:paraId="4215FAB8" w14:textId="3DE21369" w:rsidR="00E50BF7" w:rsidRPr="00FF0583" w:rsidRDefault="00954F06" w:rsidP="00E50BF7">
      <w:pPr>
        <w:pStyle w:val="ListParagraph"/>
        <w:numPr>
          <w:ilvl w:val="0"/>
          <w:numId w:val="17"/>
        </w:numPr>
        <w:ind w:left="1134" w:hanging="567"/>
        <w:jc w:val="both"/>
        <w:rPr>
          <w:sz w:val="22"/>
          <w:szCs w:val="22"/>
        </w:rPr>
      </w:pPr>
      <w:r w:rsidRPr="00FF0583">
        <w:rPr>
          <w:i/>
          <w:sz w:val="22"/>
          <w:szCs w:val="22"/>
          <w:u w:val="single"/>
        </w:rPr>
        <w:t>P</w:t>
      </w:r>
      <w:r w:rsidR="00E50BF7" w:rsidRPr="00FF0583">
        <w:rPr>
          <w:i/>
          <w:sz w:val="22"/>
          <w:szCs w:val="22"/>
          <w:u w:val="single"/>
        </w:rPr>
        <w:t>roject-closing workshop</w:t>
      </w:r>
      <w:r w:rsidRPr="00FF0583">
        <w:rPr>
          <w:sz w:val="22"/>
          <w:szCs w:val="22"/>
          <w:u w:val="single"/>
        </w:rPr>
        <w:t>:</w:t>
      </w:r>
      <w:r w:rsidR="00E50BF7" w:rsidRPr="00FF0583">
        <w:rPr>
          <w:sz w:val="22"/>
          <w:szCs w:val="22"/>
        </w:rPr>
        <w:t xml:space="preserve"> </w:t>
      </w:r>
      <w:r w:rsidR="00FF0583" w:rsidRPr="00FF0583">
        <w:rPr>
          <w:sz w:val="22"/>
          <w:szCs w:val="22"/>
        </w:rPr>
        <w:t xml:space="preserve">A closing workshop is planned in October 2015 to </w:t>
      </w:r>
      <w:r w:rsidR="00E50BF7" w:rsidRPr="00FF0583">
        <w:rPr>
          <w:sz w:val="22"/>
          <w:szCs w:val="22"/>
        </w:rPr>
        <w:t xml:space="preserve">allow all stakeholders to review project achievements and lessons learned and to identify </w:t>
      </w:r>
      <w:r w:rsidR="00FF0583" w:rsidRPr="00FF0583">
        <w:rPr>
          <w:sz w:val="22"/>
          <w:szCs w:val="22"/>
        </w:rPr>
        <w:t xml:space="preserve">feasible </w:t>
      </w:r>
      <w:r w:rsidR="00E50BF7" w:rsidRPr="00FF0583">
        <w:rPr>
          <w:sz w:val="22"/>
          <w:szCs w:val="22"/>
        </w:rPr>
        <w:t>follow up actions</w:t>
      </w:r>
      <w:r w:rsidR="00FF0583" w:rsidRPr="00FF0583">
        <w:rPr>
          <w:sz w:val="22"/>
          <w:szCs w:val="22"/>
        </w:rPr>
        <w:t xml:space="preserve"> to pursue the government agenda on EFR.</w:t>
      </w:r>
    </w:p>
    <w:p w14:paraId="72BAD301" w14:textId="5D0D0D44" w:rsidR="00954F06" w:rsidRDefault="00954F06" w:rsidP="00E50BF7">
      <w:pPr>
        <w:pStyle w:val="ListParagraph"/>
        <w:numPr>
          <w:ilvl w:val="0"/>
          <w:numId w:val="17"/>
        </w:numPr>
        <w:ind w:left="1134" w:hanging="567"/>
        <w:jc w:val="both"/>
        <w:rPr>
          <w:sz w:val="22"/>
          <w:szCs w:val="22"/>
        </w:rPr>
      </w:pPr>
      <w:r w:rsidRPr="00954F06">
        <w:rPr>
          <w:i/>
          <w:sz w:val="22"/>
          <w:szCs w:val="22"/>
          <w:u w:val="single"/>
        </w:rPr>
        <w:t>Project Terminal Report</w:t>
      </w:r>
      <w:r>
        <w:rPr>
          <w:sz w:val="22"/>
          <w:szCs w:val="22"/>
        </w:rPr>
        <w:t>:</w:t>
      </w:r>
      <w:r w:rsidRPr="00954F06">
        <w:rPr>
          <w:sz w:val="22"/>
          <w:szCs w:val="22"/>
        </w:rPr>
        <w:t xml:space="preserve"> </w:t>
      </w:r>
      <w:r w:rsidR="00A21197">
        <w:rPr>
          <w:sz w:val="22"/>
          <w:szCs w:val="22"/>
        </w:rPr>
        <w:t>A</w:t>
      </w:r>
      <w:r w:rsidRPr="00954F06">
        <w:rPr>
          <w:sz w:val="22"/>
          <w:szCs w:val="22"/>
        </w:rPr>
        <w:t xml:space="preserve"> comprehensive report </w:t>
      </w:r>
      <w:r w:rsidR="00B21BA6">
        <w:rPr>
          <w:sz w:val="22"/>
          <w:szCs w:val="22"/>
        </w:rPr>
        <w:t xml:space="preserve">– a UNDP-GEF requirement - </w:t>
      </w:r>
      <w:r w:rsidRPr="00954F06">
        <w:rPr>
          <w:sz w:val="22"/>
          <w:szCs w:val="22"/>
        </w:rPr>
        <w:t>will summarize the results achieved (objectives, outcomes, outputs), lessons learned, problems met and areas where results may not have been achieved.  It will also lay out recommendations for any further steps that may need to be taken to ensure sustainability of the project’s results.</w:t>
      </w:r>
    </w:p>
    <w:p w14:paraId="60402EF2" w14:textId="77777777" w:rsidR="00840BB5" w:rsidRPr="00FB6D4E" w:rsidRDefault="00840BB5" w:rsidP="00840BB5">
      <w:pPr>
        <w:pStyle w:val="ListParagraph"/>
        <w:ind w:left="0"/>
        <w:jc w:val="both"/>
        <w:rPr>
          <w:sz w:val="22"/>
          <w:szCs w:val="22"/>
        </w:rPr>
      </w:pPr>
    </w:p>
    <w:p w14:paraId="6526F915" w14:textId="1485AD00" w:rsidR="007E7191" w:rsidRPr="009A5D70" w:rsidRDefault="00777AAD" w:rsidP="009A5D70">
      <w:pPr>
        <w:pStyle w:val="ListParagraph"/>
        <w:numPr>
          <w:ilvl w:val="0"/>
          <w:numId w:val="15"/>
        </w:numPr>
        <w:jc w:val="both"/>
        <w:rPr>
          <w:sz w:val="22"/>
          <w:szCs w:val="22"/>
          <w:u w:val="single"/>
        </w:rPr>
      </w:pPr>
      <w:r w:rsidRPr="009A5D70">
        <w:rPr>
          <w:sz w:val="22"/>
          <w:szCs w:val="22"/>
        </w:rPr>
        <w:t xml:space="preserve">The review indicates that the mid-term evaluation did not take place as planned. </w:t>
      </w:r>
      <w:r w:rsidR="007E7191" w:rsidRPr="009A5D70">
        <w:rPr>
          <w:sz w:val="22"/>
          <w:szCs w:val="22"/>
        </w:rPr>
        <w:t xml:space="preserve">The subject was discussed at the inception workshop in June 2012 and </w:t>
      </w:r>
      <w:r w:rsidR="00D00403" w:rsidRPr="009A5D70">
        <w:rPr>
          <w:sz w:val="22"/>
          <w:szCs w:val="22"/>
        </w:rPr>
        <w:t>a</w:t>
      </w:r>
      <w:r w:rsidR="007E7191" w:rsidRPr="009A5D70">
        <w:rPr>
          <w:sz w:val="22"/>
          <w:szCs w:val="22"/>
        </w:rPr>
        <w:t xml:space="preserve"> </w:t>
      </w:r>
      <w:r w:rsidR="00D00403" w:rsidRPr="009A5D70">
        <w:rPr>
          <w:sz w:val="22"/>
          <w:szCs w:val="22"/>
        </w:rPr>
        <w:t>decision was taken not to conduct a</w:t>
      </w:r>
      <w:r w:rsidR="007E7191" w:rsidRPr="009A5D70">
        <w:rPr>
          <w:sz w:val="22"/>
          <w:szCs w:val="22"/>
        </w:rPr>
        <w:t xml:space="preserve"> mid-term evaluation. </w:t>
      </w:r>
      <w:r w:rsidR="00D00403" w:rsidRPr="009A5D70">
        <w:rPr>
          <w:sz w:val="22"/>
          <w:szCs w:val="22"/>
        </w:rPr>
        <w:t>However, a</w:t>
      </w:r>
      <w:r w:rsidR="007E7191" w:rsidRPr="009A5D70">
        <w:rPr>
          <w:sz w:val="22"/>
          <w:szCs w:val="22"/>
        </w:rPr>
        <w:t>s discussed in section 4.2.1, the project was not</w:t>
      </w:r>
      <w:r w:rsidR="00D00403" w:rsidRPr="009A5D70">
        <w:rPr>
          <w:sz w:val="22"/>
          <w:szCs w:val="22"/>
        </w:rPr>
        <w:t xml:space="preserve"> progressing well until its mid-point on a 36 months implementation timeline. The decision of not doing a mid-term review was a missed opportunity that would have helped the Project Board to review the implementation timeline</w:t>
      </w:r>
      <w:r w:rsidR="009A5D70" w:rsidRPr="009A5D70">
        <w:rPr>
          <w:sz w:val="22"/>
          <w:szCs w:val="22"/>
        </w:rPr>
        <w:t xml:space="preserve">, provide valuable insights on the overall progress of the project </w:t>
      </w:r>
      <w:r w:rsidR="00D00403" w:rsidRPr="009A5D70">
        <w:rPr>
          <w:sz w:val="22"/>
          <w:szCs w:val="22"/>
        </w:rPr>
        <w:t>and identify measures to mitigate the</w:t>
      </w:r>
      <w:r w:rsidR="009A5D70" w:rsidRPr="009A5D70">
        <w:rPr>
          <w:sz w:val="22"/>
          <w:szCs w:val="22"/>
        </w:rPr>
        <w:t>se</w:t>
      </w:r>
      <w:r w:rsidR="00D00403" w:rsidRPr="009A5D70">
        <w:rPr>
          <w:sz w:val="22"/>
          <w:szCs w:val="22"/>
        </w:rPr>
        <w:t xml:space="preserve"> delays.</w:t>
      </w:r>
      <w:r w:rsidR="009A5D70" w:rsidRPr="009A5D70">
        <w:rPr>
          <w:sz w:val="22"/>
          <w:szCs w:val="22"/>
        </w:rPr>
        <w:t xml:space="preserve"> </w:t>
      </w:r>
      <w:r w:rsidR="00D00403" w:rsidRPr="009A5D70">
        <w:rPr>
          <w:sz w:val="22"/>
          <w:szCs w:val="22"/>
        </w:rPr>
        <w:t xml:space="preserve"> </w:t>
      </w:r>
      <w:r w:rsidR="007E7191" w:rsidRPr="009A5D70">
        <w:rPr>
          <w:sz w:val="22"/>
          <w:szCs w:val="22"/>
        </w:rPr>
        <w:t>Nevertheless, the Evaluation Team also noted that the Project Board with UNDP lead move quickly enough to address the issue by replacing the PM.</w:t>
      </w:r>
    </w:p>
    <w:p w14:paraId="105B1A3D" w14:textId="77777777" w:rsidR="00CB725A" w:rsidRPr="00A21197" w:rsidRDefault="00CB725A" w:rsidP="00CB725A">
      <w:pPr>
        <w:pStyle w:val="ListParagraph"/>
        <w:ind w:left="0"/>
        <w:jc w:val="both"/>
        <w:rPr>
          <w:sz w:val="22"/>
          <w:szCs w:val="22"/>
        </w:rPr>
      </w:pPr>
    </w:p>
    <w:p w14:paraId="120A6271" w14:textId="12519A09" w:rsidR="00840BB5" w:rsidRPr="00D30EC1" w:rsidRDefault="00D30EC1" w:rsidP="005D59CA">
      <w:pPr>
        <w:pStyle w:val="ListParagraph"/>
        <w:numPr>
          <w:ilvl w:val="0"/>
          <w:numId w:val="15"/>
        </w:numPr>
        <w:jc w:val="both"/>
        <w:rPr>
          <w:sz w:val="22"/>
          <w:szCs w:val="22"/>
        </w:rPr>
      </w:pPr>
      <w:r w:rsidRPr="00FB6D4E">
        <w:rPr>
          <w:sz w:val="22"/>
          <w:szCs w:val="22"/>
        </w:rPr>
        <w:t xml:space="preserve">The set of indicators presented in the </w:t>
      </w:r>
      <w:r w:rsidR="008B0CED" w:rsidRPr="00D06E7E">
        <w:rPr>
          <w:i/>
          <w:sz w:val="22"/>
          <w:szCs w:val="22"/>
        </w:rPr>
        <w:t>Result and Resources Framework</w:t>
      </w:r>
      <w:r w:rsidR="008B0CED" w:rsidRPr="00502258">
        <w:rPr>
          <w:sz w:val="22"/>
          <w:szCs w:val="22"/>
        </w:rPr>
        <w:t xml:space="preserve"> </w:t>
      </w:r>
      <w:r w:rsidRPr="00FB6D4E">
        <w:rPr>
          <w:sz w:val="22"/>
          <w:szCs w:val="22"/>
        </w:rPr>
        <w:t xml:space="preserve">was reviewed during this evaluation. It includes a </w:t>
      </w:r>
      <w:r w:rsidRPr="00901DDB">
        <w:rPr>
          <w:sz w:val="22"/>
          <w:szCs w:val="22"/>
        </w:rPr>
        <w:t xml:space="preserve">set of </w:t>
      </w:r>
      <w:r w:rsidR="00901DDB" w:rsidRPr="00901DDB">
        <w:rPr>
          <w:sz w:val="22"/>
          <w:szCs w:val="22"/>
        </w:rPr>
        <w:t>24</w:t>
      </w:r>
      <w:r w:rsidRPr="00901DDB">
        <w:rPr>
          <w:sz w:val="22"/>
          <w:szCs w:val="22"/>
        </w:rPr>
        <w:t xml:space="preserve"> indicators </w:t>
      </w:r>
      <w:r w:rsidR="000B4408" w:rsidRPr="00901DDB">
        <w:rPr>
          <w:sz w:val="22"/>
          <w:szCs w:val="22"/>
        </w:rPr>
        <w:t xml:space="preserve">and </w:t>
      </w:r>
      <w:r w:rsidR="00901DDB" w:rsidRPr="00901DDB">
        <w:rPr>
          <w:sz w:val="22"/>
          <w:szCs w:val="22"/>
        </w:rPr>
        <w:t>20</w:t>
      </w:r>
      <w:r w:rsidR="000B4408" w:rsidRPr="00901DDB">
        <w:rPr>
          <w:sz w:val="22"/>
          <w:szCs w:val="22"/>
        </w:rPr>
        <w:t xml:space="preserve"> targets</w:t>
      </w:r>
      <w:r w:rsidR="00901DDB" w:rsidRPr="00901DDB">
        <w:rPr>
          <w:sz w:val="22"/>
          <w:szCs w:val="22"/>
        </w:rPr>
        <w:t xml:space="preserve"> (9 for Y1, 6 for</w:t>
      </w:r>
      <w:r w:rsidR="00901DDB">
        <w:rPr>
          <w:sz w:val="22"/>
          <w:szCs w:val="22"/>
        </w:rPr>
        <w:t xml:space="preserve"> Y2, and 5 for Y3)</w:t>
      </w:r>
      <w:r w:rsidR="000B4408">
        <w:rPr>
          <w:sz w:val="22"/>
          <w:szCs w:val="22"/>
        </w:rPr>
        <w:t xml:space="preserve"> </w:t>
      </w:r>
      <w:r w:rsidRPr="00730075">
        <w:rPr>
          <w:sz w:val="22"/>
          <w:szCs w:val="22"/>
        </w:rPr>
        <w:t>to</w:t>
      </w:r>
      <w:r w:rsidRPr="00C57A9F">
        <w:rPr>
          <w:sz w:val="22"/>
          <w:szCs w:val="22"/>
        </w:rPr>
        <w:t xml:space="preserve"> monitor</w:t>
      </w:r>
      <w:r w:rsidRPr="00FB6D4E">
        <w:rPr>
          <w:sz w:val="22"/>
          <w:szCs w:val="22"/>
        </w:rPr>
        <w:t xml:space="preserve"> the performance of the project at t</w:t>
      </w:r>
      <w:r w:rsidR="00163D8A">
        <w:rPr>
          <w:sz w:val="22"/>
          <w:szCs w:val="22"/>
        </w:rPr>
        <w:t>he outcome leve</w:t>
      </w:r>
      <w:r w:rsidR="008B0CED">
        <w:rPr>
          <w:sz w:val="22"/>
          <w:szCs w:val="22"/>
        </w:rPr>
        <w:t>l</w:t>
      </w:r>
      <w:r w:rsidRPr="00FB6D4E">
        <w:rPr>
          <w:sz w:val="22"/>
          <w:szCs w:val="22"/>
        </w:rPr>
        <w:t>. The list of indicators</w:t>
      </w:r>
      <w:r w:rsidR="00753CAB">
        <w:rPr>
          <w:sz w:val="22"/>
          <w:szCs w:val="22"/>
        </w:rPr>
        <w:t xml:space="preserve"> and targets </w:t>
      </w:r>
      <w:r w:rsidRPr="00FB6D4E">
        <w:rPr>
          <w:sz w:val="22"/>
          <w:szCs w:val="22"/>
        </w:rPr>
        <w:t>i</w:t>
      </w:r>
      <w:r w:rsidR="00283FDC">
        <w:rPr>
          <w:sz w:val="22"/>
          <w:szCs w:val="22"/>
        </w:rPr>
        <w:t>s presented in the table below:</w:t>
      </w:r>
    </w:p>
    <w:p w14:paraId="336F3915" w14:textId="77777777" w:rsidR="00163D8A" w:rsidRPr="00FB6D4E" w:rsidRDefault="00163D8A" w:rsidP="00C612E4">
      <w:pPr>
        <w:widowControl/>
        <w:tabs>
          <w:tab w:val="left" w:pos="-720"/>
          <w:tab w:val="left" w:pos="567"/>
        </w:tabs>
        <w:jc w:val="both"/>
        <w:rPr>
          <w:sz w:val="22"/>
        </w:rPr>
      </w:pPr>
    </w:p>
    <w:p w14:paraId="4CED9EAA" w14:textId="77777777" w:rsidR="00C612E4" w:rsidRPr="00FB6D4E" w:rsidRDefault="00C612E4" w:rsidP="00B50BBC">
      <w:pPr>
        <w:pStyle w:val="Caption"/>
        <w:jc w:val="center"/>
        <w:rPr>
          <w:rFonts w:ascii="Arial" w:hAnsi="Arial"/>
          <w:bCs w:val="0"/>
          <w:sz w:val="22"/>
          <w:szCs w:val="22"/>
        </w:rPr>
      </w:pPr>
      <w:bookmarkStart w:id="52" w:name="_Toc305531037"/>
      <w:r w:rsidRPr="00FB6D4E">
        <w:rPr>
          <w:rFonts w:ascii="Arial" w:hAnsi="Arial"/>
        </w:rPr>
        <w:t xml:space="preserve">Table </w:t>
      </w:r>
      <w:r w:rsidRPr="00FB6D4E">
        <w:fldChar w:fldCharType="begin"/>
      </w:r>
      <w:r w:rsidRPr="00FB6D4E">
        <w:rPr>
          <w:rFonts w:ascii="Arial" w:hAnsi="Arial"/>
        </w:rPr>
        <w:instrText xml:space="preserve"> SEQ Table \* ARABIC </w:instrText>
      </w:r>
      <w:r w:rsidRPr="00FB6D4E">
        <w:fldChar w:fldCharType="separate"/>
      </w:r>
      <w:r w:rsidR="00F91695">
        <w:rPr>
          <w:rFonts w:ascii="Arial" w:hAnsi="Arial"/>
          <w:noProof/>
        </w:rPr>
        <w:t>9</w:t>
      </w:r>
      <w:r w:rsidRPr="00FB6D4E">
        <w:fldChar w:fldCharType="end"/>
      </w:r>
      <w:r w:rsidRPr="00FB6D4E">
        <w:rPr>
          <w:rFonts w:ascii="Arial" w:hAnsi="Arial"/>
        </w:rPr>
        <w:t>:</w:t>
      </w:r>
      <w:r w:rsidRPr="00FB6D4E">
        <w:rPr>
          <w:rFonts w:ascii="Arial" w:hAnsi="Arial"/>
          <w:b w:val="0"/>
        </w:rPr>
        <w:t xml:space="preserve">  List of Performance Indicators</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555"/>
        <w:gridCol w:w="3969"/>
        <w:gridCol w:w="3682"/>
      </w:tblGrid>
      <w:tr w:rsidR="00283FDC" w:rsidRPr="00FB6D4E" w14:paraId="142C1C4B" w14:textId="77777777" w:rsidTr="009B1822">
        <w:trPr>
          <w:trHeight w:val="362"/>
          <w:tblHeader/>
          <w:jc w:val="center"/>
        </w:trPr>
        <w:tc>
          <w:tcPr>
            <w:tcW w:w="2555" w:type="dxa"/>
            <w:shd w:val="clear" w:color="auto" w:fill="D9D9D9"/>
            <w:vAlign w:val="center"/>
          </w:tcPr>
          <w:p w14:paraId="52ECB6E6" w14:textId="77777777" w:rsidR="00283FDC" w:rsidRPr="00FB6D4E" w:rsidRDefault="00283FDC" w:rsidP="008B0CED">
            <w:pPr>
              <w:widowControl/>
              <w:tabs>
                <w:tab w:val="left" w:pos="-720"/>
                <w:tab w:val="left" w:pos="567"/>
              </w:tabs>
              <w:jc w:val="center"/>
              <w:rPr>
                <w:rFonts w:ascii="Arial" w:hAnsi="Arial"/>
                <w:b/>
                <w:bCs/>
                <w:sz w:val="18"/>
                <w:szCs w:val="22"/>
              </w:rPr>
            </w:pPr>
            <w:r w:rsidRPr="00FB6D4E">
              <w:rPr>
                <w:rFonts w:ascii="Arial" w:hAnsi="Arial"/>
                <w:b/>
                <w:bCs/>
                <w:sz w:val="18"/>
                <w:szCs w:val="22"/>
              </w:rPr>
              <w:lastRenderedPageBreak/>
              <w:t xml:space="preserve">Project </w:t>
            </w:r>
            <w:r>
              <w:rPr>
                <w:rFonts w:ascii="Arial" w:hAnsi="Arial"/>
                <w:b/>
                <w:bCs/>
                <w:sz w:val="18"/>
                <w:szCs w:val="22"/>
              </w:rPr>
              <w:t>Outcomes</w:t>
            </w:r>
          </w:p>
        </w:tc>
        <w:tc>
          <w:tcPr>
            <w:tcW w:w="3969" w:type="dxa"/>
            <w:shd w:val="clear" w:color="auto" w:fill="D9D9D9"/>
            <w:vAlign w:val="center"/>
          </w:tcPr>
          <w:p w14:paraId="5E3178E8" w14:textId="1CE36803" w:rsidR="00283FDC" w:rsidRPr="00FB6D4E" w:rsidRDefault="00283FDC" w:rsidP="00DC1947">
            <w:pPr>
              <w:widowControl/>
              <w:tabs>
                <w:tab w:val="left" w:pos="-720"/>
                <w:tab w:val="left" w:pos="567"/>
              </w:tabs>
              <w:jc w:val="center"/>
              <w:rPr>
                <w:rFonts w:ascii="Arial" w:hAnsi="Arial"/>
                <w:b/>
                <w:bCs/>
                <w:sz w:val="18"/>
                <w:szCs w:val="22"/>
              </w:rPr>
            </w:pPr>
            <w:r w:rsidRPr="00FB6D4E">
              <w:rPr>
                <w:rFonts w:ascii="Arial" w:hAnsi="Arial"/>
                <w:b/>
                <w:bCs/>
                <w:sz w:val="18"/>
                <w:szCs w:val="22"/>
              </w:rPr>
              <w:t>Indicators</w:t>
            </w:r>
          </w:p>
        </w:tc>
        <w:tc>
          <w:tcPr>
            <w:tcW w:w="3682" w:type="dxa"/>
            <w:shd w:val="clear" w:color="auto" w:fill="D9D9D9"/>
            <w:vAlign w:val="center"/>
          </w:tcPr>
          <w:p w14:paraId="2AF856F1" w14:textId="77777777" w:rsidR="00283FDC" w:rsidRPr="00FB6D4E" w:rsidRDefault="00283FDC" w:rsidP="00283FDC">
            <w:pPr>
              <w:widowControl/>
              <w:tabs>
                <w:tab w:val="left" w:pos="-720"/>
                <w:tab w:val="left" w:pos="567"/>
              </w:tabs>
              <w:jc w:val="center"/>
              <w:rPr>
                <w:rFonts w:ascii="Arial" w:hAnsi="Arial"/>
                <w:b/>
                <w:bCs/>
                <w:sz w:val="18"/>
                <w:szCs w:val="22"/>
              </w:rPr>
            </w:pPr>
            <w:r>
              <w:rPr>
                <w:rFonts w:ascii="Arial" w:hAnsi="Arial"/>
                <w:b/>
                <w:bCs/>
                <w:sz w:val="18"/>
                <w:szCs w:val="22"/>
              </w:rPr>
              <w:t>Targets</w:t>
            </w:r>
          </w:p>
        </w:tc>
      </w:tr>
      <w:tr w:rsidR="009A5D70" w:rsidRPr="00FB6D4E" w14:paraId="421431F7" w14:textId="77777777" w:rsidTr="009B1822">
        <w:trPr>
          <w:jc w:val="center"/>
        </w:trPr>
        <w:tc>
          <w:tcPr>
            <w:tcW w:w="2555" w:type="dxa"/>
          </w:tcPr>
          <w:p w14:paraId="12F33001" w14:textId="3D3A8186" w:rsidR="009A5D70" w:rsidRPr="00FB6D4E" w:rsidRDefault="00791FE7" w:rsidP="002655FA">
            <w:pPr>
              <w:widowControl/>
              <w:tabs>
                <w:tab w:val="left" w:pos="-720"/>
              </w:tabs>
              <w:rPr>
                <w:rFonts w:ascii="Arial" w:hAnsi="Arial"/>
                <w:bCs/>
                <w:sz w:val="18"/>
                <w:szCs w:val="22"/>
              </w:rPr>
            </w:pPr>
            <w:r w:rsidRPr="00791FE7">
              <w:rPr>
                <w:rFonts w:ascii="Arial" w:hAnsi="Arial"/>
                <w:b/>
                <w:bCs/>
                <w:sz w:val="18"/>
                <w:szCs w:val="22"/>
              </w:rPr>
              <w:t>Objective</w:t>
            </w:r>
            <w:r>
              <w:rPr>
                <w:rFonts w:ascii="Arial" w:hAnsi="Arial"/>
                <w:bCs/>
                <w:sz w:val="18"/>
                <w:szCs w:val="22"/>
              </w:rPr>
              <w:t xml:space="preserve"> - </w:t>
            </w:r>
            <w:r w:rsidRPr="00791FE7">
              <w:rPr>
                <w:rFonts w:ascii="Arial" w:hAnsi="Arial"/>
                <w:bCs/>
                <w:sz w:val="18"/>
                <w:szCs w:val="22"/>
              </w:rPr>
              <w:t>To build capacities for implementing environmental fiscal reforms (EFR) that will produce increased national and global environmental benefits through the adoption of selected subsidies, fees, fines, taxes and other appropriate fiscal instruments.</w:t>
            </w:r>
          </w:p>
        </w:tc>
        <w:tc>
          <w:tcPr>
            <w:tcW w:w="3969" w:type="dxa"/>
          </w:tcPr>
          <w:p w14:paraId="34A31BA3" w14:textId="77777777" w:rsid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 xml:space="preserve">Demonstrated global environmental benefits through the adoption of EFR instruments related to biodiversity conservation, reducing GHG emissions and combating land degradation </w:t>
            </w:r>
          </w:p>
          <w:p w14:paraId="4BF4F29C" w14:textId="5BC5C96D" w:rsid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Capacity development scorecard ratings increase in a consistent manner (initial rating to be established</w:t>
            </w:r>
            <w:r>
              <w:rPr>
                <w:rFonts w:ascii="Arial" w:hAnsi="Arial"/>
                <w:bCs/>
                <w:sz w:val="18"/>
                <w:szCs w:val="22"/>
              </w:rPr>
              <w:t xml:space="preserve"> at project inception workshop)</w:t>
            </w:r>
          </w:p>
          <w:p w14:paraId="6BCFCB36" w14:textId="77777777" w:rsid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Regulatory and operational guidelines adopted by the EFR commission for 5 EFR instru</w:t>
            </w:r>
            <w:r>
              <w:rPr>
                <w:rFonts w:ascii="Arial" w:hAnsi="Arial"/>
                <w:bCs/>
                <w:sz w:val="18"/>
                <w:szCs w:val="22"/>
              </w:rPr>
              <w:t>ments addressed by the project:</w:t>
            </w:r>
          </w:p>
          <w:p w14:paraId="74C6566E" w14:textId="3BEB0FFC" w:rsidR="00791FE7" w:rsidRDefault="00DC1947" w:rsidP="00DC1947">
            <w:pPr>
              <w:pStyle w:val="ListParagraph"/>
              <w:widowControl/>
              <w:numPr>
                <w:ilvl w:val="1"/>
                <w:numId w:val="70"/>
              </w:numPr>
              <w:tabs>
                <w:tab w:val="left" w:pos="-720"/>
              </w:tabs>
              <w:ind w:left="482" w:hanging="283"/>
              <w:rPr>
                <w:rFonts w:ascii="Arial" w:hAnsi="Arial"/>
                <w:bCs/>
                <w:sz w:val="18"/>
                <w:szCs w:val="22"/>
              </w:rPr>
            </w:pPr>
            <w:r>
              <w:rPr>
                <w:rFonts w:ascii="Arial" w:hAnsi="Arial"/>
                <w:bCs/>
                <w:sz w:val="18"/>
                <w:szCs w:val="22"/>
              </w:rPr>
              <w:t>A</w:t>
            </w:r>
            <w:r w:rsidR="00791FE7" w:rsidRPr="00791FE7">
              <w:rPr>
                <w:rFonts w:ascii="Arial" w:hAnsi="Arial"/>
                <w:bCs/>
                <w:sz w:val="18"/>
                <w:szCs w:val="22"/>
              </w:rPr>
              <w:t>gricultu</w:t>
            </w:r>
            <w:r w:rsidR="00791FE7">
              <w:rPr>
                <w:rFonts w:ascii="Arial" w:hAnsi="Arial"/>
                <w:bCs/>
                <w:sz w:val="18"/>
                <w:szCs w:val="22"/>
              </w:rPr>
              <w:t>ral subsidies scheme/programme,</w:t>
            </w:r>
          </w:p>
          <w:p w14:paraId="60900D48" w14:textId="421246A9" w:rsidR="00791FE7" w:rsidRDefault="00DC1947" w:rsidP="00DC1947">
            <w:pPr>
              <w:pStyle w:val="ListParagraph"/>
              <w:widowControl/>
              <w:numPr>
                <w:ilvl w:val="1"/>
                <w:numId w:val="70"/>
              </w:numPr>
              <w:tabs>
                <w:tab w:val="left" w:pos="-720"/>
              </w:tabs>
              <w:ind w:left="482" w:hanging="283"/>
              <w:rPr>
                <w:rFonts w:ascii="Arial" w:hAnsi="Arial"/>
                <w:bCs/>
                <w:sz w:val="18"/>
                <w:szCs w:val="22"/>
              </w:rPr>
            </w:pPr>
            <w:r>
              <w:rPr>
                <w:rFonts w:ascii="Arial" w:hAnsi="Arial"/>
                <w:bCs/>
                <w:sz w:val="18"/>
                <w:szCs w:val="22"/>
              </w:rPr>
              <w:t>E</w:t>
            </w:r>
            <w:r w:rsidR="00791FE7" w:rsidRPr="00791FE7">
              <w:rPr>
                <w:rFonts w:ascii="Arial" w:hAnsi="Arial"/>
                <w:bCs/>
                <w:sz w:val="18"/>
                <w:szCs w:val="22"/>
              </w:rPr>
              <w:t>nergy subsidies</w:t>
            </w:r>
            <w:r w:rsidR="00791FE7">
              <w:rPr>
                <w:rFonts w:ascii="Arial" w:hAnsi="Arial"/>
                <w:bCs/>
                <w:sz w:val="18"/>
                <w:szCs w:val="22"/>
              </w:rPr>
              <w:t xml:space="preserve"> scheme/programme,</w:t>
            </w:r>
          </w:p>
          <w:p w14:paraId="4E004741" w14:textId="1DB0A653" w:rsidR="00791FE7" w:rsidRDefault="00DC1947" w:rsidP="00DC1947">
            <w:pPr>
              <w:pStyle w:val="ListParagraph"/>
              <w:widowControl/>
              <w:numPr>
                <w:ilvl w:val="1"/>
                <w:numId w:val="70"/>
              </w:numPr>
              <w:tabs>
                <w:tab w:val="left" w:pos="-720"/>
              </w:tabs>
              <w:ind w:left="482" w:hanging="283"/>
              <w:rPr>
                <w:rFonts w:ascii="Arial" w:hAnsi="Arial"/>
                <w:bCs/>
                <w:sz w:val="18"/>
                <w:szCs w:val="22"/>
              </w:rPr>
            </w:pPr>
            <w:r>
              <w:rPr>
                <w:rFonts w:ascii="Arial" w:hAnsi="Arial"/>
                <w:bCs/>
                <w:sz w:val="18"/>
                <w:szCs w:val="22"/>
              </w:rPr>
              <w:t>E</w:t>
            </w:r>
            <w:r w:rsidR="00791FE7">
              <w:rPr>
                <w:rFonts w:ascii="Arial" w:hAnsi="Arial"/>
                <w:bCs/>
                <w:sz w:val="18"/>
                <w:szCs w:val="22"/>
              </w:rPr>
              <w:t>nvironmental charges;</w:t>
            </w:r>
          </w:p>
          <w:p w14:paraId="4AB4A0C4" w14:textId="0397F1F5" w:rsidR="00791FE7" w:rsidRDefault="00DC1947" w:rsidP="00DC1947">
            <w:pPr>
              <w:pStyle w:val="ListParagraph"/>
              <w:widowControl/>
              <w:numPr>
                <w:ilvl w:val="1"/>
                <w:numId w:val="70"/>
              </w:numPr>
              <w:tabs>
                <w:tab w:val="left" w:pos="-720"/>
              </w:tabs>
              <w:ind w:left="482" w:hanging="283"/>
              <w:rPr>
                <w:rFonts w:ascii="Arial" w:hAnsi="Arial"/>
                <w:bCs/>
                <w:sz w:val="18"/>
                <w:szCs w:val="22"/>
              </w:rPr>
            </w:pPr>
            <w:r>
              <w:rPr>
                <w:rFonts w:ascii="Arial" w:hAnsi="Arial"/>
                <w:bCs/>
                <w:sz w:val="18"/>
                <w:szCs w:val="22"/>
              </w:rPr>
              <w:t>G</w:t>
            </w:r>
            <w:r w:rsidR="00791FE7" w:rsidRPr="00791FE7">
              <w:rPr>
                <w:rFonts w:ascii="Arial" w:hAnsi="Arial"/>
                <w:bCs/>
                <w:sz w:val="18"/>
                <w:szCs w:val="22"/>
              </w:rPr>
              <w:t>reen/environme</w:t>
            </w:r>
            <w:r w:rsidR="00791FE7">
              <w:rPr>
                <w:rFonts w:ascii="Arial" w:hAnsi="Arial"/>
                <w:bCs/>
                <w:sz w:val="18"/>
                <w:szCs w:val="22"/>
              </w:rPr>
              <w:t>ntal subsidies through NEF/LEF;</w:t>
            </w:r>
          </w:p>
          <w:p w14:paraId="0ACBB9A8" w14:textId="241D2EF3" w:rsidR="00791FE7" w:rsidRDefault="00DC1947" w:rsidP="00DC1947">
            <w:pPr>
              <w:pStyle w:val="ListParagraph"/>
              <w:widowControl/>
              <w:numPr>
                <w:ilvl w:val="1"/>
                <w:numId w:val="70"/>
              </w:numPr>
              <w:tabs>
                <w:tab w:val="left" w:pos="-720"/>
              </w:tabs>
              <w:ind w:left="482" w:hanging="283"/>
              <w:rPr>
                <w:rFonts w:ascii="Arial" w:hAnsi="Arial"/>
                <w:bCs/>
                <w:sz w:val="18"/>
                <w:szCs w:val="22"/>
              </w:rPr>
            </w:pPr>
            <w:r>
              <w:rPr>
                <w:rFonts w:ascii="Arial" w:hAnsi="Arial"/>
                <w:bCs/>
                <w:sz w:val="18"/>
                <w:szCs w:val="22"/>
              </w:rPr>
              <w:t>N</w:t>
            </w:r>
            <w:r w:rsidR="00791FE7" w:rsidRPr="00791FE7">
              <w:rPr>
                <w:rFonts w:ascii="Arial" w:hAnsi="Arial"/>
                <w:bCs/>
                <w:sz w:val="18"/>
                <w:szCs w:val="22"/>
              </w:rPr>
              <w:t>ew eco-technology subsidies</w:t>
            </w:r>
          </w:p>
          <w:p w14:paraId="13296660" w14:textId="449E23E5" w:rsidR="009A5D70"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Medium-Term Expenditure budget reflects increased national allocations to meet CBD, CCD, and FCCC targets</w:t>
            </w:r>
          </w:p>
        </w:tc>
        <w:tc>
          <w:tcPr>
            <w:tcW w:w="3682" w:type="dxa"/>
          </w:tcPr>
          <w:p w14:paraId="2111C736" w14:textId="3B7114B7" w:rsidR="009A5D70" w:rsidRPr="00DC1947" w:rsidRDefault="00DC1947" w:rsidP="00791FE7">
            <w:pPr>
              <w:widowControl/>
              <w:tabs>
                <w:tab w:val="left" w:pos="-720"/>
                <w:tab w:val="left" w:pos="341"/>
              </w:tabs>
              <w:rPr>
                <w:rFonts w:ascii="Arial" w:hAnsi="Arial"/>
                <w:bCs/>
                <w:i/>
                <w:sz w:val="18"/>
                <w:szCs w:val="22"/>
              </w:rPr>
            </w:pPr>
            <w:r w:rsidRPr="00DC1947">
              <w:rPr>
                <w:rFonts w:ascii="Arial" w:hAnsi="Arial"/>
                <w:bCs/>
                <w:i/>
                <w:sz w:val="18"/>
                <w:szCs w:val="22"/>
              </w:rPr>
              <w:t>No targets were set at this level</w:t>
            </w:r>
          </w:p>
        </w:tc>
      </w:tr>
      <w:tr w:rsidR="009A5D70" w:rsidRPr="00FB6D4E" w14:paraId="1961D503" w14:textId="77777777" w:rsidTr="009B1822">
        <w:trPr>
          <w:jc w:val="center"/>
        </w:trPr>
        <w:tc>
          <w:tcPr>
            <w:tcW w:w="2555" w:type="dxa"/>
          </w:tcPr>
          <w:p w14:paraId="7F22CD44" w14:textId="0E885D77" w:rsidR="009A5D70" w:rsidRPr="00FB2300" w:rsidRDefault="009A5D70" w:rsidP="00791FE7">
            <w:pPr>
              <w:widowControl/>
              <w:tabs>
                <w:tab w:val="left" w:pos="-720"/>
              </w:tabs>
              <w:rPr>
                <w:rFonts w:ascii="Arial" w:hAnsi="Arial"/>
                <w:bCs/>
                <w:sz w:val="18"/>
                <w:szCs w:val="22"/>
              </w:rPr>
            </w:pPr>
            <w:r w:rsidRPr="00FB2300">
              <w:rPr>
                <w:rFonts w:ascii="Arial" w:hAnsi="Arial"/>
                <w:b/>
                <w:bCs/>
                <w:sz w:val="18"/>
                <w:szCs w:val="22"/>
              </w:rPr>
              <w:t>Outcome 1 -</w:t>
            </w:r>
            <w:r w:rsidRPr="00FB2300">
              <w:rPr>
                <w:rFonts w:ascii="Arial" w:hAnsi="Arial"/>
                <w:bCs/>
                <w:sz w:val="18"/>
                <w:szCs w:val="22"/>
              </w:rPr>
              <w:t xml:space="preserve"> Reform of environmentally harmful subsidies, green subsidies as well as environmental charges:</w:t>
            </w:r>
          </w:p>
          <w:p w14:paraId="7529B8BD" w14:textId="77777777" w:rsidR="009A5D70" w:rsidRPr="00FB2300" w:rsidRDefault="009A5D70" w:rsidP="00791FE7">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1.1: </w:t>
            </w:r>
            <w:r w:rsidRPr="00FB2300">
              <w:rPr>
                <w:rFonts w:ascii="Arial" w:hAnsi="Arial"/>
                <w:bCs/>
                <w:sz w:val="18"/>
                <w:szCs w:val="22"/>
              </w:rPr>
              <w:t xml:space="preserve">Introduce policy reform in the area of environmentally harmful subsidies </w:t>
            </w:r>
          </w:p>
          <w:p w14:paraId="5CA1216C" w14:textId="77777777" w:rsidR="009A5D70" w:rsidRPr="00FB2300" w:rsidRDefault="009A5D70" w:rsidP="00791FE7">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1.2: </w:t>
            </w:r>
            <w:r w:rsidRPr="00FB2300">
              <w:rPr>
                <w:rFonts w:ascii="Arial" w:hAnsi="Arial"/>
                <w:bCs/>
                <w:sz w:val="18"/>
                <w:szCs w:val="22"/>
              </w:rPr>
              <w:t>Reform of environmental charges and facilitation of eco-technology investments</w:t>
            </w:r>
          </w:p>
          <w:p w14:paraId="7B461A52" w14:textId="2C8C0254" w:rsidR="009A5D70" w:rsidRPr="00FB6D4E" w:rsidRDefault="009A5D70" w:rsidP="009A5D70">
            <w:pPr>
              <w:widowControl/>
              <w:numPr>
                <w:ilvl w:val="0"/>
                <w:numId w:val="12"/>
              </w:numPr>
              <w:tabs>
                <w:tab w:val="clear" w:pos="720"/>
                <w:tab w:val="left" w:pos="-720"/>
                <w:tab w:val="num" w:pos="284"/>
              </w:tabs>
              <w:ind w:left="284" w:hanging="142"/>
              <w:rPr>
                <w:rFonts w:ascii="Arial" w:hAnsi="Arial"/>
                <w:b/>
                <w:bCs/>
                <w:sz w:val="18"/>
                <w:szCs w:val="22"/>
              </w:rPr>
            </w:pPr>
            <w:r w:rsidRPr="00FB2300">
              <w:rPr>
                <w:rFonts w:ascii="Arial" w:hAnsi="Arial"/>
                <w:b/>
                <w:bCs/>
                <w:i/>
                <w:sz w:val="18"/>
                <w:szCs w:val="22"/>
              </w:rPr>
              <w:t xml:space="preserve">Output 1.3: </w:t>
            </w:r>
            <w:r w:rsidRPr="009A5D70">
              <w:rPr>
                <w:rFonts w:ascii="Arial" w:hAnsi="Arial"/>
                <w:bCs/>
                <w:sz w:val="18"/>
                <w:szCs w:val="22"/>
              </w:rPr>
              <w:t>Improved regulations and operational management of the National and Local Ecological Funds (NEF/LEFs).</w:t>
            </w:r>
          </w:p>
        </w:tc>
        <w:tc>
          <w:tcPr>
            <w:tcW w:w="3969" w:type="dxa"/>
          </w:tcPr>
          <w:p w14:paraId="4BE86C4F" w14:textId="56AD1840"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Feasibility of reform proposals to energy pricing</w:t>
            </w:r>
            <w:r>
              <w:rPr>
                <w:rFonts w:ascii="Arial" w:hAnsi="Arial"/>
                <w:bCs/>
                <w:sz w:val="18"/>
                <w:szCs w:val="22"/>
              </w:rPr>
              <w:t xml:space="preserve"> and subsidies and adoption of </w:t>
            </w:r>
            <w:r w:rsidRPr="00791FE7">
              <w:rPr>
                <w:rFonts w:ascii="Arial" w:hAnsi="Arial"/>
                <w:bCs/>
                <w:sz w:val="18"/>
                <w:szCs w:val="22"/>
              </w:rPr>
              <w:t>appropriate legal amendments and implementation measures is confirmed</w:t>
            </w:r>
          </w:p>
          <w:p w14:paraId="60F6CCE0" w14:textId="0AE48345"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Pr>
                <w:rFonts w:ascii="Arial" w:hAnsi="Arial"/>
                <w:bCs/>
                <w:sz w:val="18"/>
                <w:szCs w:val="22"/>
              </w:rPr>
              <w:t xml:space="preserve">Feasibility of </w:t>
            </w:r>
            <w:r w:rsidRPr="00791FE7">
              <w:rPr>
                <w:rFonts w:ascii="Arial" w:hAnsi="Arial"/>
                <w:bCs/>
                <w:sz w:val="18"/>
                <w:szCs w:val="22"/>
              </w:rPr>
              <w:t>reform proposals to agricultural subsidies and adoption of appropriate legal amendments and implementation measures is confirmed</w:t>
            </w:r>
          </w:p>
          <w:p w14:paraId="771E8DA8" w14:textId="1433E747"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Feasibility of reform proposals for several environmental charges currently in force is confirmed</w:t>
            </w:r>
          </w:p>
          <w:p w14:paraId="6A2D4F87" w14:textId="61D19F18"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Number of identified eco-technologies that have true potential to be mainstreamed in Moldova</w:t>
            </w:r>
          </w:p>
          <w:p w14:paraId="0D102D56" w14:textId="49983195"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 xml:space="preserve">Readiness of eco-technology investment scheme for implementation </w:t>
            </w:r>
          </w:p>
          <w:p w14:paraId="72EAABBF" w14:textId="6878C2C9" w:rsidR="009A5D70"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Implementation of good international practice in managing public environment expenditure programmes applied to NEF/LEF management, especially the areas governance, spending strategies, project cycle management, procurement and reporting/promotion</w:t>
            </w:r>
          </w:p>
        </w:tc>
        <w:tc>
          <w:tcPr>
            <w:tcW w:w="3682" w:type="dxa"/>
          </w:tcPr>
          <w:p w14:paraId="188DD574" w14:textId="77777777" w:rsidR="009A5D70" w:rsidRPr="00FB2300"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FB2300">
              <w:rPr>
                <w:rFonts w:ascii="Arial" w:hAnsi="Arial"/>
                <w:b/>
                <w:bCs/>
                <w:i/>
                <w:sz w:val="18"/>
                <w:szCs w:val="22"/>
              </w:rPr>
              <w:t xml:space="preserve">Target (Year 1): </w:t>
            </w:r>
          </w:p>
          <w:p w14:paraId="14427AAA"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Identification of tax and duties on energy and agriculture products </w:t>
            </w:r>
          </w:p>
          <w:p w14:paraId="55689616"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Market analysis for eco-technology solutions </w:t>
            </w:r>
          </w:p>
          <w:p w14:paraId="2852AB07"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Procedures for PCM for NEF/LEFs spending areas</w:t>
            </w:r>
          </w:p>
          <w:p w14:paraId="0677E7A4" w14:textId="77777777" w:rsidR="009A5D70" w:rsidRPr="00764018"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2)</w:t>
            </w:r>
          </w:p>
          <w:p w14:paraId="40FE259E" w14:textId="77777777" w:rsidR="009A5D70" w:rsidRPr="00FB2300" w:rsidRDefault="009A5D70"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 xml:space="preserve">Identification of options for greening and reforming subsidies and charges </w:t>
            </w:r>
          </w:p>
          <w:p w14:paraId="70F5EA39"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Short and long-term spending strategy of NEF/LEFs</w:t>
            </w:r>
          </w:p>
          <w:p w14:paraId="25278605" w14:textId="77777777" w:rsidR="009A5D70" w:rsidRPr="00764018"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3)</w:t>
            </w:r>
          </w:p>
          <w:p w14:paraId="6E8903C0" w14:textId="4679C343" w:rsidR="009A5D70" w:rsidRPr="009A5D70" w:rsidRDefault="009A5D70" w:rsidP="001C6260">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Recommendations for legislative texts and technical guidelines elaborated and submitted for adoption</w:t>
            </w:r>
          </w:p>
        </w:tc>
      </w:tr>
      <w:tr w:rsidR="009A5D70" w:rsidRPr="00FB6D4E" w14:paraId="24C0F8A6" w14:textId="77777777" w:rsidTr="009B1822">
        <w:trPr>
          <w:jc w:val="center"/>
        </w:trPr>
        <w:tc>
          <w:tcPr>
            <w:tcW w:w="2555" w:type="dxa"/>
          </w:tcPr>
          <w:p w14:paraId="581F4C98" w14:textId="77777777" w:rsidR="009A5D70" w:rsidRPr="00FB2300" w:rsidRDefault="009A5D70" w:rsidP="00791FE7">
            <w:pPr>
              <w:widowControl/>
              <w:tabs>
                <w:tab w:val="left" w:pos="-720"/>
              </w:tabs>
              <w:rPr>
                <w:rFonts w:ascii="Arial" w:hAnsi="Arial"/>
                <w:bCs/>
                <w:sz w:val="18"/>
                <w:szCs w:val="22"/>
              </w:rPr>
            </w:pPr>
            <w:r w:rsidRPr="00FB2300">
              <w:rPr>
                <w:rFonts w:ascii="Arial" w:hAnsi="Arial"/>
                <w:b/>
                <w:bCs/>
                <w:sz w:val="18"/>
                <w:szCs w:val="22"/>
              </w:rPr>
              <w:t>Outcome 2:</w:t>
            </w:r>
            <w:r w:rsidRPr="00FB2300">
              <w:rPr>
                <w:rFonts w:ascii="Arial" w:hAnsi="Arial"/>
                <w:bCs/>
                <w:sz w:val="18"/>
                <w:szCs w:val="22"/>
              </w:rPr>
              <w:t xml:space="preserve"> Capacity development to engage and build consensus among all stakeholders:</w:t>
            </w:r>
          </w:p>
          <w:p w14:paraId="43CA4E37" w14:textId="77777777" w:rsidR="009A5D70" w:rsidRPr="00FB2300" w:rsidRDefault="009A5D70" w:rsidP="00791FE7">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2.1: </w:t>
            </w:r>
            <w:r w:rsidRPr="00FB2300">
              <w:rPr>
                <w:rFonts w:ascii="Arial" w:hAnsi="Arial"/>
                <w:bCs/>
                <w:sz w:val="18"/>
                <w:szCs w:val="22"/>
              </w:rPr>
              <w:t>Capacity building for EFR</w:t>
            </w:r>
          </w:p>
          <w:p w14:paraId="43277C81" w14:textId="77777777" w:rsidR="009A5D70" w:rsidRPr="00FB2300" w:rsidRDefault="009A5D70" w:rsidP="00791FE7">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2.2: </w:t>
            </w:r>
            <w:r w:rsidRPr="00FB2300">
              <w:rPr>
                <w:rFonts w:ascii="Arial" w:hAnsi="Arial"/>
                <w:bCs/>
                <w:sz w:val="18"/>
                <w:szCs w:val="22"/>
              </w:rPr>
              <w:t>Communication and awareness</w:t>
            </w:r>
          </w:p>
          <w:p w14:paraId="59359C18" w14:textId="5CE0499D" w:rsidR="009A5D70" w:rsidRPr="00FB6D4E" w:rsidRDefault="009A5D70" w:rsidP="009A5D70">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Output 2.3:</w:t>
            </w:r>
            <w:r w:rsidRPr="009A5D70">
              <w:rPr>
                <w:rFonts w:ascii="Arial" w:hAnsi="Arial"/>
                <w:b/>
                <w:bCs/>
                <w:i/>
                <w:sz w:val="18"/>
                <w:szCs w:val="22"/>
              </w:rPr>
              <w:t xml:space="preserve"> </w:t>
            </w:r>
            <w:r w:rsidRPr="009A5D70">
              <w:rPr>
                <w:rFonts w:ascii="Arial" w:hAnsi="Arial"/>
                <w:bCs/>
                <w:sz w:val="18"/>
                <w:szCs w:val="22"/>
              </w:rPr>
              <w:t>A political dialogue is established</w:t>
            </w:r>
          </w:p>
        </w:tc>
        <w:tc>
          <w:tcPr>
            <w:tcW w:w="3969" w:type="dxa"/>
          </w:tcPr>
          <w:p w14:paraId="3CE74CCE" w14:textId="795D5140"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A training needs assessment conducted</w:t>
            </w:r>
          </w:p>
          <w:p w14:paraId="107A3EE0" w14:textId="2CEBF45F"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A set of training sessions are implemented in line with the training needs assessment</w:t>
            </w:r>
          </w:p>
          <w:p w14:paraId="3CCAC827" w14:textId="3AA6C508"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Training for NEF/LEF staff on new operational procedures completed</w:t>
            </w:r>
          </w:p>
          <w:p w14:paraId="4A6D6386" w14:textId="03CD46E5"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A comprehensive information campaign is implemented</w:t>
            </w:r>
          </w:p>
          <w:p w14:paraId="618FDFF9" w14:textId="0F2B83C5"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An EFR website is developed, put online and continuously updated</w:t>
            </w:r>
          </w:p>
          <w:p w14:paraId="67903A8E" w14:textId="53154BA9"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Semi-annual e-newsletters and other relevant communication products including at least two case studies on adoption of EFR in Moldova have been disseminated widely</w:t>
            </w:r>
          </w:p>
          <w:p w14:paraId="23235765" w14:textId="2884C11C"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 xml:space="preserve">Moldovan EFR Commission met on </w:t>
            </w:r>
            <w:r w:rsidR="00901DDB" w:rsidRPr="00791FE7">
              <w:rPr>
                <w:rFonts w:ascii="Arial" w:hAnsi="Arial"/>
                <w:bCs/>
                <w:sz w:val="18"/>
                <w:szCs w:val="22"/>
              </w:rPr>
              <w:t>quarterly basis</w:t>
            </w:r>
            <w:r w:rsidRPr="00791FE7">
              <w:rPr>
                <w:rFonts w:ascii="Arial" w:hAnsi="Arial"/>
                <w:bCs/>
                <w:sz w:val="18"/>
                <w:szCs w:val="22"/>
              </w:rPr>
              <w:t xml:space="preserve"> </w:t>
            </w:r>
          </w:p>
          <w:p w14:paraId="677E60C3" w14:textId="3AD5711B" w:rsidR="009A5D70"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Conferences and workshops with international participation were implemented to further discuss proposed new EFR instruments has of reform to existing instruments in Moldova</w:t>
            </w:r>
          </w:p>
        </w:tc>
        <w:tc>
          <w:tcPr>
            <w:tcW w:w="3682" w:type="dxa"/>
          </w:tcPr>
          <w:p w14:paraId="67F655D7" w14:textId="77777777" w:rsidR="009A5D70" w:rsidRPr="00442CB2"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7047FB09"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training needs assessment conducted</w:t>
            </w:r>
          </w:p>
          <w:p w14:paraId="1476719F"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information campaign is designed</w:t>
            </w:r>
          </w:p>
          <w:p w14:paraId="1EF1A33A"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An EFR website is developed, put </w:t>
            </w:r>
            <w:r>
              <w:rPr>
                <w:rFonts w:ascii="Arial" w:hAnsi="Arial"/>
                <w:bCs/>
                <w:sz w:val="18"/>
                <w:szCs w:val="22"/>
              </w:rPr>
              <w:t>online and continuously updated</w:t>
            </w:r>
          </w:p>
          <w:p w14:paraId="370F9FF8" w14:textId="77777777" w:rsidR="009A5D70" w:rsidRPr="00442CB2"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6D78B3E6"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set of training sessions are implemented in line with the training needs assessment</w:t>
            </w:r>
          </w:p>
          <w:p w14:paraId="4A9A7158"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w:t>
            </w:r>
            <w:r>
              <w:rPr>
                <w:rFonts w:ascii="Arial" w:hAnsi="Arial"/>
                <w:bCs/>
                <w:sz w:val="18"/>
                <w:szCs w:val="22"/>
              </w:rPr>
              <w:t>rmation campaign is implemented</w:t>
            </w:r>
          </w:p>
          <w:p w14:paraId="21FB214D" w14:textId="77777777" w:rsidR="009A5D70" w:rsidRPr="00442CB2"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3A3942C4" w14:textId="6A8D40F4" w:rsidR="009A5D70"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Three ca</w:t>
            </w:r>
            <w:r w:rsidR="001C6260">
              <w:rPr>
                <w:rFonts w:ascii="Arial" w:hAnsi="Arial"/>
                <w:bCs/>
                <w:sz w:val="18"/>
                <w:szCs w:val="22"/>
              </w:rPr>
              <w:t xml:space="preserve">se studies are published based on </w:t>
            </w:r>
            <w:r w:rsidRPr="00442CB2">
              <w:rPr>
                <w:rFonts w:ascii="Arial" w:hAnsi="Arial"/>
                <w:bCs/>
                <w:sz w:val="18"/>
                <w:szCs w:val="22"/>
              </w:rPr>
              <w:t xml:space="preserve">lessons learned related to improved national financing for CBD, CCD, and FCCC implementation through the EFR in Moldova </w:t>
            </w:r>
          </w:p>
          <w:p w14:paraId="695CB60D" w14:textId="41C33118" w:rsidR="009A5D70" w:rsidRPr="009A5D70" w:rsidRDefault="009A5D70" w:rsidP="00DC1947">
            <w:pPr>
              <w:pStyle w:val="ListParagraph"/>
              <w:widowControl/>
              <w:numPr>
                <w:ilvl w:val="0"/>
                <w:numId w:val="44"/>
              </w:numPr>
              <w:tabs>
                <w:tab w:val="left" w:pos="-720"/>
              </w:tabs>
              <w:ind w:left="309" w:hanging="141"/>
              <w:rPr>
                <w:rFonts w:ascii="Arial" w:hAnsi="Arial"/>
                <w:bCs/>
                <w:sz w:val="18"/>
                <w:szCs w:val="22"/>
              </w:rPr>
            </w:pPr>
            <w:r w:rsidRPr="009A5D70">
              <w:rPr>
                <w:rFonts w:ascii="Arial" w:hAnsi="Arial"/>
                <w:bCs/>
                <w:sz w:val="18"/>
                <w:szCs w:val="22"/>
              </w:rPr>
              <w:t>Capacity Scorecard ratings show improvement at final evaluation</w:t>
            </w:r>
          </w:p>
        </w:tc>
      </w:tr>
      <w:tr w:rsidR="009A5D70" w:rsidRPr="00FB6D4E" w14:paraId="5DA8D8C3" w14:textId="77777777" w:rsidTr="009B1822">
        <w:trPr>
          <w:jc w:val="center"/>
        </w:trPr>
        <w:tc>
          <w:tcPr>
            <w:tcW w:w="2555" w:type="dxa"/>
          </w:tcPr>
          <w:p w14:paraId="45F76181" w14:textId="77777777" w:rsidR="009A5D70" w:rsidRPr="00764643" w:rsidRDefault="009A5D70" w:rsidP="00791FE7">
            <w:pPr>
              <w:widowControl/>
              <w:tabs>
                <w:tab w:val="left" w:pos="-720"/>
              </w:tabs>
              <w:rPr>
                <w:rFonts w:ascii="Arial" w:hAnsi="Arial"/>
                <w:bCs/>
                <w:sz w:val="18"/>
                <w:szCs w:val="22"/>
              </w:rPr>
            </w:pPr>
            <w:r w:rsidRPr="00764643">
              <w:rPr>
                <w:rFonts w:ascii="Arial" w:hAnsi="Arial"/>
                <w:b/>
                <w:bCs/>
                <w:sz w:val="18"/>
                <w:szCs w:val="22"/>
              </w:rPr>
              <w:t xml:space="preserve">Outcome 3: </w:t>
            </w:r>
            <w:r w:rsidRPr="00764643">
              <w:rPr>
                <w:rFonts w:ascii="Arial" w:hAnsi="Arial"/>
                <w:bCs/>
                <w:sz w:val="18"/>
                <w:szCs w:val="22"/>
              </w:rPr>
              <w:t>Integration of EFR in local and central planning processes:</w:t>
            </w:r>
          </w:p>
          <w:p w14:paraId="3E645FF0" w14:textId="77777777" w:rsidR="009A5D70" w:rsidRPr="00764643" w:rsidRDefault="009A5D70" w:rsidP="00791FE7">
            <w:pPr>
              <w:widowControl/>
              <w:numPr>
                <w:ilvl w:val="0"/>
                <w:numId w:val="12"/>
              </w:numPr>
              <w:tabs>
                <w:tab w:val="clear" w:pos="720"/>
                <w:tab w:val="left" w:pos="-720"/>
                <w:tab w:val="num" w:pos="284"/>
              </w:tabs>
              <w:ind w:left="284" w:hanging="142"/>
              <w:rPr>
                <w:rFonts w:ascii="Arial" w:hAnsi="Arial"/>
                <w:bCs/>
                <w:sz w:val="18"/>
                <w:szCs w:val="22"/>
              </w:rPr>
            </w:pPr>
            <w:r w:rsidRPr="00764643">
              <w:rPr>
                <w:rFonts w:ascii="Arial" w:hAnsi="Arial"/>
                <w:b/>
                <w:bCs/>
                <w:i/>
                <w:sz w:val="18"/>
                <w:szCs w:val="22"/>
              </w:rPr>
              <w:t>Output 3.1:</w:t>
            </w:r>
            <w:r w:rsidRPr="00764643">
              <w:rPr>
                <w:rFonts w:ascii="Arial" w:hAnsi="Arial"/>
                <w:bCs/>
                <w:sz w:val="18"/>
                <w:szCs w:val="22"/>
              </w:rPr>
              <w:t xml:space="preserve"> Sub-Component 3.1: EFR instruments integrated in the decentralization process</w:t>
            </w:r>
          </w:p>
          <w:p w14:paraId="1A0FCFAC" w14:textId="2BC15E5E" w:rsidR="009A5D70" w:rsidRPr="00FB6D4E" w:rsidRDefault="009A5D70" w:rsidP="009A5D70">
            <w:pPr>
              <w:widowControl/>
              <w:numPr>
                <w:ilvl w:val="0"/>
                <w:numId w:val="12"/>
              </w:numPr>
              <w:tabs>
                <w:tab w:val="clear" w:pos="720"/>
                <w:tab w:val="left" w:pos="-720"/>
                <w:tab w:val="num" w:pos="284"/>
              </w:tabs>
              <w:ind w:left="284" w:hanging="142"/>
              <w:rPr>
                <w:rFonts w:ascii="Arial" w:hAnsi="Arial"/>
                <w:bCs/>
                <w:sz w:val="18"/>
                <w:szCs w:val="22"/>
              </w:rPr>
            </w:pPr>
            <w:r w:rsidRPr="00764643">
              <w:rPr>
                <w:rFonts w:ascii="Arial" w:hAnsi="Arial"/>
                <w:b/>
                <w:bCs/>
                <w:i/>
                <w:sz w:val="18"/>
                <w:szCs w:val="22"/>
              </w:rPr>
              <w:t xml:space="preserve">Output 3.2: </w:t>
            </w:r>
            <w:r w:rsidRPr="009A5D70">
              <w:rPr>
                <w:rFonts w:ascii="Arial" w:hAnsi="Arial"/>
                <w:bCs/>
                <w:sz w:val="18"/>
                <w:szCs w:val="22"/>
              </w:rPr>
              <w:t>Sub-Component 3.2: EFR instruments integrated into governmental budgeting and MTEF processes</w:t>
            </w:r>
          </w:p>
        </w:tc>
        <w:tc>
          <w:tcPr>
            <w:tcW w:w="3969" w:type="dxa"/>
          </w:tcPr>
          <w:p w14:paraId="7C12D9AB" w14:textId="234D9BC6"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A common coordination work plan with the Joint Integrated Local Development Programme (JILDP) developed</w:t>
            </w:r>
          </w:p>
          <w:p w14:paraId="7A358189" w14:textId="6EFAFACB"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Regular meetings of the Sub-group under the working group Financial Decentralization were held</w:t>
            </w:r>
          </w:p>
          <w:p w14:paraId="71B74DE4" w14:textId="5AE499CA"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Identification of environmental management priorities within the Local Development Strategies took place</w:t>
            </w:r>
          </w:p>
          <w:p w14:paraId="20341E0A" w14:textId="29C7E083"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Greening JILDP’s Performance Based Budgeting system to address local environmental priorities</w:t>
            </w:r>
          </w:p>
          <w:p w14:paraId="0A712301" w14:textId="4147F883" w:rsidR="00791FE7"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Budget and MTEF planning is effectively greened in line with good international practice</w:t>
            </w:r>
          </w:p>
          <w:p w14:paraId="45ED3688" w14:textId="1F87E128" w:rsidR="009A5D70" w:rsidRPr="00791FE7" w:rsidRDefault="00791FE7" w:rsidP="00DC1947">
            <w:pPr>
              <w:pStyle w:val="ListParagraph"/>
              <w:widowControl/>
              <w:numPr>
                <w:ilvl w:val="0"/>
                <w:numId w:val="70"/>
              </w:numPr>
              <w:tabs>
                <w:tab w:val="left" w:pos="-720"/>
              </w:tabs>
              <w:ind w:left="199" w:hanging="199"/>
              <w:rPr>
                <w:rFonts w:ascii="Arial" w:hAnsi="Arial"/>
                <w:bCs/>
                <w:sz w:val="18"/>
                <w:szCs w:val="22"/>
              </w:rPr>
            </w:pPr>
            <w:r w:rsidRPr="00791FE7">
              <w:rPr>
                <w:rFonts w:ascii="Arial" w:hAnsi="Arial"/>
                <w:bCs/>
                <w:sz w:val="18"/>
                <w:szCs w:val="22"/>
              </w:rPr>
              <w:t>Increased and improved budget allocations and investment finance for biodiversity conservation, addressing climate change, and activities to combat land degradation (</w:t>
            </w:r>
            <w:r>
              <w:rPr>
                <w:rFonts w:ascii="Arial" w:hAnsi="Arial"/>
                <w:bCs/>
                <w:sz w:val="18"/>
                <w:szCs w:val="22"/>
              </w:rPr>
              <w:t>all per Rio Convention targets)</w:t>
            </w:r>
          </w:p>
        </w:tc>
        <w:tc>
          <w:tcPr>
            <w:tcW w:w="3682" w:type="dxa"/>
          </w:tcPr>
          <w:p w14:paraId="0C1C6ADA" w14:textId="77777777" w:rsidR="009A5D70" w:rsidRPr="00442CB2"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393BDA61"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Yearly joint work plan between the UNDP/GEF EFR project and JILDP</w:t>
            </w:r>
          </w:p>
          <w:p w14:paraId="48358305"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Assessment of environmental management priorities within the Local Development Strategies </w:t>
            </w:r>
          </w:p>
          <w:p w14:paraId="47F0311B"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Initiate costing study and financing strategy to implement Rio Conventions</w:t>
            </w:r>
          </w:p>
          <w:p w14:paraId="6498ADED" w14:textId="77777777" w:rsidR="009A5D70" w:rsidRPr="00442CB2"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50554420"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Identification of fiscal reform for local environmental taxes that can be integrated in the PBB system</w:t>
            </w:r>
          </w:p>
          <w:p w14:paraId="72235018"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Complete costing study and financing strategy to implement Rio Conventions</w:t>
            </w:r>
          </w:p>
          <w:p w14:paraId="4FC4AC11" w14:textId="77777777" w:rsidR="009A5D70" w:rsidRPr="00442CB2" w:rsidRDefault="009A5D70" w:rsidP="00791FE7">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4709F20D" w14:textId="77777777" w:rsidR="009A5D70" w:rsidRPr="00442CB2" w:rsidRDefault="009A5D70" w:rsidP="00DC1947">
            <w:pPr>
              <w:pStyle w:val="ListParagraph"/>
              <w:widowControl/>
              <w:numPr>
                <w:ilvl w:val="0"/>
                <w:numId w:val="44"/>
              </w:numPr>
              <w:tabs>
                <w:tab w:val="left" w:pos="-720"/>
              </w:tabs>
              <w:ind w:left="309" w:hanging="141"/>
              <w:rPr>
                <w:rFonts w:ascii="Arial" w:hAnsi="Arial"/>
                <w:bCs/>
                <w:sz w:val="18"/>
                <w:szCs w:val="22"/>
              </w:rPr>
            </w:pPr>
            <w:r>
              <w:rPr>
                <w:rFonts w:ascii="Arial" w:hAnsi="Arial"/>
                <w:bCs/>
                <w:sz w:val="18"/>
                <w:szCs w:val="22"/>
              </w:rPr>
              <w:t>I</w:t>
            </w:r>
            <w:r w:rsidRPr="00442CB2">
              <w:rPr>
                <w:rFonts w:ascii="Arial" w:hAnsi="Arial"/>
                <w:bCs/>
                <w:sz w:val="18"/>
                <w:szCs w:val="22"/>
              </w:rPr>
              <w:t>dentification of fiscal reform for local environmental taxes that can be integrated in the PBB system</w:t>
            </w:r>
          </w:p>
          <w:p w14:paraId="014C0D5A" w14:textId="6397A973" w:rsidR="009A5D70" w:rsidRPr="009A5D70" w:rsidRDefault="009A5D70"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Comparative analysis of past MTEF with new and improved MTEF prepared by the end of the project to meet Rio Convention targets</w:t>
            </w:r>
          </w:p>
        </w:tc>
      </w:tr>
    </w:tbl>
    <w:p w14:paraId="393C5EBA" w14:textId="7C348E83" w:rsidR="00753CAB" w:rsidRPr="00FB6D4E" w:rsidRDefault="00753CAB" w:rsidP="00753CAB">
      <w:pPr>
        <w:tabs>
          <w:tab w:val="left" w:pos="567"/>
        </w:tabs>
        <w:rPr>
          <w:i/>
          <w:sz w:val="18"/>
          <w:szCs w:val="18"/>
        </w:rPr>
      </w:pPr>
      <w:r w:rsidRPr="00682A06">
        <w:rPr>
          <w:i/>
          <w:sz w:val="18"/>
          <w:szCs w:val="18"/>
        </w:rPr>
        <w:t xml:space="preserve">Source: </w:t>
      </w:r>
      <w:r>
        <w:rPr>
          <w:i/>
          <w:sz w:val="18"/>
          <w:szCs w:val="18"/>
        </w:rPr>
        <w:t xml:space="preserve">Project Document </w:t>
      </w:r>
      <w:r w:rsidR="00DC1947">
        <w:rPr>
          <w:i/>
          <w:sz w:val="18"/>
          <w:szCs w:val="18"/>
        </w:rPr>
        <w:t>and PIRs</w:t>
      </w:r>
    </w:p>
    <w:p w14:paraId="5C0AD1FF" w14:textId="77777777" w:rsidR="00285EE9" w:rsidRPr="00FB6D4E" w:rsidRDefault="00285EE9" w:rsidP="00C612E4">
      <w:pPr>
        <w:widowControl/>
        <w:tabs>
          <w:tab w:val="left" w:pos="-720"/>
          <w:tab w:val="left" w:pos="567"/>
        </w:tabs>
        <w:jc w:val="both"/>
        <w:rPr>
          <w:sz w:val="22"/>
          <w:szCs w:val="22"/>
        </w:rPr>
      </w:pPr>
    </w:p>
    <w:p w14:paraId="56AE447B" w14:textId="4801B39F" w:rsidR="00565A7A" w:rsidRDefault="000C3DB0" w:rsidP="000C3DB0">
      <w:pPr>
        <w:pStyle w:val="ListParagraph"/>
        <w:numPr>
          <w:ilvl w:val="0"/>
          <w:numId w:val="15"/>
        </w:numPr>
        <w:jc w:val="both"/>
        <w:rPr>
          <w:sz w:val="22"/>
          <w:szCs w:val="22"/>
        </w:rPr>
      </w:pPr>
      <w:r>
        <w:rPr>
          <w:sz w:val="22"/>
          <w:szCs w:val="22"/>
        </w:rPr>
        <w:lastRenderedPageBreak/>
        <w:t>This set of 24</w:t>
      </w:r>
      <w:r w:rsidRPr="000C3DB0">
        <w:rPr>
          <w:sz w:val="22"/>
          <w:szCs w:val="22"/>
        </w:rPr>
        <w:t xml:space="preserve"> key indicators and 20 did not change over the lifetime of the project. They were used yearly to report progress made in the </w:t>
      </w:r>
      <w:r>
        <w:rPr>
          <w:sz w:val="22"/>
          <w:szCs w:val="22"/>
        </w:rPr>
        <w:t>PIRs</w:t>
      </w:r>
      <w:r w:rsidRPr="000C3DB0">
        <w:rPr>
          <w:sz w:val="22"/>
          <w:szCs w:val="22"/>
        </w:rPr>
        <w:t xml:space="preserve">. The review of these indicators reveals that they are </w:t>
      </w:r>
      <w:r w:rsidR="008E33B2">
        <w:rPr>
          <w:sz w:val="22"/>
          <w:szCs w:val="22"/>
        </w:rPr>
        <w:t xml:space="preserve">not really </w:t>
      </w:r>
      <w:r w:rsidRPr="000C3DB0">
        <w:rPr>
          <w:sz w:val="22"/>
          <w:szCs w:val="22"/>
        </w:rPr>
        <w:t>SMART indicators</w:t>
      </w:r>
      <w:r w:rsidRPr="008200B5">
        <w:rPr>
          <w:rStyle w:val="FootnoteReference"/>
          <w:sz w:val="22"/>
          <w:szCs w:val="22"/>
          <w:vertAlign w:val="superscript"/>
        </w:rPr>
        <w:footnoteReference w:id="7"/>
      </w:r>
      <w:r w:rsidRPr="000C3DB0">
        <w:rPr>
          <w:sz w:val="22"/>
          <w:szCs w:val="22"/>
        </w:rPr>
        <w:t xml:space="preserve">. </w:t>
      </w:r>
      <w:r w:rsidR="00565A7A">
        <w:rPr>
          <w:sz w:val="22"/>
          <w:szCs w:val="22"/>
        </w:rPr>
        <w:t>In most cases, these indicators were</w:t>
      </w:r>
      <w:r w:rsidR="006E0C51">
        <w:rPr>
          <w:sz w:val="22"/>
          <w:szCs w:val="22"/>
        </w:rPr>
        <w:t xml:space="preserve"> not </w:t>
      </w:r>
      <w:r w:rsidRPr="000C3DB0">
        <w:rPr>
          <w:sz w:val="22"/>
          <w:szCs w:val="22"/>
        </w:rPr>
        <w:t xml:space="preserve">unambiguous </w:t>
      </w:r>
      <w:r w:rsidR="006E0C51">
        <w:rPr>
          <w:sz w:val="22"/>
          <w:szCs w:val="22"/>
        </w:rPr>
        <w:t xml:space="preserve">enough </w:t>
      </w:r>
      <w:r w:rsidRPr="000C3DB0">
        <w:rPr>
          <w:sz w:val="22"/>
          <w:szCs w:val="22"/>
        </w:rPr>
        <w:t xml:space="preserve">indicators; they </w:t>
      </w:r>
      <w:r w:rsidR="00565A7A">
        <w:rPr>
          <w:sz w:val="22"/>
          <w:szCs w:val="22"/>
        </w:rPr>
        <w:t>were</w:t>
      </w:r>
      <w:r w:rsidRPr="000C3DB0">
        <w:rPr>
          <w:sz w:val="22"/>
          <w:szCs w:val="22"/>
        </w:rPr>
        <w:t xml:space="preserve"> </w:t>
      </w:r>
      <w:r w:rsidR="006E0C51">
        <w:rPr>
          <w:sz w:val="22"/>
          <w:szCs w:val="22"/>
        </w:rPr>
        <w:t xml:space="preserve">not </w:t>
      </w:r>
      <w:r w:rsidRPr="000C3DB0">
        <w:rPr>
          <w:sz w:val="22"/>
          <w:szCs w:val="22"/>
        </w:rPr>
        <w:t>specific</w:t>
      </w:r>
      <w:r w:rsidR="006E0C51">
        <w:rPr>
          <w:sz w:val="22"/>
          <w:szCs w:val="22"/>
        </w:rPr>
        <w:t xml:space="preserve"> enough</w:t>
      </w:r>
      <w:r w:rsidRPr="000C3DB0">
        <w:rPr>
          <w:sz w:val="22"/>
          <w:szCs w:val="22"/>
        </w:rPr>
        <w:t xml:space="preserve">, </w:t>
      </w:r>
      <w:r w:rsidR="006E0C51">
        <w:rPr>
          <w:sz w:val="22"/>
          <w:szCs w:val="22"/>
        </w:rPr>
        <w:t xml:space="preserve">difficult to </w:t>
      </w:r>
      <w:r w:rsidRPr="000C3DB0">
        <w:rPr>
          <w:sz w:val="22"/>
          <w:szCs w:val="22"/>
        </w:rPr>
        <w:t>measur</w:t>
      </w:r>
      <w:r w:rsidR="006E0C51">
        <w:rPr>
          <w:sz w:val="22"/>
          <w:szCs w:val="22"/>
        </w:rPr>
        <w:t>e</w:t>
      </w:r>
      <w:r w:rsidRPr="000C3DB0">
        <w:rPr>
          <w:sz w:val="22"/>
          <w:szCs w:val="22"/>
        </w:rPr>
        <w:t>, a</w:t>
      </w:r>
      <w:r w:rsidR="006E0C51">
        <w:rPr>
          <w:sz w:val="22"/>
          <w:szCs w:val="22"/>
        </w:rPr>
        <w:t>nd not re</w:t>
      </w:r>
      <w:r w:rsidRPr="000C3DB0">
        <w:rPr>
          <w:sz w:val="22"/>
          <w:szCs w:val="22"/>
        </w:rPr>
        <w:t xml:space="preserve">levant </w:t>
      </w:r>
      <w:r w:rsidR="006E0C51">
        <w:rPr>
          <w:sz w:val="22"/>
          <w:szCs w:val="22"/>
        </w:rPr>
        <w:t>enough to monitor the performance of the project at the outcome level.</w:t>
      </w:r>
      <w:r w:rsidRPr="000C3DB0">
        <w:rPr>
          <w:sz w:val="22"/>
          <w:szCs w:val="22"/>
        </w:rPr>
        <w:t xml:space="preserve"> </w:t>
      </w:r>
      <w:r w:rsidR="0069631D">
        <w:rPr>
          <w:sz w:val="22"/>
          <w:szCs w:val="22"/>
        </w:rPr>
        <w:t>Additionally, the targets identified in the project document are not fully related to the list of indicators; they can be seen as another set of indicators to be monitored. This is confirm</w:t>
      </w:r>
      <w:r w:rsidR="001C6260">
        <w:rPr>
          <w:sz w:val="22"/>
          <w:szCs w:val="22"/>
        </w:rPr>
        <w:t>ed</w:t>
      </w:r>
      <w:r w:rsidR="0069631D">
        <w:rPr>
          <w:sz w:val="22"/>
          <w:szCs w:val="22"/>
        </w:rPr>
        <w:t xml:space="preserve"> by the fact that there are 24 indicators but only 20 yearly targets. </w:t>
      </w:r>
    </w:p>
    <w:p w14:paraId="0C217EC5" w14:textId="77777777" w:rsidR="00565A7A" w:rsidRDefault="00565A7A" w:rsidP="00565A7A">
      <w:pPr>
        <w:pStyle w:val="ListParagraph"/>
        <w:ind w:left="0"/>
        <w:jc w:val="both"/>
        <w:rPr>
          <w:sz w:val="22"/>
          <w:szCs w:val="22"/>
        </w:rPr>
      </w:pPr>
    </w:p>
    <w:p w14:paraId="4BE3F953" w14:textId="64289343" w:rsidR="006E0C51" w:rsidRDefault="0069631D" w:rsidP="000C3DB0">
      <w:pPr>
        <w:pStyle w:val="ListParagraph"/>
        <w:numPr>
          <w:ilvl w:val="0"/>
          <w:numId w:val="15"/>
        </w:numPr>
        <w:jc w:val="both"/>
        <w:rPr>
          <w:sz w:val="22"/>
          <w:szCs w:val="22"/>
        </w:rPr>
      </w:pPr>
      <w:r>
        <w:rPr>
          <w:sz w:val="22"/>
          <w:szCs w:val="22"/>
        </w:rPr>
        <w:t xml:space="preserve">Furthermore, </w:t>
      </w:r>
      <w:r w:rsidR="006E0C51">
        <w:rPr>
          <w:sz w:val="22"/>
          <w:szCs w:val="22"/>
        </w:rPr>
        <w:t xml:space="preserve">indicators at the objective level </w:t>
      </w:r>
      <w:r w:rsidR="00565A7A">
        <w:rPr>
          <w:sz w:val="22"/>
          <w:szCs w:val="22"/>
        </w:rPr>
        <w:t>were</w:t>
      </w:r>
      <w:r w:rsidR="006E0C51">
        <w:rPr>
          <w:sz w:val="22"/>
          <w:szCs w:val="22"/>
        </w:rPr>
        <w:t xml:space="preserve"> somewhat </w:t>
      </w:r>
      <w:r w:rsidR="00524F93">
        <w:rPr>
          <w:sz w:val="22"/>
          <w:szCs w:val="22"/>
        </w:rPr>
        <w:t>too general and in most cases difficult to be attain</w:t>
      </w:r>
      <w:r w:rsidR="00565A7A">
        <w:rPr>
          <w:sz w:val="22"/>
          <w:szCs w:val="22"/>
        </w:rPr>
        <w:t>ed</w:t>
      </w:r>
      <w:r w:rsidR="00524F93">
        <w:rPr>
          <w:sz w:val="22"/>
          <w:szCs w:val="22"/>
        </w:rPr>
        <w:t xml:space="preserve"> during the lifetime of the project. </w:t>
      </w:r>
      <w:r w:rsidR="00565A7A">
        <w:rPr>
          <w:sz w:val="22"/>
          <w:szCs w:val="22"/>
        </w:rPr>
        <w:t xml:space="preserve">For instance, </w:t>
      </w:r>
      <w:r w:rsidR="00524F93">
        <w:rPr>
          <w:sz w:val="22"/>
          <w:szCs w:val="22"/>
        </w:rPr>
        <w:t>the objective of the project was “</w:t>
      </w:r>
      <w:r w:rsidR="00524F93" w:rsidRPr="00565A7A">
        <w:rPr>
          <w:i/>
          <w:sz w:val="22"/>
          <w:szCs w:val="22"/>
        </w:rPr>
        <w:t>to build capacities for implementing environmental fiscal reforms (EFR) that will produce increased national and global environmental benefits through the adoption of selected subsidies, fees, fines, taxes and other appropriate fiscal instruments</w:t>
      </w:r>
      <w:r w:rsidR="00524F93">
        <w:rPr>
          <w:sz w:val="22"/>
          <w:szCs w:val="22"/>
        </w:rPr>
        <w:t>”</w:t>
      </w:r>
      <w:r w:rsidR="00565A7A">
        <w:rPr>
          <w:sz w:val="22"/>
          <w:szCs w:val="22"/>
        </w:rPr>
        <w:t>; however, one indicator to monitor the achievements towards the objective implies that in order for the project to succeed, the medium-t</w:t>
      </w:r>
      <w:r w:rsidR="00565A7A" w:rsidRPr="00565A7A">
        <w:rPr>
          <w:sz w:val="22"/>
          <w:szCs w:val="22"/>
        </w:rPr>
        <w:t>er</w:t>
      </w:r>
      <w:r w:rsidR="00565A7A">
        <w:rPr>
          <w:sz w:val="22"/>
          <w:szCs w:val="22"/>
        </w:rPr>
        <w:t>m e</w:t>
      </w:r>
      <w:r w:rsidR="00565A7A" w:rsidRPr="00565A7A">
        <w:rPr>
          <w:sz w:val="22"/>
          <w:szCs w:val="22"/>
        </w:rPr>
        <w:t xml:space="preserve">xpenditure budget </w:t>
      </w:r>
      <w:r w:rsidR="00565A7A">
        <w:rPr>
          <w:sz w:val="22"/>
          <w:szCs w:val="22"/>
        </w:rPr>
        <w:t>must reflect an</w:t>
      </w:r>
      <w:r w:rsidR="00565A7A" w:rsidRPr="00565A7A">
        <w:rPr>
          <w:sz w:val="22"/>
          <w:szCs w:val="22"/>
        </w:rPr>
        <w:t xml:space="preserve"> increased national allocations to meet CBD, CCD, and FCCC targets</w:t>
      </w:r>
      <w:r w:rsidR="00565A7A">
        <w:rPr>
          <w:sz w:val="22"/>
          <w:szCs w:val="22"/>
        </w:rPr>
        <w:t xml:space="preserve">. This is not really attainable during the lifetime of the project and it is not specific enough to monitor how well the </w:t>
      </w:r>
      <w:r w:rsidR="003A143B">
        <w:rPr>
          <w:sz w:val="22"/>
          <w:szCs w:val="22"/>
        </w:rPr>
        <w:t>project achieves</w:t>
      </w:r>
      <w:r w:rsidR="00565A7A">
        <w:rPr>
          <w:sz w:val="22"/>
          <w:szCs w:val="22"/>
        </w:rPr>
        <w:t xml:space="preserve"> its objective. </w:t>
      </w:r>
    </w:p>
    <w:p w14:paraId="1AC7D75C" w14:textId="77777777" w:rsidR="00565A7A" w:rsidRDefault="00565A7A" w:rsidP="00565A7A">
      <w:pPr>
        <w:pStyle w:val="ListParagraph"/>
        <w:ind w:left="0"/>
        <w:jc w:val="both"/>
        <w:rPr>
          <w:sz w:val="22"/>
          <w:szCs w:val="22"/>
        </w:rPr>
      </w:pPr>
    </w:p>
    <w:p w14:paraId="2BB1834C" w14:textId="70AF9250" w:rsidR="00565A7A" w:rsidRDefault="00565A7A" w:rsidP="000C3DB0">
      <w:pPr>
        <w:pStyle w:val="ListParagraph"/>
        <w:numPr>
          <w:ilvl w:val="0"/>
          <w:numId w:val="15"/>
        </w:numPr>
        <w:jc w:val="both"/>
        <w:rPr>
          <w:sz w:val="22"/>
          <w:szCs w:val="22"/>
        </w:rPr>
      </w:pPr>
      <w:r>
        <w:rPr>
          <w:sz w:val="22"/>
          <w:szCs w:val="22"/>
        </w:rPr>
        <w:t xml:space="preserve">When reviewing the indicators at the outcome level, there are too numerous. A set of about 15 SMART indicators to monitor this project would have been more appropriate, including 3-4 indicators to monitor the progress at the objective level. </w:t>
      </w:r>
      <w:r w:rsidR="0072374D">
        <w:rPr>
          <w:sz w:val="22"/>
          <w:szCs w:val="22"/>
        </w:rPr>
        <w:t>Some indicators are also too focus on activities to be conducted. This is the case of few indicators to monitor the progress made under outcome 2. The fact of measuring the training needs assessment conducted, as well as training sessions conducted is not directly measuring how well the project is progressing in developing the “</w:t>
      </w:r>
      <w:r w:rsidR="0072374D" w:rsidRPr="0072374D">
        <w:rPr>
          <w:i/>
          <w:sz w:val="22"/>
          <w:szCs w:val="22"/>
        </w:rPr>
        <w:t>capacity to engage and build consensus among all stakeholders</w:t>
      </w:r>
      <w:r w:rsidR="0072374D">
        <w:rPr>
          <w:sz w:val="22"/>
          <w:szCs w:val="22"/>
        </w:rPr>
        <w:t>”. An indicator to measure this engagement would be more appropriate that these 2 indicators. Also, one indicator such as “</w:t>
      </w:r>
      <w:r w:rsidR="0072374D" w:rsidRPr="0072374D">
        <w:rPr>
          <w:i/>
          <w:sz w:val="22"/>
          <w:szCs w:val="22"/>
        </w:rPr>
        <w:t>an EFR Commission created and operational</w:t>
      </w:r>
      <w:r w:rsidR="0072374D">
        <w:rPr>
          <w:sz w:val="22"/>
          <w:szCs w:val="22"/>
        </w:rPr>
        <w:t xml:space="preserve">” would have been a key indicator to measure the adoption by the government of project achievements. </w:t>
      </w:r>
    </w:p>
    <w:p w14:paraId="21BCF0A6" w14:textId="77777777" w:rsidR="000D4CB4" w:rsidRPr="000D4CB4" w:rsidRDefault="000D4CB4" w:rsidP="000D4CB4">
      <w:pPr>
        <w:jc w:val="both"/>
        <w:rPr>
          <w:sz w:val="22"/>
          <w:szCs w:val="22"/>
        </w:rPr>
      </w:pPr>
    </w:p>
    <w:p w14:paraId="2123187D" w14:textId="59F87425" w:rsidR="00CD5410" w:rsidRPr="00E47580" w:rsidRDefault="000D4CB4" w:rsidP="00CD5410">
      <w:pPr>
        <w:pStyle w:val="ListParagraph"/>
        <w:numPr>
          <w:ilvl w:val="0"/>
          <w:numId w:val="15"/>
        </w:numPr>
        <w:jc w:val="both"/>
        <w:rPr>
          <w:sz w:val="22"/>
          <w:szCs w:val="22"/>
        </w:rPr>
      </w:pPr>
      <w:r w:rsidRPr="00E47580">
        <w:rPr>
          <w:sz w:val="22"/>
          <w:szCs w:val="22"/>
        </w:rPr>
        <w:t>However, it was also noted that despite the fact that a limited focus was on gender considerations in the project document (</w:t>
      </w:r>
      <w:r w:rsidRPr="00E47580">
        <w:rPr>
          <w:i/>
          <w:sz w:val="22"/>
          <w:szCs w:val="22"/>
        </w:rPr>
        <w:t>see Section 4.1.1</w:t>
      </w:r>
      <w:r w:rsidRPr="00E47580">
        <w:rPr>
          <w:sz w:val="22"/>
          <w:szCs w:val="22"/>
        </w:rPr>
        <w:t>)</w:t>
      </w:r>
      <w:r w:rsidR="00D22B9C" w:rsidRPr="00E47580">
        <w:rPr>
          <w:sz w:val="22"/>
          <w:szCs w:val="22"/>
        </w:rPr>
        <w:t xml:space="preserve">, including </w:t>
      </w:r>
      <w:r w:rsidR="00E47580" w:rsidRPr="00E47580">
        <w:rPr>
          <w:sz w:val="22"/>
          <w:szCs w:val="22"/>
        </w:rPr>
        <w:t xml:space="preserve">no gender-based </w:t>
      </w:r>
      <w:r w:rsidR="00D22B9C" w:rsidRPr="00E47580">
        <w:rPr>
          <w:sz w:val="22"/>
          <w:szCs w:val="22"/>
        </w:rPr>
        <w:t xml:space="preserve">performance indicators and targets to monitor the project performance, the Project Team did </w:t>
      </w:r>
      <w:r w:rsidR="00B53C99" w:rsidRPr="00E47580">
        <w:rPr>
          <w:sz w:val="22"/>
          <w:szCs w:val="22"/>
        </w:rPr>
        <w:t xml:space="preserve">monitor and </w:t>
      </w:r>
      <w:r w:rsidR="00D22B9C" w:rsidRPr="00E47580">
        <w:rPr>
          <w:sz w:val="22"/>
          <w:szCs w:val="22"/>
        </w:rPr>
        <w:t>report on gender</w:t>
      </w:r>
      <w:r w:rsidR="00CD5410" w:rsidRPr="00E47580">
        <w:rPr>
          <w:sz w:val="22"/>
          <w:szCs w:val="22"/>
        </w:rPr>
        <w:t xml:space="preserve"> equality through the PIRs. A gender assessment </w:t>
      </w:r>
      <w:r w:rsidR="00B53C99" w:rsidRPr="00E47580">
        <w:rPr>
          <w:sz w:val="22"/>
          <w:szCs w:val="22"/>
        </w:rPr>
        <w:t xml:space="preserve">was </w:t>
      </w:r>
      <w:r w:rsidR="00CD5410" w:rsidRPr="00E47580">
        <w:rPr>
          <w:sz w:val="22"/>
          <w:szCs w:val="22"/>
        </w:rPr>
        <w:t>carried out in 2013</w:t>
      </w:r>
      <w:r w:rsidR="00B53C99" w:rsidRPr="00E47580">
        <w:rPr>
          <w:sz w:val="22"/>
          <w:szCs w:val="22"/>
        </w:rPr>
        <w:t xml:space="preserve"> and a gender sensitive approach was adopted when drafting new policies and legislation proposals. Moreover, a particular attention was paid to the participation of women in consultations conducted when developing policy and regulatory proposals, as well as when conducting strategic planning and budgeting processes at the local level where gender-disaggregated data on women participation was collected and analyzed. </w:t>
      </w:r>
      <w:r w:rsidR="00016DB2" w:rsidRPr="00E47580">
        <w:rPr>
          <w:sz w:val="22"/>
          <w:szCs w:val="22"/>
        </w:rPr>
        <w:t>It was also noted that this gender sensitive approach was also done within a local</w:t>
      </w:r>
      <w:r w:rsidR="00B53C99" w:rsidRPr="00E47580">
        <w:rPr>
          <w:sz w:val="22"/>
          <w:szCs w:val="22"/>
        </w:rPr>
        <w:t xml:space="preserve"> environment priorities</w:t>
      </w:r>
      <w:r w:rsidR="00E47580">
        <w:rPr>
          <w:sz w:val="22"/>
          <w:szCs w:val="22"/>
        </w:rPr>
        <w:t xml:space="preserve">, which included </w:t>
      </w:r>
      <w:r w:rsidR="00B53C99" w:rsidRPr="00E47580">
        <w:rPr>
          <w:sz w:val="22"/>
          <w:szCs w:val="22"/>
        </w:rPr>
        <w:t>a strong gender-focus.</w:t>
      </w:r>
    </w:p>
    <w:p w14:paraId="241F9C51" w14:textId="77777777" w:rsidR="00565A7A" w:rsidRPr="00565A7A" w:rsidRDefault="00565A7A" w:rsidP="00565A7A">
      <w:pPr>
        <w:jc w:val="both"/>
        <w:rPr>
          <w:sz w:val="22"/>
          <w:szCs w:val="22"/>
        </w:rPr>
      </w:pPr>
    </w:p>
    <w:p w14:paraId="5AA014CD" w14:textId="57CE8ECF" w:rsidR="0072374D" w:rsidRPr="0072374D" w:rsidRDefault="0072374D" w:rsidP="0072374D">
      <w:pPr>
        <w:pStyle w:val="ListParagraph"/>
        <w:numPr>
          <w:ilvl w:val="0"/>
          <w:numId w:val="15"/>
        </w:numPr>
        <w:jc w:val="both"/>
        <w:rPr>
          <w:sz w:val="22"/>
          <w:szCs w:val="22"/>
        </w:rPr>
      </w:pPr>
      <w:r>
        <w:rPr>
          <w:sz w:val="22"/>
          <w:szCs w:val="22"/>
        </w:rPr>
        <w:lastRenderedPageBreak/>
        <w:t xml:space="preserve">Finally, the Evaluation Team noted a certain ambiguity when reporting annually the progress made by the project. </w:t>
      </w:r>
      <w:r w:rsidR="0069631D">
        <w:rPr>
          <w:sz w:val="22"/>
          <w:szCs w:val="22"/>
        </w:rPr>
        <w:t>In the PIRs, the section on “</w:t>
      </w:r>
      <w:r w:rsidR="0069631D" w:rsidRPr="0069631D">
        <w:rPr>
          <w:i/>
          <w:sz w:val="22"/>
          <w:szCs w:val="22"/>
        </w:rPr>
        <w:t>Progress toward Development Objective</w:t>
      </w:r>
      <w:r w:rsidR="0069631D">
        <w:rPr>
          <w:sz w:val="22"/>
          <w:szCs w:val="22"/>
        </w:rPr>
        <w:t xml:space="preserve">” is to measure how well the project is progressing toward the objective and its related outcomes (3). In this section, the format is to use performance indicators with their related baselines and targets (at end of project) and report against these indicators each year in a separate column; hence showing the progress made over the years in achieving the related expected outcome. The review of the PIRs indicates that the PT reported progress against the yearly targets and not the indicators. </w:t>
      </w:r>
      <w:r w:rsidR="00CB3670">
        <w:rPr>
          <w:sz w:val="22"/>
          <w:szCs w:val="22"/>
        </w:rPr>
        <w:t>This is somewhat confusing and do not relate directly to how specifically the project is achieving its set of expected outcomes and objective.</w:t>
      </w:r>
    </w:p>
    <w:p w14:paraId="35232DA9" w14:textId="77777777" w:rsidR="000C3DB0" w:rsidRPr="0089010D" w:rsidRDefault="000C3DB0" w:rsidP="000C3DB0">
      <w:pPr>
        <w:jc w:val="both"/>
        <w:rPr>
          <w:sz w:val="22"/>
          <w:szCs w:val="22"/>
        </w:rPr>
      </w:pPr>
    </w:p>
    <w:p w14:paraId="3F6630C0" w14:textId="0271E4A4" w:rsidR="00901DDB" w:rsidRPr="0089010D" w:rsidRDefault="00CB3670" w:rsidP="00986895">
      <w:pPr>
        <w:pStyle w:val="ListParagraph"/>
        <w:numPr>
          <w:ilvl w:val="0"/>
          <w:numId w:val="15"/>
        </w:numPr>
        <w:jc w:val="both"/>
        <w:rPr>
          <w:sz w:val="22"/>
          <w:szCs w:val="22"/>
        </w:rPr>
      </w:pPr>
      <w:r w:rsidRPr="0089010D">
        <w:rPr>
          <w:sz w:val="22"/>
          <w:szCs w:val="22"/>
        </w:rPr>
        <w:t xml:space="preserve">In conclusion, the </w:t>
      </w:r>
      <w:r w:rsidR="000C3DB0" w:rsidRPr="0089010D">
        <w:rPr>
          <w:sz w:val="22"/>
          <w:szCs w:val="22"/>
        </w:rPr>
        <w:t xml:space="preserve">M&amp;E plan provided </w:t>
      </w:r>
      <w:r w:rsidRPr="0089010D">
        <w:rPr>
          <w:sz w:val="22"/>
          <w:szCs w:val="22"/>
        </w:rPr>
        <w:t xml:space="preserve">in the project document </w:t>
      </w:r>
      <w:r w:rsidR="0093389F">
        <w:rPr>
          <w:sz w:val="22"/>
          <w:szCs w:val="22"/>
        </w:rPr>
        <w:t xml:space="preserve">was not </w:t>
      </w:r>
      <w:r w:rsidR="000C3DB0" w:rsidRPr="0089010D">
        <w:rPr>
          <w:sz w:val="22"/>
          <w:szCs w:val="22"/>
        </w:rPr>
        <w:t xml:space="preserve">an adequate framework to measure its progress/performance. </w:t>
      </w:r>
      <w:r w:rsidR="0093389F">
        <w:rPr>
          <w:sz w:val="22"/>
          <w:szCs w:val="22"/>
        </w:rPr>
        <w:t xml:space="preserve">The </w:t>
      </w:r>
      <w:r w:rsidRPr="0089010D">
        <w:rPr>
          <w:sz w:val="22"/>
          <w:szCs w:val="22"/>
        </w:rPr>
        <w:t xml:space="preserve">fact that the set of indicators to measure the progress made by the project was not adequate at all, limited the PT to use a good performance measuring framework. As a result, </w:t>
      </w:r>
      <w:r w:rsidR="000C3DB0" w:rsidRPr="0089010D">
        <w:rPr>
          <w:sz w:val="22"/>
          <w:szCs w:val="22"/>
        </w:rPr>
        <w:t xml:space="preserve">annual progress reports were produced timely </w:t>
      </w:r>
      <w:r w:rsidRPr="0089010D">
        <w:rPr>
          <w:sz w:val="22"/>
          <w:szCs w:val="22"/>
        </w:rPr>
        <w:t xml:space="preserve">but somewhat cumbersome to complete and these reports have not focused enough on the measurement of progress made </w:t>
      </w:r>
      <w:r w:rsidR="0089010D" w:rsidRPr="0089010D">
        <w:rPr>
          <w:sz w:val="22"/>
          <w:szCs w:val="22"/>
        </w:rPr>
        <w:t>at the strategic level: outcomes and objective.</w:t>
      </w:r>
      <w:r w:rsidRPr="0089010D">
        <w:rPr>
          <w:sz w:val="22"/>
          <w:szCs w:val="22"/>
        </w:rPr>
        <w:t xml:space="preserve"> </w:t>
      </w:r>
      <w:r w:rsidR="00901DDB" w:rsidRPr="0089010D">
        <w:rPr>
          <w:sz w:val="22"/>
          <w:szCs w:val="22"/>
        </w:rPr>
        <w:t xml:space="preserve">Based on the review of the </w:t>
      </w:r>
      <w:r w:rsidR="0089010D" w:rsidRPr="0089010D">
        <w:rPr>
          <w:sz w:val="22"/>
          <w:szCs w:val="22"/>
        </w:rPr>
        <w:t xml:space="preserve">overall </w:t>
      </w:r>
      <w:r w:rsidR="00901DDB" w:rsidRPr="0089010D">
        <w:rPr>
          <w:sz w:val="22"/>
          <w:szCs w:val="22"/>
        </w:rPr>
        <w:t xml:space="preserve">M&amp;E approach presented in the project document and of progress reports, the </w:t>
      </w:r>
      <w:r w:rsidR="00E40F51">
        <w:rPr>
          <w:sz w:val="22"/>
          <w:szCs w:val="22"/>
        </w:rPr>
        <w:t>o</w:t>
      </w:r>
      <w:r w:rsidR="00E40F51" w:rsidRPr="00E40F51">
        <w:rPr>
          <w:sz w:val="22"/>
          <w:szCs w:val="22"/>
        </w:rPr>
        <w:t xml:space="preserve">verall quality of M&amp;E </w:t>
      </w:r>
      <w:r w:rsidR="00901DDB" w:rsidRPr="0089010D">
        <w:rPr>
          <w:sz w:val="22"/>
          <w:szCs w:val="22"/>
        </w:rPr>
        <w:t xml:space="preserve">of the project is rated as </w:t>
      </w:r>
      <w:r w:rsidR="00901DDB" w:rsidRPr="0089010D">
        <w:rPr>
          <w:i/>
          <w:sz w:val="22"/>
          <w:szCs w:val="22"/>
          <w:u w:val="single"/>
        </w:rPr>
        <w:t>marginally satisfactory</w:t>
      </w:r>
      <w:r w:rsidR="00901DDB" w:rsidRPr="0089010D">
        <w:rPr>
          <w:sz w:val="22"/>
          <w:szCs w:val="22"/>
        </w:rPr>
        <w:t>.</w:t>
      </w:r>
    </w:p>
    <w:p w14:paraId="426970E3" w14:textId="77777777" w:rsidR="004F0AB8" w:rsidRPr="004F0AB8" w:rsidRDefault="004F0AB8" w:rsidP="004F0AB8">
      <w:pPr>
        <w:pStyle w:val="ListParagraph"/>
        <w:ind w:left="0"/>
        <w:jc w:val="both"/>
        <w:rPr>
          <w:sz w:val="22"/>
          <w:szCs w:val="22"/>
        </w:rPr>
      </w:pPr>
    </w:p>
    <w:p w14:paraId="621C8C5B" w14:textId="77777777" w:rsidR="006E3DAE" w:rsidRPr="00FB6D4E" w:rsidRDefault="00057B7F" w:rsidP="006B3375">
      <w:pPr>
        <w:pStyle w:val="Heading3"/>
        <w:numPr>
          <w:ilvl w:val="2"/>
          <w:numId w:val="1"/>
        </w:numPr>
        <w:tabs>
          <w:tab w:val="clear" w:pos="1440"/>
        </w:tabs>
        <w:ind w:left="1276" w:hanging="709"/>
        <w:rPr>
          <w:rFonts w:ascii="Arial" w:hAnsi="Arial" w:cs="Arial"/>
          <w:i/>
          <w:sz w:val="22"/>
          <w:szCs w:val="22"/>
        </w:rPr>
      </w:pPr>
      <w:bookmarkStart w:id="53" w:name="_Toc308103258"/>
      <w:r w:rsidRPr="00FB6D4E">
        <w:rPr>
          <w:rFonts w:ascii="Arial" w:hAnsi="Arial" w:cs="Arial"/>
          <w:i/>
          <w:sz w:val="22"/>
          <w:szCs w:val="22"/>
        </w:rPr>
        <w:t xml:space="preserve">Contribution of </w:t>
      </w:r>
      <w:r w:rsidR="0098017D">
        <w:rPr>
          <w:rFonts w:ascii="Arial" w:hAnsi="Arial" w:cs="Arial"/>
          <w:i/>
          <w:sz w:val="22"/>
          <w:szCs w:val="22"/>
        </w:rPr>
        <w:t xml:space="preserve">UNDP and </w:t>
      </w:r>
      <w:r w:rsidRPr="00FB6D4E">
        <w:rPr>
          <w:rFonts w:ascii="Arial" w:hAnsi="Arial" w:cs="Arial"/>
          <w:i/>
          <w:sz w:val="22"/>
          <w:szCs w:val="22"/>
        </w:rPr>
        <w:t xml:space="preserve">Implementing </w:t>
      </w:r>
      <w:r w:rsidR="0098017D">
        <w:rPr>
          <w:rFonts w:ascii="Arial" w:hAnsi="Arial" w:cs="Arial"/>
          <w:i/>
          <w:sz w:val="22"/>
          <w:szCs w:val="22"/>
        </w:rPr>
        <w:t>Partner</w:t>
      </w:r>
      <w:bookmarkEnd w:id="53"/>
    </w:p>
    <w:p w14:paraId="7C415B5E" w14:textId="77777777" w:rsidR="006E3DAE" w:rsidRPr="00FB6D4E" w:rsidRDefault="006E3DAE" w:rsidP="006E3DAE">
      <w:pPr>
        <w:tabs>
          <w:tab w:val="left" w:pos="1472"/>
        </w:tabs>
        <w:jc w:val="both"/>
        <w:rPr>
          <w:sz w:val="22"/>
          <w:szCs w:val="22"/>
        </w:rPr>
      </w:pPr>
    </w:p>
    <w:p w14:paraId="534600A6" w14:textId="506508A9" w:rsidR="00A830DC" w:rsidRDefault="00A830DC" w:rsidP="00A830DC">
      <w:pPr>
        <w:pStyle w:val="ListParagraph"/>
        <w:numPr>
          <w:ilvl w:val="0"/>
          <w:numId w:val="15"/>
        </w:numPr>
        <w:jc w:val="both"/>
        <w:rPr>
          <w:sz w:val="22"/>
          <w:szCs w:val="22"/>
        </w:rPr>
      </w:pPr>
      <w:r w:rsidRPr="00CC2D1C">
        <w:rPr>
          <w:sz w:val="22"/>
          <w:szCs w:val="22"/>
        </w:rPr>
        <w:t xml:space="preserve">The </w:t>
      </w:r>
      <w:r w:rsidR="00145586">
        <w:rPr>
          <w:sz w:val="22"/>
          <w:szCs w:val="22"/>
        </w:rPr>
        <w:t xml:space="preserve">quality of </w:t>
      </w:r>
      <w:r w:rsidRPr="00CC2D1C">
        <w:rPr>
          <w:sz w:val="22"/>
          <w:szCs w:val="22"/>
        </w:rPr>
        <w:t xml:space="preserve">UNDP </w:t>
      </w:r>
      <w:r w:rsidR="00145586">
        <w:rPr>
          <w:sz w:val="22"/>
          <w:szCs w:val="22"/>
        </w:rPr>
        <w:t>implementation</w:t>
      </w:r>
      <w:r w:rsidRPr="00CC2D1C">
        <w:rPr>
          <w:sz w:val="22"/>
          <w:szCs w:val="22"/>
        </w:rPr>
        <w:t xml:space="preserve"> and the </w:t>
      </w:r>
      <w:r w:rsidR="00145586">
        <w:rPr>
          <w:sz w:val="22"/>
          <w:szCs w:val="22"/>
        </w:rPr>
        <w:t xml:space="preserve">quality of execution of the </w:t>
      </w:r>
      <w:r w:rsidRPr="00CC2D1C">
        <w:rPr>
          <w:sz w:val="22"/>
          <w:szCs w:val="22"/>
        </w:rPr>
        <w:t xml:space="preserve">Ministry of </w:t>
      </w:r>
      <w:r w:rsidR="00CC2D1C" w:rsidRPr="00CC2D1C">
        <w:rPr>
          <w:sz w:val="22"/>
          <w:szCs w:val="22"/>
        </w:rPr>
        <w:t xml:space="preserve">Environment </w:t>
      </w:r>
      <w:r w:rsidRPr="00CC2D1C">
        <w:rPr>
          <w:sz w:val="22"/>
          <w:szCs w:val="22"/>
        </w:rPr>
        <w:t>(M</w:t>
      </w:r>
      <w:r w:rsidR="00CC2D1C" w:rsidRPr="00CC2D1C">
        <w:rPr>
          <w:sz w:val="22"/>
          <w:szCs w:val="22"/>
        </w:rPr>
        <w:t>OE</w:t>
      </w:r>
      <w:r w:rsidRPr="00CC2D1C">
        <w:rPr>
          <w:sz w:val="22"/>
          <w:szCs w:val="22"/>
        </w:rPr>
        <w:t xml:space="preserve">) - as respectively the GEF implementing agency and the national </w:t>
      </w:r>
      <w:r w:rsidR="00CC2D1C" w:rsidRPr="00CC2D1C">
        <w:rPr>
          <w:sz w:val="22"/>
          <w:szCs w:val="22"/>
        </w:rPr>
        <w:t>executing</w:t>
      </w:r>
      <w:r w:rsidRPr="00CC2D1C">
        <w:rPr>
          <w:sz w:val="22"/>
          <w:szCs w:val="22"/>
        </w:rPr>
        <w:t xml:space="preserve"> agency of the project - to support the implementation of the project was good; </w:t>
      </w:r>
      <w:r w:rsidR="00145586">
        <w:rPr>
          <w:sz w:val="22"/>
          <w:szCs w:val="22"/>
        </w:rPr>
        <w:t xml:space="preserve">both are </w:t>
      </w:r>
      <w:r w:rsidRPr="00CC2D1C">
        <w:rPr>
          <w:sz w:val="22"/>
          <w:szCs w:val="22"/>
        </w:rPr>
        <w:t xml:space="preserve">rated as </w:t>
      </w:r>
      <w:r w:rsidRPr="00CC2D1C">
        <w:rPr>
          <w:i/>
          <w:sz w:val="22"/>
          <w:szCs w:val="22"/>
          <w:u w:val="single"/>
        </w:rPr>
        <w:t>satisfactory</w:t>
      </w:r>
      <w:r w:rsidRPr="00CC2D1C">
        <w:rPr>
          <w:sz w:val="22"/>
          <w:szCs w:val="22"/>
        </w:rPr>
        <w:t xml:space="preserve">. In their respective area of responsibility, they provided good support to the </w:t>
      </w:r>
      <w:r w:rsidR="00CC2D1C" w:rsidRPr="00CC2D1C">
        <w:rPr>
          <w:sz w:val="22"/>
          <w:szCs w:val="22"/>
        </w:rPr>
        <w:t>project team</w:t>
      </w:r>
      <w:r w:rsidRPr="00CC2D1C">
        <w:rPr>
          <w:sz w:val="22"/>
          <w:szCs w:val="22"/>
        </w:rPr>
        <w:t xml:space="preserve"> to ensure an efficient use of GEF resources and an effective implementation of the project. Both agencies participated actively in the design and the implementation of the project. </w:t>
      </w:r>
    </w:p>
    <w:p w14:paraId="3F93D33F" w14:textId="77777777" w:rsidR="00A830DC" w:rsidRPr="00CC2D1C" w:rsidRDefault="00A830DC" w:rsidP="00A830DC">
      <w:pPr>
        <w:pStyle w:val="ListParagraph"/>
        <w:ind w:left="0"/>
        <w:jc w:val="both"/>
        <w:rPr>
          <w:sz w:val="22"/>
          <w:szCs w:val="22"/>
        </w:rPr>
      </w:pPr>
    </w:p>
    <w:p w14:paraId="251BE3CB" w14:textId="691A4E32" w:rsidR="00A830DC" w:rsidRPr="00CC2D1C" w:rsidRDefault="00A830DC" w:rsidP="00A830DC">
      <w:pPr>
        <w:pStyle w:val="ListParagraph"/>
        <w:numPr>
          <w:ilvl w:val="0"/>
          <w:numId w:val="15"/>
        </w:numPr>
        <w:jc w:val="both"/>
        <w:rPr>
          <w:sz w:val="22"/>
          <w:szCs w:val="22"/>
        </w:rPr>
      </w:pPr>
      <w:r w:rsidRPr="00CC2D1C">
        <w:rPr>
          <w:sz w:val="22"/>
          <w:szCs w:val="22"/>
        </w:rPr>
        <w:t>UNDP provided the required guidance to apply UNDP project management procedures such as procurement, hiring and contracting as well as guidance for reporting project progress. UNDP played a role of quality assurance over the implementation of the project, ensuring that the required qualities for project activities were fulfilled. Overall, UNDP backstopped the project with its own resources, supported the project team throughout the implementation including the participation in the decision-making process for implementing the project through the PB</w:t>
      </w:r>
      <w:r w:rsidR="00CC2D1C" w:rsidRPr="00CC2D1C">
        <w:rPr>
          <w:sz w:val="22"/>
          <w:szCs w:val="22"/>
        </w:rPr>
        <w:t>.</w:t>
      </w:r>
    </w:p>
    <w:p w14:paraId="39FE964C" w14:textId="77777777" w:rsidR="00A830DC" w:rsidRPr="00CC2D1C" w:rsidRDefault="00A830DC" w:rsidP="00A830DC">
      <w:pPr>
        <w:jc w:val="both"/>
        <w:rPr>
          <w:sz w:val="22"/>
          <w:szCs w:val="22"/>
        </w:rPr>
      </w:pPr>
    </w:p>
    <w:p w14:paraId="76D8BA3F" w14:textId="250F7BA3" w:rsidR="00A830DC" w:rsidRPr="00FF0583" w:rsidRDefault="00A830DC" w:rsidP="00A830DC">
      <w:pPr>
        <w:pStyle w:val="ListParagraph"/>
        <w:numPr>
          <w:ilvl w:val="0"/>
          <w:numId w:val="15"/>
        </w:numPr>
        <w:jc w:val="both"/>
        <w:rPr>
          <w:sz w:val="22"/>
          <w:szCs w:val="22"/>
        </w:rPr>
      </w:pPr>
      <w:r w:rsidRPr="007C51E7">
        <w:rPr>
          <w:sz w:val="22"/>
          <w:szCs w:val="22"/>
        </w:rPr>
        <w:t>M</w:t>
      </w:r>
      <w:r w:rsidR="00FF2722" w:rsidRPr="007C51E7">
        <w:rPr>
          <w:sz w:val="22"/>
          <w:szCs w:val="22"/>
        </w:rPr>
        <w:t>OE</w:t>
      </w:r>
      <w:r w:rsidRPr="007C51E7">
        <w:rPr>
          <w:sz w:val="22"/>
          <w:szCs w:val="22"/>
        </w:rPr>
        <w:t xml:space="preserve">, as the national </w:t>
      </w:r>
      <w:r w:rsidR="00FF2722" w:rsidRPr="007C51E7">
        <w:rPr>
          <w:sz w:val="22"/>
          <w:szCs w:val="22"/>
        </w:rPr>
        <w:t>executing</w:t>
      </w:r>
      <w:r w:rsidRPr="007C51E7">
        <w:rPr>
          <w:sz w:val="22"/>
          <w:szCs w:val="22"/>
        </w:rPr>
        <w:t xml:space="preserve"> agency, played an important role in the </w:t>
      </w:r>
      <w:r w:rsidR="00FF2722" w:rsidRPr="007C51E7">
        <w:rPr>
          <w:sz w:val="22"/>
          <w:szCs w:val="22"/>
        </w:rPr>
        <w:t>implementation</w:t>
      </w:r>
      <w:r w:rsidRPr="007C51E7">
        <w:rPr>
          <w:sz w:val="22"/>
          <w:szCs w:val="22"/>
        </w:rPr>
        <w:t xml:space="preserve"> of this project as the main government anchor point of the project. The </w:t>
      </w:r>
      <w:r w:rsidR="00FF2722" w:rsidRPr="007C51E7">
        <w:rPr>
          <w:sz w:val="22"/>
          <w:szCs w:val="22"/>
        </w:rPr>
        <w:t>Minister of the Environment c</w:t>
      </w:r>
      <w:r w:rsidRPr="007C51E7">
        <w:rPr>
          <w:sz w:val="22"/>
          <w:szCs w:val="22"/>
        </w:rPr>
        <w:t xml:space="preserve">haired the PB; providing </w:t>
      </w:r>
      <w:r w:rsidR="00FF2722" w:rsidRPr="007C51E7">
        <w:rPr>
          <w:sz w:val="22"/>
          <w:szCs w:val="22"/>
        </w:rPr>
        <w:t xml:space="preserve">good </w:t>
      </w:r>
      <w:r w:rsidRPr="007C51E7">
        <w:rPr>
          <w:sz w:val="22"/>
          <w:szCs w:val="22"/>
        </w:rPr>
        <w:t>leadership in guiding the implementation of the project. Overall, the M</w:t>
      </w:r>
      <w:r w:rsidR="00FF2722" w:rsidRPr="007C51E7">
        <w:rPr>
          <w:sz w:val="22"/>
          <w:szCs w:val="22"/>
        </w:rPr>
        <w:t>OE</w:t>
      </w:r>
      <w:r w:rsidRPr="007C51E7">
        <w:rPr>
          <w:sz w:val="22"/>
          <w:szCs w:val="22"/>
        </w:rPr>
        <w:t xml:space="preserve"> played an important facilitator role for the project, providing the government/institutional context for the legitimization of project-supported activities to re</w:t>
      </w:r>
      <w:r w:rsidR="00FF2722" w:rsidRPr="007C51E7">
        <w:rPr>
          <w:sz w:val="22"/>
          <w:szCs w:val="22"/>
        </w:rPr>
        <w:t>form the National Environmental Fund (NEF) and the pollutio</w:t>
      </w:r>
      <w:r w:rsidR="007C51E7" w:rsidRPr="007C51E7">
        <w:rPr>
          <w:sz w:val="22"/>
          <w:szCs w:val="22"/>
        </w:rPr>
        <w:t xml:space="preserve">n charges. </w:t>
      </w:r>
      <w:r w:rsidR="007C51E7" w:rsidRPr="00FF0583">
        <w:rPr>
          <w:sz w:val="22"/>
          <w:szCs w:val="22"/>
        </w:rPr>
        <w:t>Nevertheless, this role was somewhat hampered by the fact that during the last 18 months, MOE – and by extension the Pr</w:t>
      </w:r>
      <w:r w:rsidR="00B21BA6" w:rsidRPr="00FF0583">
        <w:rPr>
          <w:sz w:val="22"/>
          <w:szCs w:val="22"/>
        </w:rPr>
        <w:t>oject Board - have been let by 4 different</w:t>
      </w:r>
      <w:r w:rsidR="007C51E7" w:rsidRPr="00FF0583">
        <w:rPr>
          <w:sz w:val="22"/>
          <w:szCs w:val="22"/>
        </w:rPr>
        <w:t xml:space="preserve"> Ministers of Environment</w:t>
      </w:r>
      <w:r w:rsidR="00FF0583" w:rsidRPr="00FF0583">
        <w:rPr>
          <w:sz w:val="22"/>
          <w:szCs w:val="22"/>
        </w:rPr>
        <w:t xml:space="preserve">, 5 Deputy Ministers </w:t>
      </w:r>
      <w:r w:rsidR="00FF0583" w:rsidRPr="00FF0583">
        <w:rPr>
          <w:sz w:val="22"/>
          <w:szCs w:val="22"/>
        </w:rPr>
        <w:lastRenderedPageBreak/>
        <w:t>and two State Secretaries</w:t>
      </w:r>
      <w:r w:rsidR="007C51E7" w:rsidRPr="00FF0583">
        <w:rPr>
          <w:sz w:val="22"/>
          <w:szCs w:val="22"/>
        </w:rPr>
        <w:t xml:space="preserve">. </w:t>
      </w:r>
      <w:r w:rsidRPr="00FF0583">
        <w:rPr>
          <w:sz w:val="22"/>
          <w:szCs w:val="22"/>
        </w:rPr>
        <w:t xml:space="preserve"> </w:t>
      </w:r>
    </w:p>
    <w:p w14:paraId="736DFE84" w14:textId="77777777" w:rsidR="00A830DC" w:rsidRPr="007C51E7" w:rsidRDefault="00A830DC" w:rsidP="00A830DC">
      <w:pPr>
        <w:jc w:val="both"/>
        <w:rPr>
          <w:sz w:val="22"/>
          <w:szCs w:val="22"/>
        </w:rPr>
      </w:pPr>
    </w:p>
    <w:p w14:paraId="5DCA0311" w14:textId="761F4EE1" w:rsidR="00A830DC" w:rsidRPr="007C51E7" w:rsidRDefault="007C51E7" w:rsidP="007C51E7">
      <w:pPr>
        <w:pStyle w:val="ListParagraph"/>
        <w:numPr>
          <w:ilvl w:val="0"/>
          <w:numId w:val="15"/>
        </w:numPr>
        <w:jc w:val="both"/>
        <w:rPr>
          <w:sz w:val="22"/>
          <w:szCs w:val="22"/>
        </w:rPr>
      </w:pPr>
      <w:r w:rsidRPr="007C51E7">
        <w:rPr>
          <w:sz w:val="22"/>
          <w:szCs w:val="22"/>
        </w:rPr>
        <w:t xml:space="preserve">In addition to MOE that played a positive role in the implementation of the project, it </w:t>
      </w:r>
      <w:r w:rsidR="00A830DC" w:rsidRPr="007C51E7">
        <w:rPr>
          <w:sz w:val="22"/>
          <w:szCs w:val="22"/>
        </w:rPr>
        <w:t xml:space="preserve">is also important to note the positive role played by </w:t>
      </w:r>
      <w:r w:rsidRPr="007C51E7">
        <w:rPr>
          <w:sz w:val="22"/>
          <w:szCs w:val="22"/>
        </w:rPr>
        <w:t xml:space="preserve">two other Ministries: Ministry of Finance and Ministry of Economy. </w:t>
      </w:r>
      <w:r w:rsidR="00A830DC" w:rsidRPr="007C51E7">
        <w:rPr>
          <w:sz w:val="22"/>
          <w:szCs w:val="22"/>
        </w:rPr>
        <w:t xml:space="preserve">They satisfactorily fulfilled their project obligations/responsibilities </w:t>
      </w:r>
      <w:r w:rsidRPr="007C51E7">
        <w:rPr>
          <w:sz w:val="22"/>
          <w:szCs w:val="22"/>
        </w:rPr>
        <w:t>by collaborating with the project and participated in project activities when appropriate. They also</w:t>
      </w:r>
      <w:r w:rsidR="00A830DC" w:rsidRPr="007C51E7">
        <w:rPr>
          <w:sz w:val="22"/>
          <w:szCs w:val="22"/>
        </w:rPr>
        <w:t xml:space="preserve"> played a major role in legitimatizing the </w:t>
      </w:r>
      <w:r w:rsidRPr="007C51E7">
        <w:rPr>
          <w:sz w:val="22"/>
          <w:szCs w:val="22"/>
        </w:rPr>
        <w:t xml:space="preserve">achievements </w:t>
      </w:r>
      <w:r w:rsidR="00A830DC" w:rsidRPr="007C51E7">
        <w:rPr>
          <w:sz w:val="22"/>
          <w:szCs w:val="22"/>
        </w:rPr>
        <w:t xml:space="preserve">of the project in their respective </w:t>
      </w:r>
      <w:r w:rsidRPr="007C51E7">
        <w:rPr>
          <w:sz w:val="22"/>
          <w:szCs w:val="22"/>
        </w:rPr>
        <w:t>areas</w:t>
      </w:r>
      <w:r w:rsidR="00A830DC" w:rsidRPr="007C51E7">
        <w:rPr>
          <w:sz w:val="22"/>
          <w:szCs w:val="22"/>
        </w:rPr>
        <w:t xml:space="preserve">; hence contributing to the long-term sustainability of project achievements.  </w:t>
      </w:r>
    </w:p>
    <w:p w14:paraId="2C72CDEE" w14:textId="77777777" w:rsidR="005E576B" w:rsidRPr="00620193" w:rsidRDefault="005E576B" w:rsidP="00620193">
      <w:pPr>
        <w:pStyle w:val="ListParagraph"/>
        <w:ind w:left="0"/>
        <w:jc w:val="both"/>
        <w:rPr>
          <w:sz w:val="22"/>
          <w:szCs w:val="22"/>
        </w:rPr>
      </w:pPr>
    </w:p>
    <w:p w14:paraId="4B52DEBB" w14:textId="77777777" w:rsidR="006E3DAE" w:rsidRPr="00FB6D4E" w:rsidRDefault="006E3DAE" w:rsidP="006E3DAE">
      <w:pPr>
        <w:pStyle w:val="Heading2"/>
        <w:numPr>
          <w:ilvl w:val="1"/>
          <w:numId w:val="1"/>
        </w:numPr>
        <w:tabs>
          <w:tab w:val="clear" w:pos="792"/>
          <w:tab w:val="num" w:pos="709"/>
        </w:tabs>
        <w:spacing w:before="0" w:after="0"/>
        <w:ind w:left="720" w:hanging="720"/>
        <w:rPr>
          <w:i w:val="0"/>
          <w:sz w:val="22"/>
          <w:szCs w:val="22"/>
        </w:rPr>
      </w:pPr>
      <w:bookmarkStart w:id="54" w:name="_Toc308103259"/>
      <w:r w:rsidRPr="00FB6D4E">
        <w:rPr>
          <w:i w:val="0"/>
          <w:sz w:val="22"/>
          <w:szCs w:val="22"/>
        </w:rPr>
        <w:t xml:space="preserve">Project </w:t>
      </w:r>
      <w:r w:rsidR="004E3973" w:rsidRPr="00FB6D4E">
        <w:rPr>
          <w:i w:val="0"/>
          <w:sz w:val="22"/>
          <w:szCs w:val="22"/>
        </w:rPr>
        <w:t>Results</w:t>
      </w:r>
      <w:bookmarkEnd w:id="54"/>
    </w:p>
    <w:p w14:paraId="45377969" w14:textId="77777777" w:rsidR="00840BB5" w:rsidRPr="00FB6D4E" w:rsidRDefault="00840BB5" w:rsidP="00840BB5">
      <w:pPr>
        <w:widowControl/>
        <w:tabs>
          <w:tab w:val="left" w:pos="-720"/>
        </w:tabs>
        <w:jc w:val="both"/>
        <w:rPr>
          <w:sz w:val="22"/>
          <w:szCs w:val="22"/>
        </w:rPr>
      </w:pPr>
    </w:p>
    <w:p w14:paraId="7C3983F0" w14:textId="77777777" w:rsidR="00840BB5" w:rsidRPr="00FB6D4E" w:rsidRDefault="00840BB5" w:rsidP="005D59CA">
      <w:pPr>
        <w:pStyle w:val="ListParagraph"/>
        <w:numPr>
          <w:ilvl w:val="0"/>
          <w:numId w:val="15"/>
        </w:numPr>
        <w:jc w:val="both"/>
        <w:rPr>
          <w:sz w:val="22"/>
          <w:szCs w:val="22"/>
        </w:rPr>
      </w:pPr>
      <w:r w:rsidRPr="00FB6D4E">
        <w:rPr>
          <w:sz w:val="22"/>
        </w:rPr>
        <w:t>T</w:t>
      </w:r>
      <w:r w:rsidRPr="00FB6D4E">
        <w:rPr>
          <w:sz w:val="22"/>
          <w:szCs w:val="22"/>
        </w:rPr>
        <w:t xml:space="preserve">his section discusses the assessment of </w:t>
      </w:r>
      <w:r w:rsidR="00333963" w:rsidRPr="00FB6D4E">
        <w:rPr>
          <w:sz w:val="22"/>
          <w:szCs w:val="22"/>
        </w:rPr>
        <w:t>project results</w:t>
      </w:r>
      <w:r w:rsidRPr="00FB6D4E">
        <w:rPr>
          <w:sz w:val="22"/>
          <w:szCs w:val="22"/>
        </w:rPr>
        <w:t>;</w:t>
      </w:r>
      <w:r w:rsidR="00333963" w:rsidRPr="00FB6D4E">
        <w:rPr>
          <w:sz w:val="22"/>
          <w:szCs w:val="22"/>
        </w:rPr>
        <w:t xml:space="preserve"> how effective was the project to deliver its expected results and how sustainable these achievements will be over the long-term. </w:t>
      </w:r>
    </w:p>
    <w:p w14:paraId="45878360" w14:textId="77777777" w:rsidR="006E3DAE" w:rsidRPr="00FB6D4E" w:rsidRDefault="006E3DAE" w:rsidP="006E3DAE">
      <w:pPr>
        <w:jc w:val="both"/>
        <w:rPr>
          <w:bCs/>
          <w:sz w:val="22"/>
          <w:szCs w:val="22"/>
        </w:rPr>
      </w:pPr>
    </w:p>
    <w:p w14:paraId="7AC7D702" w14:textId="77777777" w:rsidR="006E3DAE" w:rsidRPr="00FB6D4E" w:rsidRDefault="004E3973" w:rsidP="006B3375">
      <w:pPr>
        <w:pStyle w:val="Heading3"/>
        <w:numPr>
          <w:ilvl w:val="2"/>
          <w:numId w:val="1"/>
        </w:numPr>
        <w:tabs>
          <w:tab w:val="clear" w:pos="1440"/>
        </w:tabs>
        <w:ind w:left="1276" w:hanging="709"/>
        <w:rPr>
          <w:rFonts w:ascii="Arial" w:hAnsi="Arial" w:cs="Arial"/>
          <w:i/>
          <w:sz w:val="22"/>
          <w:szCs w:val="22"/>
        </w:rPr>
      </w:pPr>
      <w:bookmarkStart w:id="55" w:name="_Toc308103260"/>
      <w:r w:rsidRPr="00FB6D4E">
        <w:rPr>
          <w:rFonts w:ascii="Arial" w:hAnsi="Arial" w:cs="Arial"/>
          <w:i/>
          <w:sz w:val="22"/>
          <w:szCs w:val="22"/>
        </w:rPr>
        <w:t xml:space="preserve">Overall </w:t>
      </w:r>
      <w:r w:rsidR="002E2F28" w:rsidRPr="00FB6D4E">
        <w:rPr>
          <w:rFonts w:ascii="Arial" w:hAnsi="Arial" w:cs="Arial"/>
          <w:i/>
          <w:sz w:val="22"/>
          <w:szCs w:val="22"/>
        </w:rPr>
        <w:t>Achievements/</w:t>
      </w:r>
      <w:r w:rsidRPr="00FB6D4E">
        <w:rPr>
          <w:rFonts w:ascii="Arial" w:hAnsi="Arial" w:cs="Arial"/>
          <w:i/>
          <w:sz w:val="22"/>
          <w:szCs w:val="22"/>
        </w:rPr>
        <w:t>Results</w:t>
      </w:r>
      <w:bookmarkEnd w:id="55"/>
    </w:p>
    <w:p w14:paraId="5F905F76" w14:textId="77777777" w:rsidR="006E3DAE" w:rsidRPr="00FB6D4E" w:rsidRDefault="006E3DAE" w:rsidP="006E3DAE">
      <w:pPr>
        <w:tabs>
          <w:tab w:val="left" w:pos="1472"/>
        </w:tabs>
        <w:jc w:val="both"/>
        <w:rPr>
          <w:sz w:val="22"/>
          <w:szCs w:val="22"/>
        </w:rPr>
      </w:pPr>
    </w:p>
    <w:p w14:paraId="7E73DED5" w14:textId="59CDAE12" w:rsidR="0043702E" w:rsidRDefault="00AE6137" w:rsidP="00BC07D6">
      <w:pPr>
        <w:pStyle w:val="ListParagraph"/>
        <w:numPr>
          <w:ilvl w:val="0"/>
          <w:numId w:val="15"/>
        </w:numPr>
        <w:jc w:val="both"/>
        <w:rPr>
          <w:sz w:val="22"/>
          <w:szCs w:val="22"/>
        </w:rPr>
      </w:pPr>
      <w:r w:rsidRPr="001E5B9F">
        <w:rPr>
          <w:sz w:val="22"/>
          <w:szCs w:val="22"/>
        </w:rPr>
        <w:t xml:space="preserve">As presented in Sections 4.1.1, the project was implemented through </w:t>
      </w:r>
      <w:r w:rsidR="00BD7735" w:rsidRPr="001E5B9F">
        <w:rPr>
          <w:sz w:val="22"/>
          <w:szCs w:val="22"/>
        </w:rPr>
        <w:t>three (3</w:t>
      </w:r>
      <w:r w:rsidRPr="001E5B9F">
        <w:rPr>
          <w:sz w:val="22"/>
          <w:szCs w:val="22"/>
        </w:rPr>
        <w:t xml:space="preserve">) outcomes. </w:t>
      </w:r>
      <w:r w:rsidR="007538C1" w:rsidRPr="001E5B9F">
        <w:rPr>
          <w:sz w:val="22"/>
          <w:szCs w:val="22"/>
        </w:rPr>
        <w:t>The implementation progres</w:t>
      </w:r>
      <w:r w:rsidR="001E5B9F" w:rsidRPr="001E5B9F">
        <w:rPr>
          <w:sz w:val="22"/>
          <w:szCs w:val="22"/>
        </w:rPr>
        <w:t>s was measured though a set of 24</w:t>
      </w:r>
      <w:r w:rsidR="007538C1" w:rsidRPr="001E5B9F">
        <w:rPr>
          <w:sz w:val="22"/>
          <w:szCs w:val="22"/>
        </w:rPr>
        <w:t xml:space="preserve"> indicators</w:t>
      </w:r>
      <w:r w:rsidR="001E5B9F" w:rsidRPr="001E5B9F">
        <w:rPr>
          <w:sz w:val="22"/>
          <w:szCs w:val="22"/>
        </w:rPr>
        <w:t xml:space="preserve"> and 20 targets</w:t>
      </w:r>
      <w:r w:rsidR="007538C1" w:rsidRPr="001E5B9F">
        <w:rPr>
          <w:sz w:val="22"/>
          <w:szCs w:val="22"/>
        </w:rPr>
        <w:t>. On the next page is a table listing key deliverables achieved by the project against each outcome and their corresponding targets.</w:t>
      </w:r>
    </w:p>
    <w:p w14:paraId="10BF6894" w14:textId="77777777" w:rsidR="009B1822" w:rsidRDefault="009B1822" w:rsidP="009B1822">
      <w:pPr>
        <w:jc w:val="both"/>
        <w:rPr>
          <w:sz w:val="22"/>
          <w:szCs w:val="22"/>
        </w:rPr>
      </w:pPr>
    </w:p>
    <w:p w14:paraId="42617176" w14:textId="17A3EF53" w:rsidR="009B1822" w:rsidRPr="00524C63" w:rsidRDefault="009B1822" w:rsidP="009B1822">
      <w:pPr>
        <w:pStyle w:val="ListParagraph"/>
        <w:numPr>
          <w:ilvl w:val="0"/>
          <w:numId w:val="15"/>
        </w:numPr>
        <w:jc w:val="both"/>
        <w:rPr>
          <w:sz w:val="22"/>
          <w:szCs w:val="22"/>
        </w:rPr>
      </w:pPr>
      <w:r w:rsidRPr="00524C63">
        <w:rPr>
          <w:sz w:val="22"/>
          <w:szCs w:val="22"/>
        </w:rPr>
        <w:t>The review of achievements of the EFR project (</w:t>
      </w:r>
      <w:r w:rsidRPr="00524C63">
        <w:rPr>
          <w:i/>
          <w:sz w:val="22"/>
          <w:szCs w:val="22"/>
        </w:rPr>
        <w:t>see table 10</w:t>
      </w:r>
      <w:r w:rsidRPr="00524C63">
        <w:rPr>
          <w:sz w:val="22"/>
          <w:szCs w:val="22"/>
        </w:rPr>
        <w:t xml:space="preserve">) indicates that most planned activities were delivered during the lifetime of the project; its </w:t>
      </w:r>
      <w:r w:rsidR="00030B61">
        <w:rPr>
          <w:sz w:val="22"/>
          <w:szCs w:val="22"/>
        </w:rPr>
        <w:t>overall project outcome r</w:t>
      </w:r>
      <w:r w:rsidR="00B10766" w:rsidRPr="00B10766">
        <w:rPr>
          <w:sz w:val="22"/>
          <w:szCs w:val="22"/>
        </w:rPr>
        <w:t xml:space="preserve">ating </w:t>
      </w:r>
      <w:r w:rsidRPr="00524C63">
        <w:rPr>
          <w:sz w:val="22"/>
          <w:szCs w:val="22"/>
        </w:rPr>
        <w:t xml:space="preserve">is </w:t>
      </w:r>
      <w:r w:rsidRPr="00524C63">
        <w:rPr>
          <w:i/>
          <w:sz w:val="22"/>
          <w:szCs w:val="22"/>
          <w:u w:val="single"/>
        </w:rPr>
        <w:t>satisfactory</w:t>
      </w:r>
      <w:r w:rsidRPr="00524C63">
        <w:rPr>
          <w:sz w:val="22"/>
          <w:szCs w:val="22"/>
        </w:rPr>
        <w:t xml:space="preserve">. However, </w:t>
      </w:r>
      <w:r>
        <w:rPr>
          <w:sz w:val="22"/>
          <w:szCs w:val="22"/>
        </w:rPr>
        <w:t xml:space="preserve">despite a good progress in delivering the planned outputs, </w:t>
      </w:r>
      <w:r w:rsidRPr="00524C63">
        <w:rPr>
          <w:sz w:val="22"/>
          <w:szCs w:val="22"/>
        </w:rPr>
        <w:t>the assessment conducted by the Evaluation Team reveals that the overall success of the project has been hampered by two main factors:</w:t>
      </w:r>
    </w:p>
    <w:p w14:paraId="2F4AA66B" w14:textId="77777777" w:rsidR="009B1822" w:rsidRPr="00524C63" w:rsidRDefault="009B1822" w:rsidP="009B1822">
      <w:pPr>
        <w:pStyle w:val="ListParagraph"/>
        <w:numPr>
          <w:ilvl w:val="0"/>
          <w:numId w:val="73"/>
        </w:numPr>
        <w:jc w:val="both"/>
        <w:rPr>
          <w:sz w:val="22"/>
          <w:szCs w:val="22"/>
        </w:rPr>
      </w:pPr>
      <w:r w:rsidRPr="00524C63">
        <w:rPr>
          <w:sz w:val="22"/>
          <w:szCs w:val="22"/>
        </w:rPr>
        <w:t>The implementation of the project during the first half was very slow. As discussed in section 4.2.3, it is well illustrated by the disbursement profile of the</w:t>
      </w:r>
      <w:r>
        <w:rPr>
          <w:sz w:val="22"/>
          <w:szCs w:val="22"/>
        </w:rPr>
        <w:t xml:space="preserve"> GEF grant</w:t>
      </w:r>
      <w:r w:rsidRPr="00524C63">
        <w:rPr>
          <w:sz w:val="22"/>
          <w:szCs w:val="22"/>
        </w:rPr>
        <w:t xml:space="preserve"> with respectively only about 10% the first year (2012) and just over 7% the second year</w:t>
      </w:r>
      <w:r>
        <w:rPr>
          <w:sz w:val="22"/>
          <w:szCs w:val="22"/>
        </w:rPr>
        <w:t xml:space="preserve"> (2013) of the total grant was disbursed.</w:t>
      </w:r>
      <w:r w:rsidRPr="00524C63">
        <w:rPr>
          <w:sz w:val="22"/>
          <w:szCs w:val="22"/>
        </w:rPr>
        <w:t xml:space="preserve"> The volume of activities increase</w:t>
      </w:r>
      <w:r>
        <w:rPr>
          <w:sz w:val="22"/>
          <w:szCs w:val="22"/>
        </w:rPr>
        <w:t>d</w:t>
      </w:r>
      <w:r w:rsidRPr="00524C63">
        <w:rPr>
          <w:sz w:val="22"/>
          <w:szCs w:val="22"/>
        </w:rPr>
        <w:t xml:space="preserve"> substantially in 2014 following the hiring of a new Project Manager. The project was able to catch up on most of its deadlines but </w:t>
      </w:r>
      <w:r>
        <w:rPr>
          <w:sz w:val="22"/>
          <w:szCs w:val="22"/>
        </w:rPr>
        <w:t xml:space="preserve">it did not have </w:t>
      </w:r>
      <w:r w:rsidRPr="00524C63">
        <w:rPr>
          <w:sz w:val="22"/>
          <w:szCs w:val="22"/>
        </w:rPr>
        <w:t xml:space="preserve">enough time </w:t>
      </w:r>
      <w:r>
        <w:rPr>
          <w:sz w:val="22"/>
          <w:szCs w:val="22"/>
        </w:rPr>
        <w:t xml:space="preserve">near the end </w:t>
      </w:r>
      <w:r w:rsidRPr="00524C63">
        <w:rPr>
          <w:sz w:val="22"/>
          <w:szCs w:val="22"/>
        </w:rPr>
        <w:t xml:space="preserve">to “push” </w:t>
      </w:r>
      <w:r>
        <w:rPr>
          <w:sz w:val="22"/>
          <w:szCs w:val="22"/>
        </w:rPr>
        <w:t xml:space="preserve">further </w:t>
      </w:r>
      <w:r w:rsidRPr="00524C63">
        <w:rPr>
          <w:sz w:val="22"/>
          <w:szCs w:val="22"/>
        </w:rPr>
        <w:t>all proposals produced with the support of the project through the review, approval and endorsement processes.</w:t>
      </w:r>
    </w:p>
    <w:p w14:paraId="524BF69B" w14:textId="7A8DC92F" w:rsidR="009B1822" w:rsidRPr="009B1822" w:rsidRDefault="009B1822" w:rsidP="009B1822">
      <w:pPr>
        <w:pStyle w:val="ListParagraph"/>
        <w:numPr>
          <w:ilvl w:val="0"/>
          <w:numId w:val="73"/>
        </w:numPr>
        <w:jc w:val="both"/>
        <w:rPr>
          <w:sz w:val="22"/>
          <w:szCs w:val="22"/>
        </w:rPr>
      </w:pPr>
      <w:r w:rsidRPr="00733B3F">
        <w:rPr>
          <w:sz w:val="22"/>
          <w:szCs w:val="22"/>
        </w:rPr>
        <w:t xml:space="preserve">As discussed in section 4.1.1, the nature of this project is such that it implies a strong political commitment from the government for the project to be fully successful and produce significant changes in the EFR area. Reforming environmental harmful subsidies, introducing green subsidies, strengthen environmental charges and reforming an environmental fund are part of a complicated national fiscal reform agenda that may impact the economy and the social stability of Moldova. Despite that this coherent project was a direct response to national priorities, from a political point of view it was an ambitious project to kick-start the environmental fiscal reform process in Moldova; particularly when considering its tight </w:t>
      </w:r>
      <w:r w:rsidRPr="00733B3F">
        <w:rPr>
          <w:sz w:val="22"/>
          <w:szCs w:val="22"/>
        </w:rPr>
        <w:lastRenderedPageBreak/>
        <w:t>timeframe. Reforming environmental fiscal matters including legislation changes require</w:t>
      </w:r>
      <w:r>
        <w:rPr>
          <w:sz w:val="22"/>
          <w:szCs w:val="22"/>
        </w:rPr>
        <w:t>s</w:t>
      </w:r>
      <w:r w:rsidRPr="00733B3F">
        <w:rPr>
          <w:sz w:val="22"/>
          <w:szCs w:val="22"/>
        </w:rPr>
        <w:t xml:space="preserve"> a longer timeframe to produce any </w:t>
      </w:r>
      <w:r>
        <w:rPr>
          <w:sz w:val="22"/>
          <w:szCs w:val="22"/>
        </w:rPr>
        <w:t xml:space="preserve">tangible and </w:t>
      </w:r>
      <w:r w:rsidRPr="00733B3F">
        <w:rPr>
          <w:sz w:val="22"/>
          <w:szCs w:val="22"/>
        </w:rPr>
        <w:t xml:space="preserve">sustainable changes. </w:t>
      </w:r>
      <w:r>
        <w:rPr>
          <w:sz w:val="22"/>
          <w:szCs w:val="22"/>
        </w:rPr>
        <w:t xml:space="preserve">Despite that, the </w:t>
      </w:r>
      <w:r w:rsidRPr="00733B3F">
        <w:rPr>
          <w:sz w:val="22"/>
          <w:szCs w:val="22"/>
        </w:rPr>
        <w:t>project was successful in initiating an environmental fiscal reform process and Moldova is now equipped with skills, knowledge and economic instruments to move this agenda forward.</w:t>
      </w:r>
    </w:p>
    <w:p w14:paraId="14FCD419" w14:textId="77777777" w:rsidR="009B1822" w:rsidRPr="009B1822" w:rsidRDefault="009B1822" w:rsidP="009B1822">
      <w:pPr>
        <w:jc w:val="both"/>
        <w:rPr>
          <w:sz w:val="22"/>
          <w:szCs w:val="22"/>
        </w:rPr>
      </w:pPr>
    </w:p>
    <w:p w14:paraId="3E38A01E" w14:textId="77777777" w:rsidR="00B52D65" w:rsidRPr="00FB6D4E" w:rsidRDefault="00B52D65" w:rsidP="00220FD6">
      <w:pPr>
        <w:pStyle w:val="Caption"/>
        <w:rPr>
          <w:rFonts w:ascii="Arial" w:hAnsi="Arial"/>
        </w:rPr>
        <w:sectPr w:rsidR="00B52D65" w:rsidRPr="00FB6D4E" w:rsidSect="00F2167D">
          <w:pgSz w:w="11900" w:h="16820" w:code="9"/>
          <w:pgMar w:top="1134" w:right="1134" w:bottom="1134" w:left="1134" w:header="851" w:footer="851" w:gutter="0"/>
          <w:pgNumType w:start="1"/>
          <w:cols w:space="720"/>
          <w:noEndnote/>
        </w:sectPr>
      </w:pPr>
    </w:p>
    <w:p w14:paraId="1D6379CA" w14:textId="77777777" w:rsidR="006E3DAE" w:rsidRPr="00FB6D4E" w:rsidRDefault="0095410D" w:rsidP="0095410D">
      <w:pPr>
        <w:pStyle w:val="Caption"/>
        <w:jc w:val="center"/>
        <w:rPr>
          <w:rFonts w:ascii="Arial" w:hAnsi="Arial"/>
        </w:rPr>
      </w:pPr>
      <w:bookmarkStart w:id="56" w:name="_Toc305531038"/>
      <w:r w:rsidRPr="00FB6D4E">
        <w:rPr>
          <w:rFonts w:ascii="Arial" w:hAnsi="Arial"/>
        </w:rPr>
        <w:lastRenderedPageBreak/>
        <w:t xml:space="preserve">Table </w:t>
      </w:r>
      <w:r w:rsidRPr="00FB6D4E">
        <w:rPr>
          <w:rFonts w:ascii="Arial" w:hAnsi="Arial"/>
        </w:rPr>
        <w:fldChar w:fldCharType="begin"/>
      </w:r>
      <w:r w:rsidRPr="00FB6D4E">
        <w:rPr>
          <w:rFonts w:ascii="Arial" w:hAnsi="Arial"/>
        </w:rPr>
        <w:instrText xml:space="preserve"> SEQ Table \* ARABIC </w:instrText>
      </w:r>
      <w:r w:rsidRPr="00FB6D4E">
        <w:rPr>
          <w:rFonts w:ascii="Arial" w:hAnsi="Arial"/>
        </w:rPr>
        <w:fldChar w:fldCharType="separate"/>
      </w:r>
      <w:r w:rsidR="00F91695">
        <w:rPr>
          <w:rFonts w:ascii="Arial" w:hAnsi="Arial"/>
          <w:noProof/>
        </w:rPr>
        <w:t>10</w:t>
      </w:r>
      <w:r w:rsidRPr="00FB6D4E">
        <w:rPr>
          <w:rFonts w:ascii="Arial" w:hAnsi="Arial"/>
        </w:rPr>
        <w:fldChar w:fldCharType="end"/>
      </w:r>
      <w:r w:rsidRPr="00FB6D4E">
        <w:rPr>
          <w:rFonts w:ascii="Arial" w:hAnsi="Arial"/>
        </w:rPr>
        <w:t xml:space="preserve">:  </w:t>
      </w:r>
      <w:r w:rsidRPr="00FB6D4E">
        <w:rPr>
          <w:rFonts w:ascii="Arial" w:hAnsi="Arial"/>
          <w:b w:val="0"/>
        </w:rPr>
        <w:t xml:space="preserve">List of </w:t>
      </w:r>
      <w:r w:rsidR="00655A9F" w:rsidRPr="00FB6D4E">
        <w:rPr>
          <w:rFonts w:ascii="Arial" w:hAnsi="Arial"/>
          <w:b w:val="0"/>
        </w:rPr>
        <w:t xml:space="preserve">Delivered </w:t>
      </w:r>
      <w:r w:rsidR="00625078" w:rsidRPr="00FB6D4E">
        <w:rPr>
          <w:rFonts w:ascii="Arial" w:hAnsi="Arial"/>
          <w:b w:val="0"/>
        </w:rPr>
        <w:t>Results</w:t>
      </w:r>
      <w:bookmarkEnd w:id="56"/>
      <w:r w:rsidRPr="00FB6D4E">
        <w:rPr>
          <w:rFonts w:ascii="Arial" w:hAnsi="Arial"/>
          <w:b w:val="0"/>
        </w:rPr>
        <w:t xml:space="preserve"> </w:t>
      </w:r>
    </w:p>
    <w:tbl>
      <w:tblPr>
        <w:tblStyle w:val="TableGrid"/>
        <w:tblW w:w="14425" w:type="dxa"/>
        <w:tblLayout w:type="fixed"/>
        <w:tblLook w:val="01E0" w:firstRow="1" w:lastRow="1" w:firstColumn="1" w:lastColumn="1" w:noHBand="0" w:noVBand="0"/>
      </w:tblPr>
      <w:tblGrid>
        <w:gridCol w:w="1951"/>
        <w:gridCol w:w="2552"/>
        <w:gridCol w:w="9922"/>
      </w:tblGrid>
      <w:tr w:rsidR="001D1D8B" w:rsidRPr="00FB6D4E" w14:paraId="2F09B32A" w14:textId="77777777" w:rsidTr="00AF7350">
        <w:trPr>
          <w:trHeight w:val="424"/>
          <w:tblHeader/>
        </w:trPr>
        <w:tc>
          <w:tcPr>
            <w:tcW w:w="1951" w:type="dxa"/>
            <w:shd w:val="clear" w:color="auto" w:fill="D9D9D9"/>
            <w:vAlign w:val="center"/>
          </w:tcPr>
          <w:p w14:paraId="0C43FA86" w14:textId="77777777" w:rsidR="001D1D8B" w:rsidRPr="00FB6D4E" w:rsidRDefault="001D1D8B" w:rsidP="00226A72">
            <w:pPr>
              <w:jc w:val="center"/>
              <w:rPr>
                <w:sz w:val="20"/>
                <w:szCs w:val="20"/>
              </w:rPr>
            </w:pPr>
            <w:r w:rsidRPr="00FB6D4E">
              <w:rPr>
                <w:rFonts w:eastAsia="Calibri"/>
                <w:b/>
                <w:bCs/>
                <w:sz w:val="20"/>
                <w:szCs w:val="20"/>
              </w:rPr>
              <w:t>Expected Results</w:t>
            </w:r>
          </w:p>
        </w:tc>
        <w:tc>
          <w:tcPr>
            <w:tcW w:w="2552" w:type="dxa"/>
            <w:shd w:val="clear" w:color="auto" w:fill="D9D9D9"/>
            <w:vAlign w:val="center"/>
          </w:tcPr>
          <w:p w14:paraId="26EEACBD" w14:textId="77777777" w:rsidR="001D1D8B" w:rsidRPr="00FB6D4E" w:rsidRDefault="00B203EC" w:rsidP="00B203EC">
            <w:pPr>
              <w:jc w:val="center"/>
              <w:rPr>
                <w:sz w:val="20"/>
                <w:szCs w:val="20"/>
              </w:rPr>
            </w:pPr>
            <w:r>
              <w:rPr>
                <w:rFonts w:eastAsia="Calibri"/>
                <w:b/>
                <w:bCs/>
                <w:sz w:val="20"/>
                <w:szCs w:val="20"/>
              </w:rPr>
              <w:t xml:space="preserve">Project </w:t>
            </w:r>
            <w:r w:rsidR="00CE338B" w:rsidRPr="00FB6D4E">
              <w:rPr>
                <w:rFonts w:eastAsia="Calibri"/>
                <w:b/>
                <w:bCs/>
                <w:sz w:val="20"/>
                <w:szCs w:val="20"/>
              </w:rPr>
              <w:t>Target</w:t>
            </w:r>
            <w:r w:rsidR="006B3869" w:rsidRPr="00FB6D4E">
              <w:rPr>
                <w:rFonts w:eastAsia="Calibri"/>
                <w:b/>
                <w:bCs/>
                <w:sz w:val="20"/>
                <w:szCs w:val="20"/>
              </w:rPr>
              <w:t>s</w:t>
            </w:r>
            <w:r w:rsidR="001D1D8B" w:rsidRPr="00FB6D4E">
              <w:rPr>
                <w:rFonts w:eastAsia="Calibri"/>
                <w:b/>
                <w:bCs/>
                <w:sz w:val="20"/>
                <w:szCs w:val="20"/>
              </w:rPr>
              <w:t xml:space="preserve"> </w:t>
            </w:r>
          </w:p>
        </w:tc>
        <w:tc>
          <w:tcPr>
            <w:tcW w:w="9922" w:type="dxa"/>
            <w:shd w:val="clear" w:color="auto" w:fill="D9D9D9"/>
            <w:vAlign w:val="center"/>
          </w:tcPr>
          <w:p w14:paraId="2D65A222" w14:textId="0673F8D7" w:rsidR="001D1D8B" w:rsidRPr="00FB6D4E" w:rsidRDefault="001D1D8B" w:rsidP="00226A72">
            <w:pPr>
              <w:jc w:val="center"/>
              <w:rPr>
                <w:sz w:val="20"/>
                <w:szCs w:val="20"/>
              </w:rPr>
            </w:pPr>
            <w:r w:rsidRPr="00FB6D4E">
              <w:rPr>
                <w:rFonts w:eastAsia="Calibri"/>
                <w:b/>
                <w:bCs/>
                <w:sz w:val="20"/>
                <w:szCs w:val="20"/>
              </w:rPr>
              <w:t>Results</w:t>
            </w:r>
            <w:r w:rsidR="007538C1">
              <w:rPr>
                <w:rFonts w:eastAsia="Calibri"/>
                <w:b/>
                <w:bCs/>
                <w:sz w:val="20"/>
                <w:szCs w:val="20"/>
              </w:rPr>
              <w:t xml:space="preserve"> (Deliverables)</w:t>
            </w:r>
          </w:p>
        </w:tc>
      </w:tr>
      <w:tr w:rsidR="008B6A27" w:rsidRPr="00FB6D4E" w14:paraId="687497E6" w14:textId="77777777" w:rsidTr="008B6A27">
        <w:trPr>
          <w:trHeight w:val="608"/>
        </w:trPr>
        <w:tc>
          <w:tcPr>
            <w:tcW w:w="14425" w:type="dxa"/>
            <w:gridSpan w:val="3"/>
            <w:shd w:val="clear" w:color="auto" w:fill="FFCC99"/>
            <w:vAlign w:val="center"/>
          </w:tcPr>
          <w:p w14:paraId="3AE7C4C5" w14:textId="55699567" w:rsidR="008B6A27" w:rsidRPr="008B6A27" w:rsidRDefault="008B6A27" w:rsidP="008B6A27">
            <w:pPr>
              <w:widowControl/>
              <w:tabs>
                <w:tab w:val="left" w:pos="-720"/>
              </w:tabs>
              <w:rPr>
                <w:rFonts w:ascii="Arial" w:hAnsi="Arial"/>
                <w:b/>
                <w:bCs/>
                <w:sz w:val="18"/>
                <w:szCs w:val="22"/>
              </w:rPr>
            </w:pPr>
            <w:r w:rsidRPr="008B6A27">
              <w:rPr>
                <w:rFonts w:ascii="Arial" w:hAnsi="Arial"/>
                <w:b/>
                <w:bCs/>
                <w:sz w:val="18"/>
                <w:szCs w:val="22"/>
                <w:u w:val="single"/>
              </w:rPr>
              <w:t>Project objective</w:t>
            </w:r>
            <w:r w:rsidRPr="008B6A27">
              <w:rPr>
                <w:rFonts w:ascii="Arial" w:hAnsi="Arial"/>
                <w:b/>
                <w:bCs/>
                <w:sz w:val="18"/>
                <w:szCs w:val="22"/>
              </w:rPr>
              <w:t>: To build capacities for implementing environmental fiscal reforms (EFR) that will produce increased national and global environmental benefits through the adoption of selected subsidies, fees, fines, taxes and other appropriate fiscal instruments.</w:t>
            </w:r>
          </w:p>
        </w:tc>
      </w:tr>
      <w:tr w:rsidR="008B6A27" w:rsidRPr="00FB6D4E" w14:paraId="08C96511" w14:textId="77777777" w:rsidTr="00AF7350">
        <w:tc>
          <w:tcPr>
            <w:tcW w:w="1951" w:type="dxa"/>
            <w:shd w:val="clear" w:color="auto" w:fill="FFCC99"/>
          </w:tcPr>
          <w:p w14:paraId="28178D9B" w14:textId="0DAFF5C2" w:rsidR="008B6A27" w:rsidRPr="00FB2300" w:rsidRDefault="008B6A27" w:rsidP="004C0FE6">
            <w:pPr>
              <w:widowControl/>
              <w:tabs>
                <w:tab w:val="left" w:pos="-720"/>
              </w:tabs>
              <w:rPr>
                <w:rFonts w:ascii="Arial" w:hAnsi="Arial"/>
                <w:bCs/>
                <w:sz w:val="18"/>
                <w:szCs w:val="22"/>
              </w:rPr>
            </w:pPr>
            <w:r w:rsidRPr="00FB2300">
              <w:rPr>
                <w:rFonts w:ascii="Arial" w:hAnsi="Arial"/>
                <w:b/>
                <w:bCs/>
                <w:sz w:val="18"/>
                <w:szCs w:val="22"/>
              </w:rPr>
              <w:t xml:space="preserve">Outcome 1 </w:t>
            </w:r>
            <w:r w:rsidR="009B1822">
              <w:rPr>
                <w:rFonts w:ascii="Arial" w:hAnsi="Arial"/>
                <w:b/>
                <w:bCs/>
                <w:sz w:val="18"/>
                <w:szCs w:val="22"/>
              </w:rPr>
              <w:t>–</w:t>
            </w:r>
            <w:r w:rsidRPr="00FB2300">
              <w:rPr>
                <w:rFonts w:ascii="Arial" w:hAnsi="Arial"/>
                <w:bCs/>
                <w:sz w:val="18"/>
                <w:szCs w:val="22"/>
              </w:rPr>
              <w:t xml:space="preserve"> Reform of environmentally harmful subsidies, green subsidies as well as environmental charges:</w:t>
            </w:r>
          </w:p>
          <w:p w14:paraId="2AA04009" w14:textId="77777777" w:rsidR="008B6A27" w:rsidRPr="00FB2300" w:rsidRDefault="008B6A27" w:rsidP="004C0FE6">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1.1: </w:t>
            </w:r>
            <w:r w:rsidRPr="00FB2300">
              <w:rPr>
                <w:rFonts w:ascii="Arial" w:hAnsi="Arial"/>
                <w:bCs/>
                <w:sz w:val="18"/>
                <w:szCs w:val="22"/>
              </w:rPr>
              <w:t xml:space="preserve">Introduce policy reform in the area of environmentally harmful subsidies </w:t>
            </w:r>
          </w:p>
          <w:p w14:paraId="5E00E341" w14:textId="77777777" w:rsidR="008B6A27" w:rsidRDefault="008B6A27" w:rsidP="00AE6137">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1.2: </w:t>
            </w:r>
            <w:r w:rsidRPr="00FB2300">
              <w:rPr>
                <w:rFonts w:ascii="Arial" w:hAnsi="Arial"/>
                <w:bCs/>
                <w:sz w:val="18"/>
                <w:szCs w:val="22"/>
              </w:rPr>
              <w:t>Reform of environmental charges and facilitation of eco-technology investments</w:t>
            </w:r>
          </w:p>
          <w:p w14:paraId="222B30AB" w14:textId="631B2CDF" w:rsidR="008B6A27" w:rsidRPr="00BD7735" w:rsidRDefault="008B6A27" w:rsidP="00AE6137">
            <w:pPr>
              <w:widowControl/>
              <w:numPr>
                <w:ilvl w:val="0"/>
                <w:numId w:val="12"/>
              </w:numPr>
              <w:tabs>
                <w:tab w:val="clear" w:pos="720"/>
                <w:tab w:val="left" w:pos="-720"/>
                <w:tab w:val="num" w:pos="284"/>
              </w:tabs>
              <w:ind w:left="284" w:hanging="142"/>
              <w:rPr>
                <w:rFonts w:ascii="Arial" w:hAnsi="Arial"/>
                <w:bCs/>
                <w:sz w:val="18"/>
                <w:szCs w:val="22"/>
              </w:rPr>
            </w:pPr>
            <w:r w:rsidRPr="00BD7735">
              <w:rPr>
                <w:rFonts w:ascii="Arial" w:hAnsi="Arial"/>
                <w:b/>
                <w:bCs/>
                <w:i/>
                <w:sz w:val="18"/>
                <w:szCs w:val="22"/>
              </w:rPr>
              <w:t xml:space="preserve">Output 1.3: </w:t>
            </w:r>
            <w:r w:rsidRPr="00BD7735">
              <w:rPr>
                <w:rFonts w:ascii="Arial" w:hAnsi="Arial"/>
                <w:bCs/>
                <w:sz w:val="18"/>
                <w:szCs w:val="22"/>
              </w:rPr>
              <w:t>Improved regulations and operational management of the National and Local Ecological Funds (NEF/LEFs).</w:t>
            </w:r>
          </w:p>
        </w:tc>
        <w:tc>
          <w:tcPr>
            <w:tcW w:w="2552" w:type="dxa"/>
            <w:tcBorders>
              <w:bottom w:val="nil"/>
            </w:tcBorders>
            <w:shd w:val="clear" w:color="auto" w:fill="FFCC99"/>
          </w:tcPr>
          <w:p w14:paraId="539EE169" w14:textId="77777777" w:rsidR="008B6A27" w:rsidRPr="00FB2300"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FB2300">
              <w:rPr>
                <w:rFonts w:ascii="Arial" w:hAnsi="Arial"/>
                <w:b/>
                <w:bCs/>
                <w:i/>
                <w:sz w:val="18"/>
                <w:szCs w:val="22"/>
              </w:rPr>
              <w:t xml:space="preserve">Target (Year 1): </w:t>
            </w:r>
          </w:p>
          <w:p w14:paraId="113A4EA4"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Identification of tax and duties on energy and agriculture products </w:t>
            </w:r>
          </w:p>
          <w:p w14:paraId="04E7A6B9"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Market analysis for eco-technology solutions </w:t>
            </w:r>
          </w:p>
          <w:p w14:paraId="45F3C313"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Procedures for PCM for NEF/LEFs spending areas</w:t>
            </w:r>
          </w:p>
          <w:p w14:paraId="338F8EC3" w14:textId="77777777" w:rsidR="008B6A27" w:rsidRPr="00764018"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2)</w:t>
            </w:r>
          </w:p>
          <w:p w14:paraId="2564A708" w14:textId="77777777" w:rsidR="008B6A27" w:rsidRPr="00FB2300" w:rsidRDefault="008B6A27" w:rsidP="004C0FE6">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 xml:space="preserve">Identification of options for greening and reforming subsidies and charges </w:t>
            </w:r>
          </w:p>
          <w:p w14:paraId="2168AFBB"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Short and long-term spending strategy of NEF/LEFs</w:t>
            </w:r>
          </w:p>
          <w:p w14:paraId="482A59E5" w14:textId="77777777" w:rsidR="008B6A27" w:rsidRPr="00764018"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3)</w:t>
            </w:r>
          </w:p>
          <w:p w14:paraId="0942BC9C" w14:textId="1BC7928A" w:rsidR="008B6A27" w:rsidRPr="00D76E1E" w:rsidRDefault="008B6A27" w:rsidP="00BD7735">
            <w:pPr>
              <w:pStyle w:val="ListParagraph"/>
              <w:widowControl/>
              <w:numPr>
                <w:ilvl w:val="0"/>
                <w:numId w:val="44"/>
              </w:numPr>
              <w:tabs>
                <w:tab w:val="left" w:pos="-720"/>
              </w:tabs>
              <w:ind w:left="309" w:hanging="141"/>
              <w:rPr>
                <w:sz w:val="20"/>
                <w:szCs w:val="20"/>
              </w:rPr>
            </w:pPr>
            <w:r w:rsidRPr="00FB2300">
              <w:rPr>
                <w:rFonts w:ascii="Arial" w:hAnsi="Arial"/>
                <w:bCs/>
                <w:sz w:val="18"/>
                <w:szCs w:val="22"/>
              </w:rPr>
              <w:t>Recommendations for legislative texts and technical guidelines elaborated and submitted for and adoption</w:t>
            </w:r>
          </w:p>
        </w:tc>
        <w:tc>
          <w:tcPr>
            <w:tcW w:w="9922" w:type="dxa"/>
            <w:tcBorders>
              <w:bottom w:val="nil"/>
            </w:tcBorders>
          </w:tcPr>
          <w:p w14:paraId="580A95C4"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A study on organic agriculture elaborating proposals on improving the system of agriculture subsidies. </w:t>
            </w:r>
          </w:p>
          <w:p w14:paraId="79A5CBDB"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Based on this study a proposal for legal modifications for greening the existing subsidies in agriculture was elaborated. </w:t>
            </w:r>
          </w:p>
          <w:p w14:paraId="27929292" w14:textId="5EE23919"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The study was presented and discussed during a roundtable with the participation of the Ministry of Environment and Ministry of Agriculture and Food Industry (MAFI) (including the Ministers), farmers, civil society and media. </w:t>
            </w:r>
          </w:p>
          <w:p w14:paraId="51753DDF"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Based on the study findings and on discussion proposals, a draft law was elaborated, amending the existing legal framework designed to support the development of organic farming, including the system of subsidies. </w:t>
            </w:r>
          </w:p>
          <w:p w14:paraId="607E8352" w14:textId="5F7159F9"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Within MAFI a working group was created that will promote the approval of this law.</w:t>
            </w:r>
          </w:p>
          <w:p w14:paraId="4D08B9BA" w14:textId="39268D99" w:rsidR="008B6A27" w:rsidRPr="00A57330" w:rsidRDefault="008B6A27" w:rsidP="00481789">
            <w:pPr>
              <w:widowControl/>
              <w:numPr>
                <w:ilvl w:val="0"/>
                <w:numId w:val="18"/>
              </w:numPr>
              <w:tabs>
                <w:tab w:val="clear" w:pos="360"/>
                <w:tab w:val="num" w:pos="90"/>
              </w:tabs>
              <w:autoSpaceDE/>
              <w:autoSpaceDN/>
              <w:adjustRightInd/>
              <w:ind w:left="91" w:hanging="142"/>
              <w:rPr>
                <w:sz w:val="20"/>
                <w:szCs w:val="20"/>
              </w:rPr>
            </w:pPr>
            <w:r w:rsidRPr="00A57330">
              <w:rPr>
                <w:sz w:val="20"/>
                <w:szCs w:val="20"/>
              </w:rPr>
              <w:t>A comprehensive assessment of the energy subsidy scheme in Moldova and its environmental impacts was elaborated in cooperation with OECD team of international and local experts</w:t>
            </w:r>
            <w:r w:rsidR="002D0F0E" w:rsidRPr="00A57330">
              <w:rPr>
                <w:sz w:val="20"/>
                <w:szCs w:val="20"/>
              </w:rPr>
              <w:t xml:space="preserve"> </w:t>
            </w:r>
            <w:r w:rsidRPr="00A57330">
              <w:rPr>
                <w:sz w:val="20"/>
                <w:szCs w:val="20"/>
              </w:rPr>
              <w:t>to assist the Moldovan government to better understand the nature and scale of their policies supporting fossil fuels and related environmentally harmful energy subsidy schemes. The analysis was also supported by a model that quantifies a few major energy subsidy schemes (VAT, subsidies to gas suppliers) in Moldova and their environmental (particularly with regard to CO2 emissions), economic and social impacts in the country. Several institutions and companies contributed to the work of the expert team, including Ministry of Economy, National Agency for Energy Regulation,</w:t>
            </w:r>
            <w:r w:rsidR="00481789" w:rsidRPr="00A57330">
              <w:rPr>
                <w:sz w:val="20"/>
                <w:szCs w:val="20"/>
              </w:rPr>
              <w:t xml:space="preserve"> and</w:t>
            </w:r>
            <w:r w:rsidRPr="00A57330">
              <w:rPr>
                <w:sz w:val="20"/>
                <w:szCs w:val="20"/>
              </w:rPr>
              <w:t xml:space="preserve"> major energy companies like CHP2, Termocom SA, GazNatural Fenosa SA. </w:t>
            </w:r>
          </w:p>
          <w:p w14:paraId="7080D7B3" w14:textId="64AF3FF9"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The study was presented to key stakeholders. The efforts resulted in concrete legal and/or regulatory reform proposals aiming at reducing environmental impacts of the energy sector.</w:t>
            </w:r>
          </w:p>
          <w:p w14:paraId="52C127ED"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An assessment of the current system of environmental taxes and proposals for reforms of the pollution charge system. </w:t>
            </w:r>
          </w:p>
          <w:p w14:paraId="596A29AC"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Based on this assessment and the best EU practices in environmental charges, several options for environmental charges were proposed. The four options were subject to a brief assessment against the following criteria: political feasibility, macroeconomic impact, environmental impact, administrative efficiency and cost, and acceptance by industry.  For the packaging and WEEE taxes, a management system was proposed together with the quantum of the fees, the economic, financial and environmental impact assessments. </w:t>
            </w:r>
          </w:p>
          <w:p w14:paraId="620755B9"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The findings were presented and discussed during a workshop with the participation of CPA, the business community, and environmental NGOs. </w:t>
            </w:r>
          </w:p>
          <w:p w14:paraId="19DFD1FC" w14:textId="4E709371"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An inter-ministerial working group was created in order to elaborate the new environmental charges and the legal framework and regulation in accordance with national policies. This group, supported by the project’s experts, has the task to propose and promote for approval the package of modifications of legal acts related to environmental taxes in accordance with EU requirements.</w:t>
            </w:r>
          </w:p>
          <w:p w14:paraId="3FFFD67C" w14:textId="77777777"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 xml:space="preserve">A market analysis of financial instruments facilitating eco-technologies in the Republic of Moldova was conducted.  The study presents specific recommendations on how to improve the legal framework and promotional activities of increasing the knowledge base on the availability and usefulness of eco-technology solutions and financing mechanisms at hand. </w:t>
            </w:r>
          </w:p>
          <w:p w14:paraId="3A877003" w14:textId="54D424CB" w:rsidR="008B6A27" w:rsidRPr="00A57330" w:rsidRDefault="008B6A27" w:rsidP="004C0FE6">
            <w:pPr>
              <w:widowControl/>
              <w:numPr>
                <w:ilvl w:val="0"/>
                <w:numId w:val="18"/>
              </w:numPr>
              <w:tabs>
                <w:tab w:val="clear" w:pos="360"/>
                <w:tab w:val="num" w:pos="90"/>
              </w:tabs>
              <w:autoSpaceDE/>
              <w:autoSpaceDN/>
              <w:adjustRightInd/>
              <w:ind w:left="91" w:hanging="142"/>
              <w:rPr>
                <w:sz w:val="20"/>
                <w:szCs w:val="20"/>
              </w:rPr>
            </w:pPr>
            <w:r w:rsidRPr="00A57330">
              <w:rPr>
                <w:sz w:val="20"/>
                <w:szCs w:val="20"/>
              </w:rPr>
              <w:t>The findings and recommendations of the study were presented during a roundtable with over 40 representatives of CPA, civil society and the private sector.</w:t>
            </w:r>
          </w:p>
          <w:p w14:paraId="5031279C" w14:textId="192BF00A" w:rsidR="008B6A27" w:rsidRPr="00A57330" w:rsidRDefault="008B6A27" w:rsidP="00A83048">
            <w:pPr>
              <w:widowControl/>
              <w:numPr>
                <w:ilvl w:val="0"/>
                <w:numId w:val="18"/>
              </w:numPr>
              <w:tabs>
                <w:tab w:val="clear" w:pos="360"/>
                <w:tab w:val="num" w:pos="90"/>
              </w:tabs>
              <w:autoSpaceDE/>
              <w:autoSpaceDN/>
              <w:adjustRightInd/>
              <w:ind w:left="91" w:hanging="142"/>
              <w:rPr>
                <w:sz w:val="20"/>
                <w:szCs w:val="20"/>
              </w:rPr>
            </w:pPr>
            <w:r w:rsidRPr="00A57330">
              <w:rPr>
                <w:sz w:val="20"/>
                <w:szCs w:val="20"/>
              </w:rPr>
              <w:t>The project provide</w:t>
            </w:r>
            <w:r w:rsidR="00A83048" w:rsidRPr="00A57330">
              <w:rPr>
                <w:sz w:val="20"/>
                <w:szCs w:val="20"/>
              </w:rPr>
              <w:t>d</w:t>
            </w:r>
            <w:r w:rsidRPr="00A57330">
              <w:rPr>
                <w:sz w:val="20"/>
                <w:szCs w:val="20"/>
              </w:rPr>
              <w:t xml:space="preserve"> the necessary support in justification, capacity building and elaboration of the new legal regulation to restructure the National Environmental Fund (NEF). A triennial spending strategy was elaborated and included in the Operational Manual, which reflects the principles of elaboration of the spending strategy of the NEF. Unfortunately, </w:t>
            </w:r>
            <w:r w:rsidR="00482254" w:rsidRPr="00A57330">
              <w:rPr>
                <w:sz w:val="20"/>
                <w:szCs w:val="20"/>
              </w:rPr>
              <w:t>insufficient political support and ordinary Parliamentary Election on 30 November 2014, followed by long period (almost 3 months) of creation of the new Government d</w:t>
            </w:r>
            <w:r w:rsidR="00A83048" w:rsidRPr="00A57330">
              <w:rPr>
                <w:sz w:val="20"/>
                <w:szCs w:val="20"/>
              </w:rPr>
              <w:t xml:space="preserve">elayed the </w:t>
            </w:r>
            <w:r w:rsidRPr="00A57330">
              <w:rPr>
                <w:sz w:val="20"/>
                <w:szCs w:val="20"/>
              </w:rPr>
              <w:t xml:space="preserve">approval of the NEF reform-related documents. </w:t>
            </w:r>
            <w:r w:rsidR="00A83048" w:rsidRPr="00A57330">
              <w:rPr>
                <w:sz w:val="20"/>
                <w:szCs w:val="20"/>
              </w:rPr>
              <w:t>As of the time of this evaluation, i</w:t>
            </w:r>
            <w:r w:rsidRPr="00A57330">
              <w:rPr>
                <w:sz w:val="20"/>
                <w:szCs w:val="20"/>
              </w:rPr>
              <w:t xml:space="preserve">t seems that the new leadership of </w:t>
            </w:r>
            <w:r w:rsidR="00A83048" w:rsidRPr="00A57330">
              <w:rPr>
                <w:sz w:val="20"/>
                <w:szCs w:val="20"/>
              </w:rPr>
              <w:t xml:space="preserve">MOE </w:t>
            </w:r>
            <w:r w:rsidRPr="00A57330">
              <w:rPr>
                <w:sz w:val="20"/>
                <w:szCs w:val="20"/>
              </w:rPr>
              <w:t>is ready to accelerate the approval process of these documents till the end of this year.</w:t>
            </w:r>
          </w:p>
        </w:tc>
      </w:tr>
      <w:tr w:rsidR="008B6A27" w:rsidRPr="00FB6D4E" w14:paraId="75FF91D7" w14:textId="77777777" w:rsidTr="00BD7735">
        <w:tc>
          <w:tcPr>
            <w:tcW w:w="1951" w:type="dxa"/>
            <w:tcBorders>
              <w:bottom w:val="single" w:sz="4" w:space="0" w:color="auto"/>
            </w:tcBorders>
            <w:shd w:val="clear" w:color="auto" w:fill="FFCC99"/>
          </w:tcPr>
          <w:p w14:paraId="7923A5F0" w14:textId="77777777" w:rsidR="008B6A27" w:rsidRPr="00FB2300" w:rsidRDefault="008B6A27" w:rsidP="004C0FE6">
            <w:pPr>
              <w:widowControl/>
              <w:tabs>
                <w:tab w:val="left" w:pos="-720"/>
              </w:tabs>
              <w:rPr>
                <w:rFonts w:ascii="Arial" w:hAnsi="Arial"/>
                <w:bCs/>
                <w:sz w:val="18"/>
                <w:szCs w:val="22"/>
              </w:rPr>
            </w:pPr>
            <w:r w:rsidRPr="00FB2300">
              <w:rPr>
                <w:rFonts w:ascii="Arial" w:hAnsi="Arial"/>
                <w:b/>
                <w:bCs/>
                <w:sz w:val="18"/>
                <w:szCs w:val="22"/>
              </w:rPr>
              <w:t>Outcome 2:</w:t>
            </w:r>
            <w:r w:rsidRPr="00FB2300">
              <w:rPr>
                <w:rFonts w:ascii="Arial" w:hAnsi="Arial"/>
                <w:bCs/>
                <w:sz w:val="18"/>
                <w:szCs w:val="22"/>
              </w:rPr>
              <w:t xml:space="preserve"> Capacity development to engage and build consensus among all stakeholders:</w:t>
            </w:r>
          </w:p>
          <w:p w14:paraId="67A1DA3A" w14:textId="77777777" w:rsidR="008B6A27" w:rsidRPr="00FB2300" w:rsidRDefault="008B6A27" w:rsidP="004C0FE6">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2.1: </w:t>
            </w:r>
            <w:r w:rsidRPr="00FB2300">
              <w:rPr>
                <w:rFonts w:ascii="Arial" w:hAnsi="Arial"/>
                <w:bCs/>
                <w:sz w:val="18"/>
                <w:szCs w:val="22"/>
              </w:rPr>
              <w:t>Capacity building for EFR</w:t>
            </w:r>
          </w:p>
          <w:p w14:paraId="4106B8BB" w14:textId="77777777" w:rsidR="008B6A27" w:rsidRDefault="008B6A27" w:rsidP="00D55160">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2.2: </w:t>
            </w:r>
            <w:r w:rsidRPr="00FB2300">
              <w:rPr>
                <w:rFonts w:ascii="Arial" w:hAnsi="Arial"/>
                <w:bCs/>
                <w:sz w:val="18"/>
                <w:szCs w:val="22"/>
              </w:rPr>
              <w:t>Communication and awareness</w:t>
            </w:r>
          </w:p>
          <w:p w14:paraId="3136E50A" w14:textId="39E9A5A4" w:rsidR="008B6A27" w:rsidRPr="00BD7735" w:rsidRDefault="008B6A27" w:rsidP="00D55160">
            <w:pPr>
              <w:widowControl/>
              <w:numPr>
                <w:ilvl w:val="0"/>
                <w:numId w:val="12"/>
              </w:numPr>
              <w:tabs>
                <w:tab w:val="clear" w:pos="720"/>
                <w:tab w:val="left" w:pos="-720"/>
                <w:tab w:val="num" w:pos="284"/>
              </w:tabs>
              <w:ind w:left="284" w:hanging="142"/>
              <w:rPr>
                <w:rFonts w:ascii="Arial" w:hAnsi="Arial"/>
                <w:bCs/>
                <w:sz w:val="18"/>
                <w:szCs w:val="22"/>
              </w:rPr>
            </w:pPr>
            <w:r w:rsidRPr="00BD7735">
              <w:rPr>
                <w:rFonts w:ascii="Arial" w:hAnsi="Arial"/>
                <w:b/>
                <w:bCs/>
                <w:i/>
                <w:sz w:val="18"/>
                <w:szCs w:val="22"/>
              </w:rPr>
              <w:t xml:space="preserve">Output 2.3: </w:t>
            </w:r>
            <w:r w:rsidRPr="00BD7735">
              <w:rPr>
                <w:rFonts w:ascii="Arial" w:hAnsi="Arial"/>
                <w:bCs/>
                <w:sz w:val="18"/>
                <w:szCs w:val="22"/>
              </w:rPr>
              <w:t>A political dialogue is established</w:t>
            </w:r>
          </w:p>
        </w:tc>
        <w:tc>
          <w:tcPr>
            <w:tcW w:w="2552" w:type="dxa"/>
            <w:tcBorders>
              <w:bottom w:val="single" w:sz="4" w:space="0" w:color="auto"/>
            </w:tcBorders>
            <w:shd w:val="clear" w:color="auto" w:fill="FFCC99"/>
          </w:tcPr>
          <w:p w14:paraId="7E866E97" w14:textId="77777777" w:rsidR="008B6A27" w:rsidRPr="00442CB2"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064D988F"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training needs assessment conducted</w:t>
            </w:r>
          </w:p>
          <w:p w14:paraId="69E2699B"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information campaign is designed</w:t>
            </w:r>
          </w:p>
          <w:p w14:paraId="2DFA6056"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An EFR website is developed, put </w:t>
            </w:r>
            <w:r>
              <w:rPr>
                <w:rFonts w:ascii="Arial" w:hAnsi="Arial"/>
                <w:bCs/>
                <w:sz w:val="18"/>
                <w:szCs w:val="22"/>
              </w:rPr>
              <w:t>online and continuously updated</w:t>
            </w:r>
          </w:p>
          <w:p w14:paraId="794E94D6" w14:textId="77777777" w:rsidR="008B6A27" w:rsidRPr="00442CB2"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56B0CE87"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set of training sessions are implemented in line with the training needs assessment</w:t>
            </w:r>
          </w:p>
          <w:p w14:paraId="57EFE363"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w:t>
            </w:r>
            <w:r>
              <w:rPr>
                <w:rFonts w:ascii="Arial" w:hAnsi="Arial"/>
                <w:bCs/>
                <w:sz w:val="18"/>
                <w:szCs w:val="22"/>
              </w:rPr>
              <w:t>rmation campaign is implemented</w:t>
            </w:r>
          </w:p>
          <w:p w14:paraId="28F33EB5" w14:textId="77777777" w:rsidR="008B6A27" w:rsidRPr="00442CB2"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6557B480" w14:textId="77777777" w:rsidR="008B6A27" w:rsidRDefault="008B6A27" w:rsidP="00BD7735">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Three case studies are published based the lessons learned related to improved national financing for CBD, CCD, and FCCC implementation through the EFR in Moldova </w:t>
            </w:r>
          </w:p>
          <w:p w14:paraId="1499ADF2" w14:textId="70B481D7" w:rsidR="008B6A27" w:rsidRPr="00BD7735" w:rsidRDefault="008B6A27" w:rsidP="00BD7735">
            <w:pPr>
              <w:pStyle w:val="ListParagraph"/>
              <w:widowControl/>
              <w:numPr>
                <w:ilvl w:val="0"/>
                <w:numId w:val="44"/>
              </w:numPr>
              <w:tabs>
                <w:tab w:val="left" w:pos="-720"/>
              </w:tabs>
              <w:ind w:left="309" w:hanging="141"/>
              <w:rPr>
                <w:rFonts w:ascii="Arial" w:hAnsi="Arial"/>
                <w:bCs/>
                <w:sz w:val="18"/>
                <w:szCs w:val="22"/>
              </w:rPr>
            </w:pPr>
            <w:r w:rsidRPr="00BD7735">
              <w:rPr>
                <w:rFonts w:ascii="Arial" w:hAnsi="Arial"/>
                <w:bCs/>
                <w:sz w:val="18"/>
                <w:szCs w:val="22"/>
              </w:rPr>
              <w:t>Capacity Scorecard ratings show improvement at final evaluation</w:t>
            </w:r>
          </w:p>
        </w:tc>
        <w:tc>
          <w:tcPr>
            <w:tcW w:w="9922" w:type="dxa"/>
            <w:tcBorders>
              <w:bottom w:val="single" w:sz="4" w:space="0" w:color="auto"/>
            </w:tcBorders>
          </w:tcPr>
          <w:p w14:paraId="1A959028" w14:textId="77777777" w:rsidR="008B6A27"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Capacity development on the EFR stakeholders was based on an extensive needs assessment and capacity development plan for the use of economic instruments in environment policy-making. </w:t>
            </w:r>
          </w:p>
          <w:p w14:paraId="084295DC" w14:textId="77777777" w:rsidR="008B6A27"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Two round workshops for 44 representatives of both CPA and LPA </w:t>
            </w:r>
            <w:r>
              <w:rPr>
                <w:sz w:val="20"/>
                <w:szCs w:val="20"/>
              </w:rPr>
              <w:t xml:space="preserve">were </w:t>
            </w:r>
            <w:r w:rsidRPr="004C0FE6">
              <w:rPr>
                <w:sz w:val="20"/>
                <w:szCs w:val="20"/>
              </w:rPr>
              <w:t xml:space="preserve">organized. </w:t>
            </w:r>
          </w:p>
          <w:p w14:paraId="4E22E7A3" w14:textId="2398EA82" w:rsidR="008B6A27" w:rsidRPr="004C0FE6" w:rsidRDefault="00481789" w:rsidP="004C0FE6">
            <w:pPr>
              <w:widowControl/>
              <w:numPr>
                <w:ilvl w:val="0"/>
                <w:numId w:val="18"/>
              </w:numPr>
              <w:tabs>
                <w:tab w:val="clear" w:pos="360"/>
                <w:tab w:val="num" w:pos="90"/>
              </w:tabs>
              <w:autoSpaceDE/>
              <w:autoSpaceDN/>
              <w:adjustRightInd/>
              <w:ind w:left="91" w:hanging="142"/>
              <w:rPr>
                <w:sz w:val="20"/>
                <w:szCs w:val="20"/>
              </w:rPr>
            </w:pPr>
            <w:r>
              <w:rPr>
                <w:sz w:val="20"/>
                <w:szCs w:val="20"/>
              </w:rPr>
              <w:t xml:space="preserve">Two training manuals </w:t>
            </w:r>
            <w:r w:rsidR="008B6A27" w:rsidRPr="004C0FE6">
              <w:rPr>
                <w:sz w:val="20"/>
                <w:szCs w:val="20"/>
              </w:rPr>
              <w:t xml:space="preserve">on the Role of economic instruments in environmental policy and </w:t>
            </w:r>
            <w:r>
              <w:rPr>
                <w:sz w:val="20"/>
                <w:szCs w:val="20"/>
              </w:rPr>
              <w:t xml:space="preserve">on </w:t>
            </w:r>
            <w:r w:rsidR="008B6A27" w:rsidRPr="004C0FE6">
              <w:rPr>
                <w:sz w:val="20"/>
                <w:szCs w:val="20"/>
              </w:rPr>
              <w:t xml:space="preserve">Ecological Funds were developed and widely disseminated.  </w:t>
            </w:r>
          </w:p>
          <w:p w14:paraId="13571FF8" w14:textId="77777777" w:rsidR="008B6A27"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A study visit to Czech Republic was conducted in partnership with the regional UNDP and Czech Trust Fund. The group of participants for the study visit consisted of 7 participants from NEF, Ministry of Finance, State Chancellery and EFR project. The study visit agenda included meetings and discussions at the Czech Ministry of Environment, State Environmental Fund (SEF), Ministry of Finance and workshops concerning legal and institutional framework, principles, financing structure of SEF programs in the Czech Republic, and the management and implementation of projects financed by SEF and EU funds. </w:t>
            </w:r>
          </w:p>
          <w:p w14:paraId="2C1D45B0" w14:textId="107223DF"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The project also supported the participation of the Minister of Environment at high-level meetings in the Czech Republic. As a result, an inter-ministerial memorandum of cooperation between Moldova and the Czech Republic has been prepared and signed.</w:t>
            </w:r>
          </w:p>
          <w:p w14:paraId="0DBED40E" w14:textId="77777777" w:rsidR="008B6A27"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Two study visits (one for CPAs representatives and one for pilot LPAs) for an exchange of experience in EFR, especially regarding the reform and implementation of environmental taxation system organized in Poland in cooperation with Information Centre for Local Public Authorities /Poland Solidarity Fund Representative Office in Moldova for 20 persons </w:t>
            </w:r>
            <w:r>
              <w:rPr>
                <w:sz w:val="20"/>
                <w:szCs w:val="20"/>
              </w:rPr>
              <w:t xml:space="preserve">as an </w:t>
            </w:r>
            <w:r w:rsidRPr="004C0FE6">
              <w:rPr>
                <w:sz w:val="20"/>
                <w:szCs w:val="20"/>
              </w:rPr>
              <w:t>exchange of experience</w:t>
            </w:r>
            <w:r>
              <w:rPr>
                <w:sz w:val="20"/>
                <w:szCs w:val="20"/>
              </w:rPr>
              <w:t>s</w:t>
            </w:r>
            <w:r w:rsidRPr="004C0FE6">
              <w:rPr>
                <w:sz w:val="20"/>
                <w:szCs w:val="20"/>
              </w:rPr>
              <w:t xml:space="preserve"> in reform and implementation of environmental taxation system. </w:t>
            </w:r>
          </w:p>
          <w:p w14:paraId="7A0732DF" w14:textId="6CD9DD4C"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Following the contacts made during the study visit from August 2015 at the National Fund for Environmental Protection and Water Management from Poland there was submitted an invitation to the colleagues from Moldova to carry out an internship in the Fund. In this respect will be ensured a better coordination of exchange of Polish experience to the representatives of the National Environmental Fund of the Republic of Moldova on issues regarding the institutionalization of EFR measures.</w:t>
            </w:r>
          </w:p>
          <w:p w14:paraId="4B7E3B13" w14:textId="2E70F30D"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A Communication activity plan to inform the target group on the Environmental Fiscal Reform essence and benefits, as well as information dissemination about the project activities was updated and consulted with all project stakeholders.  </w:t>
            </w:r>
          </w:p>
          <w:p w14:paraId="44AD18AD" w14:textId="5B545C7E"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The web portal </w:t>
            </w:r>
            <w:hyperlink r:id="rId23" w:history="1">
              <w:r w:rsidRPr="0034785B">
                <w:rPr>
                  <w:rStyle w:val="Hyperlink"/>
                  <w:sz w:val="20"/>
                  <w:szCs w:val="20"/>
                </w:rPr>
                <w:t>www.green.gov.md</w:t>
              </w:r>
            </w:hyperlink>
            <w:r>
              <w:rPr>
                <w:sz w:val="20"/>
                <w:szCs w:val="20"/>
              </w:rPr>
              <w:t xml:space="preserve"> was </w:t>
            </w:r>
            <w:r w:rsidRPr="004C0FE6">
              <w:rPr>
                <w:sz w:val="20"/>
                <w:szCs w:val="20"/>
              </w:rPr>
              <w:t xml:space="preserve">developed and maintained by the project. The portal represents a platform to promote the environmental fiscal reform, sustainable development and green economy concepts, decentralization policies and other sector reforms, all in one having the purpose to ensure a sustainable and green development of the Republic of Moldova. </w:t>
            </w:r>
          </w:p>
          <w:p w14:paraId="3F9882CF" w14:textId="77777777"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Three videos illustrating the environmental fiscal reform benefits were produced. These three films target different audiences: local and central government decision makers, business people and the general public (with a focus on young people), and will explain in simple terms how improved local and national fiscal mechanisms can stimulate greening efforts and contribute to environmental protection, business development and community development at the local level. The films were broadcasted on several television channels.</w:t>
            </w:r>
          </w:p>
          <w:p w14:paraId="571A140B" w14:textId="77777777" w:rsidR="008B6A27"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Two more popular studies on the financial instruments to promote eco-technologies and on organic farming and greening agriculture, elaborated under project, was published both in Romanian and English languages and was distributed to the beneficiaries. </w:t>
            </w:r>
          </w:p>
          <w:p w14:paraId="58DF107F" w14:textId="0BC1B92A"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At least 7 articles published in the national mass media regarding EFR benefits, including</w:t>
            </w:r>
            <w:r w:rsidR="00A0386B">
              <w:rPr>
                <w:sz w:val="20"/>
                <w:szCs w:val="20"/>
              </w:rPr>
              <w:t xml:space="preserve"> promotional page on newspaper “</w:t>
            </w:r>
            <w:r w:rsidRPr="004C0FE6">
              <w:rPr>
                <w:sz w:val="20"/>
                <w:szCs w:val="20"/>
              </w:rPr>
              <w:t>Natura”, titled “</w:t>
            </w:r>
            <w:r w:rsidRPr="00A0386B">
              <w:rPr>
                <w:i/>
                <w:sz w:val="20"/>
                <w:szCs w:val="20"/>
              </w:rPr>
              <w:t>What is Environmental Fiscal Reform?</w:t>
            </w:r>
            <w:r>
              <w:rPr>
                <w:sz w:val="20"/>
                <w:szCs w:val="20"/>
              </w:rPr>
              <w:t>’</w:t>
            </w:r>
          </w:p>
          <w:p w14:paraId="17967031" w14:textId="28AC6EEB"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Several national and international events were organized by EFR project involvement. On April 8, 2014, UNDP in partnership with the Government of Moldova, with the financial support of the Government of Denmark, organized a high-level international conference </w:t>
            </w:r>
            <w:r w:rsidR="00482254" w:rsidRPr="00482254">
              <w:rPr>
                <w:sz w:val="20"/>
                <w:szCs w:val="20"/>
              </w:rPr>
              <w:t>“</w:t>
            </w:r>
            <w:r w:rsidR="00482254" w:rsidRPr="00482254">
              <w:rPr>
                <w:i/>
                <w:sz w:val="20"/>
                <w:szCs w:val="20"/>
              </w:rPr>
              <w:t>Green Sustainable Growth: Moldova’s Offer</w:t>
            </w:r>
            <w:r w:rsidR="00482254" w:rsidRPr="00482254">
              <w:rPr>
                <w:sz w:val="20"/>
                <w:szCs w:val="20"/>
              </w:rPr>
              <w:t xml:space="preserve">” </w:t>
            </w:r>
            <w:r w:rsidRPr="004C0FE6">
              <w:rPr>
                <w:sz w:val="20"/>
                <w:szCs w:val="20"/>
              </w:rPr>
              <w:t xml:space="preserve">dedicated to sustainable development and green economy of the country. EFR project participated in the organization of the conference, during which, under the aegis of the Prime Minister, Moldovan Ministers of Economy, Agriculture and Environment have signed a Declaration of Intention on promoting SDGE. The Declaration of Intention, widely disseminated in the press, confirmed the intention of government institutions to coordinate efforts in the area </w:t>
            </w:r>
            <w:r>
              <w:rPr>
                <w:sz w:val="20"/>
                <w:szCs w:val="20"/>
              </w:rPr>
              <w:t xml:space="preserve">of </w:t>
            </w:r>
            <w:r w:rsidRPr="004C0FE6">
              <w:rPr>
                <w:sz w:val="20"/>
                <w:szCs w:val="20"/>
              </w:rPr>
              <w:t>SDGE, and is a suitable starting point for the launch and implementation of a joint platform on sustainable development and green economy in Moldova.</w:t>
            </w:r>
          </w:p>
          <w:p w14:paraId="015AD1AF" w14:textId="62BAEE1D"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 The project took part jointly with other programmes in the organization of an International Conference on Environment and Climate Change: from vision to action held on June 5, 2015 on World Environment Day. </w:t>
            </w:r>
          </w:p>
          <w:p w14:paraId="142AE94D" w14:textId="531256AD"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Also the project contributed to the organization of European Sustainable Energy Week and SUN DĂ-I Fest hosted in the week June 15-21, 2015. The event held in the Public Garden Stefan cel Mare in Chisinau was attended by thousands of people, and Sun Dă-I Fest represented a veritable exhibition center for different modern renewable, wind, geo-thermal or biomass energy based technologies.</w:t>
            </w:r>
          </w:p>
          <w:p w14:paraId="6F576ADA" w14:textId="77777777" w:rsidR="008B6A27" w:rsidRDefault="008B6A27" w:rsidP="00971C4E">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A concept </w:t>
            </w:r>
            <w:r>
              <w:rPr>
                <w:sz w:val="20"/>
                <w:szCs w:val="20"/>
              </w:rPr>
              <w:t xml:space="preserve">to create an </w:t>
            </w:r>
            <w:r w:rsidRPr="004C0FE6">
              <w:rPr>
                <w:sz w:val="20"/>
                <w:szCs w:val="20"/>
              </w:rPr>
              <w:t>inter-ministerial SDGE platform was developed and wide</w:t>
            </w:r>
            <w:r>
              <w:rPr>
                <w:sz w:val="20"/>
                <w:szCs w:val="20"/>
              </w:rPr>
              <w:t>ly</w:t>
            </w:r>
            <w:r w:rsidRPr="004C0FE6">
              <w:rPr>
                <w:sz w:val="20"/>
                <w:szCs w:val="20"/>
              </w:rPr>
              <w:t xml:space="preserve"> discussed, including </w:t>
            </w:r>
            <w:r>
              <w:rPr>
                <w:sz w:val="20"/>
                <w:szCs w:val="20"/>
              </w:rPr>
              <w:t xml:space="preserve">the </w:t>
            </w:r>
            <w:r w:rsidRPr="004C0FE6">
              <w:rPr>
                <w:sz w:val="20"/>
                <w:szCs w:val="20"/>
              </w:rPr>
              <w:t xml:space="preserve">creation of </w:t>
            </w:r>
            <w:r>
              <w:rPr>
                <w:sz w:val="20"/>
                <w:szCs w:val="20"/>
              </w:rPr>
              <w:t>a</w:t>
            </w:r>
            <w:r w:rsidRPr="004C0FE6">
              <w:rPr>
                <w:sz w:val="20"/>
                <w:szCs w:val="20"/>
              </w:rPr>
              <w:t xml:space="preserve"> National Commission for Sustainable Development (NCSD). The discussions addressed the following options: 1) NCSD under the aegis of the Presidency, (2) NCSD under the aegis of the Prime Minister, (3) NCSD under the aegis of the Ministry of Economy or of the Minister of Environment.  </w:t>
            </w:r>
          </w:p>
          <w:p w14:paraId="66B2D76E" w14:textId="6C3C3933" w:rsidR="008B6A27" w:rsidRPr="004C0FE6" w:rsidRDefault="008B6A27" w:rsidP="00482254">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A joint working group was created by Orders of the Ministry of Economy and Minister of </w:t>
            </w:r>
            <w:r w:rsidR="00482254">
              <w:rPr>
                <w:sz w:val="20"/>
                <w:szCs w:val="20"/>
              </w:rPr>
              <w:t>Environment</w:t>
            </w:r>
            <w:r w:rsidRPr="004C0FE6">
              <w:rPr>
                <w:sz w:val="20"/>
                <w:szCs w:val="20"/>
              </w:rPr>
              <w:t>. It is expected that this working group will review all issues regarding the promotion of SDGE, including EFR topics.</w:t>
            </w:r>
          </w:p>
        </w:tc>
      </w:tr>
      <w:tr w:rsidR="008B6A27" w:rsidRPr="00FB6D4E" w14:paraId="2B8B9A8D" w14:textId="77777777" w:rsidTr="00BD7735">
        <w:tc>
          <w:tcPr>
            <w:tcW w:w="1951" w:type="dxa"/>
            <w:tcBorders>
              <w:bottom w:val="single" w:sz="4" w:space="0" w:color="auto"/>
            </w:tcBorders>
            <w:shd w:val="clear" w:color="auto" w:fill="FFCC99"/>
          </w:tcPr>
          <w:p w14:paraId="30E4506B" w14:textId="77777777" w:rsidR="008B6A27" w:rsidRPr="00764643" w:rsidRDefault="008B6A27" w:rsidP="004C0FE6">
            <w:pPr>
              <w:widowControl/>
              <w:tabs>
                <w:tab w:val="left" w:pos="-720"/>
              </w:tabs>
              <w:rPr>
                <w:rFonts w:ascii="Arial" w:hAnsi="Arial"/>
                <w:bCs/>
                <w:sz w:val="18"/>
                <w:szCs w:val="22"/>
              </w:rPr>
            </w:pPr>
            <w:r w:rsidRPr="00764643">
              <w:rPr>
                <w:rFonts w:ascii="Arial" w:hAnsi="Arial"/>
                <w:b/>
                <w:bCs/>
                <w:sz w:val="18"/>
                <w:szCs w:val="22"/>
              </w:rPr>
              <w:t xml:space="preserve">Outcome 3: </w:t>
            </w:r>
            <w:r w:rsidRPr="00764643">
              <w:rPr>
                <w:rFonts w:ascii="Arial" w:hAnsi="Arial"/>
                <w:bCs/>
                <w:sz w:val="18"/>
                <w:szCs w:val="22"/>
              </w:rPr>
              <w:t>Integration of EFR in local and central planning processes:</w:t>
            </w:r>
          </w:p>
          <w:p w14:paraId="3E4BE68D" w14:textId="77777777" w:rsidR="008B6A27" w:rsidRDefault="008B6A27" w:rsidP="00AE6137">
            <w:pPr>
              <w:widowControl/>
              <w:numPr>
                <w:ilvl w:val="0"/>
                <w:numId w:val="12"/>
              </w:numPr>
              <w:tabs>
                <w:tab w:val="clear" w:pos="720"/>
                <w:tab w:val="left" w:pos="-720"/>
                <w:tab w:val="num" w:pos="284"/>
              </w:tabs>
              <w:ind w:left="284" w:hanging="142"/>
              <w:rPr>
                <w:rFonts w:ascii="Arial" w:hAnsi="Arial"/>
                <w:bCs/>
                <w:sz w:val="18"/>
                <w:szCs w:val="22"/>
              </w:rPr>
            </w:pPr>
            <w:r w:rsidRPr="00764643">
              <w:rPr>
                <w:rFonts w:ascii="Arial" w:hAnsi="Arial"/>
                <w:b/>
                <w:bCs/>
                <w:i/>
                <w:sz w:val="18"/>
                <w:szCs w:val="22"/>
              </w:rPr>
              <w:t>Output 3.1:</w:t>
            </w:r>
            <w:r w:rsidRPr="00764643">
              <w:rPr>
                <w:rFonts w:ascii="Arial" w:hAnsi="Arial"/>
                <w:bCs/>
                <w:sz w:val="18"/>
                <w:szCs w:val="22"/>
              </w:rPr>
              <w:t xml:space="preserve"> Sub-Component 3.1: EFR instruments integrated in the decentralization process</w:t>
            </w:r>
          </w:p>
          <w:p w14:paraId="688AE11C" w14:textId="00D88C10" w:rsidR="008B6A27" w:rsidRPr="00BD7735" w:rsidRDefault="008B6A27" w:rsidP="00AE6137">
            <w:pPr>
              <w:widowControl/>
              <w:numPr>
                <w:ilvl w:val="0"/>
                <w:numId w:val="12"/>
              </w:numPr>
              <w:tabs>
                <w:tab w:val="clear" w:pos="720"/>
                <w:tab w:val="left" w:pos="-720"/>
                <w:tab w:val="num" w:pos="284"/>
              </w:tabs>
              <w:ind w:left="284" w:hanging="142"/>
              <w:rPr>
                <w:rFonts w:ascii="Arial" w:hAnsi="Arial"/>
                <w:bCs/>
                <w:sz w:val="18"/>
                <w:szCs w:val="22"/>
              </w:rPr>
            </w:pPr>
            <w:r w:rsidRPr="00BD7735">
              <w:rPr>
                <w:rFonts w:ascii="Arial" w:hAnsi="Arial"/>
                <w:b/>
                <w:bCs/>
                <w:i/>
                <w:sz w:val="18"/>
                <w:szCs w:val="22"/>
              </w:rPr>
              <w:t xml:space="preserve">Output 3.2: </w:t>
            </w:r>
            <w:r w:rsidRPr="00BD7735">
              <w:rPr>
                <w:rFonts w:ascii="Arial" w:hAnsi="Arial"/>
                <w:bCs/>
                <w:sz w:val="18"/>
                <w:szCs w:val="22"/>
              </w:rPr>
              <w:t>Sub-Component 3.2: EFR instruments integrated into governmental budgeting and MTEF processes</w:t>
            </w:r>
          </w:p>
        </w:tc>
        <w:tc>
          <w:tcPr>
            <w:tcW w:w="2552" w:type="dxa"/>
            <w:tcBorders>
              <w:bottom w:val="single" w:sz="4" w:space="0" w:color="auto"/>
            </w:tcBorders>
            <w:shd w:val="clear" w:color="auto" w:fill="FFCC99"/>
          </w:tcPr>
          <w:p w14:paraId="40241FA8" w14:textId="77777777" w:rsidR="008B6A27" w:rsidRPr="00442CB2"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44DF52C9"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Yearly joint work plan between the UNDP/GEF EFR project and JILDP</w:t>
            </w:r>
          </w:p>
          <w:p w14:paraId="4677D24B"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Assessment of environmental management priorities within the Local Development Strategies </w:t>
            </w:r>
          </w:p>
          <w:p w14:paraId="7DCB68F3"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Initiate costing study and financing strategy to implement Rio Conventions</w:t>
            </w:r>
          </w:p>
          <w:p w14:paraId="7F862D15" w14:textId="77777777" w:rsidR="008B6A27" w:rsidRPr="00442CB2"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597C73BE"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Identification of fiscal reform for local environmental taxes that can be integrated in the PBB system</w:t>
            </w:r>
          </w:p>
          <w:p w14:paraId="16711645" w14:textId="77777777" w:rsidR="008B6A27" w:rsidRPr="00442CB2" w:rsidRDefault="008B6A27" w:rsidP="004C0FE6">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Complete costing study and financing strategy to implement Rio Conventions</w:t>
            </w:r>
          </w:p>
          <w:p w14:paraId="0B700B2B" w14:textId="77777777" w:rsidR="008B6A27" w:rsidRPr="00442CB2" w:rsidRDefault="008B6A27" w:rsidP="004C0FE6">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lastRenderedPageBreak/>
              <w:t>Targets (year 3)</w:t>
            </w:r>
            <w:r>
              <w:rPr>
                <w:rFonts w:ascii="Arial" w:hAnsi="Arial"/>
                <w:b/>
                <w:bCs/>
                <w:i/>
                <w:sz w:val="18"/>
                <w:szCs w:val="22"/>
              </w:rPr>
              <w:t>:</w:t>
            </w:r>
          </w:p>
          <w:p w14:paraId="692AFD2F" w14:textId="77777777" w:rsidR="008B6A27" w:rsidRDefault="008B6A27" w:rsidP="00BD7735">
            <w:pPr>
              <w:pStyle w:val="ListParagraph"/>
              <w:widowControl/>
              <w:numPr>
                <w:ilvl w:val="0"/>
                <w:numId w:val="44"/>
              </w:numPr>
              <w:tabs>
                <w:tab w:val="left" w:pos="-720"/>
              </w:tabs>
              <w:ind w:left="309" w:hanging="141"/>
              <w:rPr>
                <w:rFonts w:ascii="Arial" w:hAnsi="Arial"/>
                <w:bCs/>
                <w:sz w:val="18"/>
                <w:szCs w:val="22"/>
              </w:rPr>
            </w:pPr>
            <w:r>
              <w:rPr>
                <w:rFonts w:ascii="Arial" w:hAnsi="Arial"/>
                <w:bCs/>
                <w:sz w:val="18"/>
                <w:szCs w:val="22"/>
              </w:rPr>
              <w:t>I</w:t>
            </w:r>
            <w:r w:rsidRPr="00442CB2">
              <w:rPr>
                <w:rFonts w:ascii="Arial" w:hAnsi="Arial"/>
                <w:bCs/>
                <w:sz w:val="18"/>
                <w:szCs w:val="22"/>
              </w:rPr>
              <w:t>dentification of fiscal reform for local environmental taxes that can be integrated in the PBB system</w:t>
            </w:r>
          </w:p>
          <w:p w14:paraId="4DBB4CAE" w14:textId="313FE810" w:rsidR="008B6A27" w:rsidRPr="00BD7735" w:rsidRDefault="008B6A27" w:rsidP="00BD7735">
            <w:pPr>
              <w:pStyle w:val="ListParagraph"/>
              <w:widowControl/>
              <w:numPr>
                <w:ilvl w:val="0"/>
                <w:numId w:val="44"/>
              </w:numPr>
              <w:tabs>
                <w:tab w:val="left" w:pos="-720"/>
              </w:tabs>
              <w:ind w:left="309" w:hanging="141"/>
              <w:rPr>
                <w:rFonts w:ascii="Arial" w:hAnsi="Arial"/>
                <w:bCs/>
                <w:sz w:val="18"/>
                <w:szCs w:val="22"/>
              </w:rPr>
            </w:pPr>
            <w:r w:rsidRPr="00BD7735">
              <w:rPr>
                <w:rFonts w:ascii="Arial" w:hAnsi="Arial"/>
                <w:bCs/>
                <w:sz w:val="18"/>
                <w:szCs w:val="22"/>
              </w:rPr>
              <w:t>Comparative analysis of past MTEF with new and improved MTEF prepared by the end of the project to meet Rio Convention targets</w:t>
            </w:r>
          </w:p>
        </w:tc>
        <w:tc>
          <w:tcPr>
            <w:tcW w:w="9922" w:type="dxa"/>
            <w:tcBorders>
              <w:bottom w:val="single" w:sz="4" w:space="0" w:color="auto"/>
            </w:tcBorders>
          </w:tcPr>
          <w:p w14:paraId="1E7DFBA1" w14:textId="77777777" w:rsidR="008B6A27"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lastRenderedPageBreak/>
              <w:t>Building on the established partnership between the EFR project and the Joint Integrated Local Development Programme and in the view of ensuring synergies between the EFR and fiscal decentralization reform, a study on the improvement of the charges system for natural resources was dra</w:t>
            </w:r>
            <w:r>
              <w:rPr>
                <w:sz w:val="20"/>
                <w:szCs w:val="20"/>
              </w:rPr>
              <w:t>fted at the request of the MOE</w:t>
            </w:r>
            <w:r w:rsidRPr="004C0FE6">
              <w:rPr>
                <w:sz w:val="20"/>
                <w:szCs w:val="20"/>
              </w:rPr>
              <w:t xml:space="preserve"> working group. The study includes the international experience of the taxation systems for natural resources, examples of good practices of the Baltic countries, current situation analysis in </w:t>
            </w:r>
            <w:r>
              <w:rPr>
                <w:sz w:val="20"/>
                <w:szCs w:val="20"/>
              </w:rPr>
              <w:t>Moldova</w:t>
            </w:r>
            <w:r w:rsidRPr="004C0FE6">
              <w:rPr>
                <w:sz w:val="20"/>
                <w:szCs w:val="20"/>
              </w:rPr>
              <w:t xml:space="preserve">, proposals to improve the system, the action plan and its environmental impact assessment. </w:t>
            </w:r>
          </w:p>
          <w:p w14:paraId="5C1A285A" w14:textId="6032D6DD"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sidRPr="004C0FE6">
              <w:rPr>
                <w:sz w:val="20"/>
                <w:szCs w:val="20"/>
              </w:rPr>
              <w:t>The study was presented during a workshop with the participation</w:t>
            </w:r>
            <w:r>
              <w:rPr>
                <w:sz w:val="20"/>
                <w:szCs w:val="20"/>
              </w:rPr>
              <w:t xml:space="preserve"> of representatives of the MOE, MO</w:t>
            </w:r>
            <w:r w:rsidRPr="004C0FE6">
              <w:rPr>
                <w:sz w:val="20"/>
                <w:szCs w:val="20"/>
              </w:rPr>
              <w:t>Ec</w:t>
            </w:r>
            <w:r>
              <w:rPr>
                <w:sz w:val="20"/>
                <w:szCs w:val="20"/>
              </w:rPr>
              <w:t>o</w:t>
            </w:r>
            <w:r w:rsidRPr="004C0FE6">
              <w:rPr>
                <w:sz w:val="20"/>
                <w:szCs w:val="20"/>
              </w:rPr>
              <w:t>, M</w:t>
            </w:r>
            <w:r w:rsidR="00A0386B">
              <w:rPr>
                <w:sz w:val="20"/>
                <w:szCs w:val="20"/>
              </w:rPr>
              <w:t>O</w:t>
            </w:r>
            <w:r w:rsidRPr="004C0FE6">
              <w:rPr>
                <w:sz w:val="20"/>
                <w:szCs w:val="20"/>
              </w:rPr>
              <w:t>F, MAFI, and relevant subordinated agencies, and LPAs and civil society. Moreover, based on the recommendations of the study and debates, proposals to amend the legislation on natural resources charges were made.</w:t>
            </w:r>
          </w:p>
          <w:p w14:paraId="55C9F0F5" w14:textId="5F5D38B7" w:rsidR="008B6A27" w:rsidRPr="004C0FE6" w:rsidRDefault="008B6A27" w:rsidP="004C0FE6">
            <w:pPr>
              <w:widowControl/>
              <w:numPr>
                <w:ilvl w:val="0"/>
                <w:numId w:val="18"/>
              </w:numPr>
              <w:tabs>
                <w:tab w:val="clear" w:pos="360"/>
                <w:tab w:val="num" w:pos="90"/>
              </w:tabs>
              <w:autoSpaceDE/>
              <w:autoSpaceDN/>
              <w:adjustRightInd/>
              <w:ind w:left="91" w:hanging="142"/>
              <w:rPr>
                <w:sz w:val="20"/>
                <w:szCs w:val="20"/>
              </w:rPr>
            </w:pPr>
            <w:r>
              <w:rPr>
                <w:sz w:val="20"/>
                <w:szCs w:val="20"/>
              </w:rPr>
              <w:t>The project supported the MOE</w:t>
            </w:r>
            <w:r w:rsidRPr="004C0FE6">
              <w:rPr>
                <w:sz w:val="20"/>
                <w:szCs w:val="20"/>
              </w:rPr>
              <w:t xml:space="preserve"> working group in developing the Expenditures Strategy within the medium-term </w:t>
            </w:r>
            <w:r w:rsidR="001916AE">
              <w:rPr>
                <w:sz w:val="20"/>
                <w:szCs w:val="20"/>
              </w:rPr>
              <w:t>expenditures</w:t>
            </w:r>
            <w:r w:rsidRPr="004C0FE6">
              <w:rPr>
                <w:sz w:val="20"/>
                <w:szCs w:val="20"/>
              </w:rPr>
              <w:t xml:space="preserve"> framework (MTEF) for the years 2016-2018. In this context, an evaluation of existing and relevant policies and strategies for the environment sector and budget analysis of previous programs and sub-programs and the formulation of priorities for the sector expenditure strategies for the period 2016-2018 were done. Also, three budget programs (Environment protection, Water supply and sewerage, Extraction of mineral resources), including 10 sub-domains </w:t>
            </w:r>
            <w:r>
              <w:rPr>
                <w:sz w:val="20"/>
                <w:szCs w:val="20"/>
              </w:rPr>
              <w:t>were</w:t>
            </w:r>
            <w:r w:rsidRPr="004C0FE6">
              <w:rPr>
                <w:sz w:val="20"/>
                <w:szCs w:val="20"/>
              </w:rPr>
              <w:t xml:space="preserve"> developed. The draft of the Sector Expenditure Strategies with the content of programs and subprograms was coordinated and submitted to the Ministry of Finance.</w:t>
            </w:r>
          </w:p>
          <w:p w14:paraId="1BE1411C" w14:textId="391E6EC1" w:rsidR="008B6A27" w:rsidRPr="004C0FE6" w:rsidRDefault="008B6A27" w:rsidP="00971C4E">
            <w:pPr>
              <w:widowControl/>
              <w:numPr>
                <w:ilvl w:val="0"/>
                <w:numId w:val="18"/>
              </w:numPr>
              <w:tabs>
                <w:tab w:val="clear" w:pos="360"/>
                <w:tab w:val="num" w:pos="90"/>
              </w:tabs>
              <w:autoSpaceDE/>
              <w:autoSpaceDN/>
              <w:adjustRightInd/>
              <w:ind w:left="91" w:hanging="142"/>
              <w:rPr>
                <w:sz w:val="20"/>
                <w:szCs w:val="20"/>
              </w:rPr>
            </w:pPr>
            <w:r w:rsidRPr="004C0FE6">
              <w:rPr>
                <w:sz w:val="20"/>
                <w:szCs w:val="20"/>
              </w:rPr>
              <w:t xml:space="preserve">For the purpose of integrating the environmental aspects in local planning process, 6 pilot towns (Cahul, Calarasi, Ungheni, Soroca, Floresti and Telenesti) and 2 consultancy companies, which will facilitate this process, have been selected. The induction training for the representatives of LPAs and companies was </w:t>
            </w:r>
            <w:r>
              <w:rPr>
                <w:sz w:val="20"/>
                <w:szCs w:val="20"/>
              </w:rPr>
              <w:t xml:space="preserve">developed in order </w:t>
            </w:r>
            <w:r w:rsidRPr="004C0FE6">
              <w:rPr>
                <w:sz w:val="20"/>
                <w:szCs w:val="20"/>
              </w:rPr>
              <w:t xml:space="preserve">to ensure a common understanding of environmental integration methodology into strategic and local performance-based budget planning. At least 12 local initiatives to address environmental problems are identified and integrated in the development plans and local budgeting process. As a follow-up, six pilot towns </w:t>
            </w:r>
            <w:r>
              <w:rPr>
                <w:sz w:val="20"/>
                <w:szCs w:val="20"/>
              </w:rPr>
              <w:t xml:space="preserve">have been </w:t>
            </w:r>
            <w:r w:rsidRPr="004C0FE6">
              <w:rPr>
                <w:sz w:val="20"/>
                <w:szCs w:val="20"/>
              </w:rPr>
              <w:t xml:space="preserve">assisted to integrate </w:t>
            </w:r>
            <w:r w:rsidRPr="004C0FE6">
              <w:rPr>
                <w:sz w:val="20"/>
                <w:szCs w:val="20"/>
              </w:rPr>
              <w:lastRenderedPageBreak/>
              <w:t>environmental priorities into the</w:t>
            </w:r>
            <w:r>
              <w:rPr>
                <w:sz w:val="20"/>
                <w:szCs w:val="20"/>
              </w:rPr>
              <w:t>ir</w:t>
            </w:r>
            <w:r w:rsidRPr="004C0FE6">
              <w:rPr>
                <w:sz w:val="20"/>
                <w:szCs w:val="20"/>
              </w:rPr>
              <w:t xml:space="preserve"> local planning process, including the implementation of priorities.  The value of grant for each project was 160,000 MDL. The local government contributions vary between 20% and 100%.</w:t>
            </w:r>
          </w:p>
        </w:tc>
      </w:tr>
    </w:tbl>
    <w:p w14:paraId="2455449B" w14:textId="4F8C19C4" w:rsidR="00B52D65" w:rsidRPr="00FB6D4E" w:rsidRDefault="0058672B" w:rsidP="0058672B">
      <w:pPr>
        <w:tabs>
          <w:tab w:val="left" w:pos="567"/>
        </w:tabs>
        <w:rPr>
          <w:i/>
          <w:sz w:val="18"/>
          <w:szCs w:val="18"/>
        </w:rPr>
      </w:pPr>
      <w:r w:rsidRPr="00682A06">
        <w:rPr>
          <w:i/>
          <w:sz w:val="18"/>
          <w:szCs w:val="18"/>
        </w:rPr>
        <w:lastRenderedPageBreak/>
        <w:t xml:space="preserve">Source: Adapted from </w:t>
      </w:r>
      <w:r w:rsidR="00620193">
        <w:rPr>
          <w:i/>
          <w:sz w:val="18"/>
          <w:szCs w:val="18"/>
        </w:rPr>
        <w:t>progress reports</w:t>
      </w:r>
      <w:r w:rsidR="00971C4E">
        <w:rPr>
          <w:i/>
          <w:sz w:val="18"/>
          <w:szCs w:val="18"/>
        </w:rPr>
        <w:t>, notes from the Project Team</w:t>
      </w:r>
      <w:r w:rsidR="00682A06">
        <w:rPr>
          <w:i/>
          <w:sz w:val="18"/>
          <w:szCs w:val="18"/>
        </w:rPr>
        <w:t xml:space="preserve"> and notes from the </w:t>
      </w:r>
      <w:r w:rsidR="00971C4E">
        <w:rPr>
          <w:i/>
          <w:sz w:val="18"/>
          <w:szCs w:val="18"/>
        </w:rPr>
        <w:t xml:space="preserve">evaluation </w:t>
      </w:r>
      <w:r w:rsidR="00682A06">
        <w:rPr>
          <w:i/>
          <w:sz w:val="18"/>
          <w:szCs w:val="18"/>
        </w:rPr>
        <w:t xml:space="preserve">mission to </w:t>
      </w:r>
      <w:r w:rsidR="00F20FB9">
        <w:rPr>
          <w:i/>
          <w:sz w:val="18"/>
          <w:szCs w:val="18"/>
        </w:rPr>
        <w:t>Moldova</w:t>
      </w:r>
    </w:p>
    <w:p w14:paraId="7635BBEE" w14:textId="77777777" w:rsidR="00C156FA" w:rsidRPr="00FB6D4E" w:rsidRDefault="00C156FA" w:rsidP="0058672B">
      <w:pPr>
        <w:tabs>
          <w:tab w:val="left" w:pos="567"/>
        </w:tabs>
        <w:rPr>
          <w:sz w:val="22"/>
        </w:rPr>
      </w:pPr>
    </w:p>
    <w:p w14:paraId="0677A08F" w14:textId="77777777" w:rsidR="00C156FA" w:rsidRPr="00FB6D4E" w:rsidRDefault="00C156FA" w:rsidP="0058672B">
      <w:pPr>
        <w:tabs>
          <w:tab w:val="left" w:pos="567"/>
        </w:tabs>
        <w:rPr>
          <w:sz w:val="22"/>
        </w:rPr>
        <w:sectPr w:rsidR="00C156FA" w:rsidRPr="00FB6D4E" w:rsidSect="00EE2F11">
          <w:pgSz w:w="16820" w:h="11900" w:orient="landscape" w:code="9"/>
          <w:pgMar w:top="1134" w:right="1134" w:bottom="1134" w:left="1134" w:header="851" w:footer="851" w:gutter="0"/>
          <w:cols w:space="720"/>
          <w:noEndnote/>
        </w:sectPr>
      </w:pPr>
    </w:p>
    <w:p w14:paraId="3657549C" w14:textId="0D732401" w:rsidR="00B36B51" w:rsidRPr="006D101A" w:rsidRDefault="00733B3F" w:rsidP="00C23E6C">
      <w:pPr>
        <w:pStyle w:val="ListParagraph"/>
        <w:numPr>
          <w:ilvl w:val="0"/>
          <w:numId w:val="15"/>
        </w:numPr>
        <w:jc w:val="both"/>
        <w:rPr>
          <w:sz w:val="22"/>
          <w:szCs w:val="22"/>
        </w:rPr>
      </w:pPr>
      <w:r>
        <w:rPr>
          <w:sz w:val="22"/>
          <w:szCs w:val="22"/>
        </w:rPr>
        <w:lastRenderedPageBreak/>
        <w:t>Nevertheless, when considering the limited resources of this project (GEF grant of USD 510,450), a limited timeline (3 years) and particularly the two limiting factors described above, it is noteworthy that the project delivered this rather long list of deliverables (</w:t>
      </w:r>
      <w:r w:rsidRPr="00733B3F">
        <w:rPr>
          <w:i/>
          <w:sz w:val="22"/>
          <w:szCs w:val="22"/>
        </w:rPr>
        <w:t>see Table 10 above</w:t>
      </w:r>
      <w:r>
        <w:rPr>
          <w:sz w:val="22"/>
          <w:szCs w:val="22"/>
        </w:rPr>
        <w:t xml:space="preserve">). </w:t>
      </w:r>
      <w:r w:rsidR="001916AE">
        <w:rPr>
          <w:sz w:val="22"/>
          <w:szCs w:val="22"/>
        </w:rPr>
        <w:t>As described in this table, the project provided support to a broad range of activities that i</w:t>
      </w:r>
      <w:r w:rsidR="00F43460">
        <w:rPr>
          <w:sz w:val="22"/>
          <w:szCs w:val="22"/>
        </w:rPr>
        <w:t>nclude</w:t>
      </w:r>
      <w:r w:rsidR="001916AE">
        <w:rPr>
          <w:sz w:val="22"/>
          <w:szCs w:val="22"/>
        </w:rPr>
        <w:t xml:space="preserve"> several assessments, analyses, studies, stakeholder consultations, development of proposals, collaboration mechanisms (working groups, committees, commissions), as well as training, information material and study tours to raise skills and knowledge of relevant stakeholders, and finally technical assistance to MOE to implement the MTEF guidelines and the related three-year budgetary system at both the central level and local levels with the support to 6 towns, including the granting of one priority project per town</w:t>
      </w:r>
      <w:r w:rsidR="00181B29">
        <w:rPr>
          <w:sz w:val="22"/>
          <w:szCs w:val="22"/>
        </w:rPr>
        <w:t xml:space="preserve"> (</w:t>
      </w:r>
      <w:r w:rsidR="00181B29" w:rsidRPr="006D101A">
        <w:rPr>
          <w:sz w:val="22"/>
          <w:szCs w:val="22"/>
        </w:rPr>
        <w:t>6) (</w:t>
      </w:r>
      <w:r w:rsidR="00181B29" w:rsidRPr="006D101A">
        <w:rPr>
          <w:i/>
          <w:sz w:val="22"/>
          <w:szCs w:val="22"/>
        </w:rPr>
        <w:t>see Annex 9</w:t>
      </w:r>
      <w:r w:rsidR="00181B29" w:rsidRPr="006D101A">
        <w:rPr>
          <w:sz w:val="22"/>
          <w:szCs w:val="22"/>
        </w:rPr>
        <w:t>)</w:t>
      </w:r>
      <w:r w:rsidR="001916AE" w:rsidRPr="006D101A">
        <w:rPr>
          <w:sz w:val="22"/>
          <w:szCs w:val="22"/>
        </w:rPr>
        <w:t>.</w:t>
      </w:r>
    </w:p>
    <w:p w14:paraId="3BEAD3FC" w14:textId="77777777" w:rsidR="00181B29" w:rsidRDefault="00181B29" w:rsidP="00181B29">
      <w:pPr>
        <w:pStyle w:val="ListParagraph"/>
        <w:ind w:left="0"/>
        <w:jc w:val="both"/>
        <w:rPr>
          <w:sz w:val="22"/>
          <w:szCs w:val="22"/>
        </w:rPr>
      </w:pPr>
    </w:p>
    <w:p w14:paraId="709B78FC" w14:textId="76B9BE49" w:rsidR="00C640A1" w:rsidRPr="00282984" w:rsidRDefault="0048149D" w:rsidP="00282984">
      <w:pPr>
        <w:pStyle w:val="ListParagraph"/>
        <w:numPr>
          <w:ilvl w:val="0"/>
          <w:numId w:val="15"/>
        </w:numPr>
        <w:jc w:val="both"/>
        <w:rPr>
          <w:sz w:val="22"/>
          <w:szCs w:val="22"/>
        </w:rPr>
      </w:pPr>
      <w:r>
        <w:rPr>
          <w:sz w:val="22"/>
          <w:szCs w:val="22"/>
        </w:rPr>
        <w:t xml:space="preserve">As a result of these numerous activities, Moldova is now better equipped with more valid information on EFR, relevant stakeholders – particularly staff at MOE, MOF and MOEco – with better skills and knowledge on EFR and environmental fiscal instruments available to the government to move the EFR agenda forward. When comparing these results with the expected outputs and outcomes, the project certainly delivered critical results against these expected results. It provided all the </w:t>
      </w:r>
      <w:r w:rsidR="007F2952">
        <w:rPr>
          <w:sz w:val="22"/>
          <w:szCs w:val="22"/>
        </w:rPr>
        <w:t>assessments, analyses, studies</w:t>
      </w:r>
      <w:r>
        <w:rPr>
          <w:sz w:val="22"/>
          <w:szCs w:val="22"/>
        </w:rPr>
        <w:t xml:space="preserve"> and proposals necessary to “</w:t>
      </w:r>
      <w:r w:rsidRPr="007F2952">
        <w:rPr>
          <w:i/>
          <w:sz w:val="22"/>
          <w:szCs w:val="22"/>
        </w:rPr>
        <w:t xml:space="preserve">reform environmentally harmful subsidies, green subsidies, environmental charges and </w:t>
      </w:r>
      <w:r w:rsidR="007F2952" w:rsidRPr="007F2952">
        <w:rPr>
          <w:i/>
          <w:sz w:val="22"/>
          <w:szCs w:val="22"/>
        </w:rPr>
        <w:t>a better functioning NEF</w:t>
      </w:r>
      <w:r w:rsidR="007F2952">
        <w:rPr>
          <w:sz w:val="22"/>
          <w:szCs w:val="22"/>
        </w:rPr>
        <w:t>” (outcome 1); it also supported the implementation of “</w:t>
      </w:r>
      <w:r w:rsidR="007F2952" w:rsidRPr="007F2952">
        <w:rPr>
          <w:i/>
          <w:sz w:val="22"/>
          <w:szCs w:val="22"/>
        </w:rPr>
        <w:t>capacity development (activities) to engage and build consensus among all stakeholders</w:t>
      </w:r>
      <w:r w:rsidR="007F2952">
        <w:rPr>
          <w:sz w:val="22"/>
          <w:szCs w:val="22"/>
        </w:rPr>
        <w:t xml:space="preserve">” (outcome 2); and finally </w:t>
      </w:r>
      <w:r w:rsidR="00282984">
        <w:rPr>
          <w:sz w:val="22"/>
          <w:szCs w:val="22"/>
        </w:rPr>
        <w:t>it supported activities to “</w:t>
      </w:r>
      <w:r w:rsidR="00282984" w:rsidRPr="00282984">
        <w:rPr>
          <w:i/>
          <w:sz w:val="22"/>
          <w:szCs w:val="22"/>
        </w:rPr>
        <w:t>Integrate EFR in local and central planning processes</w:t>
      </w:r>
      <w:r w:rsidR="00282984">
        <w:rPr>
          <w:sz w:val="22"/>
          <w:szCs w:val="22"/>
        </w:rPr>
        <w:t>”</w:t>
      </w:r>
      <w:r w:rsidR="00403149">
        <w:rPr>
          <w:sz w:val="22"/>
          <w:szCs w:val="22"/>
        </w:rPr>
        <w:t xml:space="preserve"> (outcome 3)</w:t>
      </w:r>
      <w:r w:rsidR="00282984">
        <w:rPr>
          <w:sz w:val="22"/>
          <w:szCs w:val="22"/>
        </w:rPr>
        <w:t xml:space="preserve">. </w:t>
      </w:r>
    </w:p>
    <w:p w14:paraId="177D4A38" w14:textId="77777777" w:rsidR="00FB6D4E" w:rsidRDefault="00FB6D4E" w:rsidP="00FB6D4E">
      <w:pPr>
        <w:pStyle w:val="ListParagraph"/>
        <w:ind w:left="0"/>
        <w:jc w:val="both"/>
        <w:rPr>
          <w:sz w:val="22"/>
          <w:szCs w:val="22"/>
        </w:rPr>
      </w:pPr>
    </w:p>
    <w:p w14:paraId="3C9504C2" w14:textId="77777777" w:rsidR="00F84ECC" w:rsidRPr="00FB6D4E" w:rsidRDefault="00F84ECC" w:rsidP="006B3375">
      <w:pPr>
        <w:pStyle w:val="Heading3"/>
        <w:numPr>
          <w:ilvl w:val="2"/>
          <w:numId w:val="1"/>
        </w:numPr>
        <w:tabs>
          <w:tab w:val="clear" w:pos="1440"/>
        </w:tabs>
        <w:ind w:left="1276" w:hanging="709"/>
        <w:rPr>
          <w:rFonts w:ascii="Arial" w:hAnsi="Arial" w:cs="Arial"/>
          <w:i/>
          <w:sz w:val="22"/>
          <w:szCs w:val="22"/>
        </w:rPr>
      </w:pPr>
      <w:bookmarkStart w:id="57" w:name="_Toc308103261"/>
      <w:r w:rsidRPr="00FB6D4E">
        <w:rPr>
          <w:rFonts w:ascii="Arial" w:hAnsi="Arial" w:cs="Arial"/>
          <w:i/>
          <w:sz w:val="22"/>
          <w:szCs w:val="22"/>
        </w:rPr>
        <w:t>Attainment of Project Objective</w:t>
      </w:r>
      <w:r w:rsidR="00BE7B37">
        <w:rPr>
          <w:rFonts w:ascii="Arial" w:hAnsi="Arial" w:cs="Arial"/>
          <w:i/>
          <w:sz w:val="22"/>
          <w:szCs w:val="22"/>
        </w:rPr>
        <w:t xml:space="preserve"> / Impact</w:t>
      </w:r>
      <w:bookmarkEnd w:id="57"/>
    </w:p>
    <w:p w14:paraId="3BE46C14" w14:textId="77777777" w:rsidR="00F84ECC" w:rsidRPr="00FB6D4E" w:rsidRDefault="00F84ECC" w:rsidP="00F84ECC">
      <w:pPr>
        <w:tabs>
          <w:tab w:val="left" w:pos="1472"/>
        </w:tabs>
        <w:jc w:val="both"/>
        <w:rPr>
          <w:sz w:val="22"/>
          <w:szCs w:val="22"/>
        </w:rPr>
      </w:pPr>
    </w:p>
    <w:p w14:paraId="2FC4181A" w14:textId="7BF48C42" w:rsidR="00531960" w:rsidRPr="00735AD8" w:rsidRDefault="009526B6" w:rsidP="009526B6">
      <w:pPr>
        <w:pStyle w:val="ListParagraph"/>
        <w:numPr>
          <w:ilvl w:val="0"/>
          <w:numId w:val="15"/>
        </w:numPr>
        <w:jc w:val="both"/>
        <w:rPr>
          <w:sz w:val="22"/>
          <w:szCs w:val="22"/>
        </w:rPr>
      </w:pPr>
      <w:r w:rsidRPr="00735AD8">
        <w:rPr>
          <w:sz w:val="22"/>
          <w:szCs w:val="22"/>
        </w:rPr>
        <w:t>The review of project achievements presented in the previous section 4.3.1 reveals that the implementation was successful and met the expected results planned at the outset of the project. Together, these achievements certainly contributed to the attainment of the project objective that was “</w:t>
      </w:r>
      <w:r w:rsidRPr="00735AD8">
        <w:rPr>
          <w:i/>
          <w:sz w:val="22"/>
          <w:szCs w:val="22"/>
        </w:rPr>
        <w:t>to</w:t>
      </w:r>
      <w:r w:rsidR="00531960" w:rsidRPr="00735AD8">
        <w:t xml:space="preserve"> </w:t>
      </w:r>
      <w:r w:rsidR="00531960" w:rsidRPr="00735AD8">
        <w:rPr>
          <w:i/>
          <w:sz w:val="22"/>
          <w:szCs w:val="22"/>
        </w:rPr>
        <w:t>build capacities for implementing environmental fiscal reforms (EFR) that will produce increased national and global environmental benefits through the adoption of selected subsidies, fees, fines, taxes and other appropriate fiscal instruments</w:t>
      </w:r>
      <w:r w:rsidR="00145586">
        <w:rPr>
          <w:sz w:val="22"/>
          <w:szCs w:val="22"/>
        </w:rPr>
        <w:t xml:space="preserve">”; the effectiveness of the project </w:t>
      </w:r>
      <w:r w:rsidRPr="00735AD8">
        <w:rPr>
          <w:sz w:val="22"/>
          <w:szCs w:val="22"/>
        </w:rPr>
        <w:t xml:space="preserve">is rated as </w:t>
      </w:r>
      <w:r w:rsidRPr="00735AD8">
        <w:rPr>
          <w:i/>
          <w:sz w:val="22"/>
          <w:szCs w:val="22"/>
          <w:u w:val="single"/>
        </w:rPr>
        <w:t>satisfactory</w:t>
      </w:r>
      <w:r w:rsidRPr="00735AD8">
        <w:rPr>
          <w:sz w:val="22"/>
          <w:szCs w:val="22"/>
        </w:rPr>
        <w:t xml:space="preserve">. </w:t>
      </w:r>
      <w:r w:rsidR="00735AD8" w:rsidRPr="00735AD8">
        <w:rPr>
          <w:sz w:val="22"/>
          <w:szCs w:val="22"/>
        </w:rPr>
        <w:t xml:space="preserve">As said above, </w:t>
      </w:r>
      <w:r w:rsidR="00531960" w:rsidRPr="00735AD8">
        <w:rPr>
          <w:sz w:val="22"/>
          <w:szCs w:val="22"/>
        </w:rPr>
        <w:t xml:space="preserve">Moldova </w:t>
      </w:r>
      <w:r w:rsidRPr="00735AD8">
        <w:rPr>
          <w:sz w:val="22"/>
          <w:szCs w:val="22"/>
        </w:rPr>
        <w:t>is now equipped with</w:t>
      </w:r>
      <w:r w:rsidR="00735AD8" w:rsidRPr="00735AD8">
        <w:rPr>
          <w:sz w:val="22"/>
          <w:szCs w:val="22"/>
        </w:rPr>
        <w:t xml:space="preserve"> more valid information on EFR, key stakeholders with better skills and knowledge on EFR and environmental fiscal instruments available to the government to move the EFR agenda forward. </w:t>
      </w:r>
      <w:r w:rsidRPr="00735AD8">
        <w:rPr>
          <w:sz w:val="22"/>
          <w:szCs w:val="22"/>
        </w:rPr>
        <w:t xml:space="preserve"> </w:t>
      </w:r>
    </w:p>
    <w:p w14:paraId="72DDC791" w14:textId="77777777" w:rsidR="00735AD8" w:rsidRPr="00735AD8" w:rsidRDefault="00735AD8" w:rsidP="00735AD8">
      <w:pPr>
        <w:pStyle w:val="ListParagraph"/>
        <w:ind w:left="0"/>
        <w:jc w:val="both"/>
        <w:rPr>
          <w:sz w:val="22"/>
          <w:szCs w:val="22"/>
        </w:rPr>
      </w:pPr>
    </w:p>
    <w:p w14:paraId="260503CC" w14:textId="18C36301" w:rsidR="003A143B" w:rsidRDefault="00735AD8" w:rsidP="009526B6">
      <w:pPr>
        <w:pStyle w:val="ListParagraph"/>
        <w:numPr>
          <w:ilvl w:val="0"/>
          <w:numId w:val="15"/>
        </w:numPr>
        <w:jc w:val="both"/>
        <w:rPr>
          <w:sz w:val="22"/>
          <w:szCs w:val="22"/>
        </w:rPr>
      </w:pPr>
      <w:r w:rsidRPr="00735AD8">
        <w:rPr>
          <w:sz w:val="22"/>
          <w:szCs w:val="22"/>
        </w:rPr>
        <w:t xml:space="preserve">As discussed in section 4.2.4, </w:t>
      </w:r>
      <w:r w:rsidR="003A143B">
        <w:rPr>
          <w:sz w:val="22"/>
          <w:szCs w:val="22"/>
        </w:rPr>
        <w:t>the M&amp;E framework to measure the progress made at the objective level was too general and for one indicator (increase of national (budget) allocations to meet CBD, CCD and FCCC targets) was very ambitious</w:t>
      </w:r>
      <w:r w:rsidR="00CE7587">
        <w:rPr>
          <w:sz w:val="22"/>
          <w:szCs w:val="22"/>
        </w:rPr>
        <w:t xml:space="preserve"> in the timeframe of the project</w:t>
      </w:r>
      <w:r w:rsidR="003A143B">
        <w:rPr>
          <w:sz w:val="22"/>
          <w:szCs w:val="22"/>
        </w:rPr>
        <w:t>. Additionally, no targets were provided at this level and, as a consequence, no reporting of progress was made at this level in the annual PIRs; only referring to progress made at the outcomes level.</w:t>
      </w:r>
    </w:p>
    <w:p w14:paraId="34C0644E" w14:textId="77777777" w:rsidR="003A143B" w:rsidRPr="003A143B" w:rsidRDefault="003A143B" w:rsidP="003A143B">
      <w:pPr>
        <w:jc w:val="both"/>
        <w:rPr>
          <w:sz w:val="22"/>
          <w:szCs w:val="22"/>
        </w:rPr>
      </w:pPr>
    </w:p>
    <w:p w14:paraId="0258FD88" w14:textId="5DE2A3E9" w:rsidR="00735AD8" w:rsidRPr="00735AD8" w:rsidRDefault="003A143B" w:rsidP="009526B6">
      <w:pPr>
        <w:pStyle w:val="ListParagraph"/>
        <w:numPr>
          <w:ilvl w:val="0"/>
          <w:numId w:val="15"/>
        </w:numPr>
        <w:jc w:val="both"/>
        <w:rPr>
          <w:sz w:val="22"/>
          <w:szCs w:val="22"/>
        </w:rPr>
      </w:pPr>
      <w:r>
        <w:rPr>
          <w:sz w:val="22"/>
          <w:szCs w:val="22"/>
        </w:rPr>
        <w:t xml:space="preserve"> </w:t>
      </w:r>
      <w:r w:rsidR="00CE7587">
        <w:rPr>
          <w:sz w:val="22"/>
          <w:szCs w:val="22"/>
        </w:rPr>
        <w:t xml:space="preserve">Nevertheless, the review conducted for this evaluation – particularly the review of delivered results summarized above - reveals </w:t>
      </w:r>
      <w:r w:rsidR="003F635E">
        <w:rPr>
          <w:sz w:val="22"/>
          <w:szCs w:val="22"/>
        </w:rPr>
        <w:t xml:space="preserve">numerous project achievements. Based on the previous table 10 above, a summary of </w:t>
      </w:r>
      <w:r w:rsidR="003F635E">
        <w:rPr>
          <w:sz w:val="22"/>
          <w:szCs w:val="22"/>
        </w:rPr>
        <w:lastRenderedPageBreak/>
        <w:t>key achievements are presented below:</w:t>
      </w:r>
    </w:p>
    <w:p w14:paraId="6E9881FE" w14:textId="77777777" w:rsidR="009526B6" w:rsidRDefault="009526B6" w:rsidP="00F84ECC">
      <w:pPr>
        <w:tabs>
          <w:tab w:val="left" w:pos="567"/>
        </w:tabs>
        <w:jc w:val="both"/>
        <w:rPr>
          <w:sz w:val="22"/>
        </w:rPr>
      </w:pPr>
    </w:p>
    <w:p w14:paraId="6A9DBBFA" w14:textId="77777777" w:rsidR="007E2A25" w:rsidRPr="00FB6D4E" w:rsidRDefault="007E2A25" w:rsidP="007E2A25">
      <w:pPr>
        <w:pStyle w:val="Caption"/>
        <w:jc w:val="center"/>
        <w:rPr>
          <w:rFonts w:ascii="Arial" w:hAnsi="Arial"/>
        </w:rPr>
      </w:pPr>
      <w:bookmarkStart w:id="58" w:name="_Toc251686909"/>
      <w:bookmarkStart w:id="59" w:name="_Toc305531039"/>
      <w:r w:rsidRPr="00FB6D4E">
        <w:rPr>
          <w:rFonts w:ascii="Arial" w:hAnsi="Arial"/>
        </w:rPr>
        <w:t xml:space="preserve">Table </w:t>
      </w:r>
      <w:r w:rsidRPr="00FB6D4E">
        <w:rPr>
          <w:rFonts w:ascii="Arial" w:hAnsi="Arial"/>
        </w:rPr>
        <w:fldChar w:fldCharType="begin"/>
      </w:r>
      <w:r w:rsidRPr="00FB6D4E">
        <w:rPr>
          <w:rFonts w:ascii="Arial" w:hAnsi="Arial"/>
        </w:rPr>
        <w:instrText xml:space="preserve"> SEQ Table \* ARABIC </w:instrText>
      </w:r>
      <w:r w:rsidRPr="00FB6D4E">
        <w:rPr>
          <w:rFonts w:ascii="Arial" w:hAnsi="Arial"/>
        </w:rPr>
        <w:fldChar w:fldCharType="separate"/>
      </w:r>
      <w:r w:rsidR="00F91695">
        <w:rPr>
          <w:rFonts w:ascii="Arial" w:hAnsi="Arial"/>
          <w:noProof/>
        </w:rPr>
        <w:t>11</w:t>
      </w:r>
      <w:r w:rsidRPr="00FB6D4E">
        <w:rPr>
          <w:rFonts w:ascii="Arial" w:hAnsi="Arial"/>
        </w:rPr>
        <w:fldChar w:fldCharType="end"/>
      </w:r>
      <w:r w:rsidRPr="00FB6D4E">
        <w:rPr>
          <w:rFonts w:ascii="Arial" w:hAnsi="Arial"/>
        </w:rPr>
        <w:t xml:space="preserve">:  </w:t>
      </w:r>
      <w:r w:rsidRPr="00FB6D4E">
        <w:rPr>
          <w:rFonts w:ascii="Arial" w:hAnsi="Arial"/>
          <w:b w:val="0"/>
        </w:rPr>
        <w:t>Attainment of Project Objective</w:t>
      </w:r>
      <w:bookmarkEnd w:id="58"/>
      <w:bookmarkEnd w:id="59"/>
    </w:p>
    <w:tbl>
      <w:tblPr>
        <w:tblStyle w:val="TableGrid"/>
        <w:tblW w:w="9889" w:type="dxa"/>
        <w:tblLayout w:type="fixed"/>
        <w:tblLook w:val="01E0" w:firstRow="1" w:lastRow="1" w:firstColumn="1" w:lastColumn="1" w:noHBand="0" w:noVBand="0"/>
      </w:tblPr>
      <w:tblGrid>
        <w:gridCol w:w="1809"/>
        <w:gridCol w:w="2127"/>
        <w:gridCol w:w="5953"/>
      </w:tblGrid>
      <w:tr w:rsidR="007E2A25" w:rsidRPr="00FB6D4E" w14:paraId="7FA93916" w14:textId="77777777" w:rsidTr="00145C31">
        <w:trPr>
          <w:trHeight w:val="424"/>
          <w:tblHeader/>
        </w:trPr>
        <w:tc>
          <w:tcPr>
            <w:tcW w:w="1809" w:type="dxa"/>
            <w:shd w:val="clear" w:color="auto" w:fill="D9D9D9"/>
            <w:vAlign w:val="center"/>
          </w:tcPr>
          <w:p w14:paraId="40415FE1" w14:textId="77777777" w:rsidR="007E2A25" w:rsidRPr="00FB6D4E" w:rsidRDefault="007E2A25" w:rsidP="00BD7E62">
            <w:pPr>
              <w:jc w:val="center"/>
              <w:rPr>
                <w:sz w:val="20"/>
                <w:szCs w:val="20"/>
              </w:rPr>
            </w:pPr>
            <w:r w:rsidRPr="00FB6D4E">
              <w:rPr>
                <w:rFonts w:eastAsia="Calibri"/>
                <w:b/>
                <w:bCs/>
                <w:sz w:val="20"/>
                <w:szCs w:val="20"/>
              </w:rPr>
              <w:t>Expected Results</w:t>
            </w:r>
          </w:p>
        </w:tc>
        <w:tc>
          <w:tcPr>
            <w:tcW w:w="2127" w:type="dxa"/>
            <w:shd w:val="clear" w:color="auto" w:fill="D9D9D9"/>
            <w:vAlign w:val="center"/>
          </w:tcPr>
          <w:p w14:paraId="27081075" w14:textId="699ED779" w:rsidR="007E2A25" w:rsidRPr="00FB6D4E" w:rsidRDefault="00E15444" w:rsidP="00BD7E62">
            <w:pPr>
              <w:jc w:val="center"/>
              <w:rPr>
                <w:sz w:val="20"/>
                <w:szCs w:val="20"/>
              </w:rPr>
            </w:pPr>
            <w:r>
              <w:rPr>
                <w:rFonts w:eastAsia="Calibri"/>
                <w:b/>
                <w:bCs/>
                <w:sz w:val="20"/>
                <w:szCs w:val="20"/>
              </w:rPr>
              <w:t>Indicators</w:t>
            </w:r>
            <w:r w:rsidR="007E2A25" w:rsidRPr="00FB6D4E">
              <w:rPr>
                <w:rFonts w:eastAsia="Calibri"/>
                <w:b/>
                <w:bCs/>
                <w:sz w:val="20"/>
                <w:szCs w:val="20"/>
              </w:rPr>
              <w:t xml:space="preserve"> </w:t>
            </w:r>
          </w:p>
        </w:tc>
        <w:tc>
          <w:tcPr>
            <w:tcW w:w="5953" w:type="dxa"/>
            <w:shd w:val="clear" w:color="auto" w:fill="D9D9D9"/>
            <w:vAlign w:val="center"/>
          </w:tcPr>
          <w:p w14:paraId="7B6C2A8C" w14:textId="77777777" w:rsidR="007E2A25" w:rsidRPr="00FB6D4E" w:rsidRDefault="007E2A25" w:rsidP="00BD7E62">
            <w:pPr>
              <w:jc w:val="center"/>
              <w:rPr>
                <w:sz w:val="20"/>
                <w:szCs w:val="20"/>
              </w:rPr>
            </w:pPr>
            <w:r w:rsidRPr="00FB6D4E">
              <w:rPr>
                <w:rFonts w:eastAsia="Calibri"/>
                <w:b/>
                <w:bCs/>
                <w:sz w:val="20"/>
                <w:szCs w:val="20"/>
              </w:rPr>
              <w:t>Key Results</w:t>
            </w:r>
          </w:p>
        </w:tc>
      </w:tr>
      <w:tr w:rsidR="007E2A25" w:rsidRPr="00FB6D4E" w14:paraId="5542E806" w14:textId="77777777" w:rsidTr="00145C31">
        <w:tc>
          <w:tcPr>
            <w:tcW w:w="1809" w:type="dxa"/>
            <w:tcBorders>
              <w:bottom w:val="single" w:sz="4" w:space="0" w:color="auto"/>
            </w:tcBorders>
            <w:shd w:val="clear" w:color="auto" w:fill="FFCC99"/>
          </w:tcPr>
          <w:p w14:paraId="1A00077E" w14:textId="5C613326" w:rsidR="007E2A25" w:rsidRPr="00FB6D4E" w:rsidRDefault="007E2A25" w:rsidP="007E2A25">
            <w:pPr>
              <w:rPr>
                <w:b/>
                <w:sz w:val="20"/>
                <w:szCs w:val="20"/>
              </w:rPr>
            </w:pPr>
            <w:r w:rsidRPr="00FB6D4E">
              <w:rPr>
                <w:b/>
                <w:sz w:val="20"/>
                <w:u w:val="single"/>
              </w:rPr>
              <w:t>Project objective</w:t>
            </w:r>
            <w:r w:rsidRPr="00FB6D4E">
              <w:rPr>
                <w:b/>
                <w:sz w:val="20"/>
              </w:rPr>
              <w:t xml:space="preserve">: </w:t>
            </w:r>
            <w:r w:rsidRPr="004C4D81">
              <w:rPr>
                <w:sz w:val="20"/>
              </w:rPr>
              <w:t>To</w:t>
            </w:r>
            <w:r w:rsidR="00500C93">
              <w:rPr>
                <w:sz w:val="20"/>
              </w:rPr>
              <w:t xml:space="preserve"> </w:t>
            </w:r>
            <w:r w:rsidR="00500C93" w:rsidRPr="00500C93">
              <w:rPr>
                <w:sz w:val="20"/>
              </w:rPr>
              <w:t>build capacities for implementing environmental fiscal reforms (EFR) that will produce increased national and global environmental benefits through the adoption of selected subsidies, fees, fines, taxes and other appropriate fiscal instruments.</w:t>
            </w:r>
          </w:p>
        </w:tc>
        <w:tc>
          <w:tcPr>
            <w:tcW w:w="2127" w:type="dxa"/>
            <w:tcBorders>
              <w:bottom w:val="single" w:sz="4" w:space="0" w:color="auto"/>
            </w:tcBorders>
            <w:shd w:val="clear" w:color="auto" w:fill="FFCC99"/>
          </w:tcPr>
          <w:p w14:paraId="30B269B9" w14:textId="477D792C" w:rsidR="00350AA1" w:rsidRPr="00350AA1" w:rsidRDefault="00350AA1" w:rsidP="00350AA1">
            <w:pPr>
              <w:widowControl/>
              <w:numPr>
                <w:ilvl w:val="0"/>
                <w:numId w:val="19"/>
              </w:numPr>
              <w:tabs>
                <w:tab w:val="clear" w:pos="360"/>
                <w:tab w:val="num" w:pos="176"/>
              </w:tabs>
              <w:autoSpaceDE/>
              <w:autoSpaceDN/>
              <w:adjustRightInd/>
              <w:ind w:left="176" w:hanging="176"/>
              <w:rPr>
                <w:sz w:val="20"/>
                <w:szCs w:val="20"/>
              </w:rPr>
            </w:pPr>
            <w:r w:rsidRPr="00350AA1">
              <w:rPr>
                <w:sz w:val="20"/>
                <w:szCs w:val="20"/>
              </w:rPr>
              <w:t xml:space="preserve">Demonstrated global environmental benefits through the adoption of EFR instruments related to biodiversity conservation, reducing GHG emissions and combating land degradation </w:t>
            </w:r>
          </w:p>
          <w:p w14:paraId="478EAA42" w14:textId="5D1832A0" w:rsidR="00350AA1" w:rsidRPr="00350AA1" w:rsidRDefault="00350AA1" w:rsidP="00350AA1">
            <w:pPr>
              <w:widowControl/>
              <w:numPr>
                <w:ilvl w:val="0"/>
                <w:numId w:val="19"/>
              </w:numPr>
              <w:tabs>
                <w:tab w:val="clear" w:pos="360"/>
                <w:tab w:val="num" w:pos="176"/>
              </w:tabs>
              <w:autoSpaceDE/>
              <w:autoSpaceDN/>
              <w:adjustRightInd/>
              <w:ind w:left="176" w:hanging="176"/>
              <w:rPr>
                <w:sz w:val="20"/>
                <w:szCs w:val="20"/>
              </w:rPr>
            </w:pPr>
            <w:r w:rsidRPr="00350AA1">
              <w:rPr>
                <w:sz w:val="20"/>
                <w:szCs w:val="20"/>
              </w:rPr>
              <w:t>Capacity development scorecard ratings increase in a consistent manner (initial rating to be established at project inception workshop)</w:t>
            </w:r>
          </w:p>
          <w:p w14:paraId="47268DD4" w14:textId="36B5E5E3" w:rsidR="00350AA1" w:rsidRPr="00350AA1" w:rsidRDefault="00350AA1" w:rsidP="00350AA1">
            <w:pPr>
              <w:widowControl/>
              <w:numPr>
                <w:ilvl w:val="0"/>
                <w:numId w:val="19"/>
              </w:numPr>
              <w:tabs>
                <w:tab w:val="clear" w:pos="360"/>
                <w:tab w:val="num" w:pos="176"/>
              </w:tabs>
              <w:autoSpaceDE/>
              <w:autoSpaceDN/>
              <w:adjustRightInd/>
              <w:ind w:left="176" w:hanging="176"/>
              <w:rPr>
                <w:sz w:val="20"/>
                <w:szCs w:val="20"/>
              </w:rPr>
            </w:pPr>
            <w:r w:rsidRPr="00350AA1">
              <w:rPr>
                <w:sz w:val="20"/>
                <w:szCs w:val="20"/>
              </w:rPr>
              <w:t>Regulatory and operational guidelines adopted by the EFR commission for 5 EFR instruments addressed by the project:</w:t>
            </w:r>
          </w:p>
          <w:p w14:paraId="2D1BCE6A" w14:textId="0E5AE470" w:rsidR="00350AA1" w:rsidRPr="00350AA1" w:rsidRDefault="00350AA1" w:rsidP="00E15444">
            <w:pPr>
              <w:widowControl/>
              <w:numPr>
                <w:ilvl w:val="0"/>
                <w:numId w:val="72"/>
              </w:numPr>
              <w:autoSpaceDE/>
              <w:autoSpaceDN/>
              <w:adjustRightInd/>
              <w:ind w:hanging="184"/>
              <w:rPr>
                <w:sz w:val="20"/>
                <w:szCs w:val="20"/>
              </w:rPr>
            </w:pPr>
            <w:r w:rsidRPr="00350AA1">
              <w:rPr>
                <w:sz w:val="20"/>
                <w:szCs w:val="20"/>
              </w:rPr>
              <w:t>Agricultural subsidies scheme/</w:t>
            </w:r>
            <w:r w:rsidR="00E15444">
              <w:rPr>
                <w:sz w:val="20"/>
                <w:szCs w:val="20"/>
              </w:rPr>
              <w:t xml:space="preserve"> programme</w:t>
            </w:r>
          </w:p>
          <w:p w14:paraId="1ECA8E87" w14:textId="547163EF" w:rsidR="00350AA1" w:rsidRPr="00350AA1" w:rsidRDefault="00350AA1" w:rsidP="00E15444">
            <w:pPr>
              <w:widowControl/>
              <w:numPr>
                <w:ilvl w:val="0"/>
                <w:numId w:val="72"/>
              </w:numPr>
              <w:autoSpaceDE/>
              <w:autoSpaceDN/>
              <w:adjustRightInd/>
              <w:ind w:hanging="184"/>
              <w:rPr>
                <w:sz w:val="20"/>
                <w:szCs w:val="20"/>
              </w:rPr>
            </w:pPr>
            <w:r w:rsidRPr="00350AA1">
              <w:rPr>
                <w:sz w:val="20"/>
                <w:szCs w:val="20"/>
              </w:rPr>
              <w:t>Energy subsidies scheme/</w:t>
            </w:r>
            <w:r w:rsidR="00E15444">
              <w:rPr>
                <w:sz w:val="20"/>
                <w:szCs w:val="20"/>
              </w:rPr>
              <w:t xml:space="preserve"> programme</w:t>
            </w:r>
          </w:p>
          <w:p w14:paraId="5BCA9899" w14:textId="14CEECB3" w:rsidR="00350AA1" w:rsidRPr="00350AA1" w:rsidRDefault="00E15444" w:rsidP="00E15444">
            <w:pPr>
              <w:widowControl/>
              <w:numPr>
                <w:ilvl w:val="0"/>
                <w:numId w:val="72"/>
              </w:numPr>
              <w:autoSpaceDE/>
              <w:autoSpaceDN/>
              <w:adjustRightInd/>
              <w:ind w:hanging="184"/>
              <w:rPr>
                <w:sz w:val="20"/>
                <w:szCs w:val="20"/>
              </w:rPr>
            </w:pPr>
            <w:r>
              <w:rPr>
                <w:sz w:val="20"/>
                <w:szCs w:val="20"/>
              </w:rPr>
              <w:t>Environmental charges</w:t>
            </w:r>
          </w:p>
          <w:p w14:paraId="064D1155" w14:textId="0823DD3C" w:rsidR="00350AA1" w:rsidRPr="00350AA1" w:rsidRDefault="00350AA1" w:rsidP="00E15444">
            <w:pPr>
              <w:widowControl/>
              <w:numPr>
                <w:ilvl w:val="0"/>
                <w:numId w:val="72"/>
              </w:numPr>
              <w:autoSpaceDE/>
              <w:autoSpaceDN/>
              <w:adjustRightInd/>
              <w:ind w:hanging="184"/>
              <w:rPr>
                <w:sz w:val="20"/>
                <w:szCs w:val="20"/>
              </w:rPr>
            </w:pPr>
            <w:r w:rsidRPr="00350AA1">
              <w:rPr>
                <w:sz w:val="20"/>
                <w:szCs w:val="20"/>
              </w:rPr>
              <w:t>Green/environm</w:t>
            </w:r>
            <w:r w:rsidR="00E15444">
              <w:rPr>
                <w:sz w:val="20"/>
                <w:szCs w:val="20"/>
              </w:rPr>
              <w:t>ental subsidies through NEF/LEF</w:t>
            </w:r>
          </w:p>
          <w:p w14:paraId="559EA4FF" w14:textId="466D79DB" w:rsidR="00350AA1" w:rsidRPr="00350AA1" w:rsidRDefault="00350AA1" w:rsidP="00E15444">
            <w:pPr>
              <w:widowControl/>
              <w:numPr>
                <w:ilvl w:val="0"/>
                <w:numId w:val="72"/>
              </w:numPr>
              <w:autoSpaceDE/>
              <w:autoSpaceDN/>
              <w:adjustRightInd/>
              <w:ind w:hanging="184"/>
              <w:rPr>
                <w:sz w:val="20"/>
                <w:szCs w:val="20"/>
              </w:rPr>
            </w:pPr>
            <w:r w:rsidRPr="00350AA1">
              <w:rPr>
                <w:sz w:val="20"/>
                <w:szCs w:val="20"/>
              </w:rPr>
              <w:t>New eco-technology subsidies</w:t>
            </w:r>
          </w:p>
          <w:p w14:paraId="0E2C220D" w14:textId="35CE4D05" w:rsidR="007E2A25" w:rsidRPr="00350AA1" w:rsidRDefault="00350AA1" w:rsidP="00350AA1">
            <w:pPr>
              <w:widowControl/>
              <w:numPr>
                <w:ilvl w:val="0"/>
                <w:numId w:val="19"/>
              </w:numPr>
              <w:tabs>
                <w:tab w:val="clear" w:pos="360"/>
                <w:tab w:val="num" w:pos="176"/>
              </w:tabs>
              <w:autoSpaceDE/>
              <w:autoSpaceDN/>
              <w:adjustRightInd/>
              <w:ind w:left="176" w:hanging="176"/>
              <w:rPr>
                <w:sz w:val="20"/>
                <w:szCs w:val="20"/>
              </w:rPr>
            </w:pPr>
            <w:r w:rsidRPr="00350AA1">
              <w:rPr>
                <w:sz w:val="20"/>
                <w:szCs w:val="20"/>
              </w:rPr>
              <w:t>Medium-Term Expenditure budget reflects increased national allocations to meet CBD, CCD, and FCCC targets</w:t>
            </w:r>
          </w:p>
        </w:tc>
        <w:tc>
          <w:tcPr>
            <w:tcW w:w="5953" w:type="dxa"/>
          </w:tcPr>
          <w:p w14:paraId="2476D94D" w14:textId="297AE3A0" w:rsidR="007E2A25" w:rsidRDefault="002F58E8" w:rsidP="007E2A25">
            <w:pPr>
              <w:widowControl/>
              <w:numPr>
                <w:ilvl w:val="0"/>
                <w:numId w:val="19"/>
              </w:numPr>
              <w:tabs>
                <w:tab w:val="clear" w:pos="360"/>
                <w:tab w:val="num" w:pos="176"/>
              </w:tabs>
              <w:autoSpaceDE/>
              <w:autoSpaceDN/>
              <w:adjustRightInd/>
              <w:ind w:left="176" w:hanging="176"/>
              <w:rPr>
                <w:sz w:val="20"/>
                <w:szCs w:val="20"/>
              </w:rPr>
            </w:pPr>
            <w:r>
              <w:rPr>
                <w:sz w:val="20"/>
                <w:szCs w:val="20"/>
              </w:rPr>
              <w:t>P</w:t>
            </w:r>
            <w:r w:rsidR="007E2A25">
              <w:rPr>
                <w:sz w:val="20"/>
                <w:szCs w:val="20"/>
              </w:rPr>
              <w:t xml:space="preserve">roposal for amending the </w:t>
            </w:r>
            <w:r w:rsidR="007E2A25" w:rsidRPr="007E2A25">
              <w:rPr>
                <w:sz w:val="20"/>
                <w:szCs w:val="20"/>
              </w:rPr>
              <w:t xml:space="preserve">existing legal framework in the agricultural sector </w:t>
            </w:r>
            <w:r w:rsidR="007E2A25">
              <w:rPr>
                <w:sz w:val="20"/>
                <w:szCs w:val="20"/>
              </w:rPr>
              <w:t xml:space="preserve">to modernize and green the national subsidy and incentive system </w:t>
            </w:r>
            <w:r w:rsidR="007E2A25" w:rsidRPr="007E2A25">
              <w:rPr>
                <w:sz w:val="20"/>
                <w:szCs w:val="20"/>
              </w:rPr>
              <w:t>in agriculture and promot</w:t>
            </w:r>
            <w:r w:rsidR="007E2A25">
              <w:rPr>
                <w:sz w:val="20"/>
                <w:szCs w:val="20"/>
              </w:rPr>
              <w:t>e</w:t>
            </w:r>
            <w:r w:rsidR="007E2A25" w:rsidRPr="007E2A25">
              <w:rPr>
                <w:sz w:val="20"/>
                <w:szCs w:val="20"/>
              </w:rPr>
              <w:t xml:space="preserve"> organic agriculture</w:t>
            </w:r>
            <w:r w:rsidR="00B43D18">
              <w:rPr>
                <w:sz w:val="20"/>
                <w:szCs w:val="20"/>
              </w:rPr>
              <w:t xml:space="preserve"> under the auspice of the President of the Parliament</w:t>
            </w:r>
            <w:r w:rsidR="00500C93">
              <w:rPr>
                <w:sz w:val="20"/>
                <w:szCs w:val="20"/>
              </w:rPr>
              <w:t>.</w:t>
            </w:r>
          </w:p>
          <w:p w14:paraId="4FD277FB" w14:textId="39CF1476" w:rsidR="007E2A25" w:rsidRPr="00500C93" w:rsidRDefault="00500C93" w:rsidP="007E2A25">
            <w:pPr>
              <w:widowControl/>
              <w:numPr>
                <w:ilvl w:val="0"/>
                <w:numId w:val="19"/>
              </w:numPr>
              <w:tabs>
                <w:tab w:val="clear" w:pos="360"/>
                <w:tab w:val="num" w:pos="176"/>
              </w:tabs>
              <w:autoSpaceDE/>
              <w:autoSpaceDN/>
              <w:adjustRightInd/>
              <w:ind w:left="176" w:hanging="176"/>
              <w:rPr>
                <w:sz w:val="20"/>
                <w:szCs w:val="20"/>
              </w:rPr>
            </w:pPr>
            <w:r w:rsidRPr="00500C93">
              <w:rPr>
                <w:sz w:val="20"/>
                <w:szCs w:val="20"/>
              </w:rPr>
              <w:t>Recommendations on subsidies in the energy sector to address the</w:t>
            </w:r>
            <w:r w:rsidR="007E2A25" w:rsidRPr="00500C93">
              <w:rPr>
                <w:sz w:val="20"/>
                <w:szCs w:val="20"/>
              </w:rPr>
              <w:t xml:space="preserve"> negative impact</w:t>
            </w:r>
            <w:r>
              <w:rPr>
                <w:sz w:val="20"/>
                <w:szCs w:val="20"/>
              </w:rPr>
              <w:t>s</w:t>
            </w:r>
            <w:r w:rsidR="007E2A25" w:rsidRPr="00500C93">
              <w:rPr>
                <w:sz w:val="20"/>
                <w:szCs w:val="20"/>
              </w:rPr>
              <w:t xml:space="preserve"> of </w:t>
            </w:r>
            <w:r>
              <w:rPr>
                <w:sz w:val="20"/>
                <w:szCs w:val="20"/>
              </w:rPr>
              <w:t xml:space="preserve">some </w:t>
            </w:r>
            <w:r w:rsidR="007E2A25" w:rsidRPr="00500C93">
              <w:rPr>
                <w:sz w:val="20"/>
                <w:szCs w:val="20"/>
              </w:rPr>
              <w:t xml:space="preserve">energy subsidy schemes </w:t>
            </w:r>
            <w:r w:rsidRPr="00500C93">
              <w:rPr>
                <w:sz w:val="20"/>
                <w:szCs w:val="20"/>
              </w:rPr>
              <w:t>by revising</w:t>
            </w:r>
            <w:r w:rsidR="007E2A25" w:rsidRPr="00500C93">
              <w:rPr>
                <w:sz w:val="20"/>
                <w:szCs w:val="20"/>
              </w:rPr>
              <w:t xml:space="preserve"> the tariff policy on energy products, as well as of the provisioning of </w:t>
            </w:r>
            <w:r w:rsidRPr="00500C93">
              <w:rPr>
                <w:sz w:val="20"/>
                <w:szCs w:val="20"/>
              </w:rPr>
              <w:t>t</w:t>
            </w:r>
            <w:r>
              <w:rPr>
                <w:sz w:val="20"/>
                <w:szCs w:val="20"/>
              </w:rPr>
              <w:t>he nominative compensations.</w:t>
            </w:r>
          </w:p>
          <w:p w14:paraId="53516F9C" w14:textId="7F49A57F" w:rsidR="00BD7E62" w:rsidRDefault="002F58E8" w:rsidP="007E2A25">
            <w:pPr>
              <w:widowControl/>
              <w:numPr>
                <w:ilvl w:val="0"/>
                <w:numId w:val="19"/>
              </w:numPr>
              <w:tabs>
                <w:tab w:val="clear" w:pos="360"/>
                <w:tab w:val="num" w:pos="176"/>
              </w:tabs>
              <w:autoSpaceDE/>
              <w:autoSpaceDN/>
              <w:adjustRightInd/>
              <w:ind w:left="176" w:hanging="176"/>
              <w:rPr>
                <w:sz w:val="20"/>
                <w:szCs w:val="20"/>
              </w:rPr>
            </w:pPr>
            <w:r>
              <w:rPr>
                <w:sz w:val="20"/>
                <w:szCs w:val="20"/>
              </w:rPr>
              <w:t>P</w:t>
            </w:r>
            <w:r w:rsidR="00BD7E62">
              <w:rPr>
                <w:sz w:val="20"/>
                <w:szCs w:val="20"/>
              </w:rPr>
              <w:t>roposal</w:t>
            </w:r>
            <w:r w:rsidR="00BD7E62" w:rsidRPr="007E2A25">
              <w:rPr>
                <w:sz w:val="20"/>
                <w:szCs w:val="20"/>
              </w:rPr>
              <w:t xml:space="preserve"> to amend the legislation on natural </w:t>
            </w:r>
            <w:r w:rsidR="00BD7E62">
              <w:rPr>
                <w:sz w:val="20"/>
                <w:szCs w:val="20"/>
              </w:rPr>
              <w:t xml:space="preserve">resources </w:t>
            </w:r>
            <w:r w:rsidR="00BD7E62" w:rsidRPr="007E2A25">
              <w:rPr>
                <w:sz w:val="20"/>
                <w:szCs w:val="20"/>
              </w:rPr>
              <w:t xml:space="preserve">charges was </w:t>
            </w:r>
            <w:r w:rsidR="00BD7E62">
              <w:rPr>
                <w:sz w:val="20"/>
                <w:szCs w:val="20"/>
              </w:rPr>
              <w:t>developed through collaborat</w:t>
            </w:r>
            <w:r w:rsidR="00BC6757">
              <w:rPr>
                <w:sz w:val="20"/>
                <w:szCs w:val="20"/>
              </w:rPr>
              <w:t>ion with the MOE working group.</w:t>
            </w:r>
          </w:p>
          <w:p w14:paraId="07A6B1C8" w14:textId="77AE2DE3" w:rsidR="00447D2F" w:rsidRPr="00447D2F" w:rsidRDefault="002F58E8" w:rsidP="007E2A25">
            <w:pPr>
              <w:widowControl/>
              <w:numPr>
                <w:ilvl w:val="0"/>
                <w:numId w:val="19"/>
              </w:numPr>
              <w:tabs>
                <w:tab w:val="clear" w:pos="360"/>
                <w:tab w:val="num" w:pos="176"/>
              </w:tabs>
              <w:autoSpaceDE/>
              <w:autoSpaceDN/>
              <w:adjustRightInd/>
              <w:ind w:left="176" w:hanging="176"/>
              <w:rPr>
                <w:sz w:val="20"/>
                <w:szCs w:val="20"/>
              </w:rPr>
            </w:pPr>
            <w:r>
              <w:rPr>
                <w:sz w:val="20"/>
                <w:szCs w:val="20"/>
              </w:rPr>
              <w:t>Proposal for a</w:t>
            </w:r>
            <w:r w:rsidR="00447D2F" w:rsidRPr="00447D2F">
              <w:rPr>
                <w:sz w:val="20"/>
                <w:szCs w:val="20"/>
              </w:rPr>
              <w:t xml:space="preserve"> management system for the packaging and w</w:t>
            </w:r>
            <w:r w:rsidR="007E2A25" w:rsidRPr="00447D2F">
              <w:rPr>
                <w:sz w:val="20"/>
                <w:szCs w:val="20"/>
              </w:rPr>
              <w:t>aste</w:t>
            </w:r>
            <w:r w:rsidR="00447D2F" w:rsidRPr="00447D2F">
              <w:rPr>
                <w:sz w:val="20"/>
                <w:szCs w:val="20"/>
              </w:rPr>
              <w:t xml:space="preserve"> from electronic and electric e</w:t>
            </w:r>
            <w:r w:rsidR="007E2A25" w:rsidRPr="00447D2F">
              <w:rPr>
                <w:sz w:val="20"/>
                <w:szCs w:val="20"/>
              </w:rPr>
              <w:t>quipment</w:t>
            </w:r>
            <w:r w:rsidR="00447D2F" w:rsidRPr="00447D2F">
              <w:rPr>
                <w:sz w:val="20"/>
                <w:szCs w:val="20"/>
              </w:rPr>
              <w:t xml:space="preserve">, including </w:t>
            </w:r>
            <w:r w:rsidR="007E2A25" w:rsidRPr="00447D2F">
              <w:rPr>
                <w:sz w:val="20"/>
                <w:szCs w:val="20"/>
              </w:rPr>
              <w:t>taxes</w:t>
            </w:r>
            <w:r w:rsidR="00447D2F" w:rsidRPr="00447D2F">
              <w:rPr>
                <w:sz w:val="20"/>
                <w:szCs w:val="20"/>
              </w:rPr>
              <w:t xml:space="preserve">, </w:t>
            </w:r>
            <w:r w:rsidR="007E2A25" w:rsidRPr="00447D2F">
              <w:rPr>
                <w:sz w:val="20"/>
                <w:szCs w:val="20"/>
              </w:rPr>
              <w:t xml:space="preserve">quantum of fees, </w:t>
            </w:r>
            <w:r w:rsidR="00447D2F" w:rsidRPr="00447D2F">
              <w:rPr>
                <w:sz w:val="20"/>
                <w:szCs w:val="20"/>
              </w:rPr>
              <w:t xml:space="preserve">as well as </w:t>
            </w:r>
            <w:r w:rsidR="007E2A25" w:rsidRPr="00447D2F">
              <w:rPr>
                <w:sz w:val="20"/>
                <w:szCs w:val="20"/>
              </w:rPr>
              <w:t>economic, financial and e</w:t>
            </w:r>
            <w:r w:rsidR="00BC6757">
              <w:rPr>
                <w:sz w:val="20"/>
                <w:szCs w:val="20"/>
              </w:rPr>
              <w:t>nvironmental impact assessments.</w:t>
            </w:r>
          </w:p>
          <w:p w14:paraId="1F11D916" w14:textId="120519A2" w:rsidR="007E2A25" w:rsidRPr="00447D2F" w:rsidRDefault="002F58E8" w:rsidP="007E2A25">
            <w:pPr>
              <w:widowControl/>
              <w:numPr>
                <w:ilvl w:val="0"/>
                <w:numId w:val="19"/>
              </w:numPr>
              <w:tabs>
                <w:tab w:val="clear" w:pos="360"/>
                <w:tab w:val="num" w:pos="176"/>
              </w:tabs>
              <w:autoSpaceDE/>
              <w:autoSpaceDN/>
              <w:adjustRightInd/>
              <w:ind w:left="176" w:hanging="176"/>
              <w:rPr>
                <w:sz w:val="20"/>
                <w:szCs w:val="20"/>
              </w:rPr>
            </w:pPr>
            <w:r>
              <w:rPr>
                <w:sz w:val="20"/>
                <w:szCs w:val="20"/>
              </w:rPr>
              <w:t>S</w:t>
            </w:r>
            <w:r w:rsidR="00447D2F">
              <w:rPr>
                <w:sz w:val="20"/>
                <w:szCs w:val="20"/>
              </w:rPr>
              <w:t>upported the c</w:t>
            </w:r>
            <w:r w:rsidR="007E2A25" w:rsidRPr="00447D2F">
              <w:rPr>
                <w:sz w:val="20"/>
                <w:szCs w:val="20"/>
              </w:rPr>
              <w:t>reation of a</w:t>
            </w:r>
            <w:r w:rsidR="00447D2F" w:rsidRPr="00447D2F">
              <w:rPr>
                <w:sz w:val="20"/>
                <w:szCs w:val="20"/>
              </w:rPr>
              <w:t>n</w:t>
            </w:r>
            <w:r w:rsidR="007E2A25" w:rsidRPr="00447D2F">
              <w:rPr>
                <w:sz w:val="20"/>
                <w:szCs w:val="20"/>
              </w:rPr>
              <w:t xml:space="preserve"> </w:t>
            </w:r>
            <w:r w:rsidR="00447D2F" w:rsidRPr="00447D2F">
              <w:rPr>
                <w:sz w:val="20"/>
                <w:szCs w:val="20"/>
              </w:rPr>
              <w:t xml:space="preserve">expert working </w:t>
            </w:r>
            <w:r w:rsidR="007E2A25" w:rsidRPr="00447D2F">
              <w:rPr>
                <w:sz w:val="20"/>
                <w:szCs w:val="20"/>
              </w:rPr>
              <w:t xml:space="preserve">group to </w:t>
            </w:r>
            <w:r w:rsidR="00447D2F" w:rsidRPr="00447D2F">
              <w:rPr>
                <w:sz w:val="20"/>
                <w:szCs w:val="20"/>
              </w:rPr>
              <w:t>elaborate recommendations for</w:t>
            </w:r>
            <w:r w:rsidR="007E2A25" w:rsidRPr="00447D2F">
              <w:rPr>
                <w:sz w:val="20"/>
                <w:szCs w:val="20"/>
              </w:rPr>
              <w:t xml:space="preserve"> new environmental charges calculation</w:t>
            </w:r>
            <w:r w:rsidR="00447D2F" w:rsidRPr="00447D2F">
              <w:rPr>
                <w:sz w:val="20"/>
                <w:szCs w:val="20"/>
              </w:rPr>
              <w:t xml:space="preserve">s, </w:t>
            </w:r>
            <w:r w:rsidR="007E2A25" w:rsidRPr="00447D2F">
              <w:rPr>
                <w:sz w:val="20"/>
                <w:szCs w:val="20"/>
              </w:rPr>
              <w:t>collection mechanism</w:t>
            </w:r>
            <w:r w:rsidR="00447D2F" w:rsidRPr="00447D2F">
              <w:rPr>
                <w:sz w:val="20"/>
                <w:szCs w:val="20"/>
              </w:rPr>
              <w:t>s</w:t>
            </w:r>
            <w:r w:rsidR="007E2A25" w:rsidRPr="00447D2F">
              <w:rPr>
                <w:sz w:val="20"/>
                <w:szCs w:val="20"/>
              </w:rPr>
              <w:t xml:space="preserve"> a</w:t>
            </w:r>
            <w:r w:rsidR="00447D2F" w:rsidRPr="00447D2F">
              <w:rPr>
                <w:sz w:val="20"/>
                <w:szCs w:val="20"/>
              </w:rPr>
              <w:t xml:space="preserve">s well as recommendations to revise </w:t>
            </w:r>
            <w:r w:rsidR="007E2A25" w:rsidRPr="00447D2F">
              <w:rPr>
                <w:sz w:val="20"/>
                <w:szCs w:val="20"/>
              </w:rPr>
              <w:t xml:space="preserve">the legal framework in accordance with the Government Decision (GD) No. 376 of 16 June 2015 </w:t>
            </w:r>
            <w:r w:rsidR="00447D2F" w:rsidRPr="00447D2F">
              <w:rPr>
                <w:sz w:val="20"/>
                <w:szCs w:val="20"/>
              </w:rPr>
              <w:t>and aligned to Article</w:t>
            </w:r>
            <w:r w:rsidR="007E2A25" w:rsidRPr="00447D2F">
              <w:rPr>
                <w:sz w:val="20"/>
                <w:szCs w:val="20"/>
              </w:rPr>
              <w:t xml:space="preserve"> 195 of the Association Agreement EU-Moldova.</w:t>
            </w:r>
          </w:p>
          <w:p w14:paraId="600FC07F" w14:textId="392702A7" w:rsidR="00E80CC9" w:rsidRPr="00E80CC9" w:rsidRDefault="00E80CC9" w:rsidP="00E80CC9">
            <w:pPr>
              <w:widowControl/>
              <w:numPr>
                <w:ilvl w:val="0"/>
                <w:numId w:val="19"/>
              </w:numPr>
              <w:tabs>
                <w:tab w:val="clear" w:pos="360"/>
                <w:tab w:val="num" w:pos="176"/>
              </w:tabs>
              <w:autoSpaceDE/>
              <w:autoSpaceDN/>
              <w:adjustRightInd/>
              <w:ind w:left="176" w:hanging="176"/>
              <w:rPr>
                <w:sz w:val="20"/>
                <w:szCs w:val="20"/>
              </w:rPr>
            </w:pPr>
            <w:r w:rsidRPr="00E80CC9">
              <w:rPr>
                <w:sz w:val="20"/>
                <w:szCs w:val="20"/>
              </w:rPr>
              <w:t xml:space="preserve">Capacity of staff involved in the development of environmental policy was developed following a training needs analysis, the development of a training programme including training material (two training manuals: Role of Economic Instruments in Environmental Policy and Ecological Funds) and the delivery of 2 workshops focusing primarily on the role of economic instruments in environmental policy and application of these to meet the </w:t>
            </w:r>
            <w:r w:rsidR="000A2BDC">
              <w:rPr>
                <w:sz w:val="20"/>
                <w:szCs w:val="20"/>
              </w:rPr>
              <w:t>relevant obligations of Moldova and targeting stakeholders at both central and local levels.</w:t>
            </w:r>
          </w:p>
          <w:p w14:paraId="0406D12E" w14:textId="5E2E2820" w:rsidR="00E80CC9" w:rsidRPr="00E80CC9" w:rsidRDefault="00E80CC9" w:rsidP="007E2A25">
            <w:pPr>
              <w:widowControl/>
              <w:numPr>
                <w:ilvl w:val="0"/>
                <w:numId w:val="19"/>
              </w:numPr>
              <w:tabs>
                <w:tab w:val="clear" w:pos="360"/>
                <w:tab w:val="num" w:pos="176"/>
              </w:tabs>
              <w:autoSpaceDE/>
              <w:autoSpaceDN/>
              <w:adjustRightInd/>
              <w:ind w:left="176" w:hanging="176"/>
              <w:rPr>
                <w:sz w:val="20"/>
                <w:szCs w:val="20"/>
              </w:rPr>
            </w:pPr>
            <w:r w:rsidRPr="00E80CC9">
              <w:rPr>
                <w:sz w:val="20"/>
                <w:szCs w:val="20"/>
              </w:rPr>
              <w:t>T</w:t>
            </w:r>
            <w:r w:rsidR="007E2A25" w:rsidRPr="00E80CC9">
              <w:rPr>
                <w:sz w:val="20"/>
                <w:szCs w:val="20"/>
              </w:rPr>
              <w:t>hree video toolkits illustrating the environmental fiscal reform benefits focusing on sustainable businesses, sustainable communities, and consumption</w:t>
            </w:r>
            <w:r w:rsidRPr="00E80CC9">
              <w:rPr>
                <w:sz w:val="20"/>
                <w:szCs w:val="20"/>
              </w:rPr>
              <w:t xml:space="preserve"> and were </w:t>
            </w:r>
            <w:r w:rsidR="007E2A25" w:rsidRPr="00E80CC9">
              <w:rPr>
                <w:sz w:val="20"/>
                <w:szCs w:val="20"/>
              </w:rPr>
              <w:t xml:space="preserve">broadcasted on several TV channels during </w:t>
            </w:r>
            <w:r w:rsidRPr="00E80CC9">
              <w:rPr>
                <w:sz w:val="20"/>
                <w:szCs w:val="20"/>
              </w:rPr>
              <w:t xml:space="preserve">the period </w:t>
            </w:r>
            <w:r w:rsidR="007E2A25" w:rsidRPr="00E80CC9">
              <w:rPr>
                <w:sz w:val="20"/>
                <w:szCs w:val="20"/>
              </w:rPr>
              <w:t xml:space="preserve">August-September 2015.   </w:t>
            </w:r>
          </w:p>
          <w:p w14:paraId="2240F4C6" w14:textId="08615E4D" w:rsidR="00E80CC9" w:rsidRPr="00E80CC9" w:rsidRDefault="007E2A25" w:rsidP="007E2A25">
            <w:pPr>
              <w:widowControl/>
              <w:numPr>
                <w:ilvl w:val="0"/>
                <w:numId w:val="19"/>
              </w:numPr>
              <w:tabs>
                <w:tab w:val="clear" w:pos="360"/>
                <w:tab w:val="num" w:pos="176"/>
              </w:tabs>
              <w:autoSpaceDE/>
              <w:autoSpaceDN/>
              <w:adjustRightInd/>
              <w:ind w:left="176" w:hanging="176"/>
              <w:rPr>
                <w:sz w:val="20"/>
                <w:szCs w:val="20"/>
              </w:rPr>
            </w:pPr>
            <w:r w:rsidRPr="00E80CC9">
              <w:rPr>
                <w:sz w:val="20"/>
                <w:szCs w:val="20"/>
              </w:rPr>
              <w:t>Analysis of financial instruments to promote eco-technolo</w:t>
            </w:r>
            <w:r w:rsidR="00E80CC9" w:rsidRPr="00E80CC9">
              <w:rPr>
                <w:sz w:val="20"/>
                <w:szCs w:val="20"/>
              </w:rPr>
              <w:t>gies in the Republic of Moldova</w:t>
            </w:r>
            <w:r w:rsidR="003F635E">
              <w:rPr>
                <w:sz w:val="20"/>
                <w:szCs w:val="20"/>
              </w:rPr>
              <w:t xml:space="preserve">, which </w:t>
            </w:r>
            <w:r w:rsidRPr="00E80CC9">
              <w:rPr>
                <w:sz w:val="20"/>
                <w:szCs w:val="20"/>
              </w:rPr>
              <w:t xml:space="preserve">was published in Romanian and English and submitted to beneficiaries. </w:t>
            </w:r>
          </w:p>
          <w:p w14:paraId="1E5609D8" w14:textId="77777777" w:rsidR="00E80CC9" w:rsidRPr="00E80CC9" w:rsidRDefault="00E80CC9" w:rsidP="007E2A25">
            <w:pPr>
              <w:widowControl/>
              <w:numPr>
                <w:ilvl w:val="0"/>
                <w:numId w:val="19"/>
              </w:numPr>
              <w:tabs>
                <w:tab w:val="clear" w:pos="360"/>
                <w:tab w:val="num" w:pos="176"/>
              </w:tabs>
              <w:autoSpaceDE/>
              <w:autoSpaceDN/>
              <w:adjustRightInd/>
              <w:ind w:left="176" w:hanging="176"/>
              <w:rPr>
                <w:sz w:val="20"/>
                <w:szCs w:val="20"/>
              </w:rPr>
            </w:pPr>
            <w:r w:rsidRPr="00E80CC9">
              <w:rPr>
                <w:sz w:val="20"/>
                <w:szCs w:val="20"/>
              </w:rPr>
              <w:t xml:space="preserve">Supported the </w:t>
            </w:r>
            <w:r w:rsidR="007E2A25" w:rsidRPr="00E80CC9">
              <w:rPr>
                <w:sz w:val="20"/>
                <w:szCs w:val="20"/>
              </w:rPr>
              <w:t xml:space="preserve">organization of the International Conference on Environment and Climate Change: from vision to action held on June 5, 2015 on World Environment Day, with the participation of more than 100 representatives of national and international stakeholders. </w:t>
            </w:r>
          </w:p>
          <w:p w14:paraId="3374DD30" w14:textId="36837A2B" w:rsidR="000A2BDC" w:rsidRPr="000A2BDC" w:rsidRDefault="007E2A25" w:rsidP="007E2A25">
            <w:pPr>
              <w:widowControl/>
              <w:numPr>
                <w:ilvl w:val="0"/>
                <w:numId w:val="19"/>
              </w:numPr>
              <w:tabs>
                <w:tab w:val="clear" w:pos="360"/>
                <w:tab w:val="num" w:pos="176"/>
              </w:tabs>
              <w:autoSpaceDE/>
              <w:autoSpaceDN/>
              <w:adjustRightInd/>
              <w:ind w:left="176" w:hanging="176"/>
              <w:rPr>
                <w:sz w:val="20"/>
                <w:szCs w:val="20"/>
              </w:rPr>
            </w:pPr>
            <w:r w:rsidRPr="000A2BDC">
              <w:rPr>
                <w:sz w:val="20"/>
                <w:szCs w:val="20"/>
              </w:rPr>
              <w:t xml:space="preserve">The website </w:t>
            </w:r>
            <w:hyperlink r:id="rId24" w:history="1">
              <w:r w:rsidR="00BC6757" w:rsidRPr="00740482">
                <w:rPr>
                  <w:rStyle w:val="Hyperlink"/>
                  <w:sz w:val="20"/>
                  <w:szCs w:val="20"/>
                </w:rPr>
                <w:t>www.green.gov.md</w:t>
              </w:r>
            </w:hyperlink>
            <w:r w:rsidR="00BC6757">
              <w:rPr>
                <w:sz w:val="20"/>
                <w:szCs w:val="20"/>
              </w:rPr>
              <w:t xml:space="preserve"> </w:t>
            </w:r>
            <w:r w:rsidR="00E80CC9" w:rsidRPr="000A2BDC">
              <w:rPr>
                <w:sz w:val="20"/>
                <w:szCs w:val="20"/>
              </w:rPr>
              <w:t xml:space="preserve">was </w:t>
            </w:r>
            <w:r w:rsidR="000A2BDC" w:rsidRPr="000A2BDC">
              <w:rPr>
                <w:sz w:val="20"/>
                <w:szCs w:val="20"/>
              </w:rPr>
              <w:t>launched during the conference</w:t>
            </w:r>
            <w:r w:rsidRPr="000A2BDC">
              <w:rPr>
                <w:sz w:val="20"/>
                <w:szCs w:val="20"/>
              </w:rPr>
              <w:t>.</w:t>
            </w:r>
          </w:p>
          <w:p w14:paraId="3491257C" w14:textId="77777777" w:rsidR="000A2BDC" w:rsidRPr="000A2BDC" w:rsidRDefault="000A2BDC" w:rsidP="007E2A25">
            <w:pPr>
              <w:widowControl/>
              <w:numPr>
                <w:ilvl w:val="0"/>
                <w:numId w:val="19"/>
              </w:numPr>
              <w:tabs>
                <w:tab w:val="clear" w:pos="360"/>
                <w:tab w:val="num" w:pos="176"/>
              </w:tabs>
              <w:autoSpaceDE/>
              <w:autoSpaceDN/>
              <w:adjustRightInd/>
              <w:ind w:left="176" w:hanging="176"/>
              <w:rPr>
                <w:sz w:val="20"/>
                <w:szCs w:val="20"/>
              </w:rPr>
            </w:pPr>
            <w:r w:rsidRPr="000A2BDC">
              <w:rPr>
                <w:sz w:val="20"/>
                <w:szCs w:val="20"/>
              </w:rPr>
              <w:t xml:space="preserve">Supported </w:t>
            </w:r>
            <w:r w:rsidR="007E2A25" w:rsidRPr="000A2BDC">
              <w:rPr>
                <w:sz w:val="20"/>
                <w:szCs w:val="20"/>
              </w:rPr>
              <w:t xml:space="preserve">the organization of </w:t>
            </w:r>
            <w:r w:rsidRPr="000A2BDC">
              <w:rPr>
                <w:sz w:val="20"/>
                <w:szCs w:val="20"/>
              </w:rPr>
              <w:t xml:space="preserve">the </w:t>
            </w:r>
            <w:r w:rsidR="007E2A25" w:rsidRPr="000A2BDC">
              <w:rPr>
                <w:sz w:val="20"/>
                <w:szCs w:val="20"/>
              </w:rPr>
              <w:t>European Sustainable Energy Week and SUN Da-I Fest hosted in the week of June 15-21, 2015.</w:t>
            </w:r>
          </w:p>
          <w:p w14:paraId="7AE1395F" w14:textId="334D4101" w:rsidR="000A2BDC" w:rsidRPr="000A2BDC" w:rsidRDefault="000A2BDC" w:rsidP="007E2A25">
            <w:pPr>
              <w:widowControl/>
              <w:numPr>
                <w:ilvl w:val="0"/>
                <w:numId w:val="19"/>
              </w:numPr>
              <w:tabs>
                <w:tab w:val="clear" w:pos="360"/>
                <w:tab w:val="num" w:pos="176"/>
              </w:tabs>
              <w:autoSpaceDE/>
              <w:autoSpaceDN/>
              <w:adjustRightInd/>
              <w:ind w:left="176" w:hanging="176"/>
              <w:rPr>
                <w:sz w:val="20"/>
                <w:szCs w:val="20"/>
              </w:rPr>
            </w:pPr>
            <w:r w:rsidRPr="000A2BDC">
              <w:rPr>
                <w:sz w:val="20"/>
                <w:szCs w:val="20"/>
              </w:rPr>
              <w:t xml:space="preserve">Drafted a </w:t>
            </w:r>
            <w:r w:rsidR="007E2A25" w:rsidRPr="000A2BDC">
              <w:rPr>
                <w:sz w:val="20"/>
                <w:szCs w:val="20"/>
              </w:rPr>
              <w:t xml:space="preserve">Government Decision (Order of the Prime Minister) </w:t>
            </w:r>
            <w:r w:rsidRPr="000A2BDC">
              <w:rPr>
                <w:sz w:val="20"/>
                <w:szCs w:val="20"/>
              </w:rPr>
              <w:t xml:space="preserve">for </w:t>
            </w:r>
            <w:r w:rsidR="007E2A25" w:rsidRPr="000A2BDC">
              <w:rPr>
                <w:sz w:val="20"/>
                <w:szCs w:val="20"/>
              </w:rPr>
              <w:t xml:space="preserve">the creation of </w:t>
            </w:r>
            <w:r w:rsidR="00BC6757">
              <w:rPr>
                <w:sz w:val="20"/>
                <w:szCs w:val="20"/>
              </w:rPr>
              <w:t>a national EFR Commission.</w:t>
            </w:r>
          </w:p>
          <w:p w14:paraId="28CBCCA7" w14:textId="77777777" w:rsidR="000A2BDC" w:rsidRPr="000A2BDC" w:rsidRDefault="000A2BDC" w:rsidP="000A2BDC">
            <w:pPr>
              <w:widowControl/>
              <w:numPr>
                <w:ilvl w:val="0"/>
                <w:numId w:val="19"/>
              </w:numPr>
              <w:tabs>
                <w:tab w:val="clear" w:pos="360"/>
                <w:tab w:val="num" w:pos="176"/>
              </w:tabs>
              <w:autoSpaceDE/>
              <w:autoSpaceDN/>
              <w:adjustRightInd/>
              <w:ind w:left="176" w:hanging="176"/>
              <w:rPr>
                <w:sz w:val="20"/>
                <w:szCs w:val="20"/>
              </w:rPr>
            </w:pPr>
            <w:r w:rsidRPr="000A2BDC">
              <w:rPr>
                <w:sz w:val="20"/>
                <w:szCs w:val="20"/>
              </w:rPr>
              <w:t xml:space="preserve">Developed a proposal for an </w:t>
            </w:r>
            <w:r w:rsidR="007E2A25" w:rsidRPr="000A2BDC">
              <w:rPr>
                <w:sz w:val="20"/>
                <w:szCs w:val="20"/>
              </w:rPr>
              <w:t xml:space="preserve">inter-ministerial working group for developing </w:t>
            </w:r>
            <w:r w:rsidRPr="000A2BDC">
              <w:rPr>
                <w:sz w:val="20"/>
                <w:szCs w:val="20"/>
              </w:rPr>
              <w:t xml:space="preserve">a Sustainable Development and Green Economy (SDGE) platform; </w:t>
            </w:r>
            <w:r w:rsidR="007E2A25" w:rsidRPr="000A2BDC">
              <w:rPr>
                <w:sz w:val="20"/>
                <w:szCs w:val="20"/>
              </w:rPr>
              <w:t xml:space="preserve">which may </w:t>
            </w:r>
            <w:r w:rsidRPr="000A2BDC">
              <w:rPr>
                <w:sz w:val="20"/>
                <w:szCs w:val="20"/>
              </w:rPr>
              <w:t xml:space="preserve">include </w:t>
            </w:r>
            <w:r w:rsidR="007E2A25" w:rsidRPr="000A2BDC">
              <w:rPr>
                <w:sz w:val="20"/>
                <w:szCs w:val="20"/>
              </w:rPr>
              <w:t>EFR issues</w:t>
            </w:r>
            <w:r w:rsidRPr="000A2BDC">
              <w:rPr>
                <w:sz w:val="20"/>
                <w:szCs w:val="20"/>
              </w:rPr>
              <w:t xml:space="preserve"> in the future</w:t>
            </w:r>
            <w:r w:rsidR="007E2A25" w:rsidRPr="000A2BDC">
              <w:rPr>
                <w:sz w:val="20"/>
                <w:szCs w:val="20"/>
              </w:rPr>
              <w:t>.</w:t>
            </w:r>
          </w:p>
          <w:p w14:paraId="4C8F07CC" w14:textId="2442D5FD" w:rsidR="000A2BDC" w:rsidRPr="00B43D18" w:rsidRDefault="007E2A25" w:rsidP="007E2A25">
            <w:pPr>
              <w:widowControl/>
              <w:numPr>
                <w:ilvl w:val="0"/>
                <w:numId w:val="19"/>
              </w:numPr>
              <w:tabs>
                <w:tab w:val="clear" w:pos="360"/>
                <w:tab w:val="num" w:pos="176"/>
              </w:tabs>
              <w:autoSpaceDE/>
              <w:autoSpaceDN/>
              <w:adjustRightInd/>
              <w:ind w:left="176" w:hanging="176"/>
              <w:rPr>
                <w:sz w:val="20"/>
                <w:szCs w:val="20"/>
              </w:rPr>
            </w:pPr>
            <w:r w:rsidRPr="00B43D18">
              <w:rPr>
                <w:sz w:val="20"/>
                <w:szCs w:val="20"/>
              </w:rPr>
              <w:t xml:space="preserve">Technical assistance </w:t>
            </w:r>
            <w:r w:rsidR="000A2BDC" w:rsidRPr="00B43D18">
              <w:rPr>
                <w:sz w:val="20"/>
                <w:szCs w:val="20"/>
              </w:rPr>
              <w:t>was provided to the MOE</w:t>
            </w:r>
            <w:r w:rsidRPr="00B43D18">
              <w:rPr>
                <w:sz w:val="20"/>
                <w:szCs w:val="20"/>
              </w:rPr>
              <w:t xml:space="preserve"> Working Group in </w:t>
            </w:r>
            <w:r w:rsidR="000A2BDC" w:rsidRPr="00B43D18">
              <w:rPr>
                <w:sz w:val="20"/>
                <w:szCs w:val="20"/>
              </w:rPr>
              <w:t xml:space="preserve">order to </w:t>
            </w:r>
            <w:r w:rsidRPr="00B43D18">
              <w:rPr>
                <w:sz w:val="20"/>
                <w:szCs w:val="20"/>
              </w:rPr>
              <w:t xml:space="preserve">develop </w:t>
            </w:r>
            <w:r w:rsidR="00B43D18" w:rsidRPr="00B43D18">
              <w:rPr>
                <w:sz w:val="20"/>
                <w:szCs w:val="20"/>
              </w:rPr>
              <w:t>its budget for three programmes (Environment protection, Water supply and sewerage, and Extraction of mineral resources) and 10 sub-domains according to the guidelines of the Medium-Term Expenditures Framework (MTE</w:t>
            </w:r>
            <w:r w:rsidRPr="00B43D18">
              <w:rPr>
                <w:sz w:val="20"/>
                <w:szCs w:val="20"/>
              </w:rPr>
              <w:t>F) for the years 2016-2018.</w:t>
            </w:r>
          </w:p>
          <w:p w14:paraId="79E9DA3F" w14:textId="01573BA3" w:rsidR="00BC6757" w:rsidRPr="007C1A06" w:rsidRDefault="00BC6757" w:rsidP="00BC6757">
            <w:pPr>
              <w:widowControl/>
              <w:numPr>
                <w:ilvl w:val="0"/>
                <w:numId w:val="19"/>
              </w:numPr>
              <w:tabs>
                <w:tab w:val="clear" w:pos="360"/>
                <w:tab w:val="num" w:pos="176"/>
              </w:tabs>
              <w:autoSpaceDE/>
              <w:autoSpaceDN/>
              <w:adjustRightInd/>
              <w:ind w:left="176" w:hanging="176"/>
              <w:rPr>
                <w:sz w:val="20"/>
                <w:szCs w:val="20"/>
              </w:rPr>
            </w:pPr>
            <w:r w:rsidRPr="007C1A06">
              <w:rPr>
                <w:sz w:val="20"/>
                <w:szCs w:val="20"/>
              </w:rPr>
              <w:t xml:space="preserve">Supported the integration of </w:t>
            </w:r>
            <w:r w:rsidR="007E2A25" w:rsidRPr="007C1A06">
              <w:rPr>
                <w:sz w:val="20"/>
                <w:szCs w:val="20"/>
              </w:rPr>
              <w:t>environmental as</w:t>
            </w:r>
            <w:r w:rsidRPr="007C1A06">
              <w:rPr>
                <w:sz w:val="20"/>
                <w:szCs w:val="20"/>
              </w:rPr>
              <w:t>pects in local planning processes in</w:t>
            </w:r>
            <w:r w:rsidR="007E2A25" w:rsidRPr="007C1A06">
              <w:rPr>
                <w:sz w:val="20"/>
                <w:szCs w:val="20"/>
              </w:rPr>
              <w:t xml:space="preserve"> 6 pilot towns (Cahul, Calarasi, Ungheni, Soroca, Floresti and Telenesti)</w:t>
            </w:r>
            <w:r w:rsidRPr="007C1A06">
              <w:rPr>
                <w:sz w:val="20"/>
                <w:szCs w:val="20"/>
              </w:rPr>
              <w:t>; including the development of their three-year budget according to the new MTEF guidelines</w:t>
            </w:r>
            <w:r w:rsidR="007E2A25" w:rsidRPr="007C1A06">
              <w:rPr>
                <w:sz w:val="20"/>
                <w:szCs w:val="20"/>
              </w:rPr>
              <w:t xml:space="preserve">. </w:t>
            </w:r>
          </w:p>
          <w:p w14:paraId="794132B3" w14:textId="2021074B" w:rsidR="007E2A25" w:rsidRPr="007E2A25" w:rsidRDefault="00BC6757" w:rsidP="009D26BC">
            <w:pPr>
              <w:widowControl/>
              <w:numPr>
                <w:ilvl w:val="0"/>
                <w:numId w:val="19"/>
              </w:numPr>
              <w:tabs>
                <w:tab w:val="clear" w:pos="360"/>
                <w:tab w:val="num" w:pos="176"/>
              </w:tabs>
              <w:autoSpaceDE/>
              <w:autoSpaceDN/>
              <w:adjustRightInd/>
              <w:ind w:left="176" w:hanging="176"/>
              <w:rPr>
                <w:sz w:val="20"/>
                <w:szCs w:val="20"/>
              </w:rPr>
            </w:pPr>
            <w:r w:rsidRPr="009D26BC">
              <w:rPr>
                <w:sz w:val="20"/>
                <w:szCs w:val="20"/>
              </w:rPr>
              <w:t xml:space="preserve">Supported the development of </w:t>
            </w:r>
            <w:r w:rsidR="007E2A25" w:rsidRPr="009D26BC">
              <w:rPr>
                <w:sz w:val="20"/>
                <w:szCs w:val="20"/>
              </w:rPr>
              <w:t xml:space="preserve">12 local initiatives </w:t>
            </w:r>
            <w:r w:rsidRPr="009D26BC">
              <w:rPr>
                <w:sz w:val="20"/>
                <w:szCs w:val="20"/>
              </w:rPr>
              <w:t xml:space="preserve">(2 per town) addressing </w:t>
            </w:r>
            <w:r w:rsidR="007E2A25" w:rsidRPr="009D26BC">
              <w:rPr>
                <w:sz w:val="20"/>
                <w:szCs w:val="20"/>
              </w:rPr>
              <w:t xml:space="preserve">environmental </w:t>
            </w:r>
            <w:r w:rsidR="007C1A06" w:rsidRPr="009D26BC">
              <w:rPr>
                <w:sz w:val="20"/>
                <w:szCs w:val="20"/>
              </w:rPr>
              <w:t>needs</w:t>
            </w:r>
            <w:r w:rsidR="009D26BC" w:rsidRPr="009D26BC">
              <w:rPr>
                <w:sz w:val="20"/>
                <w:szCs w:val="20"/>
              </w:rPr>
              <w:t xml:space="preserve"> in</w:t>
            </w:r>
            <w:r w:rsidR="007E2A25" w:rsidRPr="009D26BC">
              <w:rPr>
                <w:sz w:val="20"/>
                <w:szCs w:val="20"/>
              </w:rPr>
              <w:t xml:space="preserve">tegrated in </w:t>
            </w:r>
            <w:r w:rsidR="009D26BC" w:rsidRPr="009D26BC">
              <w:rPr>
                <w:sz w:val="20"/>
                <w:szCs w:val="20"/>
              </w:rPr>
              <w:t xml:space="preserve">local </w:t>
            </w:r>
            <w:r w:rsidR="007E2A25" w:rsidRPr="009D26BC">
              <w:rPr>
                <w:sz w:val="20"/>
                <w:szCs w:val="20"/>
              </w:rPr>
              <w:t>development plans and local budget</w:t>
            </w:r>
            <w:r w:rsidR="009D26BC" w:rsidRPr="009D26BC">
              <w:rPr>
                <w:sz w:val="20"/>
                <w:szCs w:val="20"/>
              </w:rPr>
              <w:t>s and co-financed 6 of these initiatives (1 per town).</w:t>
            </w:r>
          </w:p>
        </w:tc>
      </w:tr>
    </w:tbl>
    <w:p w14:paraId="5BF1E9A8" w14:textId="2D62E487" w:rsidR="007E2A25" w:rsidRPr="00FB6D4E" w:rsidRDefault="007E2A25" w:rsidP="00F84ECC">
      <w:pPr>
        <w:tabs>
          <w:tab w:val="left" w:pos="567"/>
        </w:tabs>
        <w:jc w:val="both"/>
        <w:rPr>
          <w:sz w:val="22"/>
        </w:rPr>
      </w:pPr>
    </w:p>
    <w:p w14:paraId="29B9AC57" w14:textId="2B0E3FA8" w:rsidR="007F7066" w:rsidRDefault="00145C31" w:rsidP="00FD6C32">
      <w:pPr>
        <w:pStyle w:val="ListParagraph"/>
        <w:numPr>
          <w:ilvl w:val="0"/>
          <w:numId w:val="15"/>
        </w:numPr>
        <w:jc w:val="both"/>
        <w:rPr>
          <w:sz w:val="22"/>
          <w:szCs w:val="22"/>
        </w:rPr>
      </w:pPr>
      <w:r>
        <w:rPr>
          <w:sz w:val="22"/>
          <w:szCs w:val="22"/>
        </w:rPr>
        <w:lastRenderedPageBreak/>
        <w:t>When comparing these key results with the objective, the project certainly contributed “</w:t>
      </w:r>
      <w:r w:rsidRPr="00145C31">
        <w:rPr>
          <w:i/>
          <w:sz w:val="22"/>
          <w:szCs w:val="22"/>
        </w:rPr>
        <w:t>to build capacities for implementing environmental fiscal reforms (EFR) that will produce increased national and global environmental benefits through the adoption of selected subsidies, fees, fines, taxes and other appropriate fiscal instruments</w:t>
      </w:r>
      <w:r>
        <w:rPr>
          <w:sz w:val="22"/>
          <w:szCs w:val="22"/>
        </w:rPr>
        <w:t xml:space="preserve">”. The EFR agenda on Moldova was greatly strengthened with more information available, </w:t>
      </w:r>
      <w:r w:rsidR="00FA286C">
        <w:rPr>
          <w:sz w:val="22"/>
          <w:szCs w:val="22"/>
        </w:rPr>
        <w:t xml:space="preserve">better </w:t>
      </w:r>
      <w:r w:rsidR="007F7066">
        <w:rPr>
          <w:sz w:val="22"/>
          <w:szCs w:val="22"/>
        </w:rPr>
        <w:t xml:space="preserve">access to environmental economic instruments, and </w:t>
      </w:r>
      <w:r>
        <w:rPr>
          <w:sz w:val="22"/>
          <w:szCs w:val="22"/>
        </w:rPr>
        <w:t xml:space="preserve">better skills and knowledge of key stakeholders to undertake environmental fiscal reform activities. </w:t>
      </w:r>
    </w:p>
    <w:p w14:paraId="7565F0CF" w14:textId="77777777" w:rsidR="007F7066" w:rsidRDefault="007F7066" w:rsidP="007F7066">
      <w:pPr>
        <w:pStyle w:val="ListParagraph"/>
        <w:ind w:left="0"/>
        <w:jc w:val="both"/>
        <w:rPr>
          <w:sz w:val="22"/>
          <w:szCs w:val="22"/>
        </w:rPr>
      </w:pPr>
    </w:p>
    <w:p w14:paraId="5AB6FCAE" w14:textId="5D6B5C6D" w:rsidR="003F635E" w:rsidRPr="003F635E" w:rsidRDefault="007F7066" w:rsidP="00FD6C32">
      <w:pPr>
        <w:pStyle w:val="ListParagraph"/>
        <w:numPr>
          <w:ilvl w:val="0"/>
          <w:numId w:val="15"/>
        </w:numPr>
        <w:jc w:val="both"/>
        <w:rPr>
          <w:sz w:val="22"/>
          <w:szCs w:val="22"/>
        </w:rPr>
      </w:pPr>
      <w:r>
        <w:rPr>
          <w:sz w:val="22"/>
          <w:szCs w:val="22"/>
        </w:rPr>
        <w:t>However, one part of this objective where the project is falling short is “</w:t>
      </w:r>
      <w:r w:rsidRPr="007F7066">
        <w:rPr>
          <w:i/>
          <w:sz w:val="22"/>
          <w:szCs w:val="22"/>
        </w:rPr>
        <w:t>the adoption of selected subsidies, fees, fines, taxes and other appropriate fiscal instruments</w:t>
      </w:r>
      <w:r>
        <w:rPr>
          <w:sz w:val="22"/>
          <w:szCs w:val="22"/>
        </w:rPr>
        <w:t xml:space="preserve">”. Most of the activities conducted in this area were concluded as proposals that were submitted to the relevant government authorities (MOE, MOF and MOEco). </w:t>
      </w:r>
      <w:r w:rsidR="003917C5">
        <w:rPr>
          <w:sz w:val="22"/>
          <w:szCs w:val="22"/>
        </w:rPr>
        <w:t>The project “push” these proposals in various ways to lobby the authorities but the political uncertainty of the last 18 months (</w:t>
      </w:r>
      <w:r w:rsidR="00482254">
        <w:rPr>
          <w:sz w:val="22"/>
          <w:szCs w:val="22"/>
        </w:rPr>
        <w:t xml:space="preserve">three governments, </w:t>
      </w:r>
      <w:r w:rsidR="003917C5" w:rsidRPr="003917C5">
        <w:rPr>
          <w:sz w:val="22"/>
          <w:szCs w:val="22"/>
        </w:rPr>
        <w:t>four different Ministers</w:t>
      </w:r>
      <w:r w:rsidR="003917C5">
        <w:rPr>
          <w:sz w:val="22"/>
          <w:szCs w:val="22"/>
        </w:rPr>
        <w:t xml:space="preserve"> of Environment</w:t>
      </w:r>
      <w:r w:rsidR="003917C5" w:rsidRPr="003917C5">
        <w:rPr>
          <w:sz w:val="22"/>
          <w:szCs w:val="22"/>
        </w:rPr>
        <w:t>, 5 Deputy Ministers and two State Secretaries</w:t>
      </w:r>
      <w:r w:rsidR="003917C5">
        <w:rPr>
          <w:sz w:val="22"/>
          <w:szCs w:val="22"/>
        </w:rPr>
        <w:t xml:space="preserve">) certainly contributed to a certain </w:t>
      </w:r>
      <w:r w:rsidR="00132337">
        <w:rPr>
          <w:sz w:val="22"/>
          <w:szCs w:val="22"/>
        </w:rPr>
        <w:t>status quo</w:t>
      </w:r>
      <w:r w:rsidR="003917C5">
        <w:rPr>
          <w:sz w:val="22"/>
          <w:szCs w:val="22"/>
        </w:rPr>
        <w:t xml:space="preserve"> on this agenda since 2014. It is now hoped that with a new leadership at MOE (new Minister), the EFR agenda will move forward, including the reform of NEF.  </w:t>
      </w:r>
    </w:p>
    <w:p w14:paraId="390893A6" w14:textId="77777777" w:rsidR="003F635E" w:rsidRPr="003F635E" w:rsidRDefault="003F635E" w:rsidP="003F635E">
      <w:pPr>
        <w:pStyle w:val="ListParagraph"/>
        <w:ind w:left="0"/>
        <w:jc w:val="both"/>
        <w:rPr>
          <w:sz w:val="22"/>
          <w:szCs w:val="22"/>
        </w:rPr>
      </w:pPr>
    </w:p>
    <w:p w14:paraId="21729505" w14:textId="2A1185A4" w:rsidR="00D84D73" w:rsidRPr="00A4704C" w:rsidRDefault="00AD15C9" w:rsidP="00FD6C32">
      <w:pPr>
        <w:pStyle w:val="ListParagraph"/>
        <w:numPr>
          <w:ilvl w:val="0"/>
          <w:numId w:val="15"/>
        </w:numPr>
        <w:jc w:val="both"/>
        <w:rPr>
          <w:sz w:val="22"/>
          <w:szCs w:val="22"/>
        </w:rPr>
      </w:pPr>
      <w:r w:rsidRPr="00A4704C">
        <w:rPr>
          <w:sz w:val="22"/>
          <w:szCs w:val="22"/>
        </w:rPr>
        <w:t>One indicator to measure the progress made at the objective level was “</w:t>
      </w:r>
      <w:r w:rsidRPr="00A4704C">
        <w:rPr>
          <w:i/>
          <w:sz w:val="22"/>
          <w:szCs w:val="22"/>
        </w:rPr>
        <w:t>capacity development scorecard ratings increase in a consistent manner</w:t>
      </w:r>
      <w:r w:rsidRPr="00A4704C">
        <w:rPr>
          <w:sz w:val="22"/>
          <w:szCs w:val="22"/>
        </w:rPr>
        <w:t xml:space="preserve">”. This scorecard consists of a set of </w:t>
      </w:r>
      <w:r w:rsidR="00A4704C" w:rsidRPr="00A4704C">
        <w:rPr>
          <w:sz w:val="22"/>
          <w:szCs w:val="22"/>
        </w:rPr>
        <w:t xml:space="preserve">5 capacity results and </w:t>
      </w:r>
      <w:r w:rsidRPr="00A4704C">
        <w:rPr>
          <w:sz w:val="22"/>
          <w:szCs w:val="22"/>
        </w:rPr>
        <w:t xml:space="preserve">15 capacity development indicators </w:t>
      </w:r>
      <w:r w:rsidR="000F4AE6" w:rsidRPr="00A4704C">
        <w:rPr>
          <w:sz w:val="22"/>
          <w:szCs w:val="22"/>
        </w:rPr>
        <w:t>assessing the contribution of the project to strengthen Moldova's foundational capacities to meeting global environmental commitments. As a time-series evaluation, this tool was used during the project formulation to set a baseline</w:t>
      </w:r>
      <w:r w:rsidR="00A4704C" w:rsidRPr="00A4704C">
        <w:rPr>
          <w:sz w:val="22"/>
          <w:szCs w:val="22"/>
        </w:rPr>
        <w:t xml:space="preserve">; it was </w:t>
      </w:r>
      <w:r w:rsidR="000F4AE6" w:rsidRPr="00A4704C">
        <w:rPr>
          <w:sz w:val="22"/>
          <w:szCs w:val="22"/>
        </w:rPr>
        <w:t xml:space="preserve">reviewed during this </w:t>
      </w:r>
      <w:r w:rsidR="00A4704C" w:rsidRPr="00A4704C">
        <w:rPr>
          <w:sz w:val="22"/>
          <w:szCs w:val="22"/>
        </w:rPr>
        <w:t xml:space="preserve">terminal </w:t>
      </w:r>
      <w:r w:rsidR="000F4AE6" w:rsidRPr="00A4704C">
        <w:rPr>
          <w:sz w:val="22"/>
          <w:szCs w:val="22"/>
        </w:rPr>
        <w:t>evaluation. A score of 14 out of 45 was achieved at the formulation stage. The Evaluation Team reviewed this scorecard and obtained a score of 31 out of 45</w:t>
      </w:r>
      <w:r w:rsidR="00180AD6">
        <w:rPr>
          <w:sz w:val="22"/>
          <w:szCs w:val="22"/>
        </w:rPr>
        <w:t xml:space="preserve"> (see Annex 10)</w:t>
      </w:r>
      <w:r w:rsidR="000F4AE6" w:rsidRPr="00A4704C">
        <w:rPr>
          <w:sz w:val="22"/>
          <w:szCs w:val="22"/>
        </w:rPr>
        <w:t>.  A breakdown of these ratings are given in the table below:</w:t>
      </w:r>
    </w:p>
    <w:p w14:paraId="3A1E4FBA" w14:textId="77777777" w:rsidR="000F4AE6" w:rsidRPr="00A4704C" w:rsidRDefault="000F4AE6" w:rsidP="000F4AE6">
      <w:pPr>
        <w:jc w:val="both"/>
        <w:rPr>
          <w:sz w:val="22"/>
          <w:szCs w:val="22"/>
        </w:rPr>
      </w:pPr>
    </w:p>
    <w:p w14:paraId="1C3E8072" w14:textId="412551F7" w:rsidR="000F4AE6" w:rsidRPr="000F4AE6" w:rsidRDefault="000F4AE6" w:rsidP="000F4AE6">
      <w:pPr>
        <w:pStyle w:val="Caption"/>
        <w:jc w:val="center"/>
        <w:rPr>
          <w:rFonts w:ascii="Arial" w:hAnsi="Arial"/>
          <w:b w:val="0"/>
        </w:rPr>
      </w:pPr>
      <w:bookmarkStart w:id="60" w:name="_Toc305531040"/>
      <w:r w:rsidRPr="00FB6D4E">
        <w:rPr>
          <w:rFonts w:ascii="Arial" w:hAnsi="Arial"/>
        </w:rPr>
        <w:t xml:space="preserve">Table </w:t>
      </w:r>
      <w:r w:rsidRPr="00FB6D4E">
        <w:rPr>
          <w:rFonts w:ascii="Arial" w:hAnsi="Arial"/>
        </w:rPr>
        <w:fldChar w:fldCharType="begin"/>
      </w:r>
      <w:r w:rsidRPr="00FB6D4E">
        <w:rPr>
          <w:rFonts w:ascii="Arial" w:hAnsi="Arial"/>
        </w:rPr>
        <w:instrText xml:space="preserve"> SEQ Table \* ARABIC </w:instrText>
      </w:r>
      <w:r w:rsidRPr="00FB6D4E">
        <w:rPr>
          <w:rFonts w:ascii="Arial" w:hAnsi="Arial"/>
        </w:rPr>
        <w:fldChar w:fldCharType="separate"/>
      </w:r>
      <w:r w:rsidR="00F91695">
        <w:rPr>
          <w:rFonts w:ascii="Arial" w:hAnsi="Arial"/>
          <w:noProof/>
        </w:rPr>
        <w:t>12</w:t>
      </w:r>
      <w:r w:rsidRPr="00FB6D4E">
        <w:rPr>
          <w:rFonts w:ascii="Arial" w:hAnsi="Arial"/>
        </w:rPr>
        <w:fldChar w:fldCharType="end"/>
      </w:r>
      <w:r w:rsidRPr="00FB6D4E">
        <w:rPr>
          <w:rFonts w:ascii="Arial" w:hAnsi="Arial"/>
        </w:rPr>
        <w:t xml:space="preserve">:  </w:t>
      </w:r>
      <w:r w:rsidRPr="00FB6D4E">
        <w:rPr>
          <w:rFonts w:ascii="Arial" w:hAnsi="Arial"/>
          <w:b w:val="0"/>
        </w:rPr>
        <w:t>C</w:t>
      </w:r>
      <w:r>
        <w:rPr>
          <w:rFonts w:ascii="Arial" w:hAnsi="Arial"/>
          <w:b w:val="0"/>
        </w:rPr>
        <w:t>apacity Development Scorecard Ratings</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7"/>
        <w:gridCol w:w="1507"/>
        <w:gridCol w:w="1640"/>
        <w:gridCol w:w="1622"/>
      </w:tblGrid>
      <w:tr w:rsidR="00180AD6" w:rsidRPr="00FB6D4E" w14:paraId="73BEB70D" w14:textId="77777777" w:rsidTr="00180AD6">
        <w:trPr>
          <w:trHeight w:val="705"/>
          <w:tblHeader/>
          <w:jc w:val="center"/>
        </w:trPr>
        <w:tc>
          <w:tcPr>
            <w:tcW w:w="5127" w:type="dxa"/>
            <w:shd w:val="clear" w:color="auto" w:fill="000000"/>
            <w:vAlign w:val="center"/>
          </w:tcPr>
          <w:p w14:paraId="41F2FF76" w14:textId="77777777" w:rsidR="00180AD6" w:rsidRPr="00FB6D4E" w:rsidRDefault="00180AD6" w:rsidP="000F4AE6">
            <w:pPr>
              <w:widowControl/>
              <w:autoSpaceDE/>
              <w:autoSpaceDN/>
              <w:adjustRightInd/>
              <w:jc w:val="center"/>
              <w:rPr>
                <w:rFonts w:ascii="Calibri" w:hAnsi="Calibri"/>
                <w:b/>
                <w:color w:val="FFFFFF" w:themeColor="background1"/>
                <w:sz w:val="20"/>
                <w:szCs w:val="20"/>
              </w:rPr>
            </w:pPr>
            <w:r w:rsidRPr="00FB6D4E">
              <w:rPr>
                <w:rFonts w:ascii="Calibri" w:hAnsi="Calibri"/>
                <w:b/>
                <w:color w:val="FFFFFF" w:themeColor="background1"/>
                <w:sz w:val="20"/>
                <w:szCs w:val="20"/>
              </w:rPr>
              <w:t>Partner</w:t>
            </w:r>
          </w:p>
        </w:tc>
        <w:tc>
          <w:tcPr>
            <w:tcW w:w="1507" w:type="dxa"/>
            <w:shd w:val="clear" w:color="auto" w:fill="000000"/>
            <w:vAlign w:val="center"/>
          </w:tcPr>
          <w:p w14:paraId="6129CC20" w14:textId="0FD0CEF6" w:rsidR="00180AD6" w:rsidRDefault="00180AD6" w:rsidP="00180AD6">
            <w:pPr>
              <w:widowControl/>
              <w:autoSpaceDE/>
              <w:autoSpaceDN/>
              <w:adjustRightInd/>
              <w:jc w:val="center"/>
              <w:rPr>
                <w:rFonts w:ascii="Calibri" w:hAnsi="Calibri"/>
                <w:b/>
                <w:color w:val="FFFFFF" w:themeColor="background1"/>
                <w:sz w:val="20"/>
                <w:szCs w:val="20"/>
              </w:rPr>
            </w:pPr>
            <w:r>
              <w:rPr>
                <w:rFonts w:ascii="Calibri" w:hAnsi="Calibri"/>
                <w:b/>
                <w:color w:val="FFFFFF" w:themeColor="background1"/>
                <w:sz w:val="20"/>
                <w:szCs w:val="20"/>
              </w:rPr>
              <w:t>Maximum Rating</w:t>
            </w:r>
          </w:p>
        </w:tc>
        <w:tc>
          <w:tcPr>
            <w:tcW w:w="1640" w:type="dxa"/>
            <w:shd w:val="clear" w:color="auto" w:fill="000000"/>
            <w:vAlign w:val="center"/>
          </w:tcPr>
          <w:p w14:paraId="6985B291" w14:textId="192CA7B0" w:rsidR="00180AD6" w:rsidRPr="00FB6D4E" w:rsidRDefault="00180AD6" w:rsidP="000F4AE6">
            <w:pPr>
              <w:widowControl/>
              <w:autoSpaceDE/>
              <w:autoSpaceDN/>
              <w:adjustRightInd/>
              <w:jc w:val="center"/>
              <w:rPr>
                <w:rFonts w:ascii="Calibri" w:hAnsi="Calibri"/>
                <w:b/>
                <w:color w:val="FFFFFF" w:themeColor="background1"/>
                <w:sz w:val="20"/>
                <w:szCs w:val="20"/>
              </w:rPr>
            </w:pPr>
            <w:r>
              <w:rPr>
                <w:rFonts w:ascii="Calibri" w:hAnsi="Calibri"/>
                <w:b/>
                <w:color w:val="FFFFFF" w:themeColor="background1"/>
                <w:sz w:val="20"/>
                <w:szCs w:val="20"/>
              </w:rPr>
              <w:t>Rating at Formulation</w:t>
            </w:r>
          </w:p>
        </w:tc>
        <w:tc>
          <w:tcPr>
            <w:tcW w:w="1622" w:type="dxa"/>
            <w:shd w:val="clear" w:color="auto" w:fill="000000"/>
            <w:vAlign w:val="center"/>
          </w:tcPr>
          <w:p w14:paraId="770AC89A" w14:textId="47CBD7BD" w:rsidR="00180AD6" w:rsidRPr="00FB6D4E" w:rsidRDefault="00180AD6" w:rsidP="000F4AE6">
            <w:pPr>
              <w:widowControl/>
              <w:autoSpaceDE/>
              <w:autoSpaceDN/>
              <w:adjustRightInd/>
              <w:jc w:val="center"/>
              <w:rPr>
                <w:rFonts w:ascii="Calibri" w:hAnsi="Calibri"/>
                <w:b/>
                <w:color w:val="FFFFFF" w:themeColor="background1"/>
                <w:sz w:val="20"/>
                <w:szCs w:val="20"/>
              </w:rPr>
            </w:pPr>
            <w:r>
              <w:rPr>
                <w:rFonts w:ascii="Calibri" w:hAnsi="Calibri"/>
                <w:b/>
                <w:color w:val="FFFFFF" w:themeColor="background1"/>
                <w:sz w:val="20"/>
                <w:szCs w:val="20"/>
              </w:rPr>
              <w:t>Rating at Final Evaluation</w:t>
            </w:r>
          </w:p>
        </w:tc>
      </w:tr>
      <w:tr w:rsidR="00180AD6" w:rsidRPr="00FB6D4E" w14:paraId="5BF9D802" w14:textId="77777777" w:rsidTr="00180AD6">
        <w:trPr>
          <w:trHeight w:val="454"/>
          <w:jc w:val="center"/>
        </w:trPr>
        <w:tc>
          <w:tcPr>
            <w:tcW w:w="5127" w:type="dxa"/>
            <w:vAlign w:val="center"/>
          </w:tcPr>
          <w:p w14:paraId="76815858" w14:textId="540FD151" w:rsidR="00180AD6" w:rsidRPr="009E12F3" w:rsidRDefault="00180AD6" w:rsidP="000F4AE6">
            <w:pPr>
              <w:widowControl/>
              <w:autoSpaceDE/>
              <w:autoSpaceDN/>
              <w:adjustRightInd/>
              <w:rPr>
                <w:rFonts w:ascii="Calibri" w:hAnsi="Calibri"/>
                <w:color w:val="000000"/>
                <w:sz w:val="20"/>
                <w:szCs w:val="20"/>
              </w:rPr>
            </w:pPr>
            <w:r w:rsidRPr="000F4AE6">
              <w:rPr>
                <w:rFonts w:ascii="Calibri" w:hAnsi="Calibri"/>
                <w:color w:val="000000"/>
                <w:sz w:val="20"/>
                <w:szCs w:val="20"/>
              </w:rPr>
              <w:t>Capacities for engagement</w:t>
            </w:r>
          </w:p>
        </w:tc>
        <w:tc>
          <w:tcPr>
            <w:tcW w:w="1507" w:type="dxa"/>
            <w:vAlign w:val="center"/>
          </w:tcPr>
          <w:p w14:paraId="689B0217" w14:textId="1D516C36" w:rsidR="00180AD6" w:rsidRDefault="00180AD6" w:rsidP="00180AD6">
            <w:pPr>
              <w:widowControl/>
              <w:autoSpaceDE/>
              <w:autoSpaceDN/>
              <w:adjustRightInd/>
              <w:jc w:val="center"/>
              <w:rPr>
                <w:rFonts w:ascii="Calibri" w:hAnsi="Calibri"/>
                <w:color w:val="000000"/>
                <w:sz w:val="20"/>
                <w:szCs w:val="20"/>
              </w:rPr>
            </w:pPr>
            <w:r>
              <w:rPr>
                <w:rFonts w:ascii="Calibri" w:hAnsi="Calibri"/>
                <w:color w:val="000000"/>
                <w:sz w:val="20"/>
                <w:szCs w:val="20"/>
              </w:rPr>
              <w:t>9</w:t>
            </w:r>
          </w:p>
        </w:tc>
        <w:tc>
          <w:tcPr>
            <w:tcW w:w="1640" w:type="dxa"/>
            <w:vAlign w:val="center"/>
          </w:tcPr>
          <w:p w14:paraId="053A9465" w14:textId="1B88C284"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2</w:t>
            </w:r>
          </w:p>
        </w:tc>
        <w:tc>
          <w:tcPr>
            <w:tcW w:w="1622" w:type="dxa"/>
            <w:vAlign w:val="center"/>
          </w:tcPr>
          <w:p w14:paraId="335B9898" w14:textId="68CCFA94"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7</w:t>
            </w:r>
          </w:p>
        </w:tc>
      </w:tr>
      <w:tr w:rsidR="00180AD6" w:rsidRPr="00FB6D4E" w14:paraId="60AB4333" w14:textId="77777777" w:rsidTr="00180AD6">
        <w:trPr>
          <w:trHeight w:val="454"/>
          <w:jc w:val="center"/>
        </w:trPr>
        <w:tc>
          <w:tcPr>
            <w:tcW w:w="5127" w:type="dxa"/>
            <w:vAlign w:val="center"/>
          </w:tcPr>
          <w:p w14:paraId="1AE0A7EF" w14:textId="64F11036" w:rsidR="00180AD6" w:rsidRPr="009E12F3" w:rsidRDefault="00180AD6" w:rsidP="000F4AE6">
            <w:pPr>
              <w:widowControl/>
              <w:autoSpaceDE/>
              <w:autoSpaceDN/>
              <w:adjustRightInd/>
              <w:rPr>
                <w:rFonts w:ascii="Calibri" w:hAnsi="Calibri"/>
                <w:color w:val="000000"/>
                <w:sz w:val="20"/>
                <w:szCs w:val="20"/>
              </w:rPr>
            </w:pPr>
            <w:r w:rsidRPr="000F4AE6">
              <w:rPr>
                <w:rFonts w:ascii="Calibri" w:hAnsi="Calibri"/>
                <w:color w:val="000000"/>
                <w:sz w:val="20"/>
                <w:szCs w:val="20"/>
              </w:rPr>
              <w:t>Capacities to generate, access and use information and knowledge</w:t>
            </w:r>
          </w:p>
        </w:tc>
        <w:tc>
          <w:tcPr>
            <w:tcW w:w="1507" w:type="dxa"/>
            <w:vAlign w:val="center"/>
          </w:tcPr>
          <w:p w14:paraId="6E3F5DC3" w14:textId="57B105E5" w:rsidR="00180AD6" w:rsidRDefault="00180AD6" w:rsidP="00180AD6">
            <w:pPr>
              <w:widowControl/>
              <w:autoSpaceDE/>
              <w:autoSpaceDN/>
              <w:adjustRightInd/>
              <w:jc w:val="center"/>
              <w:rPr>
                <w:rFonts w:ascii="Calibri" w:hAnsi="Calibri"/>
                <w:color w:val="000000"/>
                <w:sz w:val="20"/>
                <w:szCs w:val="20"/>
              </w:rPr>
            </w:pPr>
            <w:r>
              <w:rPr>
                <w:rFonts w:ascii="Calibri" w:hAnsi="Calibri"/>
                <w:color w:val="000000"/>
                <w:sz w:val="20"/>
                <w:szCs w:val="20"/>
              </w:rPr>
              <w:t>15</w:t>
            </w:r>
          </w:p>
        </w:tc>
        <w:tc>
          <w:tcPr>
            <w:tcW w:w="1640" w:type="dxa"/>
            <w:vAlign w:val="center"/>
          </w:tcPr>
          <w:p w14:paraId="40D2CE0E" w14:textId="1DAC18C7"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5</w:t>
            </w:r>
          </w:p>
        </w:tc>
        <w:tc>
          <w:tcPr>
            <w:tcW w:w="1622" w:type="dxa"/>
            <w:vAlign w:val="center"/>
          </w:tcPr>
          <w:p w14:paraId="7237C5C6" w14:textId="4654CCE0"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9</w:t>
            </w:r>
          </w:p>
        </w:tc>
      </w:tr>
      <w:tr w:rsidR="00180AD6" w:rsidRPr="00FB6D4E" w14:paraId="343FB0E7" w14:textId="77777777" w:rsidTr="00180AD6">
        <w:trPr>
          <w:trHeight w:val="454"/>
          <w:jc w:val="center"/>
        </w:trPr>
        <w:tc>
          <w:tcPr>
            <w:tcW w:w="5127" w:type="dxa"/>
            <w:vAlign w:val="center"/>
          </w:tcPr>
          <w:p w14:paraId="253DE88D" w14:textId="6B9F02B7" w:rsidR="00180AD6" w:rsidRPr="009E12F3" w:rsidRDefault="00180AD6" w:rsidP="000F4AE6">
            <w:pPr>
              <w:widowControl/>
              <w:autoSpaceDE/>
              <w:autoSpaceDN/>
              <w:adjustRightInd/>
              <w:rPr>
                <w:rFonts w:ascii="Calibri" w:hAnsi="Calibri"/>
                <w:color w:val="000000"/>
                <w:sz w:val="20"/>
                <w:szCs w:val="20"/>
              </w:rPr>
            </w:pPr>
            <w:r w:rsidRPr="00A4704C">
              <w:rPr>
                <w:rFonts w:ascii="Calibri" w:hAnsi="Calibri"/>
                <w:color w:val="000000"/>
                <w:sz w:val="20"/>
                <w:szCs w:val="20"/>
              </w:rPr>
              <w:t>Capacities for strategy, policy and legislation development</w:t>
            </w:r>
          </w:p>
        </w:tc>
        <w:tc>
          <w:tcPr>
            <w:tcW w:w="1507" w:type="dxa"/>
            <w:vAlign w:val="center"/>
          </w:tcPr>
          <w:p w14:paraId="74841CEF" w14:textId="3D3BF776" w:rsidR="00180AD6" w:rsidRDefault="00180AD6" w:rsidP="00180AD6">
            <w:pPr>
              <w:widowControl/>
              <w:autoSpaceDE/>
              <w:autoSpaceDN/>
              <w:adjustRightInd/>
              <w:jc w:val="center"/>
              <w:rPr>
                <w:rFonts w:ascii="Calibri" w:hAnsi="Calibri"/>
                <w:color w:val="000000"/>
                <w:sz w:val="20"/>
                <w:szCs w:val="20"/>
              </w:rPr>
            </w:pPr>
            <w:r>
              <w:rPr>
                <w:rFonts w:ascii="Calibri" w:hAnsi="Calibri"/>
                <w:color w:val="000000"/>
                <w:sz w:val="20"/>
                <w:szCs w:val="20"/>
              </w:rPr>
              <w:t>9</w:t>
            </w:r>
          </w:p>
        </w:tc>
        <w:tc>
          <w:tcPr>
            <w:tcW w:w="1640" w:type="dxa"/>
            <w:vAlign w:val="center"/>
          </w:tcPr>
          <w:p w14:paraId="07735DB1" w14:textId="0FFCE905"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4</w:t>
            </w:r>
          </w:p>
        </w:tc>
        <w:tc>
          <w:tcPr>
            <w:tcW w:w="1622" w:type="dxa"/>
            <w:vAlign w:val="center"/>
          </w:tcPr>
          <w:p w14:paraId="6FDE0A57" w14:textId="4C55F121"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6</w:t>
            </w:r>
          </w:p>
        </w:tc>
      </w:tr>
      <w:tr w:rsidR="00180AD6" w:rsidRPr="00FB6D4E" w14:paraId="4429C642" w14:textId="77777777" w:rsidTr="00180AD6">
        <w:trPr>
          <w:trHeight w:val="454"/>
          <w:jc w:val="center"/>
        </w:trPr>
        <w:tc>
          <w:tcPr>
            <w:tcW w:w="5127" w:type="dxa"/>
            <w:vAlign w:val="center"/>
          </w:tcPr>
          <w:p w14:paraId="15C2442F" w14:textId="7B0F9363" w:rsidR="00180AD6" w:rsidRPr="009E12F3" w:rsidRDefault="00180AD6" w:rsidP="000F4AE6">
            <w:pPr>
              <w:widowControl/>
              <w:autoSpaceDE/>
              <w:autoSpaceDN/>
              <w:adjustRightInd/>
              <w:rPr>
                <w:rFonts w:ascii="Calibri" w:hAnsi="Calibri"/>
                <w:color w:val="000000"/>
                <w:sz w:val="20"/>
                <w:szCs w:val="20"/>
              </w:rPr>
            </w:pPr>
            <w:r w:rsidRPr="00A4704C">
              <w:rPr>
                <w:rFonts w:ascii="Calibri" w:hAnsi="Calibri"/>
                <w:color w:val="000000"/>
                <w:sz w:val="20"/>
                <w:szCs w:val="20"/>
              </w:rPr>
              <w:t>Capacities for management and implementation</w:t>
            </w:r>
          </w:p>
        </w:tc>
        <w:tc>
          <w:tcPr>
            <w:tcW w:w="1507" w:type="dxa"/>
            <w:vAlign w:val="center"/>
          </w:tcPr>
          <w:p w14:paraId="237DA3FC" w14:textId="40913878" w:rsidR="00180AD6" w:rsidRDefault="00180AD6" w:rsidP="00180AD6">
            <w:pPr>
              <w:widowControl/>
              <w:autoSpaceDE/>
              <w:autoSpaceDN/>
              <w:adjustRightInd/>
              <w:jc w:val="center"/>
              <w:rPr>
                <w:rFonts w:ascii="Calibri" w:hAnsi="Calibri"/>
                <w:color w:val="000000"/>
                <w:sz w:val="20"/>
                <w:szCs w:val="20"/>
              </w:rPr>
            </w:pPr>
            <w:r>
              <w:rPr>
                <w:rFonts w:ascii="Calibri" w:hAnsi="Calibri"/>
                <w:color w:val="000000"/>
                <w:sz w:val="20"/>
                <w:szCs w:val="20"/>
              </w:rPr>
              <w:t>6</w:t>
            </w:r>
          </w:p>
        </w:tc>
        <w:tc>
          <w:tcPr>
            <w:tcW w:w="1640" w:type="dxa"/>
            <w:vAlign w:val="center"/>
          </w:tcPr>
          <w:p w14:paraId="58BE7C5D" w14:textId="0B56FEE7"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2</w:t>
            </w:r>
          </w:p>
        </w:tc>
        <w:tc>
          <w:tcPr>
            <w:tcW w:w="1622" w:type="dxa"/>
            <w:vAlign w:val="center"/>
          </w:tcPr>
          <w:p w14:paraId="1EB5EBF5" w14:textId="1AE6B1C7"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4</w:t>
            </w:r>
          </w:p>
        </w:tc>
      </w:tr>
      <w:tr w:rsidR="00180AD6" w:rsidRPr="00FB6D4E" w14:paraId="15F6A4A7" w14:textId="77777777" w:rsidTr="00180AD6">
        <w:trPr>
          <w:trHeight w:val="454"/>
          <w:jc w:val="center"/>
        </w:trPr>
        <w:tc>
          <w:tcPr>
            <w:tcW w:w="5127" w:type="dxa"/>
            <w:vAlign w:val="center"/>
          </w:tcPr>
          <w:p w14:paraId="0A726D28" w14:textId="3C8362F9" w:rsidR="00180AD6" w:rsidRPr="009E12F3" w:rsidRDefault="00180AD6" w:rsidP="000F4AE6">
            <w:pPr>
              <w:widowControl/>
              <w:autoSpaceDE/>
              <w:autoSpaceDN/>
              <w:adjustRightInd/>
              <w:rPr>
                <w:rFonts w:ascii="Calibri" w:hAnsi="Calibri"/>
                <w:color w:val="000000"/>
                <w:sz w:val="20"/>
                <w:szCs w:val="20"/>
              </w:rPr>
            </w:pPr>
            <w:r w:rsidRPr="00A4704C">
              <w:rPr>
                <w:rFonts w:ascii="Calibri" w:hAnsi="Calibri"/>
                <w:color w:val="000000"/>
                <w:sz w:val="20"/>
                <w:szCs w:val="20"/>
              </w:rPr>
              <w:t>Capacities to monitor and evaluate</w:t>
            </w:r>
          </w:p>
        </w:tc>
        <w:tc>
          <w:tcPr>
            <w:tcW w:w="1507" w:type="dxa"/>
            <w:vAlign w:val="center"/>
          </w:tcPr>
          <w:p w14:paraId="37C679CF" w14:textId="1E301BD4" w:rsidR="00180AD6" w:rsidRDefault="00180AD6" w:rsidP="00180AD6">
            <w:pPr>
              <w:widowControl/>
              <w:autoSpaceDE/>
              <w:autoSpaceDN/>
              <w:adjustRightInd/>
              <w:jc w:val="center"/>
              <w:rPr>
                <w:rFonts w:ascii="Calibri" w:hAnsi="Calibri"/>
                <w:color w:val="000000"/>
                <w:sz w:val="20"/>
                <w:szCs w:val="20"/>
              </w:rPr>
            </w:pPr>
            <w:r>
              <w:rPr>
                <w:rFonts w:ascii="Calibri" w:hAnsi="Calibri"/>
                <w:color w:val="000000"/>
                <w:sz w:val="20"/>
                <w:szCs w:val="20"/>
              </w:rPr>
              <w:t>6</w:t>
            </w:r>
          </w:p>
        </w:tc>
        <w:tc>
          <w:tcPr>
            <w:tcW w:w="1640" w:type="dxa"/>
            <w:vAlign w:val="center"/>
          </w:tcPr>
          <w:p w14:paraId="37CE0653" w14:textId="2608B9A3"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1</w:t>
            </w:r>
          </w:p>
        </w:tc>
        <w:tc>
          <w:tcPr>
            <w:tcW w:w="1622" w:type="dxa"/>
            <w:vAlign w:val="center"/>
          </w:tcPr>
          <w:p w14:paraId="75D560FC" w14:textId="42C1ABC0" w:rsidR="00180AD6" w:rsidRPr="009E12F3" w:rsidRDefault="00180AD6" w:rsidP="00A4704C">
            <w:pPr>
              <w:widowControl/>
              <w:autoSpaceDE/>
              <w:autoSpaceDN/>
              <w:adjustRightInd/>
              <w:jc w:val="center"/>
              <w:rPr>
                <w:rFonts w:ascii="Calibri" w:hAnsi="Calibri"/>
                <w:color w:val="000000"/>
                <w:sz w:val="20"/>
                <w:szCs w:val="20"/>
              </w:rPr>
            </w:pPr>
            <w:r>
              <w:rPr>
                <w:rFonts w:ascii="Calibri" w:hAnsi="Calibri"/>
                <w:color w:val="000000"/>
                <w:sz w:val="20"/>
                <w:szCs w:val="20"/>
              </w:rPr>
              <w:t>4</w:t>
            </w:r>
          </w:p>
        </w:tc>
      </w:tr>
      <w:tr w:rsidR="00180AD6" w:rsidRPr="00FB6D4E" w14:paraId="7568A713" w14:textId="77777777" w:rsidTr="00180AD6">
        <w:trPr>
          <w:trHeight w:val="340"/>
          <w:jc w:val="center"/>
        </w:trPr>
        <w:tc>
          <w:tcPr>
            <w:tcW w:w="5127" w:type="dxa"/>
            <w:tcBorders>
              <w:top w:val="double" w:sz="4" w:space="0" w:color="auto"/>
            </w:tcBorders>
            <w:vAlign w:val="center"/>
          </w:tcPr>
          <w:p w14:paraId="1DF660C2" w14:textId="3D9E0CDC" w:rsidR="00180AD6" w:rsidRPr="009E12F3" w:rsidRDefault="00180AD6" w:rsidP="00A77160">
            <w:pPr>
              <w:widowControl/>
              <w:autoSpaceDE/>
              <w:autoSpaceDN/>
              <w:adjustRightInd/>
              <w:jc w:val="right"/>
              <w:rPr>
                <w:rFonts w:ascii="Calibri" w:hAnsi="Calibri"/>
                <w:b/>
                <w:color w:val="000000"/>
                <w:sz w:val="20"/>
                <w:szCs w:val="20"/>
              </w:rPr>
            </w:pPr>
            <w:r w:rsidRPr="009E12F3">
              <w:rPr>
                <w:rFonts w:ascii="Calibri" w:hAnsi="Calibri"/>
                <w:b/>
                <w:color w:val="000000"/>
                <w:sz w:val="20"/>
                <w:szCs w:val="20"/>
              </w:rPr>
              <w:t>Total</w:t>
            </w:r>
            <w:r w:rsidR="00A77160">
              <w:rPr>
                <w:rFonts w:ascii="Calibri" w:hAnsi="Calibri"/>
                <w:b/>
                <w:color w:val="000000"/>
                <w:sz w:val="20"/>
                <w:szCs w:val="20"/>
              </w:rPr>
              <w:t xml:space="preserve">s </w:t>
            </w:r>
          </w:p>
        </w:tc>
        <w:tc>
          <w:tcPr>
            <w:tcW w:w="1507" w:type="dxa"/>
            <w:tcBorders>
              <w:top w:val="double" w:sz="4" w:space="0" w:color="auto"/>
            </w:tcBorders>
            <w:vAlign w:val="center"/>
          </w:tcPr>
          <w:p w14:paraId="1273E126" w14:textId="7C81DEE8" w:rsidR="00180AD6" w:rsidRDefault="00180AD6" w:rsidP="00180AD6">
            <w:pPr>
              <w:widowControl/>
              <w:autoSpaceDE/>
              <w:autoSpaceDN/>
              <w:adjustRightInd/>
              <w:jc w:val="center"/>
              <w:rPr>
                <w:rFonts w:ascii="Calibri" w:hAnsi="Calibri"/>
                <w:b/>
                <w:color w:val="000000"/>
                <w:sz w:val="20"/>
                <w:szCs w:val="20"/>
              </w:rPr>
            </w:pPr>
            <w:r>
              <w:rPr>
                <w:rFonts w:ascii="Calibri" w:hAnsi="Calibri"/>
                <w:b/>
                <w:color w:val="000000"/>
                <w:sz w:val="20"/>
                <w:szCs w:val="20"/>
              </w:rPr>
              <w:t>45</w:t>
            </w:r>
          </w:p>
        </w:tc>
        <w:tc>
          <w:tcPr>
            <w:tcW w:w="1640" w:type="dxa"/>
            <w:tcBorders>
              <w:top w:val="double" w:sz="4" w:space="0" w:color="auto"/>
            </w:tcBorders>
            <w:vAlign w:val="center"/>
          </w:tcPr>
          <w:p w14:paraId="42EFB52F" w14:textId="25235CDE" w:rsidR="00180AD6" w:rsidRPr="009E12F3" w:rsidRDefault="00180AD6" w:rsidP="000F4AE6">
            <w:pPr>
              <w:widowControl/>
              <w:autoSpaceDE/>
              <w:autoSpaceDN/>
              <w:adjustRightInd/>
              <w:jc w:val="center"/>
              <w:rPr>
                <w:rFonts w:ascii="Calibri" w:hAnsi="Calibri"/>
                <w:b/>
                <w:color w:val="000000"/>
                <w:sz w:val="20"/>
                <w:szCs w:val="20"/>
              </w:rPr>
            </w:pPr>
            <w:r>
              <w:rPr>
                <w:rFonts w:ascii="Calibri" w:hAnsi="Calibri"/>
                <w:b/>
                <w:color w:val="000000"/>
                <w:sz w:val="20"/>
                <w:szCs w:val="20"/>
              </w:rPr>
              <w:t>14</w:t>
            </w:r>
          </w:p>
        </w:tc>
        <w:tc>
          <w:tcPr>
            <w:tcW w:w="1622" w:type="dxa"/>
            <w:tcBorders>
              <w:top w:val="double" w:sz="4" w:space="0" w:color="auto"/>
            </w:tcBorders>
            <w:vAlign w:val="center"/>
          </w:tcPr>
          <w:p w14:paraId="01069AAE" w14:textId="36D09F73" w:rsidR="00180AD6" w:rsidRPr="009E12F3" w:rsidRDefault="00180AD6" w:rsidP="000F4AE6">
            <w:pPr>
              <w:widowControl/>
              <w:autoSpaceDE/>
              <w:autoSpaceDN/>
              <w:adjustRightInd/>
              <w:jc w:val="center"/>
              <w:rPr>
                <w:rFonts w:ascii="Calibri" w:hAnsi="Calibri"/>
                <w:b/>
                <w:color w:val="000000"/>
                <w:sz w:val="20"/>
                <w:szCs w:val="20"/>
              </w:rPr>
            </w:pPr>
            <w:r>
              <w:rPr>
                <w:rFonts w:ascii="Calibri" w:hAnsi="Calibri"/>
                <w:b/>
                <w:color w:val="000000"/>
                <w:sz w:val="20"/>
                <w:szCs w:val="20"/>
              </w:rPr>
              <w:t>30</w:t>
            </w:r>
          </w:p>
        </w:tc>
      </w:tr>
    </w:tbl>
    <w:p w14:paraId="22915E03" w14:textId="77777777" w:rsidR="000F4AE6" w:rsidRPr="00A77160" w:rsidRDefault="000F4AE6" w:rsidP="00986D58">
      <w:pPr>
        <w:pStyle w:val="ListParagraph"/>
        <w:ind w:left="0"/>
        <w:jc w:val="both"/>
        <w:rPr>
          <w:sz w:val="22"/>
          <w:szCs w:val="22"/>
        </w:rPr>
      </w:pPr>
    </w:p>
    <w:p w14:paraId="768CBB1F" w14:textId="07C12D86" w:rsidR="0093434C" w:rsidRPr="00A77160" w:rsidRDefault="00A77160" w:rsidP="00FD6C32">
      <w:pPr>
        <w:pStyle w:val="ListParagraph"/>
        <w:numPr>
          <w:ilvl w:val="0"/>
          <w:numId w:val="15"/>
        </w:numPr>
        <w:jc w:val="both"/>
        <w:rPr>
          <w:sz w:val="22"/>
          <w:szCs w:val="22"/>
        </w:rPr>
      </w:pPr>
      <w:r w:rsidRPr="00A77160">
        <w:rPr>
          <w:sz w:val="22"/>
          <w:szCs w:val="22"/>
        </w:rPr>
        <w:t xml:space="preserve">A rating </w:t>
      </w:r>
      <w:r w:rsidR="00180AD6" w:rsidRPr="00A77160">
        <w:rPr>
          <w:sz w:val="22"/>
          <w:szCs w:val="22"/>
        </w:rPr>
        <w:t xml:space="preserve">increase was observed for capacities for engagement. The project supported a good participative approach to proposal and recommendation development. This was translated </w:t>
      </w:r>
      <w:r w:rsidRPr="00A77160">
        <w:rPr>
          <w:sz w:val="22"/>
          <w:szCs w:val="22"/>
        </w:rPr>
        <w:t xml:space="preserve">into </w:t>
      </w:r>
      <w:r w:rsidR="00180AD6" w:rsidRPr="00A77160">
        <w:rPr>
          <w:sz w:val="22"/>
          <w:szCs w:val="22"/>
        </w:rPr>
        <w:t xml:space="preserve">more working groups and committees where people from different organizations and government agencies </w:t>
      </w:r>
      <w:r w:rsidRPr="00A77160">
        <w:rPr>
          <w:sz w:val="22"/>
          <w:szCs w:val="22"/>
        </w:rPr>
        <w:t xml:space="preserve">were brought together and </w:t>
      </w:r>
      <w:r w:rsidR="00180AD6" w:rsidRPr="00A77160">
        <w:rPr>
          <w:sz w:val="22"/>
          <w:szCs w:val="22"/>
        </w:rPr>
        <w:t xml:space="preserve">are </w:t>
      </w:r>
      <w:r w:rsidRPr="00A77160">
        <w:rPr>
          <w:sz w:val="22"/>
          <w:szCs w:val="22"/>
        </w:rPr>
        <w:t xml:space="preserve">now </w:t>
      </w:r>
      <w:r w:rsidR="00180AD6" w:rsidRPr="00A77160">
        <w:rPr>
          <w:sz w:val="22"/>
          <w:szCs w:val="22"/>
        </w:rPr>
        <w:t xml:space="preserve">more inclined to work together. Regarding capacities to generate, access and use information and knowledge, the project supported the creation of knowledge on EFR through assessments, analyses and studies. This information was much </w:t>
      </w:r>
      <w:r w:rsidR="00180AD6" w:rsidRPr="00A77160">
        <w:rPr>
          <w:sz w:val="22"/>
          <w:szCs w:val="22"/>
        </w:rPr>
        <w:lastRenderedPageBreak/>
        <w:t xml:space="preserve">used to develop key proposal and recommendations; it will also be used to move the EFR agenda forward. The </w:t>
      </w:r>
      <w:r w:rsidRPr="00A77160">
        <w:rPr>
          <w:sz w:val="22"/>
          <w:szCs w:val="22"/>
        </w:rPr>
        <w:t xml:space="preserve">rating for </w:t>
      </w:r>
      <w:r w:rsidR="00180AD6" w:rsidRPr="00A77160">
        <w:rPr>
          <w:sz w:val="22"/>
          <w:szCs w:val="22"/>
        </w:rPr>
        <w:t xml:space="preserve">capacities for strategy, policy and legislation development </w:t>
      </w:r>
      <w:r w:rsidRPr="00A77160">
        <w:rPr>
          <w:sz w:val="22"/>
          <w:szCs w:val="22"/>
        </w:rPr>
        <w:t>was</w:t>
      </w:r>
      <w:r w:rsidR="00180AD6" w:rsidRPr="00A77160">
        <w:rPr>
          <w:sz w:val="22"/>
          <w:szCs w:val="22"/>
        </w:rPr>
        <w:t xml:space="preserve"> </w:t>
      </w:r>
      <w:r w:rsidRPr="00A77160">
        <w:rPr>
          <w:sz w:val="22"/>
          <w:szCs w:val="22"/>
        </w:rPr>
        <w:t xml:space="preserve">higher but less proportionally </w:t>
      </w:r>
      <w:r w:rsidR="00180AD6" w:rsidRPr="00A77160">
        <w:rPr>
          <w:sz w:val="22"/>
          <w:szCs w:val="22"/>
        </w:rPr>
        <w:t xml:space="preserve">as Moldova was rated </w:t>
      </w:r>
      <w:r w:rsidRPr="00A77160">
        <w:rPr>
          <w:sz w:val="22"/>
          <w:szCs w:val="22"/>
        </w:rPr>
        <w:t>higher at the formulation stage. For both</w:t>
      </w:r>
      <w:r w:rsidR="00D55FC6">
        <w:rPr>
          <w:sz w:val="22"/>
          <w:szCs w:val="22"/>
        </w:rPr>
        <w:t xml:space="preserve"> -</w:t>
      </w:r>
      <w:r w:rsidRPr="00A77160">
        <w:rPr>
          <w:sz w:val="22"/>
          <w:szCs w:val="22"/>
        </w:rPr>
        <w:t xml:space="preserve"> capacities for management and implementation and to monitor and evaluate projects and programmes</w:t>
      </w:r>
      <w:r w:rsidR="00D55FC6">
        <w:rPr>
          <w:sz w:val="22"/>
          <w:szCs w:val="22"/>
        </w:rPr>
        <w:t xml:space="preserve"> -</w:t>
      </w:r>
      <w:r w:rsidRPr="00A77160">
        <w:rPr>
          <w:sz w:val="22"/>
          <w:szCs w:val="22"/>
        </w:rPr>
        <w:t xml:space="preserve"> were also higher at the end of the project. </w:t>
      </w:r>
      <w:r w:rsidR="00B85F01">
        <w:rPr>
          <w:sz w:val="22"/>
          <w:szCs w:val="22"/>
        </w:rPr>
        <w:t>Overall, these ratings results are confirming the contribution made by this project to develop an EFR agenda in Moldova while at the same time institutionalizing these capacities along the way.</w:t>
      </w:r>
    </w:p>
    <w:p w14:paraId="0FF3925F" w14:textId="77777777" w:rsidR="0093434C" w:rsidRPr="00A77160" w:rsidRDefault="0093434C" w:rsidP="0093434C">
      <w:pPr>
        <w:pStyle w:val="ListParagraph"/>
        <w:ind w:left="0"/>
        <w:jc w:val="both"/>
        <w:rPr>
          <w:sz w:val="22"/>
          <w:szCs w:val="22"/>
        </w:rPr>
      </w:pPr>
    </w:p>
    <w:p w14:paraId="0FF0343B" w14:textId="0F904904" w:rsidR="00986D58" w:rsidRPr="00F2349B" w:rsidRDefault="00F2349B" w:rsidP="00F2349B">
      <w:pPr>
        <w:pStyle w:val="ListParagraph"/>
        <w:ind w:left="0"/>
        <w:jc w:val="both"/>
        <w:rPr>
          <w:b/>
          <w:i/>
          <w:sz w:val="22"/>
          <w:szCs w:val="22"/>
        </w:rPr>
      </w:pPr>
      <w:r w:rsidRPr="00F2349B">
        <w:rPr>
          <w:b/>
          <w:i/>
          <w:sz w:val="22"/>
          <w:szCs w:val="22"/>
        </w:rPr>
        <w:t xml:space="preserve">Analysis Using the </w:t>
      </w:r>
      <w:r>
        <w:rPr>
          <w:b/>
          <w:i/>
          <w:sz w:val="22"/>
          <w:szCs w:val="22"/>
        </w:rPr>
        <w:t>“</w:t>
      </w:r>
      <w:r w:rsidR="00986D58" w:rsidRPr="00F2349B">
        <w:rPr>
          <w:b/>
          <w:i/>
          <w:sz w:val="22"/>
          <w:szCs w:val="22"/>
        </w:rPr>
        <w:t>Theory of Change</w:t>
      </w:r>
      <w:r>
        <w:rPr>
          <w:b/>
          <w:i/>
          <w:sz w:val="22"/>
          <w:szCs w:val="22"/>
        </w:rPr>
        <w:t>”</w:t>
      </w:r>
    </w:p>
    <w:p w14:paraId="141A868D" w14:textId="77777777" w:rsidR="00BF7577" w:rsidRPr="00BF7577" w:rsidRDefault="00BF7577" w:rsidP="00BF7577">
      <w:pPr>
        <w:jc w:val="both"/>
        <w:rPr>
          <w:sz w:val="22"/>
          <w:szCs w:val="22"/>
          <w:highlight w:val="yellow"/>
        </w:rPr>
      </w:pPr>
    </w:p>
    <w:p w14:paraId="23DB8E4A" w14:textId="3B5C7665" w:rsidR="00E103F0" w:rsidRPr="00FD2BC0" w:rsidRDefault="00F2349B" w:rsidP="00BF7577">
      <w:pPr>
        <w:pStyle w:val="ListParagraph"/>
        <w:numPr>
          <w:ilvl w:val="0"/>
          <w:numId w:val="15"/>
        </w:numPr>
        <w:jc w:val="both"/>
        <w:rPr>
          <w:sz w:val="22"/>
          <w:szCs w:val="22"/>
        </w:rPr>
      </w:pPr>
      <w:r w:rsidRPr="00FD2BC0">
        <w:rPr>
          <w:sz w:val="22"/>
          <w:szCs w:val="22"/>
        </w:rPr>
        <w:t xml:space="preserve">As part of this evaluation, the Evaluation Team </w:t>
      </w:r>
      <w:r w:rsidR="009D01FD" w:rsidRPr="00FD2BC0">
        <w:rPr>
          <w:sz w:val="22"/>
          <w:szCs w:val="22"/>
        </w:rPr>
        <w:t>reviewed</w:t>
      </w:r>
      <w:r w:rsidRPr="00FD2BC0">
        <w:rPr>
          <w:sz w:val="22"/>
          <w:szCs w:val="22"/>
        </w:rPr>
        <w:t xml:space="preserve"> the </w:t>
      </w:r>
      <w:r w:rsidR="00BF7577" w:rsidRPr="00FD2BC0">
        <w:rPr>
          <w:sz w:val="22"/>
          <w:szCs w:val="22"/>
        </w:rPr>
        <w:t xml:space="preserve">project strategy </w:t>
      </w:r>
      <w:r w:rsidR="009D01FD" w:rsidRPr="00FD2BC0">
        <w:rPr>
          <w:sz w:val="22"/>
          <w:szCs w:val="22"/>
        </w:rPr>
        <w:t xml:space="preserve">and </w:t>
      </w:r>
      <w:r w:rsidR="00FD2BC0">
        <w:rPr>
          <w:sz w:val="22"/>
          <w:szCs w:val="22"/>
        </w:rPr>
        <w:t xml:space="preserve">its </w:t>
      </w:r>
      <w:r w:rsidR="009D01FD" w:rsidRPr="00FD2BC0">
        <w:rPr>
          <w:sz w:val="22"/>
          <w:szCs w:val="22"/>
        </w:rPr>
        <w:t xml:space="preserve">achievements </w:t>
      </w:r>
      <w:r w:rsidR="00BF7577" w:rsidRPr="00FD2BC0">
        <w:rPr>
          <w:sz w:val="22"/>
          <w:szCs w:val="22"/>
        </w:rPr>
        <w:t>using the GEF “</w:t>
      </w:r>
      <w:r w:rsidR="00BF7577" w:rsidRPr="00FD2BC0">
        <w:rPr>
          <w:i/>
          <w:sz w:val="22"/>
          <w:szCs w:val="22"/>
        </w:rPr>
        <w:t>Theory of Change</w:t>
      </w:r>
      <w:r w:rsidR="00BF7577" w:rsidRPr="00FD2BC0">
        <w:rPr>
          <w:sz w:val="22"/>
          <w:szCs w:val="22"/>
        </w:rPr>
        <w:t>” approach</w:t>
      </w:r>
      <w:r w:rsidR="00882D6C" w:rsidRPr="00FD2BC0">
        <w:rPr>
          <w:rStyle w:val="FootnoteReference"/>
          <w:sz w:val="22"/>
          <w:szCs w:val="22"/>
          <w:vertAlign w:val="superscript"/>
        </w:rPr>
        <w:footnoteReference w:id="8"/>
      </w:r>
      <w:r w:rsidR="00FD2BC0" w:rsidRPr="00FD2BC0">
        <w:rPr>
          <w:sz w:val="22"/>
          <w:szCs w:val="22"/>
        </w:rPr>
        <w:t xml:space="preserve">. </w:t>
      </w:r>
      <w:r w:rsidR="00E103F0" w:rsidRPr="00FD2BC0">
        <w:rPr>
          <w:sz w:val="22"/>
          <w:szCs w:val="22"/>
        </w:rPr>
        <w:t xml:space="preserve">As it was discussed in section 4.1.1 of this report, the </w:t>
      </w:r>
      <w:r w:rsidR="00BF7577" w:rsidRPr="00FD2BC0">
        <w:rPr>
          <w:sz w:val="22"/>
          <w:szCs w:val="22"/>
        </w:rPr>
        <w:t xml:space="preserve">chain of results </w:t>
      </w:r>
      <w:r w:rsidR="00E103F0" w:rsidRPr="00FD2BC0">
        <w:rPr>
          <w:sz w:val="22"/>
          <w:szCs w:val="22"/>
        </w:rPr>
        <w:t>was logical with outputs l</w:t>
      </w:r>
      <w:r w:rsidR="004A3B6B" w:rsidRPr="00FD2BC0">
        <w:rPr>
          <w:sz w:val="22"/>
          <w:szCs w:val="22"/>
        </w:rPr>
        <w:t>eading to outcomes, which then w</w:t>
      </w:r>
      <w:r w:rsidR="00E103F0" w:rsidRPr="00FD2BC0">
        <w:rPr>
          <w:sz w:val="22"/>
          <w:szCs w:val="22"/>
        </w:rPr>
        <w:t xml:space="preserve">ould contribute to the objective. The Theory of Change diagram </w:t>
      </w:r>
      <w:r w:rsidR="004A3B6B" w:rsidRPr="00FD2BC0">
        <w:rPr>
          <w:sz w:val="22"/>
          <w:szCs w:val="22"/>
        </w:rPr>
        <w:t xml:space="preserve">presented </w:t>
      </w:r>
      <w:r w:rsidR="00E103F0" w:rsidRPr="00FD2BC0">
        <w:rPr>
          <w:sz w:val="22"/>
          <w:szCs w:val="22"/>
        </w:rPr>
        <w:t>on the follo</w:t>
      </w:r>
      <w:r w:rsidR="004A3B6B" w:rsidRPr="00FD2BC0">
        <w:rPr>
          <w:sz w:val="22"/>
          <w:szCs w:val="22"/>
        </w:rPr>
        <w:t>wing page reflects this logical chain of results but also the “</w:t>
      </w:r>
      <w:r w:rsidR="004A3B6B" w:rsidRPr="00FD2BC0">
        <w:rPr>
          <w:i/>
          <w:sz w:val="22"/>
          <w:szCs w:val="22"/>
        </w:rPr>
        <w:t>Intermediate States</w:t>
      </w:r>
      <w:r w:rsidR="004A3B6B" w:rsidRPr="00FD2BC0">
        <w:rPr>
          <w:sz w:val="22"/>
          <w:szCs w:val="22"/>
        </w:rPr>
        <w:t>” that are the achievements of the project so far. These “</w:t>
      </w:r>
      <w:r w:rsidR="004A3B6B" w:rsidRPr="00FD2BC0">
        <w:rPr>
          <w:i/>
          <w:sz w:val="22"/>
          <w:szCs w:val="22"/>
        </w:rPr>
        <w:t>Intermediate States</w:t>
      </w:r>
      <w:r w:rsidR="004A3B6B" w:rsidRPr="00FD2BC0">
        <w:rPr>
          <w:sz w:val="22"/>
          <w:szCs w:val="22"/>
        </w:rPr>
        <w:t xml:space="preserve">” are in fact the changes that were/are needed in order to achieve </w:t>
      </w:r>
      <w:r w:rsidR="00FD2BC0">
        <w:rPr>
          <w:sz w:val="22"/>
          <w:szCs w:val="22"/>
        </w:rPr>
        <w:t>the</w:t>
      </w:r>
      <w:r w:rsidR="004A3B6B" w:rsidRPr="00FD2BC0">
        <w:rPr>
          <w:sz w:val="22"/>
          <w:szCs w:val="22"/>
        </w:rPr>
        <w:t xml:space="preserve"> objective. Assessing the project at the end of its cycle, this diagram summarizes the strategy and achievements of the project and confirms its overall logic and its </w:t>
      </w:r>
      <w:r w:rsidR="00FD2BC0">
        <w:rPr>
          <w:sz w:val="22"/>
          <w:szCs w:val="22"/>
        </w:rPr>
        <w:t xml:space="preserve">good </w:t>
      </w:r>
      <w:r w:rsidR="004A3B6B" w:rsidRPr="00FD2BC0">
        <w:rPr>
          <w:sz w:val="22"/>
          <w:szCs w:val="22"/>
        </w:rPr>
        <w:t xml:space="preserve">progress made toward its objective. </w:t>
      </w:r>
    </w:p>
    <w:p w14:paraId="63A89393" w14:textId="77777777" w:rsidR="004A3B6B" w:rsidRDefault="004A3B6B" w:rsidP="004A3B6B">
      <w:pPr>
        <w:pStyle w:val="ListParagraph"/>
        <w:ind w:left="0"/>
        <w:jc w:val="both"/>
        <w:rPr>
          <w:sz w:val="22"/>
          <w:szCs w:val="22"/>
        </w:rPr>
      </w:pPr>
    </w:p>
    <w:p w14:paraId="0DB726B5" w14:textId="6536D0CA" w:rsidR="00D558CE" w:rsidRDefault="00BF7577" w:rsidP="00BF7577">
      <w:pPr>
        <w:pStyle w:val="ListParagraph"/>
        <w:numPr>
          <w:ilvl w:val="0"/>
          <w:numId w:val="15"/>
        </w:numPr>
        <w:jc w:val="both"/>
        <w:rPr>
          <w:sz w:val="22"/>
          <w:szCs w:val="22"/>
        </w:rPr>
      </w:pPr>
      <w:r w:rsidRPr="00BF7577">
        <w:rPr>
          <w:sz w:val="22"/>
          <w:szCs w:val="22"/>
        </w:rPr>
        <w:t xml:space="preserve">Another </w:t>
      </w:r>
      <w:r w:rsidR="004A3B6B">
        <w:rPr>
          <w:sz w:val="22"/>
          <w:szCs w:val="22"/>
        </w:rPr>
        <w:t xml:space="preserve">important </w:t>
      </w:r>
      <w:r w:rsidRPr="00BF7577">
        <w:rPr>
          <w:sz w:val="22"/>
          <w:szCs w:val="22"/>
        </w:rPr>
        <w:t>element in this approach</w:t>
      </w:r>
      <w:r w:rsidR="00FD2BC0">
        <w:rPr>
          <w:sz w:val="22"/>
          <w:szCs w:val="22"/>
        </w:rPr>
        <w:t>/diagram</w:t>
      </w:r>
      <w:r w:rsidRPr="00BF7577">
        <w:rPr>
          <w:sz w:val="22"/>
          <w:szCs w:val="22"/>
        </w:rPr>
        <w:t xml:space="preserve"> </w:t>
      </w:r>
      <w:r w:rsidR="004A3B6B">
        <w:rPr>
          <w:sz w:val="22"/>
          <w:szCs w:val="22"/>
        </w:rPr>
        <w:t xml:space="preserve">is </w:t>
      </w:r>
      <w:r w:rsidRPr="00BF7577">
        <w:rPr>
          <w:sz w:val="22"/>
          <w:szCs w:val="22"/>
        </w:rPr>
        <w:t>the recognition of “</w:t>
      </w:r>
      <w:r w:rsidR="004A3B6B" w:rsidRPr="0068177F">
        <w:rPr>
          <w:i/>
          <w:sz w:val="22"/>
          <w:szCs w:val="22"/>
        </w:rPr>
        <w:t>Impact D</w:t>
      </w:r>
      <w:r w:rsidRPr="0068177F">
        <w:rPr>
          <w:i/>
          <w:sz w:val="22"/>
          <w:szCs w:val="22"/>
        </w:rPr>
        <w:t>rivers</w:t>
      </w:r>
      <w:r w:rsidR="0068177F">
        <w:rPr>
          <w:sz w:val="22"/>
          <w:szCs w:val="22"/>
        </w:rPr>
        <w:t>” that are drivers for change in the area of EFR in Moldova. The Evaluation Team found two main “</w:t>
      </w:r>
      <w:r w:rsidR="0068177F" w:rsidRPr="0068177F">
        <w:rPr>
          <w:i/>
          <w:sz w:val="22"/>
          <w:szCs w:val="22"/>
        </w:rPr>
        <w:t>Impact Drivers</w:t>
      </w:r>
      <w:r w:rsidR="00D558CE">
        <w:rPr>
          <w:sz w:val="22"/>
          <w:szCs w:val="22"/>
        </w:rPr>
        <w:t>”:</w:t>
      </w:r>
    </w:p>
    <w:p w14:paraId="35F9D149" w14:textId="77777777" w:rsidR="00D558CE" w:rsidRPr="00D558CE" w:rsidRDefault="00D558CE" w:rsidP="00D558CE">
      <w:pPr>
        <w:jc w:val="both"/>
        <w:rPr>
          <w:sz w:val="22"/>
          <w:szCs w:val="22"/>
        </w:rPr>
      </w:pPr>
    </w:p>
    <w:p w14:paraId="14DD67DC" w14:textId="0B79FEE0" w:rsidR="00CD1FF0" w:rsidRDefault="00D558CE" w:rsidP="00D558CE">
      <w:pPr>
        <w:pStyle w:val="ListParagraph"/>
        <w:numPr>
          <w:ilvl w:val="0"/>
          <w:numId w:val="76"/>
        </w:numPr>
        <w:ind w:left="851"/>
        <w:jc w:val="both"/>
        <w:rPr>
          <w:sz w:val="22"/>
          <w:szCs w:val="22"/>
        </w:rPr>
      </w:pPr>
      <w:r>
        <w:rPr>
          <w:sz w:val="22"/>
          <w:szCs w:val="22"/>
        </w:rPr>
        <w:t xml:space="preserve">The first driver is </w:t>
      </w:r>
      <w:r w:rsidR="00CD1FF0" w:rsidRPr="00D558CE">
        <w:rPr>
          <w:sz w:val="22"/>
          <w:szCs w:val="22"/>
        </w:rPr>
        <w:t>the existence of the Association Agreement (AA) between Moldova and the EU that was signed in June 2014. This agreement is to promote economic integration and political association. However, as part of this agreement promoting integration/association, Moldova must comply with a series of conditions to align the country’s policies, legislation, standards, norms, etc. with those of the EU. In this regard and as per the AA, Moldova is to harmonize/approximate its environmental legislation with the EU Directives (Acts) and international agreements (AA: Article 91</w:t>
      </w:r>
      <w:r w:rsidR="00482254">
        <w:rPr>
          <w:sz w:val="22"/>
          <w:szCs w:val="22"/>
        </w:rPr>
        <w:t xml:space="preserve"> and Article 97</w:t>
      </w:r>
      <w:r w:rsidR="00CD1FF0" w:rsidRPr="00D558CE">
        <w:rPr>
          <w:sz w:val="22"/>
          <w:szCs w:val="22"/>
        </w:rPr>
        <w:t>) but also other Articles such as Article 195 on Fees and Charges, which needs to be taken into account when reforming the NEF</w:t>
      </w:r>
      <w:r w:rsidR="00482254">
        <w:rPr>
          <w:sz w:val="22"/>
          <w:szCs w:val="22"/>
        </w:rPr>
        <w:t xml:space="preserve">, </w:t>
      </w:r>
      <w:r w:rsidR="00CD1FF0" w:rsidRPr="00D558CE">
        <w:rPr>
          <w:sz w:val="22"/>
          <w:szCs w:val="22"/>
        </w:rPr>
        <w:t xml:space="preserve">Annex XI to Chapter 16 (Environment) </w:t>
      </w:r>
      <w:r w:rsidR="00482254">
        <w:rPr>
          <w:sz w:val="22"/>
          <w:szCs w:val="22"/>
        </w:rPr>
        <w:t xml:space="preserve">and Annex XII to Chapter 17 (Climate Action) </w:t>
      </w:r>
      <w:r w:rsidR="00CD1FF0" w:rsidRPr="00D558CE">
        <w:rPr>
          <w:sz w:val="22"/>
          <w:szCs w:val="22"/>
        </w:rPr>
        <w:t xml:space="preserve">stipulating a full range of </w:t>
      </w:r>
      <w:r w:rsidRPr="00D558CE">
        <w:rPr>
          <w:sz w:val="22"/>
          <w:szCs w:val="22"/>
        </w:rPr>
        <w:t>conditions to be met in the environmental area.</w:t>
      </w:r>
    </w:p>
    <w:p w14:paraId="1E00E2F2" w14:textId="025C09E0" w:rsidR="00D558CE" w:rsidRPr="00D558CE" w:rsidRDefault="00D558CE" w:rsidP="00D558CE">
      <w:pPr>
        <w:pStyle w:val="ListParagraph"/>
        <w:numPr>
          <w:ilvl w:val="0"/>
          <w:numId w:val="76"/>
        </w:numPr>
        <w:ind w:left="851"/>
        <w:jc w:val="both"/>
        <w:rPr>
          <w:sz w:val="22"/>
          <w:szCs w:val="22"/>
        </w:rPr>
      </w:pPr>
      <w:r>
        <w:rPr>
          <w:sz w:val="22"/>
          <w:szCs w:val="22"/>
        </w:rPr>
        <w:t>A second driver is the Pro-European politics, which is somewhat related to the first one. As Moldova made EU integration a prior</w:t>
      </w:r>
      <w:r>
        <w:rPr>
          <w:sz w:val="22"/>
          <w:szCs w:val="22"/>
        </w:rPr>
        <w:lastRenderedPageBreak/>
        <w:t xml:space="preserve">ity, it is a driver for change since integrating the EU will necessitate the government of Moldova to align its environmental management framework with the </w:t>
      </w:r>
      <w:r w:rsidR="00DB3AEA">
        <w:rPr>
          <w:sz w:val="22"/>
          <w:szCs w:val="22"/>
        </w:rPr>
        <w:t>EU</w:t>
      </w:r>
      <w:r>
        <w:rPr>
          <w:sz w:val="22"/>
          <w:szCs w:val="22"/>
        </w:rPr>
        <w:t xml:space="preserve">, including its environmental fiscal aspects. </w:t>
      </w:r>
    </w:p>
    <w:p w14:paraId="70B969BE" w14:textId="77777777" w:rsidR="00BF7577" w:rsidRPr="005228F0" w:rsidRDefault="00BF7577" w:rsidP="00BF7577">
      <w:pPr>
        <w:pStyle w:val="ListParagraph"/>
        <w:ind w:left="0"/>
        <w:jc w:val="both"/>
        <w:rPr>
          <w:sz w:val="22"/>
          <w:szCs w:val="22"/>
          <w:highlight w:val="yellow"/>
        </w:rPr>
      </w:pPr>
    </w:p>
    <w:p w14:paraId="43CB9CC2" w14:textId="77777777" w:rsidR="004C69CE" w:rsidRDefault="004C69CE" w:rsidP="00D84D73">
      <w:pPr>
        <w:jc w:val="both"/>
        <w:rPr>
          <w:sz w:val="22"/>
          <w:szCs w:val="22"/>
        </w:rPr>
      </w:pPr>
    </w:p>
    <w:p w14:paraId="0A1B7BF5" w14:textId="77777777" w:rsidR="00420908" w:rsidRDefault="00420908" w:rsidP="00D84D73">
      <w:pPr>
        <w:jc w:val="both"/>
        <w:rPr>
          <w:sz w:val="22"/>
          <w:szCs w:val="22"/>
        </w:rPr>
        <w:sectPr w:rsidR="00420908" w:rsidSect="008430AC">
          <w:pgSz w:w="12240" w:h="15840"/>
          <w:pgMar w:top="1380" w:right="1220" w:bottom="1140" w:left="1340" w:header="0" w:footer="953" w:gutter="0"/>
          <w:cols w:space="720"/>
        </w:sectPr>
      </w:pPr>
    </w:p>
    <w:p w14:paraId="5319D3DC" w14:textId="5DA8AB29" w:rsidR="00420908" w:rsidRDefault="002240C5" w:rsidP="00D84D73">
      <w:pPr>
        <w:jc w:val="both"/>
        <w:rPr>
          <w:sz w:val="22"/>
          <w:szCs w:val="22"/>
        </w:rPr>
        <w:sectPr w:rsidR="00420908" w:rsidSect="00420908">
          <w:pgSz w:w="15840" w:h="12240" w:orient="landscape"/>
          <w:pgMar w:top="1220" w:right="1140" w:bottom="1340" w:left="1380" w:header="0" w:footer="953" w:gutter="0"/>
          <w:cols w:space="720"/>
        </w:sectPr>
      </w:pPr>
      <w:r>
        <w:rPr>
          <w:noProof/>
          <w:sz w:val="22"/>
          <w:szCs w:val="22"/>
        </w:rPr>
        <w:lastRenderedPageBreak/>
        <w:drawing>
          <wp:anchor distT="0" distB="0" distL="114300" distR="114300" simplePos="0" relativeHeight="251753472" behindDoc="0" locked="0" layoutInCell="1" allowOverlap="1" wp14:anchorId="3659F68E" wp14:editId="49AF92D4">
            <wp:simplePos x="0" y="0"/>
            <wp:positionH relativeFrom="column">
              <wp:posOffset>205105</wp:posOffset>
            </wp:positionH>
            <wp:positionV relativeFrom="paragraph">
              <wp:posOffset>7620</wp:posOffset>
            </wp:positionV>
            <wp:extent cx="8033385" cy="6228080"/>
            <wp:effectExtent l="0" t="0" r="0" b="0"/>
            <wp:wrapTight wrapText="bothSides">
              <wp:wrapPolygon edited="0">
                <wp:start x="0" y="0"/>
                <wp:lineTo x="0" y="2290"/>
                <wp:lineTo x="205" y="2819"/>
                <wp:lineTo x="546" y="2819"/>
                <wp:lineTo x="0" y="3347"/>
                <wp:lineTo x="0" y="21494"/>
                <wp:lineTo x="6010" y="21494"/>
                <wp:lineTo x="21513" y="21406"/>
                <wp:lineTo x="21513" y="3347"/>
                <wp:lineTo x="20762" y="2819"/>
                <wp:lineTo x="21240" y="2819"/>
                <wp:lineTo x="21513" y="2290"/>
                <wp:lineTo x="21513" y="0"/>
                <wp:lineTo x="0" y="0"/>
              </wp:wrapPolygon>
            </wp:wrapTight>
            <wp:docPr id="5" name="Picture 5" descr="Macintosh HD:Users:bellamyjj:Documents:Data - ST Work:UNDP-GEF - Moldova:WIP:T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bellamyjj:Documents:Data - ST Work:UNDP-GEF - Moldova:WIP:TOC.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8033385" cy="622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9A44D" w14:textId="77777777" w:rsidR="00C1567F" w:rsidRPr="00FB6D4E" w:rsidRDefault="00625078" w:rsidP="006B3375">
      <w:pPr>
        <w:pStyle w:val="Heading3"/>
        <w:numPr>
          <w:ilvl w:val="2"/>
          <w:numId w:val="1"/>
        </w:numPr>
        <w:tabs>
          <w:tab w:val="clear" w:pos="1440"/>
        </w:tabs>
        <w:ind w:left="1276" w:hanging="709"/>
        <w:rPr>
          <w:rFonts w:ascii="Arial" w:hAnsi="Arial" w:cs="Arial"/>
          <w:i/>
          <w:sz w:val="22"/>
          <w:szCs w:val="22"/>
        </w:rPr>
      </w:pPr>
      <w:bookmarkStart w:id="61" w:name="_Toc308103262"/>
      <w:r w:rsidRPr="00FB6D4E">
        <w:rPr>
          <w:rFonts w:ascii="Arial" w:hAnsi="Arial" w:cs="Arial"/>
          <w:i/>
          <w:sz w:val="22"/>
          <w:szCs w:val="22"/>
        </w:rPr>
        <w:lastRenderedPageBreak/>
        <w:t>Relevance</w:t>
      </w:r>
      <w:bookmarkEnd w:id="61"/>
    </w:p>
    <w:p w14:paraId="25311868" w14:textId="77777777" w:rsidR="00C1567F" w:rsidRDefault="00C1567F" w:rsidP="00C1567F">
      <w:pPr>
        <w:tabs>
          <w:tab w:val="left" w:pos="1472"/>
        </w:tabs>
        <w:jc w:val="both"/>
        <w:rPr>
          <w:sz w:val="22"/>
          <w:szCs w:val="22"/>
        </w:rPr>
      </w:pPr>
    </w:p>
    <w:p w14:paraId="3972B19B" w14:textId="07210CF6" w:rsidR="00F074DA" w:rsidRDefault="000D2CA4" w:rsidP="000D2CA4">
      <w:pPr>
        <w:pStyle w:val="ListParagraph"/>
        <w:numPr>
          <w:ilvl w:val="0"/>
          <w:numId w:val="15"/>
        </w:numPr>
        <w:jc w:val="both"/>
        <w:rPr>
          <w:sz w:val="22"/>
          <w:szCs w:val="22"/>
        </w:rPr>
      </w:pPr>
      <w:r>
        <w:rPr>
          <w:sz w:val="22"/>
          <w:szCs w:val="22"/>
        </w:rPr>
        <w:t xml:space="preserve">As discussed in section 4.1.3, the </w:t>
      </w:r>
      <w:r w:rsidRPr="00D169EB">
        <w:rPr>
          <w:sz w:val="22"/>
          <w:szCs w:val="22"/>
        </w:rPr>
        <w:t xml:space="preserve">project </w:t>
      </w:r>
      <w:r w:rsidR="00F074DA" w:rsidRPr="00F074DA">
        <w:rPr>
          <w:sz w:val="22"/>
          <w:szCs w:val="22"/>
        </w:rPr>
        <w:t>was part of an overall government strategy to promote a green economy and sustainable development in Moldova</w:t>
      </w:r>
      <w:r w:rsidR="00F074DA">
        <w:rPr>
          <w:sz w:val="22"/>
          <w:szCs w:val="22"/>
        </w:rPr>
        <w:t>; it is rated as</w:t>
      </w:r>
      <w:r w:rsidRPr="00D169EB">
        <w:rPr>
          <w:sz w:val="22"/>
          <w:szCs w:val="22"/>
        </w:rPr>
        <w:t xml:space="preserve"> </w:t>
      </w:r>
      <w:r>
        <w:rPr>
          <w:i/>
          <w:sz w:val="22"/>
          <w:szCs w:val="22"/>
          <w:u w:val="single"/>
        </w:rPr>
        <w:t>r</w:t>
      </w:r>
      <w:r w:rsidRPr="00102BA0">
        <w:rPr>
          <w:i/>
          <w:sz w:val="22"/>
          <w:szCs w:val="22"/>
          <w:u w:val="single"/>
        </w:rPr>
        <w:t>elevant</w:t>
      </w:r>
      <w:r w:rsidRPr="00D169EB">
        <w:rPr>
          <w:sz w:val="22"/>
          <w:szCs w:val="22"/>
        </w:rPr>
        <w:t xml:space="preserve"> for </w:t>
      </w:r>
      <w:r>
        <w:rPr>
          <w:sz w:val="22"/>
          <w:szCs w:val="22"/>
        </w:rPr>
        <w:t>Moldova.</w:t>
      </w:r>
      <w:r w:rsidRPr="00D169EB">
        <w:rPr>
          <w:sz w:val="22"/>
          <w:szCs w:val="22"/>
        </w:rPr>
        <w:t xml:space="preserve"> Its timing was </w:t>
      </w:r>
      <w:r>
        <w:rPr>
          <w:sz w:val="22"/>
          <w:szCs w:val="22"/>
        </w:rPr>
        <w:t xml:space="preserve">good; it provided the Government of </w:t>
      </w:r>
      <w:r w:rsidR="00F074DA">
        <w:rPr>
          <w:sz w:val="22"/>
          <w:szCs w:val="22"/>
        </w:rPr>
        <w:t xml:space="preserve">Moldova </w:t>
      </w:r>
      <w:r>
        <w:rPr>
          <w:sz w:val="22"/>
          <w:szCs w:val="22"/>
        </w:rPr>
        <w:t xml:space="preserve">with additional resources to </w:t>
      </w:r>
      <w:r w:rsidR="00F074DA">
        <w:rPr>
          <w:sz w:val="22"/>
          <w:szCs w:val="22"/>
        </w:rPr>
        <w:t>develop an EFR agenda.</w:t>
      </w:r>
    </w:p>
    <w:p w14:paraId="4B9D5BA2" w14:textId="77777777" w:rsidR="000D2CA4" w:rsidRPr="00F074DA" w:rsidRDefault="000D2CA4" w:rsidP="000D2CA4">
      <w:pPr>
        <w:pStyle w:val="ListParagraph"/>
        <w:ind w:left="0"/>
        <w:jc w:val="both"/>
        <w:rPr>
          <w:sz w:val="22"/>
          <w:szCs w:val="22"/>
          <w:highlight w:val="yellow"/>
        </w:rPr>
      </w:pPr>
    </w:p>
    <w:p w14:paraId="457D6347" w14:textId="1479B92A" w:rsidR="00E94650" w:rsidRPr="00E94650" w:rsidRDefault="000D2CA4" w:rsidP="00E94650">
      <w:pPr>
        <w:pStyle w:val="ListParagraph"/>
        <w:numPr>
          <w:ilvl w:val="0"/>
          <w:numId w:val="15"/>
        </w:numPr>
        <w:jc w:val="both"/>
        <w:rPr>
          <w:sz w:val="22"/>
          <w:szCs w:val="22"/>
        </w:rPr>
      </w:pPr>
      <w:r w:rsidRPr="00E94650">
        <w:rPr>
          <w:sz w:val="22"/>
          <w:szCs w:val="22"/>
        </w:rPr>
        <w:t xml:space="preserve">The project has been a response to </w:t>
      </w:r>
      <w:r w:rsidR="00E94650" w:rsidRPr="00E94650">
        <w:rPr>
          <w:sz w:val="22"/>
          <w:szCs w:val="22"/>
        </w:rPr>
        <w:t>a</w:t>
      </w:r>
      <w:r w:rsidRPr="00E94650">
        <w:rPr>
          <w:sz w:val="22"/>
          <w:szCs w:val="22"/>
        </w:rPr>
        <w:t xml:space="preserve"> national </w:t>
      </w:r>
      <w:r w:rsidR="00E94650" w:rsidRPr="00E94650">
        <w:rPr>
          <w:sz w:val="22"/>
          <w:szCs w:val="22"/>
        </w:rPr>
        <w:t>priority that was identified during the National Capacity Self-Assessment (NCSA) conducted in 2004-2005 in Moldova. At that time, this assessment revealed several constraints hampering the implementation of multi-lateral environmental agreements (MEAs) in Moldova; mostly related to environmental taxation. They included: (i) the payment of charges for environmental pollution was not specified within the Tax Code that was approved in 1997; (ii) the land resources market in Moldova was under-developed, thus the market price did not reflect the real economic value of the land; (iii) the level of environmental penalties and compensations for environmental pollution and degradation was very low; and (iv) the state budgetary allocations for environmental protection were inadequate to finance the needed protection measures.</w:t>
      </w:r>
    </w:p>
    <w:p w14:paraId="3C437573" w14:textId="77777777" w:rsidR="00E94650" w:rsidRPr="00E94650" w:rsidRDefault="00E94650" w:rsidP="00E94650">
      <w:pPr>
        <w:jc w:val="both"/>
        <w:rPr>
          <w:sz w:val="22"/>
          <w:szCs w:val="22"/>
        </w:rPr>
      </w:pPr>
    </w:p>
    <w:p w14:paraId="00F88BBD" w14:textId="16DF447D" w:rsidR="009E132A" w:rsidRDefault="009E132A" w:rsidP="00E94650">
      <w:pPr>
        <w:pStyle w:val="ListParagraph"/>
        <w:numPr>
          <w:ilvl w:val="0"/>
          <w:numId w:val="15"/>
        </w:numPr>
        <w:jc w:val="both"/>
        <w:rPr>
          <w:sz w:val="22"/>
          <w:szCs w:val="22"/>
        </w:rPr>
      </w:pPr>
      <w:r w:rsidRPr="009E132A">
        <w:rPr>
          <w:sz w:val="22"/>
          <w:szCs w:val="22"/>
        </w:rPr>
        <w:t xml:space="preserve">Following </w:t>
      </w:r>
      <w:r w:rsidR="00E94650" w:rsidRPr="009E132A">
        <w:rPr>
          <w:sz w:val="22"/>
          <w:szCs w:val="22"/>
        </w:rPr>
        <w:t xml:space="preserve">this assessment, </w:t>
      </w:r>
      <w:r w:rsidRPr="009E132A">
        <w:rPr>
          <w:sz w:val="22"/>
          <w:szCs w:val="22"/>
        </w:rPr>
        <w:t xml:space="preserve">three main </w:t>
      </w:r>
      <w:r w:rsidR="00E94650" w:rsidRPr="009E132A">
        <w:rPr>
          <w:sz w:val="22"/>
          <w:szCs w:val="22"/>
        </w:rPr>
        <w:t xml:space="preserve">priority capacity development needs were identified: (a) </w:t>
      </w:r>
      <w:r w:rsidRPr="009E132A">
        <w:rPr>
          <w:sz w:val="22"/>
          <w:szCs w:val="22"/>
        </w:rPr>
        <w:t xml:space="preserve">implement economic instruments to generate additional revenues for the environmental sector; (b) implement financial instruments to establish additional sources of funding for the environmental sector; and (c) improve the investment climate to increase investments for protecting the environment. As a result, this project was conceptualized and was a direct response to national needs in creating conditions, financial incentives and disincentives, and decreased opportunity costs to undertake actions to meet Rio Convention objectives and ensure their integration within national plans and policies, especially in national taxation and within the decentralization process in Moldova.  </w:t>
      </w:r>
    </w:p>
    <w:p w14:paraId="2BF0E911" w14:textId="77777777" w:rsidR="00882D6C" w:rsidRPr="00882D6C" w:rsidRDefault="00882D6C" w:rsidP="00882D6C">
      <w:pPr>
        <w:jc w:val="both"/>
        <w:rPr>
          <w:sz w:val="22"/>
          <w:szCs w:val="22"/>
        </w:rPr>
      </w:pPr>
    </w:p>
    <w:p w14:paraId="299469FA" w14:textId="03ACF404" w:rsidR="00F400F2" w:rsidRPr="0069625B" w:rsidRDefault="00882D6C" w:rsidP="006E6340">
      <w:pPr>
        <w:pStyle w:val="ListParagraph"/>
        <w:numPr>
          <w:ilvl w:val="0"/>
          <w:numId w:val="15"/>
        </w:numPr>
        <w:jc w:val="both"/>
        <w:rPr>
          <w:sz w:val="22"/>
          <w:szCs w:val="22"/>
        </w:rPr>
      </w:pPr>
      <w:r w:rsidRPr="0069625B">
        <w:rPr>
          <w:sz w:val="22"/>
          <w:szCs w:val="22"/>
        </w:rPr>
        <w:t>Additionally, as discussed in the previous section 4.3.2, Moldova signed an Association Agre</w:t>
      </w:r>
      <w:r w:rsidR="00F400F2" w:rsidRPr="0069625B">
        <w:rPr>
          <w:sz w:val="22"/>
          <w:szCs w:val="22"/>
        </w:rPr>
        <w:t>ement</w:t>
      </w:r>
      <w:r w:rsidR="00016C9A" w:rsidRPr="0069625B">
        <w:rPr>
          <w:sz w:val="22"/>
          <w:szCs w:val="22"/>
        </w:rPr>
        <w:t xml:space="preserve"> (AA)</w:t>
      </w:r>
      <w:r w:rsidR="00F400F2" w:rsidRPr="0069625B">
        <w:rPr>
          <w:sz w:val="22"/>
          <w:szCs w:val="22"/>
        </w:rPr>
        <w:t xml:space="preserve"> with the EU in June 2014, promoting economic integration and political association. </w:t>
      </w:r>
      <w:r w:rsidR="006E6340" w:rsidRPr="0069625B">
        <w:rPr>
          <w:sz w:val="22"/>
          <w:szCs w:val="22"/>
        </w:rPr>
        <w:t xml:space="preserve">In order to comply with this agreement, Moldova must </w:t>
      </w:r>
      <w:r w:rsidR="00F400F2" w:rsidRPr="0069625B">
        <w:rPr>
          <w:sz w:val="22"/>
          <w:szCs w:val="22"/>
        </w:rPr>
        <w:t xml:space="preserve">align </w:t>
      </w:r>
      <w:r w:rsidR="006E6340" w:rsidRPr="0069625B">
        <w:rPr>
          <w:sz w:val="22"/>
          <w:szCs w:val="22"/>
        </w:rPr>
        <w:t xml:space="preserve">its </w:t>
      </w:r>
      <w:r w:rsidR="00F400F2" w:rsidRPr="0069625B">
        <w:rPr>
          <w:sz w:val="22"/>
          <w:szCs w:val="22"/>
        </w:rPr>
        <w:t xml:space="preserve">policies, legislation, standards, norms, etc. with those of the EU. </w:t>
      </w:r>
      <w:r w:rsidR="00016C9A" w:rsidRPr="0069625B">
        <w:rPr>
          <w:sz w:val="22"/>
          <w:szCs w:val="22"/>
        </w:rPr>
        <w:t>Reg</w:t>
      </w:r>
      <w:r w:rsidR="006E6340" w:rsidRPr="0069625B">
        <w:rPr>
          <w:sz w:val="22"/>
          <w:szCs w:val="22"/>
        </w:rPr>
        <w:t xml:space="preserve">arding the environmental sector, </w:t>
      </w:r>
      <w:r w:rsidR="00F400F2" w:rsidRPr="0069625B">
        <w:rPr>
          <w:sz w:val="22"/>
          <w:szCs w:val="22"/>
        </w:rPr>
        <w:t>Moldova is to harmonize/approximate its environmental legislation with the EU Directives (Acts) and international agreements (AA: Article 91</w:t>
      </w:r>
      <w:r w:rsidR="00482254">
        <w:rPr>
          <w:sz w:val="22"/>
          <w:szCs w:val="22"/>
        </w:rPr>
        <w:t xml:space="preserve"> and Article 97</w:t>
      </w:r>
      <w:r w:rsidR="00F400F2" w:rsidRPr="0069625B">
        <w:rPr>
          <w:sz w:val="22"/>
          <w:szCs w:val="22"/>
        </w:rPr>
        <w:t>) but also other Articles such as Article 195 on Fees and Charges, which needs to be taken into account when reforming the NEF</w:t>
      </w:r>
      <w:r w:rsidR="00482254">
        <w:rPr>
          <w:sz w:val="22"/>
          <w:szCs w:val="22"/>
        </w:rPr>
        <w:t xml:space="preserve">, </w:t>
      </w:r>
      <w:r w:rsidR="00F400F2" w:rsidRPr="0069625B">
        <w:rPr>
          <w:sz w:val="22"/>
          <w:szCs w:val="22"/>
        </w:rPr>
        <w:t xml:space="preserve">Annex XI to Chapter 16 (Environment) </w:t>
      </w:r>
      <w:r w:rsidR="00482254" w:rsidRPr="00482254">
        <w:rPr>
          <w:sz w:val="22"/>
          <w:szCs w:val="22"/>
        </w:rPr>
        <w:t xml:space="preserve">and Annex XII to Chapter 17 (Climate Action) </w:t>
      </w:r>
      <w:r w:rsidR="00F400F2" w:rsidRPr="0069625B">
        <w:rPr>
          <w:sz w:val="22"/>
          <w:szCs w:val="22"/>
        </w:rPr>
        <w:t>stipulating a full range of conditions to be met in the environmental area.</w:t>
      </w:r>
      <w:r w:rsidR="00016C9A" w:rsidRPr="0069625B">
        <w:rPr>
          <w:sz w:val="22"/>
          <w:szCs w:val="22"/>
        </w:rPr>
        <w:t xml:space="preserve"> </w:t>
      </w:r>
      <w:r w:rsidR="0069625B" w:rsidRPr="0069625B">
        <w:rPr>
          <w:sz w:val="22"/>
          <w:szCs w:val="22"/>
        </w:rPr>
        <w:t xml:space="preserve">In order to plan the needs for compliance, an Action Plan for the implementation of the AA was </w:t>
      </w:r>
      <w:r w:rsidR="00482254">
        <w:rPr>
          <w:sz w:val="22"/>
          <w:szCs w:val="22"/>
        </w:rPr>
        <w:t>drawn up for the years 2014-2018</w:t>
      </w:r>
      <w:r w:rsidR="0069625B" w:rsidRPr="0069625B">
        <w:rPr>
          <w:sz w:val="22"/>
          <w:szCs w:val="22"/>
        </w:rPr>
        <w:t xml:space="preserve">. It includes a long series of measures to be implemented during this timeframe, including measures to comply with Article 91, </w:t>
      </w:r>
      <w:r w:rsidR="00482254">
        <w:rPr>
          <w:sz w:val="22"/>
          <w:szCs w:val="22"/>
        </w:rPr>
        <w:t xml:space="preserve">97, </w:t>
      </w:r>
      <w:r w:rsidR="0069625B" w:rsidRPr="0069625B">
        <w:rPr>
          <w:sz w:val="22"/>
          <w:szCs w:val="22"/>
        </w:rPr>
        <w:t>195 and more generally measures to comply with Annex XI</w:t>
      </w:r>
      <w:r w:rsidR="00482254">
        <w:rPr>
          <w:sz w:val="22"/>
          <w:szCs w:val="22"/>
        </w:rPr>
        <w:t xml:space="preserve"> and XII</w:t>
      </w:r>
      <w:r w:rsidR="0069625B" w:rsidRPr="0069625B">
        <w:rPr>
          <w:sz w:val="22"/>
          <w:szCs w:val="22"/>
        </w:rPr>
        <w:t xml:space="preserve">. </w:t>
      </w:r>
      <w:r w:rsidR="0069625B">
        <w:rPr>
          <w:sz w:val="22"/>
          <w:szCs w:val="22"/>
        </w:rPr>
        <w:t>Considering this A</w:t>
      </w:r>
      <w:r w:rsidR="00016C9A" w:rsidRPr="0069625B">
        <w:rPr>
          <w:sz w:val="22"/>
          <w:szCs w:val="22"/>
        </w:rPr>
        <w:t>greement</w:t>
      </w:r>
      <w:r w:rsidR="0069625B">
        <w:rPr>
          <w:sz w:val="22"/>
          <w:szCs w:val="22"/>
        </w:rPr>
        <w:t xml:space="preserve"> and this Action Plan</w:t>
      </w:r>
      <w:r w:rsidR="00725811">
        <w:rPr>
          <w:sz w:val="22"/>
          <w:szCs w:val="22"/>
        </w:rPr>
        <w:t>, the project wa</w:t>
      </w:r>
      <w:r w:rsidR="00016C9A" w:rsidRPr="0069625B">
        <w:rPr>
          <w:sz w:val="22"/>
          <w:szCs w:val="22"/>
        </w:rPr>
        <w:t xml:space="preserve">s fully relevant for Moldova to support the government in harmonizing its environmental legislation, particularly legislation related to environmental taxation and regulations of the NEF. </w:t>
      </w:r>
    </w:p>
    <w:p w14:paraId="7E2BCB87" w14:textId="77777777" w:rsidR="00E94650" w:rsidRPr="0069625B" w:rsidRDefault="00E94650" w:rsidP="00E94650">
      <w:pPr>
        <w:jc w:val="both"/>
        <w:rPr>
          <w:sz w:val="22"/>
          <w:szCs w:val="22"/>
        </w:rPr>
      </w:pPr>
    </w:p>
    <w:p w14:paraId="6A44C94A" w14:textId="3ADFA644" w:rsidR="000D2CA4" w:rsidRPr="0069625B" w:rsidRDefault="00016C9A" w:rsidP="000D2CA4">
      <w:pPr>
        <w:pStyle w:val="ListParagraph"/>
        <w:numPr>
          <w:ilvl w:val="0"/>
          <w:numId w:val="15"/>
        </w:numPr>
        <w:jc w:val="both"/>
        <w:rPr>
          <w:sz w:val="22"/>
          <w:szCs w:val="22"/>
        </w:rPr>
      </w:pPr>
      <w:r w:rsidRPr="0069625B">
        <w:rPr>
          <w:sz w:val="22"/>
          <w:szCs w:val="22"/>
        </w:rPr>
        <w:lastRenderedPageBreak/>
        <w:t xml:space="preserve">The project was also </w:t>
      </w:r>
      <w:r w:rsidRPr="0069625B">
        <w:rPr>
          <w:i/>
          <w:sz w:val="22"/>
          <w:szCs w:val="22"/>
          <w:u w:val="single"/>
        </w:rPr>
        <w:t>relevant</w:t>
      </w:r>
      <w:r w:rsidRPr="0069625B">
        <w:rPr>
          <w:sz w:val="22"/>
          <w:szCs w:val="22"/>
        </w:rPr>
        <w:t xml:space="preserve"> for UNDP in </w:t>
      </w:r>
      <w:r w:rsidR="0069625B" w:rsidRPr="0069625B">
        <w:rPr>
          <w:sz w:val="22"/>
          <w:szCs w:val="22"/>
        </w:rPr>
        <w:t>Moldova as it is well aligned with UNDP’s Country Programme 2013-2017 and the UNPF 2013-2017. It has particularly contributed to the expected outcome 3.1 that is to “</w:t>
      </w:r>
      <w:r w:rsidR="0069625B" w:rsidRPr="0069625B">
        <w:rPr>
          <w:i/>
          <w:sz w:val="22"/>
          <w:szCs w:val="22"/>
        </w:rPr>
        <w:t>improve environmental management in increased compliance with international and regional standards</w:t>
      </w:r>
      <w:r w:rsidR="0069625B" w:rsidRPr="0069625B">
        <w:rPr>
          <w:sz w:val="22"/>
          <w:szCs w:val="22"/>
        </w:rPr>
        <w:t>”.</w:t>
      </w:r>
      <w:r w:rsidR="0069625B">
        <w:rPr>
          <w:sz w:val="22"/>
          <w:szCs w:val="22"/>
        </w:rPr>
        <w:t xml:space="preserve"> Under this outcome, the UNPF stated </w:t>
      </w:r>
      <w:r w:rsidR="0069625B" w:rsidRPr="0069625B">
        <w:rPr>
          <w:sz w:val="22"/>
          <w:szCs w:val="22"/>
        </w:rPr>
        <w:t xml:space="preserve">that the UN </w:t>
      </w:r>
      <w:r w:rsidR="0069625B">
        <w:rPr>
          <w:sz w:val="22"/>
          <w:szCs w:val="22"/>
        </w:rPr>
        <w:t xml:space="preserve">system </w:t>
      </w:r>
      <w:r w:rsidR="0069625B" w:rsidRPr="0069625B">
        <w:rPr>
          <w:sz w:val="22"/>
          <w:szCs w:val="22"/>
        </w:rPr>
        <w:t>would provide support to reform and modernize its environmental management system, including the development and use of market-based instruments and fiscal mechanisms for environmental management.</w:t>
      </w:r>
    </w:p>
    <w:p w14:paraId="06175D5F" w14:textId="77777777" w:rsidR="00B64023" w:rsidRPr="00FB6D4E" w:rsidRDefault="00B64023" w:rsidP="000F2FBD">
      <w:pPr>
        <w:pStyle w:val="ListParagraph"/>
        <w:tabs>
          <w:tab w:val="left" w:pos="1701"/>
        </w:tabs>
        <w:ind w:left="0"/>
        <w:jc w:val="both"/>
        <w:rPr>
          <w:bCs/>
          <w:sz w:val="22"/>
          <w:szCs w:val="22"/>
        </w:rPr>
      </w:pPr>
    </w:p>
    <w:p w14:paraId="4965AEA6" w14:textId="77777777" w:rsidR="006E3DAE" w:rsidRPr="00FB6D4E" w:rsidRDefault="00D00260" w:rsidP="006B3375">
      <w:pPr>
        <w:pStyle w:val="Heading3"/>
        <w:numPr>
          <w:ilvl w:val="2"/>
          <w:numId w:val="1"/>
        </w:numPr>
        <w:tabs>
          <w:tab w:val="clear" w:pos="1440"/>
        </w:tabs>
        <w:ind w:left="1276" w:hanging="709"/>
        <w:rPr>
          <w:rFonts w:ascii="Arial" w:hAnsi="Arial" w:cs="Arial"/>
          <w:i/>
          <w:sz w:val="22"/>
          <w:szCs w:val="22"/>
        </w:rPr>
      </w:pPr>
      <w:bookmarkStart w:id="62" w:name="_Toc308103263"/>
      <w:r w:rsidRPr="00FB6D4E">
        <w:rPr>
          <w:rFonts w:ascii="Arial" w:hAnsi="Arial" w:cs="Arial"/>
          <w:i/>
          <w:sz w:val="22"/>
          <w:szCs w:val="22"/>
        </w:rPr>
        <w:t>Efficiency</w:t>
      </w:r>
      <w:bookmarkEnd w:id="62"/>
    </w:p>
    <w:p w14:paraId="5CE9E56D" w14:textId="77777777" w:rsidR="00CD3752" w:rsidRPr="00FB6D4E" w:rsidRDefault="00CD3752" w:rsidP="00CD3752">
      <w:pPr>
        <w:pStyle w:val="ListParagraph"/>
        <w:ind w:left="0"/>
        <w:jc w:val="both"/>
        <w:rPr>
          <w:sz w:val="22"/>
          <w:szCs w:val="22"/>
        </w:rPr>
      </w:pPr>
    </w:p>
    <w:p w14:paraId="193BB945" w14:textId="157F62C7" w:rsidR="004D71CA" w:rsidRDefault="004D71CA" w:rsidP="004D71CA">
      <w:pPr>
        <w:pStyle w:val="ListParagraph"/>
        <w:numPr>
          <w:ilvl w:val="0"/>
          <w:numId w:val="15"/>
        </w:numPr>
        <w:jc w:val="both"/>
        <w:rPr>
          <w:sz w:val="22"/>
          <w:szCs w:val="22"/>
        </w:rPr>
      </w:pPr>
      <w:r w:rsidRPr="00025443">
        <w:rPr>
          <w:sz w:val="22"/>
          <w:szCs w:val="22"/>
        </w:rPr>
        <w:t xml:space="preserve">As discussed in other sections above, the management of the project was </w:t>
      </w:r>
      <w:r w:rsidR="00030B61">
        <w:rPr>
          <w:sz w:val="22"/>
          <w:szCs w:val="22"/>
        </w:rPr>
        <w:t>good; its efficiency is</w:t>
      </w:r>
      <w:r w:rsidR="00FB3638">
        <w:rPr>
          <w:sz w:val="22"/>
          <w:szCs w:val="22"/>
        </w:rPr>
        <w:t xml:space="preserve"> </w:t>
      </w:r>
      <w:r w:rsidRPr="00025443">
        <w:rPr>
          <w:sz w:val="22"/>
          <w:szCs w:val="22"/>
        </w:rPr>
        <w:t xml:space="preserve">rated </w:t>
      </w:r>
      <w:r w:rsidRPr="00F9232E">
        <w:rPr>
          <w:sz w:val="22"/>
          <w:szCs w:val="22"/>
        </w:rPr>
        <w:t xml:space="preserve">as </w:t>
      </w:r>
      <w:r w:rsidRPr="00F9232E">
        <w:rPr>
          <w:i/>
          <w:sz w:val="22"/>
          <w:szCs w:val="22"/>
          <w:u w:val="single"/>
        </w:rPr>
        <w:t>satisfactory</w:t>
      </w:r>
      <w:r w:rsidRPr="00F9232E">
        <w:rPr>
          <w:sz w:val="22"/>
          <w:szCs w:val="22"/>
        </w:rPr>
        <w:t xml:space="preserve">. The Project Implementation Team followed the Government of </w:t>
      </w:r>
      <w:r>
        <w:rPr>
          <w:sz w:val="22"/>
          <w:szCs w:val="22"/>
        </w:rPr>
        <w:t>Moldova</w:t>
      </w:r>
      <w:r w:rsidRPr="00F9232E">
        <w:rPr>
          <w:sz w:val="22"/>
          <w:szCs w:val="22"/>
        </w:rPr>
        <w:t xml:space="preserve"> and</w:t>
      </w:r>
      <w:r w:rsidRPr="00025443">
        <w:rPr>
          <w:sz w:val="22"/>
          <w:szCs w:val="22"/>
        </w:rPr>
        <w:t xml:space="preserve"> UNDP procedures for implementing the project and used adaptive management to secure project deliverables while maintaining adherence to the overall project design. Annual work plans were developed with a corresponding budget to guide the implementation. An efficient implementation team was in place</w:t>
      </w:r>
      <w:r>
        <w:rPr>
          <w:sz w:val="22"/>
          <w:szCs w:val="22"/>
        </w:rPr>
        <w:t xml:space="preserve"> a</w:t>
      </w:r>
      <w:r w:rsidRPr="00025443">
        <w:rPr>
          <w:sz w:val="22"/>
          <w:szCs w:val="22"/>
        </w:rPr>
        <w:t xml:space="preserve">nd stakeholders were engaged in the implementation of project activities. </w:t>
      </w:r>
    </w:p>
    <w:p w14:paraId="42843EED" w14:textId="77777777" w:rsidR="004D71CA" w:rsidRDefault="004D71CA" w:rsidP="004D71CA">
      <w:pPr>
        <w:pStyle w:val="ListParagraph"/>
        <w:ind w:left="0"/>
        <w:jc w:val="both"/>
        <w:rPr>
          <w:sz w:val="22"/>
          <w:szCs w:val="22"/>
        </w:rPr>
      </w:pPr>
    </w:p>
    <w:p w14:paraId="00622C54" w14:textId="77777777" w:rsidR="00FB3638" w:rsidRDefault="00E62FEE" w:rsidP="00E62FEE">
      <w:pPr>
        <w:pStyle w:val="ListParagraph"/>
        <w:numPr>
          <w:ilvl w:val="0"/>
          <w:numId w:val="15"/>
        </w:numPr>
        <w:jc w:val="both"/>
        <w:rPr>
          <w:sz w:val="22"/>
          <w:szCs w:val="22"/>
        </w:rPr>
      </w:pPr>
      <w:r>
        <w:rPr>
          <w:sz w:val="22"/>
          <w:szCs w:val="22"/>
        </w:rPr>
        <w:t xml:space="preserve">The Evaluation Team particularly noted that an </w:t>
      </w:r>
      <w:r w:rsidRPr="006E0D9D">
        <w:rPr>
          <w:sz w:val="22"/>
          <w:szCs w:val="22"/>
        </w:rPr>
        <w:t xml:space="preserve">efficient implementation team was in place for the second half of the project, detailed work plans were guiding the implementation, assignments were conducted with the required participation of relevant </w:t>
      </w:r>
      <w:r w:rsidRPr="00FF0583">
        <w:rPr>
          <w:sz w:val="22"/>
          <w:szCs w:val="22"/>
        </w:rPr>
        <w:t xml:space="preserve">stakeholders and the project progress was well monitored. Adaptive management was used regularly to adapt to a constantly changing environment, particularly the political environment </w:t>
      </w:r>
      <w:r>
        <w:rPr>
          <w:sz w:val="22"/>
          <w:szCs w:val="22"/>
        </w:rPr>
        <w:t>with</w:t>
      </w:r>
      <w:r w:rsidRPr="00FF0583">
        <w:rPr>
          <w:sz w:val="22"/>
          <w:szCs w:val="22"/>
        </w:rPr>
        <w:t xml:space="preserve"> </w:t>
      </w:r>
      <w:r>
        <w:rPr>
          <w:sz w:val="22"/>
          <w:szCs w:val="22"/>
        </w:rPr>
        <w:t xml:space="preserve">four different governments over the lifetime of the project, and including </w:t>
      </w:r>
      <w:r w:rsidRPr="00FF0583">
        <w:rPr>
          <w:sz w:val="22"/>
          <w:szCs w:val="22"/>
        </w:rPr>
        <w:t xml:space="preserve">several changes at the Ministry of Environment with four different Ministers, 5 Deputy Ministers and two State Secretaries in the last 18 months. Adaptive management was </w:t>
      </w:r>
      <w:r w:rsidR="00FB3638">
        <w:rPr>
          <w:sz w:val="22"/>
          <w:szCs w:val="22"/>
        </w:rPr>
        <w:t xml:space="preserve">also </w:t>
      </w:r>
      <w:r w:rsidRPr="00FF0583">
        <w:rPr>
          <w:sz w:val="22"/>
          <w:szCs w:val="22"/>
        </w:rPr>
        <w:t>used as a mechanism to respond to stakeholders’ needs and priorities and address issues at hand, including finding ways to “push” the government to approve and</w:t>
      </w:r>
      <w:r w:rsidRPr="006E0D9D">
        <w:rPr>
          <w:sz w:val="22"/>
          <w:szCs w:val="22"/>
        </w:rPr>
        <w:t xml:space="preserve"> endorse the proposed reforms developed with the support of the project to revise the pollution charges and </w:t>
      </w:r>
      <w:r>
        <w:rPr>
          <w:sz w:val="22"/>
          <w:szCs w:val="22"/>
        </w:rPr>
        <w:t xml:space="preserve">reform </w:t>
      </w:r>
      <w:r w:rsidRPr="006E0D9D">
        <w:rPr>
          <w:sz w:val="22"/>
          <w:szCs w:val="22"/>
        </w:rPr>
        <w:t>the NEF</w:t>
      </w:r>
      <w:r>
        <w:rPr>
          <w:sz w:val="22"/>
          <w:szCs w:val="22"/>
        </w:rPr>
        <w:t xml:space="preserve"> and its operations</w:t>
      </w:r>
      <w:r w:rsidRPr="006E0D9D">
        <w:rPr>
          <w:sz w:val="22"/>
          <w:szCs w:val="22"/>
        </w:rPr>
        <w:t xml:space="preserve">. </w:t>
      </w:r>
    </w:p>
    <w:p w14:paraId="62AFED6E" w14:textId="77777777" w:rsidR="00E62FEE" w:rsidRPr="006E0D9D" w:rsidRDefault="00E62FEE" w:rsidP="00E62FEE">
      <w:pPr>
        <w:jc w:val="both"/>
        <w:rPr>
          <w:sz w:val="22"/>
          <w:szCs w:val="22"/>
        </w:rPr>
      </w:pPr>
    </w:p>
    <w:p w14:paraId="47C8435D" w14:textId="4B82531B" w:rsidR="00FB3638" w:rsidRPr="00FB3638" w:rsidRDefault="00E62FEE" w:rsidP="00FB3638">
      <w:pPr>
        <w:pStyle w:val="ListParagraph"/>
        <w:numPr>
          <w:ilvl w:val="0"/>
          <w:numId w:val="15"/>
        </w:numPr>
        <w:jc w:val="both"/>
        <w:rPr>
          <w:sz w:val="22"/>
          <w:szCs w:val="22"/>
        </w:rPr>
      </w:pPr>
      <w:r w:rsidRPr="00DC0C17">
        <w:rPr>
          <w:sz w:val="22"/>
          <w:szCs w:val="22"/>
        </w:rPr>
        <w:t xml:space="preserve">However, </w:t>
      </w:r>
      <w:r w:rsidR="00FB3638">
        <w:rPr>
          <w:sz w:val="22"/>
          <w:szCs w:val="22"/>
        </w:rPr>
        <w:t xml:space="preserve">it was also noted that </w:t>
      </w:r>
      <w:r w:rsidRPr="00DC0C17">
        <w:rPr>
          <w:sz w:val="22"/>
          <w:szCs w:val="22"/>
        </w:rPr>
        <w:t>the implementation of the pro</w:t>
      </w:r>
      <w:r w:rsidR="00FB3638">
        <w:rPr>
          <w:sz w:val="22"/>
          <w:szCs w:val="22"/>
        </w:rPr>
        <w:t xml:space="preserve">ject had a difficult first half; </w:t>
      </w:r>
      <w:r w:rsidRPr="00DC0C17">
        <w:rPr>
          <w:sz w:val="22"/>
          <w:szCs w:val="22"/>
        </w:rPr>
        <w:t xml:space="preserve">very limited progress was made during the first 18 months of implementation. </w:t>
      </w:r>
      <w:r w:rsidR="00FB3638">
        <w:rPr>
          <w:sz w:val="22"/>
          <w:szCs w:val="22"/>
        </w:rPr>
        <w:t>I</w:t>
      </w:r>
      <w:r w:rsidR="00FB3638" w:rsidRPr="00FB3638">
        <w:rPr>
          <w:sz w:val="22"/>
          <w:szCs w:val="22"/>
        </w:rPr>
        <w:t>t is well illustrated by the disbursement profile of the GEF grant with respectively only about 10% the first year (2012) and just over 7% the second year (2013)</w:t>
      </w:r>
      <w:r w:rsidR="00FB3638">
        <w:rPr>
          <w:sz w:val="22"/>
          <w:szCs w:val="22"/>
        </w:rPr>
        <w:t xml:space="preserve"> of the total grant was disbursed</w:t>
      </w:r>
      <w:r w:rsidR="00FB3638" w:rsidRPr="00FB3638">
        <w:rPr>
          <w:sz w:val="22"/>
          <w:szCs w:val="22"/>
        </w:rPr>
        <w:t xml:space="preserve">. Following an internal review by the Project Board, a new PM was hired in January 2014 with excellent credentials. It was an important and critical decision that allowed the project implementation to get back on track and, through fast-track operations to catch up with the planned implementation timeline and, as a result, the project delivered most of the planned activities. </w:t>
      </w:r>
    </w:p>
    <w:p w14:paraId="20DC66A0" w14:textId="77777777" w:rsidR="00FB3638" w:rsidRPr="00FB3638" w:rsidRDefault="00FB3638" w:rsidP="00FB3638">
      <w:pPr>
        <w:jc w:val="both"/>
        <w:rPr>
          <w:sz w:val="22"/>
          <w:szCs w:val="22"/>
        </w:rPr>
      </w:pPr>
    </w:p>
    <w:p w14:paraId="49626825" w14:textId="0A258D0C" w:rsidR="00FB3638" w:rsidRDefault="0093389F" w:rsidP="00FB3638">
      <w:pPr>
        <w:pStyle w:val="ListParagraph"/>
        <w:numPr>
          <w:ilvl w:val="0"/>
          <w:numId w:val="15"/>
        </w:numPr>
        <w:jc w:val="both"/>
        <w:rPr>
          <w:sz w:val="22"/>
          <w:szCs w:val="22"/>
        </w:rPr>
      </w:pPr>
      <w:r>
        <w:rPr>
          <w:sz w:val="22"/>
          <w:szCs w:val="22"/>
        </w:rPr>
        <w:t xml:space="preserve">In parallel to the </w:t>
      </w:r>
      <w:r w:rsidR="00FB3638">
        <w:rPr>
          <w:sz w:val="22"/>
          <w:szCs w:val="22"/>
        </w:rPr>
        <w:t xml:space="preserve">change of PM, adaptive management was also used when the PB decided to request a time extension of 9 months for the project at the June 20, 2014 PB meeting. Due to a very low disbursement during the first 2 years of the project, the project was not in a position to achieve its objective and to disburse its budget after 36 months of operation. Furthermore, following the Parliamentary election that took place in </w:t>
      </w:r>
      <w:r w:rsidR="00FB3638">
        <w:rPr>
          <w:sz w:val="22"/>
          <w:szCs w:val="22"/>
        </w:rPr>
        <w:lastRenderedPageBreak/>
        <w:t xml:space="preserve">November 2014 and a change of government, there was a risk of delays of some project activities, particularly those related to the reform of the NEF and the reform of the agriculture and energy subsidies. </w:t>
      </w:r>
      <w:r>
        <w:rPr>
          <w:sz w:val="22"/>
          <w:szCs w:val="22"/>
        </w:rPr>
        <w:t>Considering that the project f</w:t>
      </w:r>
      <w:r w:rsidR="00FB3638">
        <w:rPr>
          <w:sz w:val="22"/>
          <w:szCs w:val="22"/>
        </w:rPr>
        <w:t>inancial resources were available for a 9-month-extension</w:t>
      </w:r>
      <w:r>
        <w:rPr>
          <w:sz w:val="22"/>
          <w:szCs w:val="22"/>
        </w:rPr>
        <w:t xml:space="preserve">, the request was </w:t>
      </w:r>
      <w:r w:rsidR="00FB3638">
        <w:rPr>
          <w:sz w:val="22"/>
          <w:szCs w:val="22"/>
        </w:rPr>
        <w:t xml:space="preserve">granted by UNDP-GEF and </w:t>
      </w:r>
      <w:r>
        <w:rPr>
          <w:sz w:val="22"/>
          <w:szCs w:val="22"/>
        </w:rPr>
        <w:t>allowed the project to complete its schedule of activities by September 2015.</w:t>
      </w:r>
    </w:p>
    <w:p w14:paraId="39518648" w14:textId="7890DA48" w:rsidR="00462CF6" w:rsidRPr="008B5BA7" w:rsidRDefault="00462CF6" w:rsidP="00023DF6">
      <w:pPr>
        <w:pStyle w:val="ListParagraph"/>
        <w:ind w:left="0"/>
        <w:jc w:val="both"/>
        <w:rPr>
          <w:sz w:val="22"/>
          <w:szCs w:val="22"/>
        </w:rPr>
      </w:pPr>
    </w:p>
    <w:p w14:paraId="1B101B63" w14:textId="3D12AEA5" w:rsidR="00462CF6" w:rsidRPr="008B5BA7" w:rsidRDefault="00023DF6" w:rsidP="00462CF6">
      <w:pPr>
        <w:pStyle w:val="ListParagraph"/>
        <w:numPr>
          <w:ilvl w:val="0"/>
          <w:numId w:val="15"/>
        </w:numPr>
        <w:jc w:val="both"/>
        <w:rPr>
          <w:sz w:val="22"/>
          <w:szCs w:val="22"/>
        </w:rPr>
      </w:pPr>
      <w:r w:rsidRPr="008B5BA7">
        <w:rPr>
          <w:sz w:val="22"/>
          <w:szCs w:val="22"/>
        </w:rPr>
        <w:t>D</w:t>
      </w:r>
      <w:r w:rsidR="00462CF6" w:rsidRPr="008B5BA7">
        <w:rPr>
          <w:sz w:val="22"/>
          <w:szCs w:val="22"/>
        </w:rPr>
        <w:t>espite the fact that a limited focus was on gender considerations in the project document (</w:t>
      </w:r>
      <w:r w:rsidR="00462CF6" w:rsidRPr="008B5BA7">
        <w:rPr>
          <w:i/>
          <w:sz w:val="22"/>
          <w:szCs w:val="22"/>
        </w:rPr>
        <w:t>see Section 4.1.1</w:t>
      </w:r>
      <w:r w:rsidR="00462CF6" w:rsidRPr="008B5BA7">
        <w:rPr>
          <w:sz w:val="22"/>
          <w:szCs w:val="22"/>
        </w:rPr>
        <w:t xml:space="preserve">), the Project Team did monitor and report on gender equality </w:t>
      </w:r>
      <w:r w:rsidRPr="008B5BA7">
        <w:rPr>
          <w:sz w:val="22"/>
          <w:szCs w:val="22"/>
        </w:rPr>
        <w:t>in</w:t>
      </w:r>
      <w:r w:rsidR="00462CF6" w:rsidRPr="008B5BA7">
        <w:rPr>
          <w:sz w:val="22"/>
          <w:szCs w:val="22"/>
        </w:rPr>
        <w:t xml:space="preserve"> the PIRs. A gender assessment was carried out in 2013 and a gender sensitive approach was adopted </w:t>
      </w:r>
      <w:r w:rsidRPr="008B5BA7">
        <w:rPr>
          <w:sz w:val="22"/>
          <w:szCs w:val="22"/>
        </w:rPr>
        <w:t>throughout the implementation of the project.</w:t>
      </w:r>
      <w:r w:rsidR="00462CF6" w:rsidRPr="008B5BA7">
        <w:rPr>
          <w:sz w:val="22"/>
          <w:szCs w:val="22"/>
        </w:rPr>
        <w:t xml:space="preserve"> </w:t>
      </w:r>
      <w:r w:rsidRPr="008B5BA7">
        <w:rPr>
          <w:sz w:val="22"/>
          <w:szCs w:val="22"/>
        </w:rPr>
        <w:t>It included</w:t>
      </w:r>
      <w:r w:rsidR="00462CF6" w:rsidRPr="008B5BA7">
        <w:rPr>
          <w:sz w:val="22"/>
          <w:szCs w:val="22"/>
        </w:rPr>
        <w:t xml:space="preserve"> a particular attention to the participation of women in consultations conducted when developing policy and regulatory proposals, as well as </w:t>
      </w:r>
      <w:r w:rsidR="00616957" w:rsidRPr="008B5BA7">
        <w:rPr>
          <w:sz w:val="22"/>
          <w:szCs w:val="22"/>
        </w:rPr>
        <w:t xml:space="preserve">women’s participation </w:t>
      </w:r>
      <w:r w:rsidR="00462CF6" w:rsidRPr="008B5BA7">
        <w:rPr>
          <w:sz w:val="22"/>
          <w:szCs w:val="22"/>
        </w:rPr>
        <w:t>when conducting strategic planning and budgeting processes at the local level</w:t>
      </w:r>
      <w:r w:rsidR="00616957" w:rsidRPr="008B5BA7">
        <w:rPr>
          <w:sz w:val="22"/>
          <w:szCs w:val="22"/>
        </w:rPr>
        <w:t xml:space="preserve">. At this level, </w:t>
      </w:r>
      <w:r w:rsidR="00462CF6" w:rsidRPr="008B5BA7">
        <w:rPr>
          <w:sz w:val="22"/>
          <w:szCs w:val="22"/>
        </w:rPr>
        <w:t>gender-disaggregated data on women participation was collected and analyzed</w:t>
      </w:r>
      <w:r w:rsidR="008B5BA7" w:rsidRPr="008B5BA7">
        <w:rPr>
          <w:sz w:val="22"/>
          <w:szCs w:val="22"/>
        </w:rPr>
        <w:t xml:space="preserve"> within the context of the development of </w:t>
      </w:r>
      <w:r w:rsidR="00462CF6" w:rsidRPr="008B5BA7">
        <w:rPr>
          <w:sz w:val="22"/>
          <w:szCs w:val="22"/>
        </w:rPr>
        <w:t xml:space="preserve">local environment priorities, </w:t>
      </w:r>
      <w:r w:rsidR="008B5BA7" w:rsidRPr="008B5BA7">
        <w:rPr>
          <w:sz w:val="22"/>
          <w:szCs w:val="22"/>
        </w:rPr>
        <w:t xml:space="preserve">which included </w:t>
      </w:r>
      <w:r w:rsidR="00462CF6" w:rsidRPr="008B5BA7">
        <w:rPr>
          <w:sz w:val="22"/>
          <w:szCs w:val="22"/>
        </w:rPr>
        <w:t>a strong gender-focus.</w:t>
      </w:r>
    </w:p>
    <w:p w14:paraId="0514CBE7" w14:textId="77777777" w:rsidR="00E62FEE" w:rsidRPr="001664FF" w:rsidRDefault="00E62FEE" w:rsidP="00E62FEE">
      <w:pPr>
        <w:jc w:val="both"/>
        <w:rPr>
          <w:sz w:val="22"/>
          <w:szCs w:val="22"/>
        </w:rPr>
      </w:pPr>
    </w:p>
    <w:p w14:paraId="14137F9C" w14:textId="087BEEF4" w:rsidR="00025443" w:rsidRDefault="0093389F" w:rsidP="00025443">
      <w:pPr>
        <w:pStyle w:val="ListParagraph"/>
        <w:numPr>
          <w:ilvl w:val="0"/>
          <w:numId w:val="15"/>
        </w:numPr>
        <w:jc w:val="both"/>
        <w:rPr>
          <w:sz w:val="22"/>
          <w:szCs w:val="22"/>
        </w:rPr>
      </w:pPr>
      <w:r>
        <w:rPr>
          <w:sz w:val="22"/>
          <w:szCs w:val="22"/>
        </w:rPr>
        <w:t xml:space="preserve">Finally, despite an overall satisfactory efficiency to implement this project, the Evaluation Team noted that the M&amp;E formulated in the project document was not an adequate framework to measure the project’s performance. The cumbersome non-SMART indicators and targets </w:t>
      </w:r>
      <w:r w:rsidRPr="0093389F">
        <w:rPr>
          <w:sz w:val="22"/>
          <w:szCs w:val="22"/>
        </w:rPr>
        <w:t xml:space="preserve">limited the </w:t>
      </w:r>
      <w:r>
        <w:rPr>
          <w:sz w:val="22"/>
          <w:szCs w:val="22"/>
        </w:rPr>
        <w:t xml:space="preserve">Project Team </w:t>
      </w:r>
      <w:r w:rsidRPr="0093389F">
        <w:rPr>
          <w:sz w:val="22"/>
          <w:szCs w:val="22"/>
        </w:rPr>
        <w:t xml:space="preserve">to use a good </w:t>
      </w:r>
      <w:r>
        <w:rPr>
          <w:sz w:val="22"/>
          <w:szCs w:val="22"/>
        </w:rPr>
        <w:t xml:space="preserve">project </w:t>
      </w:r>
      <w:r w:rsidRPr="0093389F">
        <w:rPr>
          <w:sz w:val="22"/>
          <w:szCs w:val="22"/>
        </w:rPr>
        <w:t>performance measuring framework</w:t>
      </w:r>
      <w:r>
        <w:rPr>
          <w:sz w:val="22"/>
          <w:szCs w:val="22"/>
        </w:rPr>
        <w:t xml:space="preserve"> and provide valuable progress information on the project clearly indicating the progress in reaching the objective. Nevertheless, </w:t>
      </w:r>
      <w:r w:rsidR="008D64D4">
        <w:rPr>
          <w:sz w:val="22"/>
          <w:szCs w:val="22"/>
        </w:rPr>
        <w:t xml:space="preserve">despite a less-than-average progress reporting, </w:t>
      </w:r>
      <w:r>
        <w:rPr>
          <w:sz w:val="22"/>
          <w:szCs w:val="22"/>
        </w:rPr>
        <w:t xml:space="preserve">the Project Team </w:t>
      </w:r>
      <w:r w:rsidR="002C7F89">
        <w:rPr>
          <w:sz w:val="22"/>
          <w:szCs w:val="22"/>
        </w:rPr>
        <w:t>implemented the project efficiently</w:t>
      </w:r>
      <w:r w:rsidR="008D64D4">
        <w:rPr>
          <w:sz w:val="22"/>
          <w:szCs w:val="22"/>
        </w:rPr>
        <w:t>.</w:t>
      </w:r>
    </w:p>
    <w:p w14:paraId="4B13448F" w14:textId="77777777" w:rsidR="004D2F86" w:rsidRDefault="004D2F86" w:rsidP="0045726B">
      <w:pPr>
        <w:pStyle w:val="ListParagraph"/>
        <w:ind w:left="0"/>
        <w:jc w:val="both"/>
        <w:rPr>
          <w:sz w:val="22"/>
          <w:szCs w:val="22"/>
        </w:rPr>
      </w:pPr>
    </w:p>
    <w:p w14:paraId="03974969" w14:textId="77777777" w:rsidR="00D2464C" w:rsidRDefault="00D2464C" w:rsidP="0045726B">
      <w:pPr>
        <w:pStyle w:val="ListParagraph"/>
        <w:ind w:left="0"/>
        <w:jc w:val="both"/>
        <w:rPr>
          <w:sz w:val="22"/>
          <w:szCs w:val="22"/>
        </w:rPr>
      </w:pPr>
    </w:p>
    <w:p w14:paraId="3D3A0754" w14:textId="77777777" w:rsidR="008F1A4D" w:rsidRPr="00FB6D4E" w:rsidRDefault="008F1A4D" w:rsidP="006B3375">
      <w:pPr>
        <w:pStyle w:val="Heading3"/>
        <w:numPr>
          <w:ilvl w:val="2"/>
          <w:numId w:val="1"/>
        </w:numPr>
        <w:tabs>
          <w:tab w:val="clear" w:pos="1440"/>
        </w:tabs>
        <w:ind w:left="1276" w:hanging="709"/>
        <w:rPr>
          <w:rFonts w:ascii="Arial" w:hAnsi="Arial" w:cs="Arial"/>
          <w:i/>
          <w:sz w:val="22"/>
          <w:szCs w:val="22"/>
        </w:rPr>
      </w:pPr>
      <w:bookmarkStart w:id="63" w:name="_Toc308103264"/>
      <w:r w:rsidRPr="00FB6D4E">
        <w:rPr>
          <w:rFonts w:ascii="Arial" w:hAnsi="Arial" w:cs="Arial"/>
          <w:i/>
          <w:sz w:val="22"/>
          <w:szCs w:val="22"/>
        </w:rPr>
        <w:t>Country Ownership</w:t>
      </w:r>
      <w:bookmarkEnd w:id="63"/>
    </w:p>
    <w:p w14:paraId="7637F223" w14:textId="77777777" w:rsidR="008F1A4D" w:rsidRPr="00FB6D4E" w:rsidRDefault="008F1A4D" w:rsidP="008F1A4D">
      <w:pPr>
        <w:tabs>
          <w:tab w:val="left" w:pos="1472"/>
        </w:tabs>
        <w:jc w:val="both"/>
        <w:rPr>
          <w:sz w:val="22"/>
          <w:szCs w:val="22"/>
        </w:rPr>
      </w:pPr>
    </w:p>
    <w:p w14:paraId="49087F0D" w14:textId="4EB33E8D" w:rsidR="001E13D3" w:rsidRDefault="001E13D3" w:rsidP="001E13D3">
      <w:pPr>
        <w:pStyle w:val="ListParagraph"/>
        <w:numPr>
          <w:ilvl w:val="0"/>
          <w:numId w:val="15"/>
        </w:numPr>
        <w:jc w:val="both"/>
        <w:rPr>
          <w:sz w:val="22"/>
          <w:szCs w:val="22"/>
        </w:rPr>
      </w:pPr>
      <w:r w:rsidRPr="00D84D73">
        <w:rPr>
          <w:sz w:val="22"/>
          <w:szCs w:val="22"/>
        </w:rPr>
        <w:t xml:space="preserve">As discussed in other sections of this report, the country ownership is excellent. The project addressed </w:t>
      </w:r>
      <w:r>
        <w:rPr>
          <w:sz w:val="22"/>
          <w:szCs w:val="22"/>
        </w:rPr>
        <w:t xml:space="preserve">key national priorities; it was designed on the basis of </w:t>
      </w:r>
      <w:r w:rsidRPr="002F1D48">
        <w:rPr>
          <w:sz w:val="22"/>
          <w:szCs w:val="22"/>
        </w:rPr>
        <w:t>a</w:t>
      </w:r>
      <w:r>
        <w:rPr>
          <w:sz w:val="22"/>
          <w:szCs w:val="22"/>
        </w:rPr>
        <w:t xml:space="preserve"> good assessment (NCSA); and key national partners have been totally engaged in project-supported activities. </w:t>
      </w:r>
      <w:r w:rsidRPr="00B61171">
        <w:rPr>
          <w:sz w:val="22"/>
          <w:szCs w:val="22"/>
        </w:rPr>
        <w:t xml:space="preserve">It </w:t>
      </w:r>
      <w:r>
        <w:rPr>
          <w:sz w:val="22"/>
          <w:szCs w:val="22"/>
        </w:rPr>
        <w:t xml:space="preserve">became </w:t>
      </w:r>
      <w:r w:rsidRPr="00B61171">
        <w:rPr>
          <w:i/>
          <w:sz w:val="22"/>
          <w:szCs w:val="22"/>
        </w:rPr>
        <w:t>de facto</w:t>
      </w:r>
      <w:r w:rsidRPr="00B61171">
        <w:rPr>
          <w:sz w:val="22"/>
          <w:szCs w:val="22"/>
        </w:rPr>
        <w:t xml:space="preserve"> the </w:t>
      </w:r>
      <w:r>
        <w:rPr>
          <w:sz w:val="22"/>
          <w:szCs w:val="22"/>
        </w:rPr>
        <w:t xml:space="preserve">EFR </w:t>
      </w:r>
      <w:r w:rsidRPr="00B61171">
        <w:rPr>
          <w:sz w:val="22"/>
          <w:szCs w:val="22"/>
        </w:rPr>
        <w:t xml:space="preserve">programme in </w:t>
      </w:r>
      <w:r>
        <w:rPr>
          <w:sz w:val="22"/>
          <w:szCs w:val="22"/>
        </w:rPr>
        <w:t xml:space="preserve">Moldova </w:t>
      </w:r>
      <w:r w:rsidRPr="00B61171">
        <w:rPr>
          <w:sz w:val="22"/>
          <w:szCs w:val="22"/>
        </w:rPr>
        <w:t xml:space="preserve">implemented by key government departments including </w:t>
      </w:r>
      <w:r>
        <w:rPr>
          <w:sz w:val="22"/>
          <w:szCs w:val="22"/>
        </w:rPr>
        <w:t xml:space="preserve">MOE, MOF and MOEco </w:t>
      </w:r>
      <w:r w:rsidRPr="00B61171">
        <w:rPr>
          <w:sz w:val="22"/>
          <w:szCs w:val="22"/>
        </w:rPr>
        <w:t xml:space="preserve">and the Local Governments in </w:t>
      </w:r>
      <w:r w:rsidRPr="001E13D3">
        <w:rPr>
          <w:sz w:val="22"/>
          <w:szCs w:val="22"/>
        </w:rPr>
        <w:t>6 pilot towns (Cahul, Calarasi, Ungheni, Soroca, Floresti and Telenesti)</w:t>
      </w:r>
      <w:r w:rsidRPr="00B61171">
        <w:rPr>
          <w:sz w:val="22"/>
          <w:szCs w:val="22"/>
        </w:rPr>
        <w:t>.</w:t>
      </w:r>
    </w:p>
    <w:p w14:paraId="63E48BB6" w14:textId="77777777" w:rsidR="00410912" w:rsidRPr="004B36BB" w:rsidRDefault="00410912" w:rsidP="002F7DF4">
      <w:pPr>
        <w:pStyle w:val="ListParagraph"/>
        <w:ind w:left="0"/>
        <w:jc w:val="both"/>
        <w:rPr>
          <w:sz w:val="22"/>
          <w:szCs w:val="22"/>
        </w:rPr>
      </w:pPr>
    </w:p>
    <w:p w14:paraId="5B5113A3" w14:textId="02413766" w:rsidR="001A4439" w:rsidRPr="004B36BB" w:rsidRDefault="002F7DF4" w:rsidP="004B36BB">
      <w:pPr>
        <w:pStyle w:val="ListParagraph"/>
        <w:numPr>
          <w:ilvl w:val="0"/>
          <w:numId w:val="15"/>
        </w:numPr>
        <w:jc w:val="both"/>
        <w:rPr>
          <w:sz w:val="22"/>
          <w:szCs w:val="22"/>
        </w:rPr>
      </w:pPr>
      <w:r w:rsidRPr="004B36BB">
        <w:rPr>
          <w:sz w:val="22"/>
          <w:szCs w:val="22"/>
        </w:rPr>
        <w:t xml:space="preserve">The timing of the project was also good. As discussed in </w:t>
      </w:r>
      <w:r w:rsidR="00410912" w:rsidRPr="004B36BB">
        <w:rPr>
          <w:sz w:val="22"/>
          <w:szCs w:val="22"/>
        </w:rPr>
        <w:t xml:space="preserve">previous </w:t>
      </w:r>
      <w:r w:rsidRPr="004B36BB">
        <w:rPr>
          <w:sz w:val="22"/>
          <w:szCs w:val="22"/>
        </w:rPr>
        <w:t>section</w:t>
      </w:r>
      <w:r w:rsidR="00410912" w:rsidRPr="004B36BB">
        <w:rPr>
          <w:sz w:val="22"/>
          <w:szCs w:val="22"/>
        </w:rPr>
        <w:t>s</w:t>
      </w:r>
      <w:r w:rsidRPr="004B36BB">
        <w:rPr>
          <w:sz w:val="22"/>
          <w:szCs w:val="22"/>
        </w:rPr>
        <w:t xml:space="preserve">, it provided the Government of </w:t>
      </w:r>
      <w:r w:rsidR="00410912" w:rsidRPr="004B36BB">
        <w:rPr>
          <w:sz w:val="22"/>
          <w:szCs w:val="22"/>
        </w:rPr>
        <w:t xml:space="preserve">Moldova </w:t>
      </w:r>
      <w:r w:rsidRPr="004B36BB">
        <w:rPr>
          <w:sz w:val="22"/>
          <w:szCs w:val="22"/>
        </w:rPr>
        <w:t xml:space="preserve">with </w:t>
      </w:r>
      <w:r w:rsidR="00410912" w:rsidRPr="004B36BB">
        <w:rPr>
          <w:sz w:val="22"/>
          <w:szCs w:val="22"/>
        </w:rPr>
        <w:t xml:space="preserve">extra </w:t>
      </w:r>
      <w:r w:rsidRPr="004B36BB">
        <w:rPr>
          <w:sz w:val="22"/>
          <w:szCs w:val="22"/>
        </w:rPr>
        <w:t xml:space="preserve">resources to </w:t>
      </w:r>
      <w:r w:rsidR="00410912" w:rsidRPr="004B36BB">
        <w:rPr>
          <w:sz w:val="22"/>
          <w:szCs w:val="22"/>
        </w:rPr>
        <w:t xml:space="preserve">develop a national EFR agenda. </w:t>
      </w:r>
      <w:r w:rsidR="004B36BB" w:rsidRPr="004B36BB">
        <w:rPr>
          <w:sz w:val="22"/>
          <w:szCs w:val="22"/>
        </w:rPr>
        <w:t xml:space="preserve">At the end of the project, Moldova is now better equipped with more valid information on EFR, relevant stakeholders – particularly staff at MOE, MOF and MOEco – with better skills and knowledge on EFR and environmental fiscal instruments available to the government to move the EFR agenda forward. </w:t>
      </w:r>
      <w:r w:rsidRPr="004B36BB">
        <w:rPr>
          <w:sz w:val="22"/>
          <w:szCs w:val="22"/>
        </w:rPr>
        <w:t xml:space="preserve">It is expected that this good country ownership will contribute to the long-term sustainability of project achievements. </w:t>
      </w:r>
    </w:p>
    <w:p w14:paraId="506B35D9" w14:textId="77777777" w:rsidR="00B43F7B" w:rsidRPr="00B61171" w:rsidRDefault="00B43F7B" w:rsidP="00B61171">
      <w:pPr>
        <w:pStyle w:val="ListParagraph"/>
        <w:tabs>
          <w:tab w:val="left" w:pos="567"/>
        </w:tabs>
        <w:ind w:left="0"/>
        <w:jc w:val="both"/>
        <w:rPr>
          <w:sz w:val="22"/>
          <w:szCs w:val="22"/>
        </w:rPr>
      </w:pPr>
    </w:p>
    <w:p w14:paraId="3BFD934F" w14:textId="77777777" w:rsidR="00D00260" w:rsidRPr="00FA109A" w:rsidRDefault="00D00260" w:rsidP="006B3375">
      <w:pPr>
        <w:pStyle w:val="Heading3"/>
        <w:numPr>
          <w:ilvl w:val="2"/>
          <w:numId w:val="1"/>
        </w:numPr>
        <w:tabs>
          <w:tab w:val="clear" w:pos="1440"/>
        </w:tabs>
        <w:ind w:left="1276" w:hanging="709"/>
        <w:rPr>
          <w:rFonts w:ascii="Arial" w:hAnsi="Arial" w:cs="Arial"/>
          <w:i/>
          <w:sz w:val="22"/>
          <w:szCs w:val="22"/>
        </w:rPr>
      </w:pPr>
      <w:bookmarkStart w:id="64" w:name="_Toc308103265"/>
      <w:r w:rsidRPr="00FA109A">
        <w:rPr>
          <w:rFonts w:ascii="Arial" w:hAnsi="Arial" w:cs="Arial"/>
          <w:i/>
          <w:sz w:val="22"/>
          <w:szCs w:val="22"/>
        </w:rPr>
        <w:t>Sustainability</w:t>
      </w:r>
      <w:bookmarkEnd w:id="64"/>
    </w:p>
    <w:p w14:paraId="0A091080" w14:textId="77777777" w:rsidR="00D00260" w:rsidRPr="00FA109A" w:rsidRDefault="00D00260" w:rsidP="00D00260">
      <w:pPr>
        <w:tabs>
          <w:tab w:val="left" w:pos="1472"/>
        </w:tabs>
        <w:jc w:val="both"/>
        <w:rPr>
          <w:sz w:val="22"/>
          <w:szCs w:val="22"/>
        </w:rPr>
      </w:pPr>
    </w:p>
    <w:p w14:paraId="75002B41" w14:textId="34481475" w:rsidR="00050C0D" w:rsidRDefault="00FE7BBC" w:rsidP="00050C0D">
      <w:pPr>
        <w:pStyle w:val="ListParagraph"/>
        <w:numPr>
          <w:ilvl w:val="0"/>
          <w:numId w:val="15"/>
        </w:numPr>
        <w:jc w:val="both"/>
        <w:rPr>
          <w:sz w:val="22"/>
          <w:szCs w:val="22"/>
        </w:rPr>
      </w:pPr>
      <w:r w:rsidRPr="00050C0D">
        <w:rPr>
          <w:sz w:val="22"/>
          <w:szCs w:val="22"/>
        </w:rPr>
        <w:t>T</w:t>
      </w:r>
      <w:r w:rsidR="00D47623" w:rsidRPr="00050C0D">
        <w:rPr>
          <w:sz w:val="22"/>
          <w:szCs w:val="22"/>
        </w:rPr>
        <w:t xml:space="preserve">he </w:t>
      </w:r>
      <w:r w:rsidR="00F14465" w:rsidRPr="00050C0D">
        <w:rPr>
          <w:sz w:val="22"/>
          <w:szCs w:val="22"/>
        </w:rPr>
        <w:t xml:space="preserve">prospects for the long-term sustainability of project achievements </w:t>
      </w:r>
      <w:r w:rsidR="00050C0D" w:rsidRPr="00050C0D">
        <w:rPr>
          <w:sz w:val="22"/>
          <w:szCs w:val="22"/>
        </w:rPr>
        <w:t>are</w:t>
      </w:r>
      <w:r w:rsidRPr="00050C0D">
        <w:rPr>
          <w:sz w:val="22"/>
          <w:szCs w:val="22"/>
        </w:rPr>
        <w:t xml:space="preserve"> </w:t>
      </w:r>
      <w:r w:rsidR="00050C0D" w:rsidRPr="00050C0D">
        <w:rPr>
          <w:sz w:val="22"/>
          <w:szCs w:val="22"/>
        </w:rPr>
        <w:t xml:space="preserve">good; it is rated as </w:t>
      </w:r>
      <w:r w:rsidR="00050C0D" w:rsidRPr="00050C0D">
        <w:rPr>
          <w:i/>
          <w:sz w:val="22"/>
          <w:szCs w:val="22"/>
          <w:u w:val="single"/>
        </w:rPr>
        <w:t>likely sustainable</w:t>
      </w:r>
      <w:r w:rsidR="00050C0D" w:rsidRPr="00050C0D">
        <w:rPr>
          <w:sz w:val="22"/>
          <w:szCs w:val="22"/>
        </w:rPr>
        <w:t xml:space="preserve">. The project was a direct </w:t>
      </w:r>
      <w:r w:rsidR="00050C0D" w:rsidRPr="00050C0D">
        <w:rPr>
          <w:sz w:val="22"/>
          <w:szCs w:val="22"/>
        </w:rPr>
        <w:lastRenderedPageBreak/>
        <w:t xml:space="preserve">response to national priorities (NCSA) and highly relevant in the context of an overall government strategy to promote a green economy and sustainable development in Moldova. As discussed in section 4.3.1, the project definitely contributed to moving the EFR agenda forward; it strengthened Moldova’s capacity with more information available on EFR, access to environmental economic instruments, and better skills and knowledge of key stakeholders to pursue environmental fiscal reform activities. It is anticipated that the government will continue </w:t>
      </w:r>
      <w:r w:rsidR="00050C0D">
        <w:rPr>
          <w:sz w:val="22"/>
          <w:szCs w:val="22"/>
        </w:rPr>
        <w:t xml:space="preserve">with its EFR agenda </w:t>
      </w:r>
      <w:r w:rsidR="00050C0D" w:rsidRPr="00050C0D">
        <w:rPr>
          <w:sz w:val="22"/>
          <w:szCs w:val="22"/>
        </w:rPr>
        <w:t xml:space="preserve">in the foreseeable future </w:t>
      </w:r>
      <w:r w:rsidR="00050C0D">
        <w:rPr>
          <w:sz w:val="22"/>
          <w:szCs w:val="22"/>
        </w:rPr>
        <w:t xml:space="preserve">using the various outputs of the project as a basis for implementing these reforms. Therefore, </w:t>
      </w:r>
      <w:r w:rsidR="00050C0D" w:rsidRPr="00050C0D">
        <w:rPr>
          <w:sz w:val="22"/>
          <w:szCs w:val="22"/>
        </w:rPr>
        <w:t xml:space="preserve">project achievements should be sustained in the medium-term and used as </w:t>
      </w:r>
      <w:r w:rsidR="00050C0D">
        <w:rPr>
          <w:sz w:val="22"/>
          <w:szCs w:val="22"/>
        </w:rPr>
        <w:t>a base to continue the reform process of environmental taxation, charges and regulations of the NEF.</w:t>
      </w:r>
      <w:r w:rsidR="00050C0D" w:rsidRPr="00050C0D">
        <w:rPr>
          <w:sz w:val="22"/>
          <w:szCs w:val="22"/>
        </w:rPr>
        <w:t xml:space="preserve"> </w:t>
      </w:r>
    </w:p>
    <w:p w14:paraId="7A7D6BCA" w14:textId="4E994AB7" w:rsidR="00937237" w:rsidRDefault="00937237" w:rsidP="00937237">
      <w:pPr>
        <w:pStyle w:val="ListParagraph"/>
        <w:ind w:left="0"/>
        <w:jc w:val="both"/>
        <w:rPr>
          <w:sz w:val="22"/>
          <w:szCs w:val="22"/>
        </w:rPr>
      </w:pPr>
    </w:p>
    <w:p w14:paraId="48BEC0BC" w14:textId="562F6673" w:rsidR="007D2B02" w:rsidRPr="007D2B02" w:rsidRDefault="00937237" w:rsidP="007D2B02">
      <w:pPr>
        <w:pStyle w:val="ListParagraph"/>
        <w:numPr>
          <w:ilvl w:val="0"/>
          <w:numId w:val="15"/>
        </w:numPr>
        <w:jc w:val="both"/>
        <w:rPr>
          <w:sz w:val="22"/>
          <w:szCs w:val="22"/>
        </w:rPr>
      </w:pPr>
      <w:r w:rsidRPr="007D2B02">
        <w:rPr>
          <w:sz w:val="22"/>
          <w:szCs w:val="22"/>
        </w:rPr>
        <w:t xml:space="preserve">The Evaluation Team also noted the </w:t>
      </w:r>
      <w:r w:rsidR="003533AA">
        <w:rPr>
          <w:sz w:val="22"/>
          <w:szCs w:val="22"/>
        </w:rPr>
        <w:t>good</w:t>
      </w:r>
      <w:r w:rsidR="007D2B02" w:rsidRPr="007D2B02">
        <w:rPr>
          <w:sz w:val="22"/>
          <w:szCs w:val="22"/>
        </w:rPr>
        <w:t xml:space="preserve"> </w:t>
      </w:r>
      <w:r w:rsidRPr="007D2B02">
        <w:rPr>
          <w:sz w:val="22"/>
          <w:szCs w:val="22"/>
        </w:rPr>
        <w:t>sustainability strategy documented in the project document. It recognized that environmental fiscal reform falls within the field of public finance management, requiring very specialized skills. As a result, in order for the project to achieve its expected outcomes – including the sustainability of these results in the long-term - the project was to institutionalize the availability and access to this expertise</w:t>
      </w:r>
      <w:r w:rsidR="007D2B02" w:rsidRPr="007D2B02">
        <w:rPr>
          <w:sz w:val="22"/>
          <w:szCs w:val="22"/>
        </w:rPr>
        <w:t xml:space="preserve"> within key organizations such as MOE, MOF, MOEco, MAFI and ANRE as well as Local Administrations. The strategy was also to develop </w:t>
      </w:r>
      <w:r w:rsidRPr="007D2B02">
        <w:rPr>
          <w:sz w:val="22"/>
          <w:szCs w:val="22"/>
        </w:rPr>
        <w:t>fiscal measures that will be applied and tested in two particular sectors and a p</w:t>
      </w:r>
      <w:r w:rsidR="007D2B02" w:rsidRPr="007D2B02">
        <w:rPr>
          <w:sz w:val="22"/>
          <w:szCs w:val="22"/>
        </w:rPr>
        <w:t xml:space="preserve">articular sub-region in Moldova; including </w:t>
      </w:r>
      <w:r w:rsidRPr="007D2B02">
        <w:rPr>
          <w:sz w:val="22"/>
          <w:szCs w:val="22"/>
        </w:rPr>
        <w:t>training on the interpretation of fiscal policy and measures, calculation of fines, improving access to data to calculate fines, improved collection of fines, and improved transparency of finance management.</w:t>
      </w:r>
    </w:p>
    <w:p w14:paraId="44365DCC" w14:textId="77777777" w:rsidR="007D2B02" w:rsidRPr="007D2B02" w:rsidRDefault="007D2B02" w:rsidP="007D2B02">
      <w:pPr>
        <w:jc w:val="both"/>
        <w:rPr>
          <w:sz w:val="22"/>
          <w:szCs w:val="22"/>
        </w:rPr>
      </w:pPr>
    </w:p>
    <w:p w14:paraId="5FA035A9" w14:textId="3ABDCDE0" w:rsidR="007D2B02" w:rsidRDefault="007D2B02" w:rsidP="007D2B02">
      <w:pPr>
        <w:pStyle w:val="ListParagraph"/>
        <w:numPr>
          <w:ilvl w:val="0"/>
          <w:numId w:val="15"/>
        </w:numPr>
        <w:jc w:val="both"/>
        <w:rPr>
          <w:sz w:val="22"/>
          <w:szCs w:val="22"/>
        </w:rPr>
      </w:pPr>
      <w:r>
        <w:rPr>
          <w:sz w:val="22"/>
          <w:szCs w:val="22"/>
        </w:rPr>
        <w:t>Furthermore, it stated that s</w:t>
      </w:r>
      <w:r w:rsidR="00937237" w:rsidRPr="007D2B02">
        <w:rPr>
          <w:sz w:val="22"/>
          <w:szCs w:val="22"/>
        </w:rPr>
        <w:t xml:space="preserve">pecialized expertise that meets internationally accepted standards </w:t>
      </w:r>
      <w:r>
        <w:rPr>
          <w:sz w:val="22"/>
          <w:szCs w:val="22"/>
        </w:rPr>
        <w:t xml:space="preserve">was to be </w:t>
      </w:r>
      <w:r w:rsidR="00937237" w:rsidRPr="007D2B02">
        <w:rPr>
          <w:sz w:val="22"/>
          <w:szCs w:val="22"/>
        </w:rPr>
        <w:t xml:space="preserve">secured to ensure quality choices of fiscal measures, and designed in such a way as to be adaptable to changing socio-economic and political realities.  </w:t>
      </w:r>
      <w:r>
        <w:rPr>
          <w:sz w:val="22"/>
          <w:szCs w:val="22"/>
        </w:rPr>
        <w:t>It was also anticipated the sharing of similar experiences with other countries in the region a</w:t>
      </w:r>
      <w:r w:rsidRPr="007D2B02">
        <w:rPr>
          <w:sz w:val="22"/>
          <w:szCs w:val="22"/>
        </w:rPr>
        <w:t>nd the development of</w:t>
      </w:r>
      <w:r w:rsidR="00937237" w:rsidRPr="007D2B02">
        <w:rPr>
          <w:sz w:val="22"/>
          <w:szCs w:val="22"/>
        </w:rPr>
        <w:t xml:space="preserve"> user-friendly manuals and guidelines</w:t>
      </w:r>
      <w:r w:rsidRPr="007D2B02">
        <w:rPr>
          <w:sz w:val="22"/>
          <w:szCs w:val="22"/>
        </w:rPr>
        <w:t xml:space="preserve"> on EFR</w:t>
      </w:r>
      <w:r>
        <w:rPr>
          <w:sz w:val="22"/>
          <w:szCs w:val="22"/>
        </w:rPr>
        <w:t xml:space="preserve">, which were used to </w:t>
      </w:r>
      <w:r w:rsidR="00937237" w:rsidRPr="007D2B02">
        <w:rPr>
          <w:sz w:val="22"/>
          <w:szCs w:val="22"/>
        </w:rPr>
        <w:t xml:space="preserve">provide training to a large complement of staff that </w:t>
      </w:r>
      <w:r>
        <w:rPr>
          <w:sz w:val="22"/>
          <w:szCs w:val="22"/>
        </w:rPr>
        <w:t>was</w:t>
      </w:r>
      <w:r w:rsidR="00937237" w:rsidRPr="007D2B02">
        <w:rPr>
          <w:sz w:val="22"/>
          <w:szCs w:val="22"/>
        </w:rPr>
        <w:t xml:space="preserve"> responsible for </w:t>
      </w:r>
      <w:r w:rsidRPr="007D2B02">
        <w:rPr>
          <w:sz w:val="22"/>
          <w:szCs w:val="22"/>
        </w:rPr>
        <w:t>EFR in their respective organization</w:t>
      </w:r>
      <w:r>
        <w:rPr>
          <w:sz w:val="22"/>
          <w:szCs w:val="22"/>
        </w:rPr>
        <w:t>s</w:t>
      </w:r>
      <w:r w:rsidR="00937237" w:rsidRPr="007D2B02">
        <w:rPr>
          <w:sz w:val="22"/>
          <w:szCs w:val="22"/>
        </w:rPr>
        <w:t xml:space="preserve">. </w:t>
      </w:r>
      <w:r>
        <w:rPr>
          <w:sz w:val="22"/>
          <w:szCs w:val="22"/>
        </w:rPr>
        <w:t xml:space="preserve">It was also anticipated that these manuals and guidelines would become </w:t>
      </w:r>
      <w:r w:rsidR="003533AA">
        <w:rPr>
          <w:sz w:val="22"/>
          <w:szCs w:val="22"/>
        </w:rPr>
        <w:t xml:space="preserve">EFR references in Moldova. </w:t>
      </w:r>
      <w:r w:rsidR="00D175B8">
        <w:rPr>
          <w:sz w:val="22"/>
          <w:szCs w:val="22"/>
        </w:rPr>
        <w:t>This is the approach what was taken for implementing the project; it will contribute to the long-term sustainability of project achievements.</w:t>
      </w:r>
    </w:p>
    <w:p w14:paraId="7A9CA6E9" w14:textId="77777777" w:rsidR="003533AA" w:rsidRPr="003533AA" w:rsidRDefault="003533AA" w:rsidP="003533AA">
      <w:pPr>
        <w:jc w:val="both"/>
        <w:rPr>
          <w:sz w:val="22"/>
          <w:szCs w:val="22"/>
        </w:rPr>
      </w:pPr>
    </w:p>
    <w:p w14:paraId="4A4528D8" w14:textId="13129927" w:rsidR="00937237" w:rsidRPr="00AF25D5" w:rsidRDefault="002A247F" w:rsidP="00011076">
      <w:pPr>
        <w:pStyle w:val="ListParagraph"/>
        <w:numPr>
          <w:ilvl w:val="0"/>
          <w:numId w:val="15"/>
        </w:numPr>
        <w:jc w:val="both"/>
        <w:rPr>
          <w:sz w:val="22"/>
          <w:szCs w:val="22"/>
        </w:rPr>
      </w:pPr>
      <w:r>
        <w:rPr>
          <w:sz w:val="22"/>
          <w:szCs w:val="22"/>
        </w:rPr>
        <w:t xml:space="preserve">Overall, the </w:t>
      </w:r>
      <w:r w:rsidRPr="00891913">
        <w:rPr>
          <w:sz w:val="22"/>
          <w:szCs w:val="22"/>
        </w:rPr>
        <w:t>project was wel</w:t>
      </w:r>
      <w:r>
        <w:rPr>
          <w:sz w:val="22"/>
          <w:szCs w:val="22"/>
        </w:rPr>
        <w:t>l aligned with national priorities</w:t>
      </w:r>
      <w:r w:rsidRPr="00891913">
        <w:rPr>
          <w:sz w:val="22"/>
          <w:szCs w:val="22"/>
        </w:rPr>
        <w:t xml:space="preserve"> and due to a</w:t>
      </w:r>
      <w:r>
        <w:rPr>
          <w:sz w:val="22"/>
          <w:szCs w:val="22"/>
        </w:rPr>
        <w:t xml:space="preserve"> good national ownership and an excellent implementation approach, the Evaluation Team found that </w:t>
      </w:r>
      <w:r w:rsidRPr="00891913">
        <w:rPr>
          <w:sz w:val="22"/>
          <w:szCs w:val="22"/>
        </w:rPr>
        <w:t xml:space="preserve">achievements of the project are likely to be sustained over the long-term after the project end. </w:t>
      </w:r>
      <w:r>
        <w:rPr>
          <w:sz w:val="22"/>
          <w:szCs w:val="22"/>
        </w:rPr>
        <w:t xml:space="preserve">As stated in the sustainability strategy described in the project document, the EFR project </w:t>
      </w:r>
      <w:r w:rsidRPr="002A247F">
        <w:rPr>
          <w:sz w:val="22"/>
          <w:szCs w:val="22"/>
        </w:rPr>
        <w:t>facilitate</w:t>
      </w:r>
      <w:r>
        <w:rPr>
          <w:sz w:val="22"/>
          <w:szCs w:val="22"/>
        </w:rPr>
        <w:t>d</w:t>
      </w:r>
      <w:r w:rsidRPr="002A247F">
        <w:rPr>
          <w:sz w:val="22"/>
          <w:szCs w:val="22"/>
        </w:rPr>
        <w:t xml:space="preserve"> the government's long-term commitment to environmental fiscal reform</w:t>
      </w:r>
      <w:r>
        <w:rPr>
          <w:sz w:val="22"/>
          <w:szCs w:val="22"/>
        </w:rPr>
        <w:t xml:space="preserve">, including the development of </w:t>
      </w:r>
      <w:r w:rsidRPr="002A247F">
        <w:rPr>
          <w:sz w:val="22"/>
          <w:szCs w:val="22"/>
        </w:rPr>
        <w:t>the supporting policy/programmatic framework</w:t>
      </w:r>
      <w:r>
        <w:rPr>
          <w:sz w:val="22"/>
          <w:szCs w:val="22"/>
        </w:rPr>
        <w:t xml:space="preserve">. Capacities were strengthened </w:t>
      </w:r>
      <w:r w:rsidR="009745B7">
        <w:rPr>
          <w:sz w:val="22"/>
          <w:szCs w:val="22"/>
        </w:rPr>
        <w:t xml:space="preserve">and should be used in the future to pursue reforms of environmental taxation, charges </w:t>
      </w:r>
      <w:r w:rsidR="00AF25D5">
        <w:rPr>
          <w:sz w:val="22"/>
          <w:szCs w:val="22"/>
        </w:rPr>
        <w:t>as well as regulations of NEF.</w:t>
      </w:r>
    </w:p>
    <w:p w14:paraId="5A3CCD1F" w14:textId="77777777" w:rsidR="00937237" w:rsidRPr="0082527D" w:rsidRDefault="00937237" w:rsidP="00011076">
      <w:pPr>
        <w:pStyle w:val="ListParagraph"/>
        <w:ind w:left="0"/>
        <w:jc w:val="both"/>
        <w:rPr>
          <w:sz w:val="22"/>
          <w:szCs w:val="22"/>
        </w:rPr>
      </w:pPr>
    </w:p>
    <w:p w14:paraId="4B770E3C" w14:textId="77777777" w:rsidR="00011076" w:rsidRPr="001E2FD1" w:rsidRDefault="00846B95" w:rsidP="00011076">
      <w:pPr>
        <w:pStyle w:val="ListParagraph"/>
        <w:ind w:left="0"/>
        <w:jc w:val="both"/>
        <w:rPr>
          <w:b/>
          <w:i/>
          <w:sz w:val="22"/>
          <w:szCs w:val="22"/>
        </w:rPr>
      </w:pPr>
      <w:r>
        <w:rPr>
          <w:b/>
          <w:i/>
          <w:sz w:val="22"/>
          <w:szCs w:val="22"/>
        </w:rPr>
        <w:t>Financial risk</w:t>
      </w:r>
    </w:p>
    <w:p w14:paraId="37165806" w14:textId="2A92BE32" w:rsidR="00FC1F55" w:rsidRDefault="00214BAD" w:rsidP="00011076">
      <w:pPr>
        <w:pStyle w:val="ListParagraph"/>
        <w:numPr>
          <w:ilvl w:val="0"/>
          <w:numId w:val="15"/>
        </w:numPr>
        <w:jc w:val="both"/>
        <w:rPr>
          <w:sz w:val="22"/>
          <w:szCs w:val="22"/>
        </w:rPr>
      </w:pPr>
      <w:r w:rsidRPr="00214BAD">
        <w:rPr>
          <w:sz w:val="22"/>
          <w:szCs w:val="22"/>
        </w:rPr>
        <w:t xml:space="preserve">The review did not find any particular financial risks to the sustainability of project outcomes; it is rated as </w:t>
      </w:r>
      <w:r w:rsidRPr="00214BAD">
        <w:rPr>
          <w:i/>
          <w:sz w:val="22"/>
          <w:szCs w:val="22"/>
          <w:u w:val="single"/>
        </w:rPr>
        <w:t>likely sustainable</w:t>
      </w:r>
      <w:r w:rsidRPr="00214BAD">
        <w:rPr>
          <w:sz w:val="22"/>
          <w:szCs w:val="22"/>
        </w:rPr>
        <w:t xml:space="preserve">. The project </w:t>
      </w:r>
      <w:r w:rsidRPr="00214BAD">
        <w:rPr>
          <w:sz w:val="22"/>
          <w:szCs w:val="22"/>
        </w:rPr>
        <w:lastRenderedPageBreak/>
        <w:t>supported activities to develop an EFR agenda in Moldova. The ultimate aim is to reform selected subsidies, fees, fines, taxes and other appropriate fiscal instruments as well as reform the regulations to improve the performance of NEF in order to increase global environmental benefits. As a result, project achievements should have positive environmental impacts</w:t>
      </w:r>
      <w:r>
        <w:rPr>
          <w:sz w:val="22"/>
          <w:szCs w:val="22"/>
        </w:rPr>
        <w:t xml:space="preserve"> over the medium and long-term in Moldova.</w:t>
      </w:r>
    </w:p>
    <w:p w14:paraId="5A974234" w14:textId="77777777" w:rsidR="00214BAD" w:rsidRPr="00214BAD" w:rsidRDefault="00214BAD" w:rsidP="00214BAD">
      <w:pPr>
        <w:pStyle w:val="ListParagraph"/>
        <w:ind w:left="0"/>
        <w:jc w:val="both"/>
        <w:rPr>
          <w:sz w:val="22"/>
          <w:szCs w:val="22"/>
        </w:rPr>
      </w:pPr>
    </w:p>
    <w:p w14:paraId="0AE9E635" w14:textId="77777777" w:rsidR="00011076" w:rsidRPr="008B7798" w:rsidRDefault="00846B95" w:rsidP="00011076">
      <w:pPr>
        <w:pStyle w:val="ListParagraph"/>
        <w:ind w:left="0"/>
        <w:jc w:val="both"/>
        <w:rPr>
          <w:b/>
          <w:i/>
          <w:sz w:val="22"/>
          <w:szCs w:val="22"/>
        </w:rPr>
      </w:pPr>
      <w:r>
        <w:rPr>
          <w:b/>
          <w:i/>
          <w:sz w:val="22"/>
          <w:szCs w:val="22"/>
        </w:rPr>
        <w:t>Socio-economic risk</w:t>
      </w:r>
    </w:p>
    <w:p w14:paraId="5C7CA137" w14:textId="2ED4DDA1" w:rsidR="00011076" w:rsidRPr="008458B8" w:rsidRDefault="00CD3A47" w:rsidP="00011076">
      <w:pPr>
        <w:pStyle w:val="ListParagraph"/>
        <w:numPr>
          <w:ilvl w:val="0"/>
          <w:numId w:val="15"/>
        </w:numPr>
        <w:jc w:val="both"/>
        <w:rPr>
          <w:sz w:val="22"/>
          <w:szCs w:val="22"/>
        </w:rPr>
      </w:pPr>
      <w:r>
        <w:rPr>
          <w:sz w:val="22"/>
          <w:szCs w:val="22"/>
        </w:rPr>
        <w:t xml:space="preserve">When reviewing the sustainability of project achievements, socio-economic risk is the main area where questions related to the long-term sustainability of project achievements need some discussions. </w:t>
      </w:r>
      <w:r w:rsidRPr="00081DF4">
        <w:rPr>
          <w:sz w:val="22"/>
          <w:szCs w:val="22"/>
        </w:rPr>
        <w:t xml:space="preserve">The project </w:t>
      </w:r>
      <w:r>
        <w:rPr>
          <w:sz w:val="22"/>
          <w:szCs w:val="22"/>
        </w:rPr>
        <w:t xml:space="preserve">was about reforming the environmental taxation, environmental charges, and reforming NEF regulations. As of the time of this evaluation, no reforms have been implemented yet but several proposals are on “ministries’ desks” for further actions. Considering that the ultimate aim of the project and of the EFR agenda in Moldova in general is about </w:t>
      </w:r>
      <w:r w:rsidR="008458B8">
        <w:rPr>
          <w:sz w:val="22"/>
          <w:szCs w:val="22"/>
        </w:rPr>
        <w:t xml:space="preserve">reforming </w:t>
      </w:r>
      <w:r w:rsidR="008458B8" w:rsidRPr="008458B8">
        <w:rPr>
          <w:sz w:val="22"/>
          <w:szCs w:val="22"/>
        </w:rPr>
        <w:t>selected subsidies, fees, fines, taxes and other appropriate fiscal instruments</w:t>
      </w:r>
      <w:r w:rsidR="008458B8">
        <w:rPr>
          <w:sz w:val="22"/>
          <w:szCs w:val="22"/>
        </w:rPr>
        <w:t xml:space="preserve">, it may have socio-economic impacts, including negative impacts. However, this risk should be mitigated with a  careful implementation of these reforms; it is </w:t>
      </w:r>
      <w:r w:rsidR="008458B8" w:rsidRPr="002374A8">
        <w:rPr>
          <w:sz w:val="22"/>
          <w:szCs w:val="22"/>
        </w:rPr>
        <w:t xml:space="preserve">rated as </w:t>
      </w:r>
      <w:r w:rsidR="008458B8">
        <w:rPr>
          <w:i/>
          <w:sz w:val="22"/>
          <w:szCs w:val="22"/>
          <w:u w:val="single"/>
        </w:rPr>
        <w:t>moderately l</w:t>
      </w:r>
      <w:r w:rsidR="008458B8" w:rsidRPr="002374A8">
        <w:rPr>
          <w:i/>
          <w:sz w:val="22"/>
          <w:szCs w:val="22"/>
          <w:u w:val="single"/>
        </w:rPr>
        <w:t>ikely sustainable</w:t>
      </w:r>
      <w:r w:rsidR="008458B8" w:rsidRPr="002374A8">
        <w:rPr>
          <w:sz w:val="22"/>
          <w:szCs w:val="22"/>
        </w:rPr>
        <w:t>.</w:t>
      </w:r>
    </w:p>
    <w:p w14:paraId="353F1E92" w14:textId="77777777" w:rsidR="00CD3A47" w:rsidRPr="003E5982" w:rsidRDefault="00CD3A47" w:rsidP="00011076">
      <w:pPr>
        <w:pStyle w:val="ListParagraph"/>
        <w:ind w:left="0"/>
        <w:jc w:val="both"/>
        <w:rPr>
          <w:sz w:val="22"/>
          <w:szCs w:val="22"/>
        </w:rPr>
      </w:pPr>
    </w:p>
    <w:p w14:paraId="3441AE5F" w14:textId="77777777" w:rsidR="00011076" w:rsidRPr="003E5982" w:rsidRDefault="00011076" w:rsidP="00011076">
      <w:pPr>
        <w:pStyle w:val="ListParagraph"/>
        <w:ind w:left="0"/>
        <w:jc w:val="both"/>
        <w:rPr>
          <w:b/>
          <w:i/>
          <w:sz w:val="22"/>
          <w:szCs w:val="22"/>
        </w:rPr>
      </w:pPr>
      <w:r w:rsidRPr="003E5982">
        <w:rPr>
          <w:b/>
          <w:i/>
          <w:sz w:val="22"/>
          <w:szCs w:val="22"/>
        </w:rPr>
        <w:t>Institutiona</w:t>
      </w:r>
      <w:r w:rsidR="00846B95">
        <w:rPr>
          <w:b/>
          <w:i/>
          <w:sz w:val="22"/>
          <w:szCs w:val="22"/>
        </w:rPr>
        <w:t>l framework and governance risk</w:t>
      </w:r>
    </w:p>
    <w:p w14:paraId="56CB41DC" w14:textId="4430BB3B" w:rsidR="00490783" w:rsidRPr="00A51339" w:rsidRDefault="00A51339" w:rsidP="00A51339">
      <w:pPr>
        <w:pStyle w:val="ListParagraph"/>
        <w:numPr>
          <w:ilvl w:val="0"/>
          <w:numId w:val="15"/>
        </w:numPr>
        <w:jc w:val="both"/>
        <w:rPr>
          <w:sz w:val="22"/>
          <w:szCs w:val="22"/>
        </w:rPr>
      </w:pPr>
      <w:r w:rsidRPr="00A51339">
        <w:rPr>
          <w:sz w:val="22"/>
          <w:szCs w:val="22"/>
        </w:rPr>
        <w:t>Project a</w:t>
      </w:r>
      <w:r w:rsidR="00B96BB6" w:rsidRPr="00A51339">
        <w:rPr>
          <w:sz w:val="22"/>
          <w:szCs w:val="22"/>
        </w:rPr>
        <w:t>ctivities were implemented with a strong collaboration</w:t>
      </w:r>
      <w:r w:rsidRPr="00A51339">
        <w:rPr>
          <w:sz w:val="22"/>
          <w:szCs w:val="22"/>
        </w:rPr>
        <w:t xml:space="preserve"> and participative approach</w:t>
      </w:r>
      <w:r w:rsidR="00B96BB6" w:rsidRPr="00A51339">
        <w:rPr>
          <w:sz w:val="22"/>
          <w:szCs w:val="22"/>
        </w:rPr>
        <w:t xml:space="preserve"> among key ministries such as MOE, MOF, MOEco and MAFI</w:t>
      </w:r>
      <w:r w:rsidRPr="00A51339">
        <w:rPr>
          <w:sz w:val="22"/>
          <w:szCs w:val="22"/>
        </w:rPr>
        <w:t xml:space="preserve"> and other organizations. As discussed above, the sustainability of project achievements will benefit from a good country ownership. As a direct response to national priorities, the project supported the development of an EFR agenda in Moldova led by these ministries. In section 4.3.2, the Evaluation Team also identified one particular strong driver to move this agenda forward; the implementation of the Association Agreement with the EU. It is strongly anticipated that the </w:t>
      </w:r>
      <w:r w:rsidR="00676AF9" w:rsidRPr="00A51339">
        <w:rPr>
          <w:sz w:val="22"/>
          <w:szCs w:val="22"/>
        </w:rPr>
        <w:t xml:space="preserve">government will continue to implement </w:t>
      </w:r>
      <w:r w:rsidRPr="00A51339">
        <w:rPr>
          <w:sz w:val="22"/>
          <w:szCs w:val="22"/>
        </w:rPr>
        <w:t xml:space="preserve">this EFR agenda in </w:t>
      </w:r>
      <w:r w:rsidR="00676AF9" w:rsidRPr="00A51339">
        <w:rPr>
          <w:sz w:val="22"/>
          <w:szCs w:val="22"/>
        </w:rPr>
        <w:t xml:space="preserve">the foreseeable future and, therefore, these project achievements should be </w:t>
      </w:r>
      <w:r w:rsidRPr="00A51339">
        <w:rPr>
          <w:sz w:val="22"/>
          <w:szCs w:val="22"/>
        </w:rPr>
        <w:t>used</w:t>
      </w:r>
      <w:r w:rsidR="00676AF9" w:rsidRPr="00A51339">
        <w:rPr>
          <w:sz w:val="22"/>
          <w:szCs w:val="22"/>
        </w:rPr>
        <w:t xml:space="preserve"> in the medium-term</w:t>
      </w:r>
      <w:r w:rsidRPr="00A51339">
        <w:rPr>
          <w:sz w:val="22"/>
          <w:szCs w:val="22"/>
        </w:rPr>
        <w:t xml:space="preserve"> to implement these reforms</w:t>
      </w:r>
      <w:r w:rsidR="00676AF9" w:rsidRPr="00A51339">
        <w:rPr>
          <w:sz w:val="22"/>
          <w:szCs w:val="22"/>
        </w:rPr>
        <w:t xml:space="preserve">; their sustainability with regards to institutional framework and governance matters is rated as </w:t>
      </w:r>
      <w:r w:rsidR="00676AF9" w:rsidRPr="00A51339">
        <w:rPr>
          <w:i/>
          <w:sz w:val="22"/>
          <w:szCs w:val="22"/>
          <w:u w:val="single"/>
        </w:rPr>
        <w:t>likely sustainable</w:t>
      </w:r>
      <w:r w:rsidRPr="00A51339">
        <w:rPr>
          <w:sz w:val="22"/>
          <w:szCs w:val="22"/>
        </w:rPr>
        <w:t>.</w:t>
      </w:r>
    </w:p>
    <w:p w14:paraId="4EAA7C79" w14:textId="77777777" w:rsidR="00011076" w:rsidRPr="00985C63" w:rsidRDefault="00011076" w:rsidP="00011076">
      <w:pPr>
        <w:pStyle w:val="ListParagraph"/>
        <w:ind w:left="0"/>
        <w:jc w:val="both"/>
        <w:rPr>
          <w:sz w:val="22"/>
          <w:szCs w:val="22"/>
        </w:rPr>
      </w:pPr>
    </w:p>
    <w:p w14:paraId="7D7608D7" w14:textId="77777777" w:rsidR="00011076" w:rsidRPr="00985C63" w:rsidRDefault="00846B95" w:rsidP="00011076">
      <w:pPr>
        <w:pStyle w:val="ListParagraph"/>
        <w:ind w:left="0"/>
        <w:jc w:val="both"/>
        <w:rPr>
          <w:b/>
          <w:i/>
          <w:sz w:val="22"/>
          <w:szCs w:val="22"/>
        </w:rPr>
      </w:pPr>
      <w:r>
        <w:rPr>
          <w:b/>
          <w:i/>
          <w:sz w:val="22"/>
          <w:szCs w:val="22"/>
        </w:rPr>
        <w:t>Environmental risk</w:t>
      </w:r>
    </w:p>
    <w:p w14:paraId="343E2CF9" w14:textId="677C45B2" w:rsidR="002374A8" w:rsidRPr="005E24AC" w:rsidRDefault="005E24AC" w:rsidP="005E24AC">
      <w:pPr>
        <w:pStyle w:val="ListParagraph"/>
        <w:numPr>
          <w:ilvl w:val="0"/>
          <w:numId w:val="15"/>
        </w:numPr>
        <w:jc w:val="both"/>
        <w:rPr>
          <w:sz w:val="22"/>
          <w:szCs w:val="22"/>
        </w:rPr>
      </w:pPr>
      <w:r w:rsidRPr="005E24AC">
        <w:rPr>
          <w:sz w:val="22"/>
          <w:szCs w:val="22"/>
        </w:rPr>
        <w:t xml:space="preserve">The review did not find any particular environmental risks to the sustainability of project outcomes; it is rated as </w:t>
      </w:r>
      <w:r w:rsidRPr="005E24AC">
        <w:rPr>
          <w:i/>
          <w:sz w:val="22"/>
          <w:szCs w:val="22"/>
          <w:u w:val="single"/>
        </w:rPr>
        <w:t>likely sustainable</w:t>
      </w:r>
      <w:r w:rsidRPr="005E24AC">
        <w:rPr>
          <w:sz w:val="22"/>
          <w:szCs w:val="22"/>
        </w:rPr>
        <w:t>. With the support of the project, Moldova is now better equipped with more valid information on EFR, relevant stakeholders – particularly staff at MOE, MOF and MOEco – with better skills and knowledge on EFR and environmental fiscal instruments available to the government to move the EFR agenda forward. Considering that the ultimate contribution of the project is to increase global environmental benefits, achievements of the project should have positive environmental impacts over the medium and long</w:t>
      </w:r>
      <w:r>
        <w:rPr>
          <w:sz w:val="22"/>
          <w:szCs w:val="22"/>
        </w:rPr>
        <w:t>-term.</w:t>
      </w:r>
    </w:p>
    <w:p w14:paraId="50501284" w14:textId="77777777" w:rsidR="00D00260" w:rsidRPr="00FA109A" w:rsidRDefault="00D00260" w:rsidP="00D00260">
      <w:pPr>
        <w:tabs>
          <w:tab w:val="left" w:pos="567"/>
        </w:tabs>
        <w:jc w:val="both"/>
        <w:rPr>
          <w:sz w:val="22"/>
        </w:rPr>
      </w:pPr>
    </w:p>
    <w:p w14:paraId="2AE3256D" w14:textId="77777777" w:rsidR="00D47623" w:rsidRPr="00FB6D4E" w:rsidRDefault="00D47623" w:rsidP="00D47623">
      <w:pPr>
        <w:pStyle w:val="Heading3"/>
        <w:numPr>
          <w:ilvl w:val="2"/>
          <w:numId w:val="1"/>
        </w:numPr>
        <w:tabs>
          <w:tab w:val="clear" w:pos="1440"/>
        </w:tabs>
        <w:ind w:left="1276" w:hanging="709"/>
        <w:rPr>
          <w:rFonts w:ascii="Arial" w:hAnsi="Arial" w:cs="Arial"/>
          <w:i/>
          <w:sz w:val="22"/>
          <w:szCs w:val="22"/>
        </w:rPr>
      </w:pPr>
      <w:bookmarkStart w:id="65" w:name="_Toc308103266"/>
      <w:r w:rsidRPr="00FB6D4E">
        <w:rPr>
          <w:rFonts w:ascii="Arial" w:hAnsi="Arial" w:cs="Arial"/>
          <w:i/>
          <w:sz w:val="22"/>
          <w:szCs w:val="22"/>
        </w:rPr>
        <w:t>Mainstreaming</w:t>
      </w:r>
      <w:bookmarkEnd w:id="65"/>
    </w:p>
    <w:p w14:paraId="671F8769" w14:textId="77777777" w:rsidR="00D47623" w:rsidRPr="00FB6D4E" w:rsidRDefault="00D47623" w:rsidP="00D47623">
      <w:pPr>
        <w:tabs>
          <w:tab w:val="left" w:pos="1472"/>
        </w:tabs>
        <w:jc w:val="both"/>
        <w:rPr>
          <w:sz w:val="22"/>
          <w:szCs w:val="22"/>
        </w:rPr>
      </w:pPr>
    </w:p>
    <w:p w14:paraId="3F9AA58E" w14:textId="7AFD48D8" w:rsidR="00CC0C74" w:rsidRDefault="00800E14" w:rsidP="00A015A0">
      <w:pPr>
        <w:pStyle w:val="ListParagraph"/>
        <w:numPr>
          <w:ilvl w:val="0"/>
          <w:numId w:val="15"/>
        </w:numPr>
        <w:jc w:val="both"/>
        <w:rPr>
          <w:sz w:val="22"/>
          <w:szCs w:val="22"/>
        </w:rPr>
      </w:pPr>
      <w:r>
        <w:rPr>
          <w:sz w:val="22"/>
          <w:szCs w:val="22"/>
        </w:rPr>
        <w:t>The review of project achievements indicates that most of them are already mainstreamed; that is these results reside with stakeholders</w:t>
      </w:r>
      <w:r w:rsidR="008D5880">
        <w:rPr>
          <w:sz w:val="22"/>
          <w:szCs w:val="22"/>
        </w:rPr>
        <w:t>, government programmes and strategies</w:t>
      </w:r>
      <w:r>
        <w:rPr>
          <w:sz w:val="22"/>
          <w:szCs w:val="22"/>
        </w:rPr>
        <w:t xml:space="preserve">. Due to the nature of this project, the </w:t>
      </w:r>
      <w:r>
        <w:rPr>
          <w:sz w:val="22"/>
          <w:szCs w:val="22"/>
        </w:rPr>
        <w:lastRenderedPageBreak/>
        <w:t xml:space="preserve">project would not have succeeded in implementing its activities without a strong engagement and collaboration among stakeholders. Indeed, </w:t>
      </w:r>
      <w:r w:rsidR="0028788E">
        <w:rPr>
          <w:sz w:val="22"/>
          <w:szCs w:val="22"/>
        </w:rPr>
        <w:t xml:space="preserve">these key organizations fully supported the development of studies, analyses, assessments, etc. and participated in the identification of recommendations and proposals. Through the process, most of these achievements have been institutionalized along the life of the project. </w:t>
      </w:r>
    </w:p>
    <w:p w14:paraId="61C42C98" w14:textId="1D0DB5A3" w:rsidR="0028788E" w:rsidRDefault="0028788E" w:rsidP="0028788E">
      <w:pPr>
        <w:pStyle w:val="ListParagraph"/>
        <w:ind w:left="0"/>
        <w:jc w:val="both"/>
        <w:rPr>
          <w:sz w:val="22"/>
          <w:szCs w:val="22"/>
        </w:rPr>
      </w:pPr>
    </w:p>
    <w:p w14:paraId="2F3D7988" w14:textId="191665FD" w:rsidR="0028788E" w:rsidRDefault="0028788E" w:rsidP="00A015A0">
      <w:pPr>
        <w:pStyle w:val="ListParagraph"/>
        <w:numPr>
          <w:ilvl w:val="0"/>
          <w:numId w:val="15"/>
        </w:numPr>
        <w:jc w:val="both"/>
        <w:rPr>
          <w:sz w:val="22"/>
          <w:szCs w:val="22"/>
        </w:rPr>
      </w:pPr>
      <w:r>
        <w:rPr>
          <w:sz w:val="22"/>
          <w:szCs w:val="22"/>
        </w:rPr>
        <w:t xml:space="preserve">This project – as a direct response to national priorities and with limited resources and time – was to initiate a national EFR agenda and not fully implement an EFR agenda. It contributed to building foundations for reforming environmental taxation, environmental charges and reforming the NEF regulations.  It has been a good first step in </w:t>
      </w:r>
      <w:r w:rsidRPr="0028788E">
        <w:rPr>
          <w:sz w:val="22"/>
          <w:szCs w:val="22"/>
        </w:rPr>
        <w:t xml:space="preserve">supporting </w:t>
      </w:r>
      <w:r>
        <w:rPr>
          <w:sz w:val="22"/>
          <w:szCs w:val="22"/>
        </w:rPr>
        <w:t xml:space="preserve">the development in parallel of a </w:t>
      </w:r>
      <w:r w:rsidRPr="0028788E">
        <w:rPr>
          <w:sz w:val="22"/>
          <w:szCs w:val="22"/>
        </w:rPr>
        <w:t>policy/programmatic framework</w:t>
      </w:r>
      <w:r>
        <w:rPr>
          <w:sz w:val="22"/>
          <w:szCs w:val="22"/>
        </w:rPr>
        <w:t xml:space="preserve"> for EFR and of the necessary capacities to move this agenda forward. As discussed in the next section 4.3.8, the project was a major catalyst to initiate this EFR agenda.</w:t>
      </w:r>
    </w:p>
    <w:p w14:paraId="0B535DF9" w14:textId="77777777" w:rsidR="0028788E" w:rsidRPr="0028788E" w:rsidRDefault="0028788E" w:rsidP="0028788E">
      <w:pPr>
        <w:jc w:val="both"/>
        <w:rPr>
          <w:sz w:val="22"/>
          <w:szCs w:val="22"/>
        </w:rPr>
      </w:pPr>
    </w:p>
    <w:p w14:paraId="1B8579DA" w14:textId="513BBA64" w:rsidR="00800E14" w:rsidRPr="0028788E" w:rsidRDefault="0028788E" w:rsidP="0028788E">
      <w:pPr>
        <w:pStyle w:val="ListParagraph"/>
        <w:numPr>
          <w:ilvl w:val="0"/>
          <w:numId w:val="15"/>
        </w:numPr>
        <w:jc w:val="both"/>
        <w:rPr>
          <w:sz w:val="22"/>
          <w:szCs w:val="22"/>
        </w:rPr>
      </w:pPr>
      <w:r>
        <w:rPr>
          <w:sz w:val="22"/>
        </w:rPr>
        <w:t xml:space="preserve">In the meantime, the Evaluation Team also noted that achievements under outcome 3 </w:t>
      </w:r>
      <w:r w:rsidR="00003795">
        <w:rPr>
          <w:sz w:val="22"/>
        </w:rPr>
        <w:t xml:space="preserve">primarily </w:t>
      </w:r>
      <w:r w:rsidR="00800E14" w:rsidRPr="0028788E">
        <w:rPr>
          <w:sz w:val="22"/>
        </w:rPr>
        <w:t>focused on mainstreaming environmental programmes into public budgets</w:t>
      </w:r>
      <w:r w:rsidR="00003795">
        <w:rPr>
          <w:sz w:val="22"/>
        </w:rPr>
        <w:t xml:space="preserve">. The project supported this mainstreaming in </w:t>
      </w:r>
      <w:r w:rsidR="008D5880">
        <w:rPr>
          <w:sz w:val="22"/>
        </w:rPr>
        <w:t>two</w:t>
      </w:r>
      <w:r w:rsidR="00003795">
        <w:rPr>
          <w:sz w:val="22"/>
        </w:rPr>
        <w:t xml:space="preserve"> areas at MOE (central level) with </w:t>
      </w:r>
      <w:r w:rsidR="008D5880">
        <w:rPr>
          <w:sz w:val="22"/>
        </w:rPr>
        <w:t>technical assistance</w:t>
      </w:r>
      <w:r w:rsidR="00003795">
        <w:rPr>
          <w:sz w:val="22"/>
        </w:rPr>
        <w:t xml:space="preserve"> support to implement the new three-year budget system according to the MTEF guidelines and in 6 towns across Moldova to demonstrate this new budgetary approach at the local level, including the implementation of environment programmes. Overall, it is a first step of a process that will be take a longer time to be completed/mainstreamed throughout the central and local government systems. All observations and views collected during this evaluation indicate that the mainstreaming of environmental programmes into public budgets according to the MTEF guidelines should be pursued in the future. </w:t>
      </w:r>
    </w:p>
    <w:p w14:paraId="6AA0516C" w14:textId="77777777" w:rsidR="00800E14" w:rsidRPr="00FA109A" w:rsidRDefault="00800E14" w:rsidP="00D47623">
      <w:pPr>
        <w:tabs>
          <w:tab w:val="left" w:pos="567"/>
        </w:tabs>
        <w:jc w:val="both"/>
        <w:rPr>
          <w:sz w:val="22"/>
        </w:rPr>
      </w:pPr>
    </w:p>
    <w:p w14:paraId="3DE23A10" w14:textId="77777777" w:rsidR="00D00260" w:rsidRPr="00FA109A" w:rsidRDefault="00D00260" w:rsidP="006B3375">
      <w:pPr>
        <w:pStyle w:val="Heading3"/>
        <w:numPr>
          <w:ilvl w:val="2"/>
          <w:numId w:val="1"/>
        </w:numPr>
        <w:tabs>
          <w:tab w:val="clear" w:pos="1440"/>
        </w:tabs>
        <w:ind w:left="1276" w:hanging="709"/>
        <w:rPr>
          <w:rFonts w:ascii="Arial" w:hAnsi="Arial" w:cs="Arial"/>
          <w:i/>
          <w:sz w:val="22"/>
          <w:szCs w:val="22"/>
        </w:rPr>
      </w:pPr>
      <w:bookmarkStart w:id="66" w:name="_Toc308103267"/>
      <w:r w:rsidRPr="00FA109A">
        <w:rPr>
          <w:rFonts w:ascii="Arial" w:hAnsi="Arial" w:cs="Arial"/>
          <w:i/>
          <w:sz w:val="22"/>
          <w:szCs w:val="22"/>
        </w:rPr>
        <w:t>Catalytic Role</w:t>
      </w:r>
      <w:bookmarkEnd w:id="66"/>
    </w:p>
    <w:p w14:paraId="2ADA5CE4" w14:textId="77777777" w:rsidR="00D00260" w:rsidRPr="00FA109A" w:rsidRDefault="00D00260" w:rsidP="00D00260">
      <w:pPr>
        <w:tabs>
          <w:tab w:val="left" w:pos="1472"/>
        </w:tabs>
        <w:jc w:val="both"/>
        <w:rPr>
          <w:sz w:val="22"/>
          <w:szCs w:val="22"/>
        </w:rPr>
      </w:pPr>
    </w:p>
    <w:p w14:paraId="162A71F2" w14:textId="77777777" w:rsidR="00B86626" w:rsidRDefault="00B86626" w:rsidP="00B86626">
      <w:pPr>
        <w:pStyle w:val="ListParagraph"/>
        <w:numPr>
          <w:ilvl w:val="0"/>
          <w:numId w:val="15"/>
        </w:numPr>
        <w:jc w:val="both"/>
        <w:rPr>
          <w:sz w:val="22"/>
          <w:szCs w:val="22"/>
        </w:rPr>
      </w:pPr>
      <w:r>
        <w:rPr>
          <w:sz w:val="22"/>
          <w:szCs w:val="22"/>
        </w:rPr>
        <w:t xml:space="preserve">Using a definition of the </w:t>
      </w:r>
      <w:r w:rsidRPr="00503843">
        <w:rPr>
          <w:sz w:val="22"/>
          <w:szCs w:val="22"/>
        </w:rPr>
        <w:t xml:space="preserve">catalytic role of projects </w:t>
      </w:r>
      <w:r>
        <w:rPr>
          <w:sz w:val="22"/>
          <w:szCs w:val="22"/>
        </w:rPr>
        <w:t xml:space="preserve">used by the Global Environment Facility (GEF), the aim is that such funded projects will </w:t>
      </w:r>
      <w:r w:rsidRPr="00B86626">
        <w:rPr>
          <w:sz w:val="22"/>
          <w:szCs w:val="22"/>
        </w:rPr>
        <w:t xml:space="preserve">attract additional resources, pursue strategies that have a greater result than the project itself, and/or accelerate a process of development or change. The review of the catalytic role of the </w:t>
      </w:r>
      <w:r w:rsidR="00F20FB9">
        <w:rPr>
          <w:sz w:val="22"/>
          <w:szCs w:val="22"/>
        </w:rPr>
        <w:t>EFR</w:t>
      </w:r>
      <w:r w:rsidRPr="00B86626">
        <w:rPr>
          <w:sz w:val="22"/>
          <w:szCs w:val="22"/>
        </w:rPr>
        <w:t xml:space="preserve"> project is to consider the extent to which the project has demonstrated: a) production of a public good, b) demonstration, c) replication, and d) scaling up.</w:t>
      </w:r>
    </w:p>
    <w:p w14:paraId="6192A71C" w14:textId="77777777" w:rsidR="007263B9" w:rsidRDefault="007263B9" w:rsidP="007263B9">
      <w:pPr>
        <w:pStyle w:val="ListParagraph"/>
        <w:ind w:left="0"/>
        <w:jc w:val="both"/>
        <w:rPr>
          <w:sz w:val="22"/>
          <w:szCs w:val="22"/>
        </w:rPr>
      </w:pPr>
    </w:p>
    <w:p w14:paraId="68064510" w14:textId="1096B2F7" w:rsidR="00F867E0" w:rsidRDefault="001E6FCB" w:rsidP="00F867E0">
      <w:pPr>
        <w:pStyle w:val="ListParagraph"/>
        <w:numPr>
          <w:ilvl w:val="0"/>
          <w:numId w:val="15"/>
        </w:numPr>
        <w:jc w:val="both"/>
        <w:rPr>
          <w:sz w:val="22"/>
          <w:szCs w:val="22"/>
        </w:rPr>
      </w:pPr>
      <w:r w:rsidRPr="00F867E0">
        <w:rPr>
          <w:sz w:val="22"/>
          <w:szCs w:val="22"/>
        </w:rPr>
        <w:t xml:space="preserve">Considering the discussions above about the results of this project, the EFR project has had an excellent catalytic role. Using the definition above, the project produced public goods with the provision of </w:t>
      </w:r>
      <w:r w:rsidR="00F867E0" w:rsidRPr="00F867E0">
        <w:rPr>
          <w:sz w:val="22"/>
          <w:szCs w:val="22"/>
        </w:rPr>
        <w:t>assessments, analyses, studies, recommendations, proposals, support to develop a new budget system, capacity development activities, etc. It initiated a national EFR agenda</w:t>
      </w:r>
      <w:r w:rsidR="00F867E0">
        <w:rPr>
          <w:sz w:val="22"/>
          <w:szCs w:val="22"/>
        </w:rPr>
        <w:t xml:space="preserve">; it </w:t>
      </w:r>
      <w:r w:rsidR="00F867E0" w:rsidRPr="00F867E0">
        <w:rPr>
          <w:sz w:val="22"/>
          <w:szCs w:val="22"/>
        </w:rPr>
        <w:t>contributed to building foundations for reforming environmental taxation, environmental charges and reforming the NEF regulations</w:t>
      </w:r>
      <w:r w:rsidR="00F867E0">
        <w:rPr>
          <w:sz w:val="22"/>
          <w:szCs w:val="22"/>
        </w:rPr>
        <w:t xml:space="preserve">. Moldova is now equipped with </w:t>
      </w:r>
      <w:r w:rsidR="00F867E0" w:rsidRPr="00F867E0">
        <w:rPr>
          <w:sz w:val="22"/>
          <w:szCs w:val="22"/>
        </w:rPr>
        <w:t>more valid information on EFR, relevant stakeholders – particularly staff at MOE, MOF and MOEco – with better skills and knowledge on EFR and environmental fiscal instruments available to the government to move the EFR agenda forward.</w:t>
      </w:r>
      <w:r w:rsidR="00F867E0">
        <w:rPr>
          <w:sz w:val="22"/>
          <w:szCs w:val="22"/>
        </w:rPr>
        <w:t xml:space="preserve"> The project is ending but the EFR agenda is staying with key organizations and will continue to move forward. </w:t>
      </w:r>
    </w:p>
    <w:p w14:paraId="005C7704" w14:textId="77777777" w:rsidR="00F867E0" w:rsidRPr="00F867E0" w:rsidRDefault="00F867E0" w:rsidP="00F867E0">
      <w:pPr>
        <w:jc w:val="both"/>
        <w:rPr>
          <w:sz w:val="22"/>
          <w:szCs w:val="22"/>
        </w:rPr>
      </w:pPr>
    </w:p>
    <w:p w14:paraId="50240312" w14:textId="609C57EF" w:rsidR="00F867E0" w:rsidRDefault="00F867E0" w:rsidP="00F867E0">
      <w:pPr>
        <w:pStyle w:val="ListParagraph"/>
        <w:numPr>
          <w:ilvl w:val="0"/>
          <w:numId w:val="15"/>
        </w:numPr>
        <w:jc w:val="both"/>
        <w:rPr>
          <w:sz w:val="22"/>
          <w:szCs w:val="22"/>
        </w:rPr>
      </w:pPr>
      <w:r w:rsidRPr="00E94C32">
        <w:rPr>
          <w:sz w:val="22"/>
          <w:szCs w:val="22"/>
        </w:rPr>
        <w:t xml:space="preserve">As an indication of this catalytic role and an indication that the EFR agenda will continue to move forward, it is important to note that </w:t>
      </w:r>
      <w:r w:rsidR="00E94C32" w:rsidRPr="00E94C32">
        <w:rPr>
          <w:sz w:val="22"/>
          <w:szCs w:val="22"/>
        </w:rPr>
        <w:t>as per a Cabinet Decision No 376 of June 16, 2015, an inter-ministerial working group was recently formed to review the Law 1540 on environmental charges, including the environmental pollution payments and the regulations of NEF</w:t>
      </w:r>
      <w:r w:rsidR="00E07DF8">
        <w:rPr>
          <w:sz w:val="22"/>
          <w:szCs w:val="22"/>
        </w:rPr>
        <w:t xml:space="preserve">. This working group was tasked to propose to the government necessary changes to update the Law 1540 with a 4-month timeframe and including the necessity that these </w:t>
      </w:r>
      <w:r w:rsidR="00E94C32" w:rsidRPr="00E94C32">
        <w:rPr>
          <w:sz w:val="22"/>
          <w:szCs w:val="22"/>
        </w:rPr>
        <w:t>proposed changes be aligned</w:t>
      </w:r>
      <w:r w:rsidR="00E94C32">
        <w:rPr>
          <w:sz w:val="22"/>
          <w:szCs w:val="22"/>
        </w:rPr>
        <w:t>/comply</w:t>
      </w:r>
      <w:r w:rsidR="00E94C32" w:rsidRPr="00E94C32">
        <w:rPr>
          <w:sz w:val="22"/>
          <w:szCs w:val="22"/>
        </w:rPr>
        <w:t xml:space="preserve"> with Article 195 on “</w:t>
      </w:r>
      <w:r w:rsidR="00E94C32" w:rsidRPr="00E94C32">
        <w:rPr>
          <w:i/>
          <w:sz w:val="22"/>
          <w:szCs w:val="22"/>
        </w:rPr>
        <w:t>Fees and Charges</w:t>
      </w:r>
      <w:r w:rsidR="00E94C32" w:rsidRPr="00E94C32">
        <w:rPr>
          <w:sz w:val="22"/>
          <w:szCs w:val="22"/>
        </w:rPr>
        <w:t>” of the Association Agreement with the EU</w:t>
      </w:r>
      <w:r w:rsidR="00E94C32">
        <w:rPr>
          <w:sz w:val="22"/>
          <w:szCs w:val="22"/>
        </w:rPr>
        <w:t>.</w:t>
      </w:r>
      <w:r w:rsidR="00E07DF8">
        <w:rPr>
          <w:sz w:val="22"/>
          <w:szCs w:val="22"/>
        </w:rPr>
        <w:t xml:space="preserve"> The process is ongoing at the time of this evaluation. </w:t>
      </w:r>
    </w:p>
    <w:p w14:paraId="3D531DF9" w14:textId="77777777" w:rsidR="008D5880" w:rsidRPr="008D5880" w:rsidRDefault="008D5880" w:rsidP="008D5880">
      <w:pPr>
        <w:jc w:val="both"/>
        <w:rPr>
          <w:sz w:val="22"/>
          <w:szCs w:val="22"/>
        </w:rPr>
      </w:pPr>
    </w:p>
    <w:p w14:paraId="000CE382" w14:textId="75AD17E5" w:rsidR="00FF127B" w:rsidRPr="00FF127B" w:rsidRDefault="008D5880" w:rsidP="00F867E0">
      <w:pPr>
        <w:pStyle w:val="ListParagraph"/>
        <w:numPr>
          <w:ilvl w:val="0"/>
          <w:numId w:val="15"/>
        </w:numPr>
        <w:jc w:val="both"/>
        <w:rPr>
          <w:sz w:val="22"/>
          <w:szCs w:val="22"/>
        </w:rPr>
      </w:pPr>
      <w:r w:rsidRPr="00FF127B">
        <w:rPr>
          <w:sz w:val="22"/>
          <w:szCs w:val="22"/>
        </w:rPr>
        <w:t>Another example of this catalytic role is</w:t>
      </w:r>
      <w:r w:rsidR="00FF127B" w:rsidRPr="00FF127B">
        <w:rPr>
          <w:sz w:val="22"/>
          <w:szCs w:val="22"/>
        </w:rPr>
        <w:t xml:space="preserve"> a recently developed concept note for a project to “</w:t>
      </w:r>
      <w:r w:rsidR="00FF127B" w:rsidRPr="00FF127B">
        <w:rPr>
          <w:i/>
          <w:sz w:val="22"/>
          <w:szCs w:val="22"/>
        </w:rPr>
        <w:t>enhance an enabling environment for energy efficiency in the context of climate change and fuel poverty</w:t>
      </w:r>
      <w:r w:rsidR="00FF127B" w:rsidRPr="00FF127B">
        <w:rPr>
          <w:sz w:val="22"/>
          <w:szCs w:val="22"/>
        </w:rPr>
        <w:t>”. The estimated starting date is June 2016 and USD 120,000 is to be funded by the Ministry of Foreign Affairs of Romania. The project goal is to “</w:t>
      </w:r>
      <w:r w:rsidR="00FF127B" w:rsidRPr="00FF127B">
        <w:rPr>
          <w:i/>
          <w:sz w:val="22"/>
          <w:szCs w:val="22"/>
        </w:rPr>
        <w:t>improve the policy framework for sustainable energy in the context of climate change mitigation and adaptation</w:t>
      </w:r>
      <w:r w:rsidR="00FF127B" w:rsidRPr="00FF127B">
        <w:rPr>
          <w:sz w:val="22"/>
          <w:szCs w:val="22"/>
        </w:rPr>
        <w:t>”. Its intervention will be mostly at the policy level with the aim of unlocking investment potential in energy efficiency (EE) building retrofits and sustainable energy consumption. Under the first expected outcome, that is “</w:t>
      </w:r>
      <w:r w:rsidR="00FF127B" w:rsidRPr="00FF127B">
        <w:rPr>
          <w:i/>
          <w:sz w:val="22"/>
          <w:szCs w:val="22"/>
        </w:rPr>
        <w:t>to promote legal amendments for sustainable energy through energy efficiency measures in buildings and introduce a policy focus on fuel poverty</w:t>
      </w:r>
      <w:r w:rsidR="00FF127B" w:rsidRPr="00FF127B">
        <w:rPr>
          <w:sz w:val="22"/>
          <w:szCs w:val="22"/>
        </w:rPr>
        <w:t>”, the project will support the set-up of an inter-ministerial committee and advocate the legal amendments to support EE investments in building and fuel poverty. This proposed activity has a direct link</w:t>
      </w:r>
      <w:r w:rsidR="00D876FB">
        <w:rPr>
          <w:sz w:val="22"/>
          <w:szCs w:val="22"/>
        </w:rPr>
        <w:t xml:space="preserve"> and is a continuation of the work conducted by the </w:t>
      </w:r>
      <w:r w:rsidR="00FF127B" w:rsidRPr="00FF127B">
        <w:rPr>
          <w:sz w:val="22"/>
          <w:szCs w:val="22"/>
        </w:rPr>
        <w:t xml:space="preserve">EFR project to set up an </w:t>
      </w:r>
      <w:r w:rsidR="00921F84">
        <w:rPr>
          <w:sz w:val="22"/>
          <w:szCs w:val="22"/>
        </w:rPr>
        <w:t>inter-ministerial EFR Commission</w:t>
      </w:r>
      <w:r w:rsidR="00D876FB">
        <w:rPr>
          <w:sz w:val="22"/>
          <w:szCs w:val="22"/>
        </w:rPr>
        <w:t>.</w:t>
      </w:r>
      <w:r w:rsidR="00921F84">
        <w:rPr>
          <w:sz w:val="22"/>
          <w:szCs w:val="22"/>
        </w:rPr>
        <w:t xml:space="preserve"> </w:t>
      </w:r>
    </w:p>
    <w:p w14:paraId="282DD2E2" w14:textId="77777777" w:rsidR="00FF127B" w:rsidRPr="00FF127B" w:rsidRDefault="00FF127B" w:rsidP="00FF127B">
      <w:pPr>
        <w:jc w:val="both"/>
        <w:rPr>
          <w:sz w:val="22"/>
          <w:szCs w:val="22"/>
        </w:rPr>
      </w:pPr>
    </w:p>
    <w:p w14:paraId="3FAA2F6F" w14:textId="77777777" w:rsidR="008D5880" w:rsidRDefault="008D5880">
      <w:pPr>
        <w:widowControl/>
        <w:autoSpaceDE/>
        <w:autoSpaceDN/>
        <w:adjustRightInd/>
        <w:rPr>
          <w:sz w:val="22"/>
          <w:szCs w:val="22"/>
        </w:rPr>
      </w:pPr>
    </w:p>
    <w:p w14:paraId="4B974A47" w14:textId="77777777" w:rsidR="009367DB" w:rsidRDefault="009367DB">
      <w:pPr>
        <w:widowControl/>
        <w:autoSpaceDE/>
        <w:autoSpaceDN/>
        <w:adjustRightInd/>
        <w:rPr>
          <w:rFonts w:ascii="Arial" w:hAnsi="Arial" w:cs="Arial"/>
          <w:b/>
          <w:bCs/>
          <w:kern w:val="32"/>
          <w:sz w:val="22"/>
          <w:szCs w:val="22"/>
        </w:rPr>
      </w:pPr>
      <w:r>
        <w:rPr>
          <w:sz w:val="22"/>
          <w:szCs w:val="22"/>
        </w:rPr>
        <w:br w:type="page"/>
      </w:r>
    </w:p>
    <w:p w14:paraId="06095A8A" w14:textId="77777777" w:rsidR="00A52B28" w:rsidRPr="00FB6D4E" w:rsidRDefault="002831E0" w:rsidP="00A52B28">
      <w:pPr>
        <w:pStyle w:val="Heading1"/>
        <w:numPr>
          <w:ilvl w:val="0"/>
          <w:numId w:val="1"/>
        </w:numPr>
        <w:tabs>
          <w:tab w:val="clear" w:pos="360"/>
          <w:tab w:val="num" w:pos="720"/>
        </w:tabs>
        <w:spacing w:before="0" w:after="0"/>
        <w:ind w:left="720" w:hanging="720"/>
        <w:rPr>
          <w:sz w:val="22"/>
          <w:szCs w:val="22"/>
        </w:rPr>
      </w:pPr>
      <w:bookmarkStart w:id="67" w:name="_Toc308103268"/>
      <w:r w:rsidRPr="00FB6D4E">
        <w:rPr>
          <w:sz w:val="22"/>
          <w:szCs w:val="22"/>
        </w:rPr>
        <w:lastRenderedPageBreak/>
        <w:t>LESSONS LEARNED</w:t>
      </w:r>
      <w:bookmarkEnd w:id="67"/>
    </w:p>
    <w:p w14:paraId="2FE32452" w14:textId="77777777" w:rsidR="00D512CB" w:rsidRPr="00FB6D4E" w:rsidRDefault="00D512CB" w:rsidP="009367DB">
      <w:pPr>
        <w:tabs>
          <w:tab w:val="left" w:pos="567"/>
        </w:tabs>
        <w:jc w:val="both"/>
        <w:rPr>
          <w:sz w:val="22"/>
          <w:szCs w:val="22"/>
        </w:rPr>
      </w:pPr>
    </w:p>
    <w:p w14:paraId="37F51C81" w14:textId="77777777" w:rsidR="00A52B28" w:rsidRDefault="002831E0" w:rsidP="005D59CA">
      <w:pPr>
        <w:pStyle w:val="ListParagraph"/>
        <w:numPr>
          <w:ilvl w:val="0"/>
          <w:numId w:val="15"/>
        </w:numPr>
        <w:jc w:val="both"/>
        <w:rPr>
          <w:sz w:val="22"/>
          <w:szCs w:val="22"/>
        </w:rPr>
      </w:pPr>
      <w:r w:rsidRPr="00803A34">
        <w:rPr>
          <w:sz w:val="22"/>
          <w:szCs w:val="22"/>
        </w:rPr>
        <w:t>A summary of lessons</w:t>
      </w:r>
      <w:r w:rsidR="00CD029B">
        <w:rPr>
          <w:sz w:val="22"/>
          <w:szCs w:val="22"/>
        </w:rPr>
        <w:t xml:space="preserve"> learned is presented below. Thes</w:t>
      </w:r>
      <w:r w:rsidRPr="00803A34">
        <w:rPr>
          <w:sz w:val="22"/>
          <w:szCs w:val="22"/>
        </w:rPr>
        <w:t>e are based on the review of project documents</w:t>
      </w:r>
      <w:r w:rsidR="00D512CB" w:rsidRPr="00803A34">
        <w:rPr>
          <w:sz w:val="22"/>
          <w:szCs w:val="22"/>
        </w:rPr>
        <w:t>,</w:t>
      </w:r>
      <w:r w:rsidRPr="00803A34">
        <w:rPr>
          <w:sz w:val="22"/>
          <w:szCs w:val="22"/>
        </w:rPr>
        <w:t xml:space="preserve"> </w:t>
      </w:r>
      <w:r w:rsidR="00D512CB" w:rsidRPr="00803A34">
        <w:rPr>
          <w:sz w:val="22"/>
          <w:szCs w:val="22"/>
        </w:rPr>
        <w:t>interviews with key informants</w:t>
      </w:r>
      <w:r w:rsidRPr="00803A34">
        <w:rPr>
          <w:sz w:val="22"/>
          <w:szCs w:val="22"/>
        </w:rPr>
        <w:t xml:space="preserve"> and analysis of the information collected:</w:t>
      </w:r>
    </w:p>
    <w:p w14:paraId="51535BFA" w14:textId="77777777" w:rsidR="009E1B09" w:rsidRPr="00803A34" w:rsidRDefault="009E1B09" w:rsidP="009E1B09">
      <w:pPr>
        <w:pStyle w:val="ListParagraph"/>
        <w:ind w:left="0"/>
        <w:jc w:val="both"/>
        <w:rPr>
          <w:sz w:val="22"/>
          <w:szCs w:val="22"/>
        </w:rPr>
      </w:pPr>
    </w:p>
    <w:p w14:paraId="10063D26" w14:textId="4A2639ED" w:rsidR="004C1A49" w:rsidRDefault="004C1A49" w:rsidP="00952223">
      <w:pPr>
        <w:widowControl/>
        <w:numPr>
          <w:ilvl w:val="0"/>
          <w:numId w:val="6"/>
        </w:numPr>
        <w:tabs>
          <w:tab w:val="clear" w:pos="720"/>
          <w:tab w:val="left" w:pos="-720"/>
          <w:tab w:val="num" w:pos="851"/>
        </w:tabs>
        <w:spacing w:after="120"/>
        <w:ind w:left="851" w:hanging="284"/>
        <w:jc w:val="both"/>
        <w:rPr>
          <w:sz w:val="22"/>
          <w:szCs w:val="22"/>
        </w:rPr>
      </w:pPr>
      <w:r w:rsidRPr="004C1A49">
        <w:rPr>
          <w:sz w:val="22"/>
          <w:szCs w:val="22"/>
        </w:rPr>
        <w:t>Environmental fiscal reform falls with</w:t>
      </w:r>
      <w:r>
        <w:rPr>
          <w:sz w:val="22"/>
          <w:szCs w:val="22"/>
        </w:rPr>
        <w:t>in</w:t>
      </w:r>
      <w:r w:rsidRPr="004C1A49">
        <w:rPr>
          <w:sz w:val="22"/>
          <w:szCs w:val="22"/>
        </w:rPr>
        <w:t xml:space="preserve"> the field of public finance management</w:t>
      </w:r>
      <w:r>
        <w:rPr>
          <w:sz w:val="22"/>
          <w:szCs w:val="22"/>
        </w:rPr>
        <w:t xml:space="preserve"> and calls for the development of</w:t>
      </w:r>
      <w:r w:rsidRPr="004C1A49">
        <w:rPr>
          <w:sz w:val="22"/>
          <w:szCs w:val="22"/>
        </w:rPr>
        <w:t xml:space="preserve"> fiscal measures that reflect and respond to socio-economic and political realities.</w:t>
      </w:r>
      <w:r>
        <w:rPr>
          <w:sz w:val="22"/>
          <w:szCs w:val="22"/>
        </w:rPr>
        <w:t xml:space="preserve"> As a result, these projects have an inherent political risk. A 3-year project timeframe is too short; it does not provide any time contingency for political risk linked to elections, change of government, and change of Ministers. </w:t>
      </w:r>
    </w:p>
    <w:p w14:paraId="7615937A" w14:textId="47F3E986" w:rsidR="00F91695" w:rsidRDefault="00F91695" w:rsidP="00952223">
      <w:pPr>
        <w:widowControl/>
        <w:numPr>
          <w:ilvl w:val="0"/>
          <w:numId w:val="6"/>
        </w:numPr>
        <w:tabs>
          <w:tab w:val="clear" w:pos="720"/>
          <w:tab w:val="left" w:pos="-720"/>
          <w:tab w:val="num" w:pos="851"/>
        </w:tabs>
        <w:spacing w:after="120"/>
        <w:ind w:left="851" w:hanging="284"/>
        <w:jc w:val="both"/>
        <w:rPr>
          <w:sz w:val="22"/>
          <w:szCs w:val="22"/>
        </w:rPr>
      </w:pPr>
      <w:r w:rsidRPr="00F91695">
        <w:rPr>
          <w:sz w:val="22"/>
          <w:szCs w:val="22"/>
        </w:rPr>
        <w:t>A project that is highly relevant, responding to national needs and priorities, is often highly effective in its implementation and enjoys good country ownership.</w:t>
      </w:r>
    </w:p>
    <w:p w14:paraId="646683AB" w14:textId="4DEF1A7A" w:rsidR="006463F3" w:rsidRDefault="00882340" w:rsidP="00952223">
      <w:pPr>
        <w:widowControl/>
        <w:numPr>
          <w:ilvl w:val="0"/>
          <w:numId w:val="6"/>
        </w:numPr>
        <w:tabs>
          <w:tab w:val="clear" w:pos="720"/>
          <w:tab w:val="left" w:pos="-720"/>
          <w:tab w:val="num" w:pos="851"/>
        </w:tabs>
        <w:spacing w:after="120"/>
        <w:ind w:left="851" w:hanging="284"/>
        <w:jc w:val="both"/>
        <w:rPr>
          <w:sz w:val="22"/>
          <w:szCs w:val="22"/>
        </w:rPr>
      </w:pPr>
      <w:r>
        <w:rPr>
          <w:sz w:val="22"/>
          <w:szCs w:val="22"/>
        </w:rPr>
        <w:t>Considering that it is necessary to use very specialized skills for this type of project, it is also critical that assessments, analyses, studies, recommendations and proposals be developed in close collaboration and participation of key stakeholders to “</w:t>
      </w:r>
      <w:r w:rsidR="003D2ADB">
        <w:rPr>
          <w:sz w:val="22"/>
          <w:szCs w:val="22"/>
        </w:rPr>
        <w:t>ground</w:t>
      </w:r>
      <w:r>
        <w:rPr>
          <w:sz w:val="22"/>
          <w:szCs w:val="22"/>
        </w:rPr>
        <w:t xml:space="preserve">” these outputs </w:t>
      </w:r>
      <w:r w:rsidR="003D2ADB">
        <w:rPr>
          <w:sz w:val="22"/>
          <w:szCs w:val="22"/>
        </w:rPr>
        <w:t>to local realities</w:t>
      </w:r>
      <w:r>
        <w:rPr>
          <w:sz w:val="22"/>
          <w:szCs w:val="22"/>
        </w:rPr>
        <w:t>.</w:t>
      </w:r>
    </w:p>
    <w:p w14:paraId="4DF36A2F" w14:textId="199B8BF5" w:rsidR="003D2ADB" w:rsidRDefault="00F4163E" w:rsidP="00952223">
      <w:pPr>
        <w:widowControl/>
        <w:numPr>
          <w:ilvl w:val="0"/>
          <w:numId w:val="6"/>
        </w:numPr>
        <w:tabs>
          <w:tab w:val="clear" w:pos="720"/>
          <w:tab w:val="left" w:pos="-720"/>
          <w:tab w:val="num" w:pos="851"/>
        </w:tabs>
        <w:spacing w:after="120"/>
        <w:ind w:left="851" w:hanging="284"/>
        <w:jc w:val="both"/>
        <w:rPr>
          <w:sz w:val="22"/>
          <w:szCs w:val="22"/>
        </w:rPr>
      </w:pPr>
      <w:r w:rsidRPr="00F4163E">
        <w:rPr>
          <w:sz w:val="22"/>
          <w:szCs w:val="22"/>
        </w:rPr>
        <w:t xml:space="preserve">Performance indicators (with their respective baselines and targets) are </w:t>
      </w:r>
      <w:r>
        <w:rPr>
          <w:sz w:val="22"/>
          <w:szCs w:val="22"/>
        </w:rPr>
        <w:t xml:space="preserve">particularly </w:t>
      </w:r>
      <w:r w:rsidRPr="00F4163E">
        <w:rPr>
          <w:sz w:val="22"/>
          <w:szCs w:val="22"/>
        </w:rPr>
        <w:t xml:space="preserve">needed at the outcome and objective levels. It guides the project monitoring function and lead </w:t>
      </w:r>
      <w:r>
        <w:rPr>
          <w:sz w:val="22"/>
          <w:szCs w:val="22"/>
        </w:rPr>
        <w:t>the project implementation team</w:t>
      </w:r>
      <w:r w:rsidRPr="00F4163E">
        <w:rPr>
          <w:sz w:val="22"/>
          <w:szCs w:val="22"/>
        </w:rPr>
        <w:t xml:space="preserve"> to focus on high level expected results and </w:t>
      </w:r>
      <w:r>
        <w:rPr>
          <w:sz w:val="22"/>
          <w:szCs w:val="22"/>
        </w:rPr>
        <w:t xml:space="preserve">is more conducive for </w:t>
      </w:r>
      <w:r w:rsidRPr="00F4163E">
        <w:rPr>
          <w:sz w:val="22"/>
          <w:szCs w:val="22"/>
        </w:rPr>
        <w:t>a results-based management (RBM) approach as opposed to a management by activity.</w:t>
      </w:r>
    </w:p>
    <w:p w14:paraId="7F54F637" w14:textId="1294BCD6" w:rsidR="00F4163E" w:rsidRDefault="004C1A49" w:rsidP="00952223">
      <w:pPr>
        <w:widowControl/>
        <w:numPr>
          <w:ilvl w:val="0"/>
          <w:numId w:val="6"/>
        </w:numPr>
        <w:tabs>
          <w:tab w:val="clear" w:pos="720"/>
          <w:tab w:val="left" w:pos="-720"/>
          <w:tab w:val="num" w:pos="851"/>
        </w:tabs>
        <w:spacing w:after="120"/>
        <w:ind w:left="851" w:hanging="284"/>
        <w:jc w:val="both"/>
        <w:rPr>
          <w:sz w:val="22"/>
          <w:szCs w:val="22"/>
        </w:rPr>
      </w:pPr>
      <w:r w:rsidRPr="004C1A49">
        <w:rPr>
          <w:sz w:val="22"/>
          <w:szCs w:val="22"/>
        </w:rPr>
        <w:t>A mid-term review is particularly useful when some issues exist on a project but less useful when the project implementation goes well. It provides an opportun</w:t>
      </w:r>
      <w:r>
        <w:rPr>
          <w:sz w:val="22"/>
          <w:szCs w:val="22"/>
        </w:rPr>
        <w:t>ity to the P</w:t>
      </w:r>
      <w:r w:rsidRPr="004C1A49">
        <w:rPr>
          <w:sz w:val="22"/>
          <w:szCs w:val="22"/>
        </w:rPr>
        <w:t xml:space="preserve">roject </w:t>
      </w:r>
      <w:r>
        <w:rPr>
          <w:sz w:val="22"/>
          <w:szCs w:val="22"/>
        </w:rPr>
        <w:t>Board</w:t>
      </w:r>
      <w:r w:rsidRPr="004C1A49">
        <w:rPr>
          <w:sz w:val="22"/>
          <w:szCs w:val="22"/>
        </w:rPr>
        <w:t xml:space="preserve"> to review the progress as seen by independent reviewer</w:t>
      </w:r>
      <w:r>
        <w:rPr>
          <w:sz w:val="22"/>
          <w:szCs w:val="22"/>
        </w:rPr>
        <w:t>s</w:t>
      </w:r>
      <w:r w:rsidRPr="004C1A49">
        <w:rPr>
          <w:sz w:val="22"/>
          <w:szCs w:val="22"/>
        </w:rPr>
        <w:t xml:space="preserve"> and question the potential delays, issues and other concerns that may hamper the progress of the project to meet its targets.</w:t>
      </w:r>
    </w:p>
    <w:p w14:paraId="6F1D25BF" w14:textId="22B361C8" w:rsidR="004C1A49" w:rsidRDefault="00297BBE" w:rsidP="00952223">
      <w:pPr>
        <w:widowControl/>
        <w:numPr>
          <w:ilvl w:val="0"/>
          <w:numId w:val="6"/>
        </w:numPr>
        <w:tabs>
          <w:tab w:val="clear" w:pos="720"/>
          <w:tab w:val="left" w:pos="-720"/>
          <w:tab w:val="num" w:pos="851"/>
        </w:tabs>
        <w:spacing w:after="120"/>
        <w:ind w:left="851" w:hanging="284"/>
        <w:jc w:val="both"/>
        <w:rPr>
          <w:sz w:val="22"/>
          <w:szCs w:val="22"/>
        </w:rPr>
      </w:pPr>
      <w:r w:rsidRPr="00297BBE">
        <w:rPr>
          <w:sz w:val="22"/>
          <w:szCs w:val="22"/>
        </w:rPr>
        <w:t>A flexible project using adaptive management is a necessary management mechanism to be able to respond to stakeholders</w:t>
      </w:r>
      <w:r>
        <w:rPr>
          <w:sz w:val="22"/>
          <w:szCs w:val="22"/>
        </w:rPr>
        <w:t>’</w:t>
      </w:r>
      <w:r w:rsidRPr="00297BBE">
        <w:rPr>
          <w:sz w:val="22"/>
          <w:szCs w:val="22"/>
        </w:rPr>
        <w:t xml:space="preserve"> needs and priorities. It provides the project with the capacity to adapt to changes, including disruptive events and yet keep its overall efficiency and effectiveness.</w:t>
      </w:r>
    </w:p>
    <w:p w14:paraId="5F1AE628" w14:textId="0069E68A" w:rsidR="00297BBE" w:rsidRDefault="00297BBE" w:rsidP="00952223">
      <w:pPr>
        <w:widowControl/>
        <w:numPr>
          <w:ilvl w:val="0"/>
          <w:numId w:val="6"/>
        </w:numPr>
        <w:tabs>
          <w:tab w:val="clear" w:pos="720"/>
          <w:tab w:val="left" w:pos="-720"/>
          <w:tab w:val="num" w:pos="851"/>
        </w:tabs>
        <w:spacing w:after="120"/>
        <w:ind w:left="851" w:hanging="284"/>
        <w:jc w:val="both"/>
        <w:rPr>
          <w:sz w:val="22"/>
          <w:szCs w:val="22"/>
        </w:rPr>
      </w:pPr>
      <w:r w:rsidRPr="00297BBE">
        <w:rPr>
          <w:sz w:val="22"/>
          <w:szCs w:val="22"/>
        </w:rPr>
        <w:t>In addition to capacity development</w:t>
      </w:r>
      <w:r>
        <w:rPr>
          <w:sz w:val="22"/>
          <w:szCs w:val="22"/>
        </w:rPr>
        <w:t xml:space="preserve"> and technical assistance</w:t>
      </w:r>
      <w:r w:rsidRPr="00297BBE">
        <w:rPr>
          <w:sz w:val="22"/>
          <w:szCs w:val="22"/>
        </w:rPr>
        <w:t xml:space="preserve">, a project procuring tangible deliverables that are selected by stakeholders (such as </w:t>
      </w:r>
      <w:r>
        <w:rPr>
          <w:sz w:val="22"/>
          <w:szCs w:val="22"/>
        </w:rPr>
        <w:t>the environmental projects granted in the 6 selected towns</w:t>
      </w:r>
      <w:r w:rsidRPr="00297BBE">
        <w:rPr>
          <w:sz w:val="22"/>
          <w:szCs w:val="22"/>
        </w:rPr>
        <w:t>) brings tangible results to stakeholders and beneficiaries with positive direct and immediate impacts on them. It contributes to a strong participation of stakeholders and beneficiaries in project activities and overall to a better effectiveness of project activities.</w:t>
      </w:r>
    </w:p>
    <w:p w14:paraId="00630B44" w14:textId="79BDDFDF" w:rsidR="00297BBE" w:rsidRDefault="00297BBE" w:rsidP="00952223">
      <w:pPr>
        <w:widowControl/>
        <w:numPr>
          <w:ilvl w:val="0"/>
          <w:numId w:val="6"/>
        </w:numPr>
        <w:tabs>
          <w:tab w:val="clear" w:pos="720"/>
          <w:tab w:val="left" w:pos="-720"/>
          <w:tab w:val="num" w:pos="851"/>
        </w:tabs>
        <w:spacing w:after="120"/>
        <w:ind w:left="851" w:hanging="284"/>
        <w:jc w:val="both"/>
        <w:rPr>
          <w:sz w:val="22"/>
          <w:szCs w:val="22"/>
        </w:rPr>
      </w:pPr>
      <w:r w:rsidRPr="00297BBE">
        <w:rPr>
          <w:sz w:val="22"/>
          <w:szCs w:val="22"/>
        </w:rPr>
        <w:t>The application of the UNDP NIM modality is an effective management tool to develop national ownership of projects funded by international donors.</w:t>
      </w:r>
    </w:p>
    <w:p w14:paraId="1D7E01C2" w14:textId="306C9654" w:rsidR="00B234B6" w:rsidRDefault="00B234B6" w:rsidP="00952223">
      <w:pPr>
        <w:widowControl/>
        <w:numPr>
          <w:ilvl w:val="0"/>
          <w:numId w:val="6"/>
        </w:numPr>
        <w:tabs>
          <w:tab w:val="clear" w:pos="720"/>
          <w:tab w:val="left" w:pos="-720"/>
          <w:tab w:val="num" w:pos="851"/>
        </w:tabs>
        <w:spacing w:after="120"/>
        <w:ind w:left="851" w:hanging="284"/>
        <w:jc w:val="both"/>
        <w:rPr>
          <w:sz w:val="22"/>
          <w:szCs w:val="22"/>
        </w:rPr>
      </w:pPr>
      <w:r>
        <w:rPr>
          <w:sz w:val="22"/>
          <w:szCs w:val="22"/>
        </w:rPr>
        <w:lastRenderedPageBreak/>
        <w:t xml:space="preserve">In order to </w:t>
      </w:r>
      <w:r w:rsidR="00F14359">
        <w:rPr>
          <w:sz w:val="22"/>
          <w:szCs w:val="22"/>
        </w:rPr>
        <w:t xml:space="preserve">ensure the </w:t>
      </w:r>
      <w:r>
        <w:rPr>
          <w:sz w:val="22"/>
          <w:szCs w:val="22"/>
        </w:rPr>
        <w:t>mainstream</w:t>
      </w:r>
      <w:r w:rsidR="00F14359">
        <w:rPr>
          <w:sz w:val="22"/>
          <w:szCs w:val="22"/>
        </w:rPr>
        <w:t>ing of</w:t>
      </w:r>
      <w:r>
        <w:rPr>
          <w:sz w:val="22"/>
          <w:szCs w:val="22"/>
        </w:rPr>
        <w:t xml:space="preserve"> gender considerations in a project, it is </w:t>
      </w:r>
      <w:r w:rsidR="00F14359">
        <w:rPr>
          <w:sz w:val="22"/>
          <w:szCs w:val="22"/>
        </w:rPr>
        <w:t>important</w:t>
      </w:r>
      <w:r>
        <w:rPr>
          <w:sz w:val="22"/>
          <w:szCs w:val="22"/>
        </w:rPr>
        <w:t xml:space="preserve"> that gender-based expected results, indicators and targets be identified during the formulation of the project. Once it is part of the proj</w:t>
      </w:r>
      <w:r w:rsidR="00F14359">
        <w:rPr>
          <w:sz w:val="22"/>
          <w:szCs w:val="22"/>
        </w:rPr>
        <w:t>ect strategy and of the monitoring framework, mainstreaming gender considerations becomes part of the implementation of the project as well as part of reporting project progress.</w:t>
      </w:r>
    </w:p>
    <w:p w14:paraId="3D36B058" w14:textId="77777777" w:rsidR="00291B64" w:rsidRPr="00291B64" w:rsidRDefault="00291B64" w:rsidP="00291B64"/>
    <w:p w14:paraId="7617F48F" w14:textId="77777777" w:rsidR="00A52B28" w:rsidRDefault="002831E0" w:rsidP="00A52B28">
      <w:pPr>
        <w:pStyle w:val="Heading1"/>
        <w:spacing w:before="0" w:after="0"/>
        <w:rPr>
          <w:sz w:val="24"/>
          <w:szCs w:val="24"/>
        </w:rPr>
      </w:pPr>
      <w:r w:rsidRPr="00291B64">
        <w:br w:type="page"/>
      </w:r>
      <w:bookmarkStart w:id="68" w:name="_Toc308103269"/>
      <w:r w:rsidRPr="00FB6D4E">
        <w:rPr>
          <w:sz w:val="24"/>
          <w:szCs w:val="24"/>
        </w:rPr>
        <w:lastRenderedPageBreak/>
        <w:t>Annex 1:  Terms of Reference</w:t>
      </w:r>
      <w:bookmarkEnd w:id="68"/>
    </w:p>
    <w:p w14:paraId="517E1DEF" w14:textId="77777777" w:rsidR="008430AC" w:rsidRDefault="008430AC" w:rsidP="008430AC">
      <w:pPr>
        <w:pBdr>
          <w:top w:val="single" w:sz="24" w:space="0" w:color="DBE5F1"/>
          <w:left w:val="single" w:sz="24" w:space="0" w:color="DBE5F1"/>
          <w:bottom w:val="single" w:sz="24" w:space="0" w:color="DBE5F1"/>
          <w:right w:val="single" w:sz="24" w:space="0" w:color="DBE5F1"/>
        </w:pBdr>
        <w:shd w:val="clear" w:color="auto" w:fill="DBE5F1"/>
        <w:spacing w:before="200"/>
        <w:outlineLvl w:val="1"/>
        <w:rPr>
          <w:rFonts w:ascii="Calibri" w:hAnsi="Calibri"/>
          <w:caps/>
          <w:spacing w:val="15"/>
        </w:rPr>
      </w:pPr>
      <w:bookmarkStart w:id="69" w:name="_Toc321341546"/>
      <w:bookmarkStart w:id="70" w:name="_Toc323119582"/>
      <w:r w:rsidRPr="00D6638C">
        <w:rPr>
          <w:rFonts w:ascii="Calibri" w:hAnsi="Calibri"/>
          <w:caps/>
          <w:spacing w:val="15"/>
        </w:rPr>
        <w:t>Terminal Evaluation Terms of Reference</w:t>
      </w:r>
      <w:bookmarkEnd w:id="69"/>
      <w:bookmarkEnd w:id="70"/>
    </w:p>
    <w:p w14:paraId="6E4F3875" w14:textId="77777777" w:rsidR="008430AC" w:rsidRDefault="008430AC" w:rsidP="008430AC">
      <w:pPr>
        <w:pStyle w:val="Heading51"/>
      </w:pPr>
      <w:bookmarkStart w:id="71" w:name="_Toc299126613"/>
      <w:r>
        <w:t>INTRODUCTION</w:t>
      </w:r>
    </w:p>
    <w:p w14:paraId="7035CA26" w14:textId="77777777" w:rsidR="008430AC" w:rsidRPr="00D6638C" w:rsidRDefault="008430AC" w:rsidP="008430AC">
      <w:pPr>
        <w:spacing w:before="200"/>
        <w:rPr>
          <w:rFonts w:ascii="Calibri" w:hAnsi="Calibri"/>
          <w:sz w:val="20"/>
          <w:szCs w:val="20"/>
        </w:rPr>
      </w:pPr>
      <w:r w:rsidRPr="00D6638C">
        <w:rPr>
          <w:rFonts w:ascii="Calibri" w:hAnsi="Calibri"/>
          <w:sz w:val="20"/>
          <w:szCs w:val="20"/>
        </w:rPr>
        <w:t xml:space="preserve">In accordance with UNDP and GEF M&amp;E policies and procedures, all full and medium-sized UNDP support GEF financed projects are required to undergo a terminal evaluation upon completion of implementation. </w:t>
      </w:r>
      <w:r w:rsidRPr="00D6638C">
        <w:rPr>
          <w:rFonts w:ascii="Calibri" w:hAnsi="Calibri"/>
          <w:sz w:val="20"/>
          <w:szCs w:val="20"/>
          <w:lang w:val="en-GB"/>
        </w:rPr>
        <w:t xml:space="preserve">These terms </w:t>
      </w:r>
      <w:r w:rsidRPr="00D6638C">
        <w:rPr>
          <w:rFonts w:ascii="Calibri" w:hAnsi="Calibri"/>
          <w:sz w:val="20"/>
          <w:szCs w:val="20"/>
        </w:rPr>
        <w:t xml:space="preserve">of </w:t>
      </w:r>
      <w:r w:rsidRPr="00D6638C">
        <w:rPr>
          <w:rFonts w:ascii="Calibri" w:hAnsi="Calibri"/>
          <w:sz w:val="20"/>
          <w:szCs w:val="20"/>
          <w:lang w:val="en-GB"/>
        </w:rPr>
        <w:t>reference</w:t>
      </w:r>
      <w:r w:rsidRPr="00D6638C">
        <w:rPr>
          <w:rFonts w:ascii="Calibri" w:hAnsi="Calibri"/>
          <w:sz w:val="20"/>
          <w:szCs w:val="20"/>
        </w:rPr>
        <w:t xml:space="preserve"> (TOR) sets </w:t>
      </w:r>
      <w:r w:rsidRPr="00D6638C">
        <w:rPr>
          <w:rFonts w:ascii="Calibri" w:hAnsi="Calibri"/>
          <w:sz w:val="20"/>
          <w:szCs w:val="20"/>
          <w:lang w:val="en-GB"/>
        </w:rPr>
        <w:t xml:space="preserve">out the </w:t>
      </w:r>
      <w:r w:rsidRPr="00D6638C">
        <w:rPr>
          <w:rFonts w:ascii="Calibri" w:hAnsi="Calibri"/>
          <w:sz w:val="20"/>
          <w:szCs w:val="20"/>
        </w:rPr>
        <w:t>expectations for a Terminal Evaluation (TE) of the</w:t>
      </w:r>
      <w:r>
        <w:rPr>
          <w:rFonts w:ascii="Calibri" w:hAnsi="Calibri"/>
          <w:sz w:val="20"/>
          <w:szCs w:val="20"/>
        </w:rPr>
        <w:t xml:space="preserve"> project</w:t>
      </w:r>
      <w:r w:rsidRPr="00224F9C">
        <w:rPr>
          <w:rFonts w:ascii="Calibri" w:hAnsi="Calibri"/>
          <w:i/>
          <w:sz w:val="20"/>
          <w:szCs w:val="20"/>
        </w:rPr>
        <w:t xml:space="preserve"> </w:t>
      </w:r>
      <w:r w:rsidRPr="00506E51">
        <w:rPr>
          <w:rFonts w:ascii="Calibri" w:hAnsi="Calibri"/>
          <w:i/>
          <w:sz w:val="20"/>
          <w:szCs w:val="20"/>
        </w:rPr>
        <w:t>Strengthening capacities to undertake environmental fiscal reform to meet national and global environmental priorities</w:t>
      </w:r>
      <w:r w:rsidRPr="00D6638C">
        <w:rPr>
          <w:rFonts w:ascii="Calibri" w:hAnsi="Calibri"/>
          <w:sz w:val="20"/>
          <w:szCs w:val="20"/>
        </w:rPr>
        <w:t xml:space="preserve"> </w:t>
      </w:r>
    </w:p>
    <w:p w14:paraId="5A991880" w14:textId="77777777" w:rsidR="008430AC" w:rsidRPr="00D6638C" w:rsidRDefault="008430AC" w:rsidP="008430AC">
      <w:pPr>
        <w:spacing w:before="200"/>
        <w:rPr>
          <w:rFonts w:ascii="Calibri" w:hAnsi="Calibri"/>
          <w:sz w:val="20"/>
          <w:szCs w:val="20"/>
        </w:rPr>
      </w:pPr>
      <w:r w:rsidRPr="00D6638C">
        <w:rPr>
          <w:rFonts w:ascii="Calibri" w:hAnsi="Calibri"/>
          <w:sz w:val="20"/>
          <w:szCs w:val="20"/>
        </w:rPr>
        <w:t xml:space="preserve">The essentials of the project to be evaluated are as follows: </w:t>
      </w:r>
    </w:p>
    <w:p w14:paraId="3E4DDAB7" w14:textId="77777777" w:rsidR="008430AC" w:rsidRPr="00D6638C" w:rsidRDefault="008430AC" w:rsidP="008430AC">
      <w:pPr>
        <w:pStyle w:val="Heading51"/>
      </w:pPr>
      <w:bookmarkStart w:id="72" w:name="_Toc321341548"/>
      <w:r w:rsidRPr="00D6638C">
        <w:t>Project Summary Table</w:t>
      </w:r>
      <w:bookmarkEnd w:id="72"/>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91"/>
        <w:gridCol w:w="580"/>
        <w:gridCol w:w="1715"/>
        <w:gridCol w:w="2343"/>
        <w:gridCol w:w="2190"/>
        <w:gridCol w:w="2005"/>
      </w:tblGrid>
      <w:tr w:rsidR="008430AC" w:rsidRPr="00D6638C" w14:paraId="70993CAC" w14:textId="77777777" w:rsidTr="008430AC">
        <w:trPr>
          <w:trHeight w:val="359"/>
        </w:trPr>
        <w:tc>
          <w:tcPr>
            <w:tcW w:w="458" w:type="pct"/>
            <w:shd w:val="clear" w:color="auto" w:fill="7F7F7F"/>
            <w:vAlign w:val="center"/>
          </w:tcPr>
          <w:p w14:paraId="4BCC6DC1" w14:textId="77777777" w:rsidR="008430AC" w:rsidRPr="00D6638C" w:rsidRDefault="008430AC" w:rsidP="008430AC">
            <w:pPr>
              <w:contextualSpacing/>
              <w:rPr>
                <w:rFonts w:ascii="Calibri" w:hAnsi="Calibri" w:cs="Calibri"/>
                <w:bCs/>
                <w:color w:val="FFFFFF"/>
                <w:sz w:val="20"/>
                <w:szCs w:val="20"/>
              </w:rPr>
            </w:pPr>
            <w:r w:rsidRPr="00D6638C">
              <w:rPr>
                <w:rFonts w:ascii="Calibri" w:hAnsi="Calibri" w:cs="Calibri"/>
                <w:bCs/>
                <w:color w:val="FFFFFF"/>
                <w:sz w:val="20"/>
                <w:szCs w:val="20"/>
              </w:rPr>
              <w:t xml:space="preserve">Project Title: </w:t>
            </w:r>
          </w:p>
        </w:tc>
        <w:tc>
          <w:tcPr>
            <w:tcW w:w="4542" w:type="pct"/>
            <w:gridSpan w:val="5"/>
            <w:shd w:val="clear" w:color="auto" w:fill="FFFFFF"/>
            <w:vAlign w:val="center"/>
          </w:tcPr>
          <w:p w14:paraId="7C9B65B1" w14:textId="04DD58FE" w:rsidR="008430AC" w:rsidRPr="00D6638C" w:rsidRDefault="004E41F0" w:rsidP="008430AC">
            <w:pPr>
              <w:contextualSpacing/>
              <w:rPr>
                <w:rFonts w:ascii="Calibri" w:hAnsi="Calibri" w:cs="Calibri"/>
                <w:bCs/>
                <w:sz w:val="20"/>
                <w:szCs w:val="20"/>
              </w:rPr>
            </w:pPr>
            <w:r>
              <w:rPr>
                <w:rFonts w:ascii="Calibri" w:hAnsi="Calibri" w:cs="Calibri"/>
                <w:bCs/>
                <w:noProof/>
                <w:sz w:val="20"/>
                <w:szCs w:val="20"/>
              </w:rPr>
              <w:drawing>
                <wp:inline distT="0" distB="0" distL="0" distR="0" wp14:anchorId="79162985" wp14:editId="612C8B00">
                  <wp:extent cx="6019800" cy="228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9800" cy="228600"/>
                          </a:xfrm>
                          <a:prstGeom prst="rect">
                            <a:avLst/>
                          </a:prstGeom>
                          <a:noFill/>
                          <a:ln>
                            <a:noFill/>
                          </a:ln>
                        </pic:spPr>
                      </pic:pic>
                    </a:graphicData>
                  </a:graphic>
                </wp:inline>
              </w:drawing>
            </w:r>
            <w:r w:rsidR="008430AC" w:rsidRPr="00F0073C">
              <w:rPr>
                <w:b/>
                <w:sz w:val="23"/>
                <w:szCs w:val="23"/>
              </w:rPr>
              <w:t xml:space="preserve"> </w:t>
            </w:r>
          </w:p>
        </w:tc>
      </w:tr>
      <w:tr w:rsidR="008430AC" w:rsidRPr="00D6638C" w14:paraId="70B76301" w14:textId="77777777" w:rsidTr="008430AC">
        <w:tblPrEx>
          <w:shd w:val="clear" w:color="auto" w:fill="auto"/>
        </w:tblPrEx>
        <w:trPr>
          <w:trHeight w:val="553"/>
        </w:trPr>
        <w:tc>
          <w:tcPr>
            <w:tcW w:w="756" w:type="pct"/>
            <w:gridSpan w:val="2"/>
            <w:shd w:val="clear" w:color="auto" w:fill="auto"/>
          </w:tcPr>
          <w:p w14:paraId="41B9789D" w14:textId="77777777" w:rsidR="008430AC" w:rsidRPr="00235B91" w:rsidRDefault="008430AC" w:rsidP="008430AC">
            <w:pPr>
              <w:rPr>
                <w:rFonts w:ascii="Calibri" w:hAnsi="Calibri"/>
                <w:sz w:val="16"/>
                <w:szCs w:val="16"/>
              </w:rPr>
            </w:pPr>
            <w:r w:rsidRPr="00235B91">
              <w:rPr>
                <w:rFonts w:ascii="Calibri" w:hAnsi="Calibri"/>
                <w:sz w:val="16"/>
                <w:szCs w:val="16"/>
              </w:rPr>
              <w:t>GEF Project ID:</w:t>
            </w:r>
          </w:p>
          <w:p w14:paraId="0354E8B2" w14:textId="77777777" w:rsidR="008430AC" w:rsidRPr="00235B91" w:rsidRDefault="008430AC" w:rsidP="008430AC">
            <w:pPr>
              <w:rPr>
                <w:rFonts w:ascii="Calibri" w:eastAsia="Arial Unicode MS" w:hAnsi="Calibri"/>
                <w:sz w:val="16"/>
                <w:szCs w:val="16"/>
              </w:rPr>
            </w:pPr>
            <w:r w:rsidRPr="00235B91">
              <w:rPr>
                <w:rFonts w:ascii="Calibri" w:hAnsi="Calibri"/>
                <w:sz w:val="16"/>
                <w:szCs w:val="16"/>
              </w:rPr>
              <w:t>UNDP-GEF PIMS:</w:t>
            </w:r>
          </w:p>
        </w:tc>
        <w:tc>
          <w:tcPr>
            <w:tcW w:w="882" w:type="pct"/>
            <w:shd w:val="clear" w:color="auto" w:fill="auto"/>
            <w:vAlign w:val="center"/>
          </w:tcPr>
          <w:p w14:paraId="6B6F96FB" w14:textId="77777777" w:rsidR="008430AC" w:rsidRDefault="008430AC" w:rsidP="008430AC">
            <w:pPr>
              <w:tabs>
                <w:tab w:val="right" w:pos="0"/>
              </w:tabs>
              <w:rPr>
                <w:rFonts w:ascii="Calibri" w:hAnsi="Calibri"/>
                <w:sz w:val="16"/>
                <w:szCs w:val="16"/>
              </w:rPr>
            </w:pPr>
            <w:r w:rsidRPr="001648ED">
              <w:rPr>
                <w:rFonts w:ascii="Calibri" w:hAnsi="Calibri"/>
                <w:sz w:val="16"/>
                <w:szCs w:val="16"/>
              </w:rPr>
              <w:t>4183</w:t>
            </w:r>
          </w:p>
          <w:p w14:paraId="32FFFC5E" w14:textId="77777777" w:rsidR="008430AC" w:rsidRPr="00235B91" w:rsidRDefault="008430AC" w:rsidP="008430AC">
            <w:pPr>
              <w:tabs>
                <w:tab w:val="right" w:pos="0"/>
              </w:tabs>
              <w:rPr>
                <w:rFonts w:ascii="Calibri" w:hAnsi="Calibri"/>
                <w:sz w:val="16"/>
                <w:szCs w:val="16"/>
              </w:rPr>
            </w:pPr>
            <w:r w:rsidRPr="00235B91">
              <w:rPr>
                <w:sz w:val="16"/>
                <w:szCs w:val="16"/>
              </w:rPr>
              <w:t>4379</w:t>
            </w:r>
          </w:p>
        </w:tc>
        <w:tc>
          <w:tcPr>
            <w:tcW w:w="1205" w:type="pct"/>
          </w:tcPr>
          <w:p w14:paraId="2181832F"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 </w:t>
            </w:r>
          </w:p>
        </w:tc>
        <w:tc>
          <w:tcPr>
            <w:tcW w:w="1126" w:type="pct"/>
          </w:tcPr>
          <w:p w14:paraId="00925E2C" w14:textId="77777777" w:rsidR="008430AC" w:rsidRPr="00235B91" w:rsidRDefault="008430AC" w:rsidP="008430AC">
            <w:pPr>
              <w:jc w:val="center"/>
              <w:rPr>
                <w:rFonts w:ascii="Calibri" w:eastAsia="Arial Unicode MS" w:hAnsi="Calibri"/>
                <w:i/>
                <w:sz w:val="20"/>
                <w:szCs w:val="20"/>
                <w:u w:val="single"/>
              </w:rPr>
            </w:pPr>
            <w:r w:rsidRPr="00235B91">
              <w:rPr>
                <w:rFonts w:ascii="Calibri" w:hAnsi="Calibri"/>
                <w:i/>
                <w:sz w:val="20"/>
                <w:szCs w:val="20"/>
                <w:u w:val="single"/>
              </w:rPr>
              <w:t>at endorsement (US$)</w:t>
            </w:r>
          </w:p>
        </w:tc>
        <w:tc>
          <w:tcPr>
            <w:tcW w:w="1031" w:type="pct"/>
          </w:tcPr>
          <w:p w14:paraId="0A336507" w14:textId="77777777" w:rsidR="008430AC" w:rsidRPr="00235B91" w:rsidRDefault="008430AC" w:rsidP="008430AC">
            <w:pPr>
              <w:jc w:val="center"/>
              <w:rPr>
                <w:rFonts w:ascii="Calibri" w:eastAsia="Arial Unicode MS" w:hAnsi="Calibri"/>
                <w:i/>
                <w:sz w:val="20"/>
                <w:szCs w:val="20"/>
                <w:u w:val="single"/>
              </w:rPr>
            </w:pPr>
            <w:r w:rsidRPr="00235B91">
              <w:rPr>
                <w:rFonts w:ascii="Calibri" w:hAnsi="Calibri"/>
                <w:i/>
                <w:sz w:val="20"/>
                <w:szCs w:val="20"/>
                <w:u w:val="single"/>
              </w:rPr>
              <w:t>at completion (US$)</w:t>
            </w:r>
          </w:p>
        </w:tc>
      </w:tr>
      <w:tr w:rsidR="008430AC" w:rsidRPr="00D6638C" w14:paraId="5F218135" w14:textId="77777777" w:rsidTr="008430AC">
        <w:tblPrEx>
          <w:shd w:val="clear" w:color="auto" w:fill="auto"/>
        </w:tblPrEx>
        <w:trPr>
          <w:trHeight w:val="278"/>
        </w:trPr>
        <w:tc>
          <w:tcPr>
            <w:tcW w:w="756" w:type="pct"/>
            <w:gridSpan w:val="2"/>
            <w:shd w:val="clear" w:color="auto" w:fill="auto"/>
          </w:tcPr>
          <w:p w14:paraId="465E222C" w14:textId="77777777" w:rsidR="008430AC" w:rsidRPr="00235B91" w:rsidRDefault="008430AC" w:rsidP="008430AC">
            <w:pPr>
              <w:rPr>
                <w:rFonts w:ascii="Calibri" w:hAnsi="Calibri"/>
                <w:sz w:val="16"/>
                <w:szCs w:val="16"/>
              </w:rPr>
            </w:pPr>
            <w:r w:rsidRPr="00235B91">
              <w:rPr>
                <w:rFonts w:ascii="Calibri" w:hAnsi="Calibri"/>
                <w:sz w:val="16"/>
                <w:szCs w:val="16"/>
              </w:rPr>
              <w:t>UNDP proj. num.:</w:t>
            </w:r>
          </w:p>
          <w:p w14:paraId="2451DD82" w14:textId="77777777" w:rsidR="008430AC" w:rsidRPr="00235B91" w:rsidRDefault="008430AC" w:rsidP="008430AC">
            <w:pPr>
              <w:jc w:val="right"/>
              <w:rPr>
                <w:rFonts w:ascii="Calibri" w:hAnsi="Calibri"/>
                <w:sz w:val="16"/>
                <w:szCs w:val="16"/>
              </w:rPr>
            </w:pPr>
            <w:r w:rsidRPr="00235B91">
              <w:rPr>
                <w:rFonts w:ascii="Calibri" w:hAnsi="Calibri"/>
                <w:sz w:val="16"/>
                <w:szCs w:val="16"/>
              </w:rPr>
              <w:t>Atlas Project ID:</w:t>
            </w:r>
          </w:p>
          <w:p w14:paraId="73AB90CD" w14:textId="77777777" w:rsidR="008430AC" w:rsidRPr="00235B91" w:rsidRDefault="008430AC" w:rsidP="008430AC">
            <w:pPr>
              <w:jc w:val="right"/>
              <w:rPr>
                <w:rFonts w:ascii="Calibri" w:eastAsia="Arial Unicode MS" w:hAnsi="Calibri"/>
                <w:sz w:val="16"/>
                <w:szCs w:val="16"/>
              </w:rPr>
            </w:pPr>
            <w:r w:rsidRPr="00235B91">
              <w:rPr>
                <w:rFonts w:ascii="Calibri" w:hAnsi="Calibri"/>
                <w:sz w:val="16"/>
                <w:szCs w:val="16"/>
              </w:rPr>
              <w:t>Atlas Output ID:</w:t>
            </w:r>
          </w:p>
        </w:tc>
        <w:tc>
          <w:tcPr>
            <w:tcW w:w="882" w:type="pct"/>
            <w:shd w:val="clear" w:color="auto" w:fill="auto"/>
            <w:vAlign w:val="center"/>
          </w:tcPr>
          <w:p w14:paraId="17DEFABE" w14:textId="77777777" w:rsidR="008430AC" w:rsidRPr="00235B91" w:rsidRDefault="008430AC" w:rsidP="008430AC">
            <w:pPr>
              <w:tabs>
                <w:tab w:val="right" w:pos="0"/>
              </w:tabs>
              <w:rPr>
                <w:rFonts w:ascii="Calibri" w:hAnsi="Calibri"/>
                <w:sz w:val="16"/>
                <w:szCs w:val="16"/>
              </w:rPr>
            </w:pPr>
          </w:p>
          <w:p w14:paraId="6045FEA6" w14:textId="77777777" w:rsidR="008430AC" w:rsidRPr="00235B91" w:rsidRDefault="008430AC" w:rsidP="008430AC">
            <w:pPr>
              <w:tabs>
                <w:tab w:val="right" w:pos="0"/>
              </w:tabs>
              <w:rPr>
                <w:sz w:val="16"/>
                <w:szCs w:val="16"/>
              </w:rPr>
            </w:pPr>
            <w:r w:rsidRPr="00235B91">
              <w:rPr>
                <w:sz w:val="16"/>
                <w:szCs w:val="16"/>
              </w:rPr>
              <w:t>78482</w:t>
            </w:r>
          </w:p>
          <w:p w14:paraId="784705E9" w14:textId="77777777" w:rsidR="008430AC" w:rsidRPr="00235B91" w:rsidRDefault="008430AC" w:rsidP="008430AC">
            <w:pPr>
              <w:tabs>
                <w:tab w:val="right" w:pos="0"/>
              </w:tabs>
              <w:rPr>
                <w:rFonts w:ascii="Calibri" w:hAnsi="Calibri"/>
                <w:bCs/>
                <w:sz w:val="16"/>
                <w:szCs w:val="16"/>
              </w:rPr>
            </w:pPr>
            <w:r w:rsidRPr="00235B91">
              <w:rPr>
                <w:sz w:val="16"/>
                <w:szCs w:val="16"/>
              </w:rPr>
              <w:t>61741</w:t>
            </w:r>
          </w:p>
        </w:tc>
        <w:tc>
          <w:tcPr>
            <w:tcW w:w="1205" w:type="pct"/>
          </w:tcPr>
          <w:p w14:paraId="57BAB327"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 xml:space="preserve">GEF financing: </w:t>
            </w:r>
          </w:p>
        </w:tc>
        <w:tc>
          <w:tcPr>
            <w:tcW w:w="1126" w:type="pct"/>
          </w:tcPr>
          <w:p w14:paraId="3077D495" w14:textId="77777777" w:rsidR="008430AC" w:rsidRPr="00235B91" w:rsidRDefault="008430AC" w:rsidP="008430AC">
            <w:pPr>
              <w:rPr>
                <w:rFonts w:ascii="Calibri" w:eastAsia="Arial Unicode MS" w:hAnsi="Calibri"/>
                <w:sz w:val="20"/>
                <w:szCs w:val="20"/>
              </w:rPr>
            </w:pPr>
            <w:r w:rsidRPr="00235B91">
              <w:rPr>
                <w:rFonts w:ascii="Calibri" w:hAnsi="Calibri"/>
                <w:sz w:val="20"/>
                <w:szCs w:val="20"/>
              </w:rPr>
              <w:t>510,450</w:t>
            </w:r>
          </w:p>
        </w:tc>
        <w:tc>
          <w:tcPr>
            <w:tcW w:w="1031" w:type="pct"/>
          </w:tcPr>
          <w:p w14:paraId="002323D0" w14:textId="77777777" w:rsidR="008430AC" w:rsidRPr="00235B91" w:rsidRDefault="008430AC" w:rsidP="008430AC">
            <w:pPr>
              <w:jc w:val="both"/>
              <w:rPr>
                <w:rFonts w:ascii="Calibri" w:eastAsia="Arial Unicode MS" w:hAnsi="Calibri"/>
                <w:sz w:val="20"/>
                <w:szCs w:val="20"/>
              </w:rPr>
            </w:pPr>
            <w:r w:rsidRPr="00235B91">
              <w:rPr>
                <w:rFonts w:ascii="Calibri" w:hAnsi="Calibri"/>
                <w:sz w:val="20"/>
                <w:szCs w:val="20"/>
              </w:rPr>
              <w:t>510,450</w:t>
            </w:r>
          </w:p>
        </w:tc>
      </w:tr>
      <w:tr w:rsidR="008430AC" w:rsidRPr="00D6638C" w14:paraId="5BF16188" w14:textId="77777777" w:rsidTr="008430AC">
        <w:tblPrEx>
          <w:shd w:val="clear" w:color="auto" w:fill="auto"/>
        </w:tblPrEx>
        <w:trPr>
          <w:trHeight w:val="269"/>
        </w:trPr>
        <w:tc>
          <w:tcPr>
            <w:tcW w:w="756" w:type="pct"/>
            <w:gridSpan w:val="2"/>
          </w:tcPr>
          <w:p w14:paraId="2366B343" w14:textId="77777777" w:rsidR="008430AC" w:rsidRPr="00235B91" w:rsidRDefault="008430AC" w:rsidP="008430AC">
            <w:pPr>
              <w:jc w:val="right"/>
              <w:rPr>
                <w:rFonts w:ascii="Calibri" w:hAnsi="Calibri"/>
                <w:sz w:val="20"/>
                <w:szCs w:val="20"/>
              </w:rPr>
            </w:pPr>
            <w:r w:rsidRPr="00235B91">
              <w:rPr>
                <w:rFonts w:ascii="Calibri" w:hAnsi="Calibri"/>
                <w:sz w:val="20"/>
                <w:szCs w:val="20"/>
              </w:rPr>
              <w:t>Country:</w:t>
            </w:r>
          </w:p>
        </w:tc>
        <w:tc>
          <w:tcPr>
            <w:tcW w:w="882" w:type="pct"/>
            <w:vAlign w:val="center"/>
          </w:tcPr>
          <w:p w14:paraId="35F7CD82"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Republic of Moldova</w:t>
            </w:r>
          </w:p>
        </w:tc>
        <w:tc>
          <w:tcPr>
            <w:tcW w:w="1205" w:type="pct"/>
          </w:tcPr>
          <w:p w14:paraId="7E93C898" w14:textId="77777777" w:rsidR="008430AC" w:rsidRPr="00235B91" w:rsidRDefault="008430AC" w:rsidP="008430AC">
            <w:pPr>
              <w:jc w:val="right"/>
              <w:rPr>
                <w:rFonts w:ascii="Calibri" w:hAnsi="Calibri"/>
                <w:sz w:val="20"/>
                <w:szCs w:val="20"/>
              </w:rPr>
            </w:pPr>
            <w:r w:rsidRPr="00235B91">
              <w:rPr>
                <w:rFonts w:ascii="Calibri" w:hAnsi="Calibri"/>
                <w:bCs/>
                <w:sz w:val="20"/>
                <w:szCs w:val="20"/>
              </w:rPr>
              <w:t>IA/EA own:</w:t>
            </w:r>
          </w:p>
        </w:tc>
        <w:tc>
          <w:tcPr>
            <w:tcW w:w="1126" w:type="pct"/>
          </w:tcPr>
          <w:p w14:paraId="06835D4B"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 xml:space="preserve">110,000 </w:t>
            </w:r>
          </w:p>
          <w:p w14:paraId="789EB346" w14:textId="77777777" w:rsidR="008430AC" w:rsidRPr="00235B91" w:rsidRDefault="008430AC" w:rsidP="008430AC">
            <w:pPr>
              <w:rPr>
                <w:rFonts w:ascii="Calibri" w:eastAsia="Arial Unicode MS" w:hAnsi="Calibri"/>
                <w:sz w:val="20"/>
                <w:szCs w:val="20"/>
              </w:rPr>
            </w:pPr>
          </w:p>
        </w:tc>
        <w:tc>
          <w:tcPr>
            <w:tcW w:w="1031" w:type="pct"/>
          </w:tcPr>
          <w:p w14:paraId="7B508AFF" w14:textId="77777777" w:rsidR="008430AC" w:rsidRPr="00235B91" w:rsidRDefault="008430AC" w:rsidP="008430AC">
            <w:pPr>
              <w:jc w:val="both"/>
              <w:rPr>
                <w:rFonts w:ascii="Calibri" w:eastAsia="Arial Unicode MS" w:hAnsi="Calibri"/>
                <w:sz w:val="20"/>
                <w:szCs w:val="20"/>
              </w:rPr>
            </w:pPr>
            <w:r w:rsidRPr="00235B91">
              <w:rPr>
                <w:rFonts w:ascii="Calibri" w:eastAsia="Arial Unicode MS" w:hAnsi="Calibri"/>
                <w:sz w:val="20"/>
                <w:szCs w:val="20"/>
              </w:rPr>
              <w:t>110,000</w:t>
            </w:r>
          </w:p>
        </w:tc>
      </w:tr>
      <w:tr w:rsidR="008430AC" w:rsidRPr="00D6638C" w14:paraId="4813BA24" w14:textId="77777777" w:rsidTr="008430AC">
        <w:tblPrEx>
          <w:shd w:val="clear" w:color="auto" w:fill="auto"/>
        </w:tblPrEx>
        <w:trPr>
          <w:trHeight w:val="296"/>
        </w:trPr>
        <w:tc>
          <w:tcPr>
            <w:tcW w:w="756" w:type="pct"/>
            <w:gridSpan w:val="2"/>
          </w:tcPr>
          <w:p w14:paraId="563772D9" w14:textId="77777777" w:rsidR="008430AC" w:rsidRPr="00235B91" w:rsidRDefault="008430AC" w:rsidP="008430AC">
            <w:pPr>
              <w:jc w:val="right"/>
              <w:rPr>
                <w:rFonts w:ascii="Calibri" w:hAnsi="Calibri"/>
                <w:sz w:val="20"/>
                <w:szCs w:val="20"/>
              </w:rPr>
            </w:pPr>
            <w:r w:rsidRPr="00235B91">
              <w:rPr>
                <w:rFonts w:ascii="Calibri" w:hAnsi="Calibri"/>
                <w:sz w:val="20"/>
                <w:szCs w:val="20"/>
              </w:rPr>
              <w:t>Region:</w:t>
            </w:r>
          </w:p>
        </w:tc>
        <w:tc>
          <w:tcPr>
            <w:tcW w:w="882" w:type="pct"/>
            <w:vAlign w:val="center"/>
          </w:tcPr>
          <w:p w14:paraId="283DE3DF" w14:textId="77777777" w:rsidR="008430AC" w:rsidRPr="00235B91" w:rsidRDefault="008430AC" w:rsidP="008430AC">
            <w:pPr>
              <w:tabs>
                <w:tab w:val="right" w:pos="0"/>
              </w:tabs>
              <w:rPr>
                <w:rFonts w:ascii="Calibri" w:hAnsi="Calibri"/>
                <w:sz w:val="20"/>
                <w:szCs w:val="20"/>
                <w:lang w:val="es-ES_tradnl"/>
              </w:rPr>
            </w:pPr>
            <w:r w:rsidRPr="00235B91">
              <w:rPr>
                <w:rFonts w:ascii="Calibri" w:hAnsi="Calibri"/>
                <w:sz w:val="20"/>
                <w:szCs w:val="20"/>
              </w:rPr>
              <w:t>Europe and CIS</w:t>
            </w:r>
          </w:p>
        </w:tc>
        <w:tc>
          <w:tcPr>
            <w:tcW w:w="1205" w:type="pct"/>
          </w:tcPr>
          <w:p w14:paraId="695BB135" w14:textId="77777777" w:rsidR="008430AC" w:rsidRPr="00235B91" w:rsidRDefault="008430AC" w:rsidP="008430AC">
            <w:pPr>
              <w:jc w:val="right"/>
              <w:rPr>
                <w:rFonts w:ascii="Calibri" w:hAnsi="Calibri"/>
                <w:sz w:val="20"/>
                <w:szCs w:val="20"/>
              </w:rPr>
            </w:pPr>
            <w:r w:rsidRPr="00235B91">
              <w:rPr>
                <w:rFonts w:ascii="Calibri" w:hAnsi="Calibri"/>
                <w:bCs/>
                <w:sz w:val="20"/>
                <w:szCs w:val="20"/>
              </w:rPr>
              <w:t>Government (in kind):</w:t>
            </w:r>
          </w:p>
        </w:tc>
        <w:tc>
          <w:tcPr>
            <w:tcW w:w="1126" w:type="pct"/>
          </w:tcPr>
          <w:p w14:paraId="7DAA3E3A"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250,000</w:t>
            </w:r>
          </w:p>
        </w:tc>
        <w:tc>
          <w:tcPr>
            <w:tcW w:w="1031" w:type="pct"/>
          </w:tcPr>
          <w:p w14:paraId="07224091" w14:textId="77777777" w:rsidR="008430AC" w:rsidRPr="00235B91" w:rsidRDefault="008430AC" w:rsidP="008430AC">
            <w:pPr>
              <w:jc w:val="both"/>
              <w:rPr>
                <w:rFonts w:ascii="Calibri" w:hAnsi="Calibri"/>
                <w:sz w:val="20"/>
                <w:szCs w:val="20"/>
              </w:rPr>
            </w:pPr>
          </w:p>
        </w:tc>
      </w:tr>
      <w:tr w:rsidR="008430AC" w:rsidRPr="00D6638C" w14:paraId="130510E4" w14:textId="77777777" w:rsidTr="008430AC">
        <w:tblPrEx>
          <w:shd w:val="clear" w:color="auto" w:fill="auto"/>
        </w:tblPrEx>
        <w:trPr>
          <w:trHeight w:val="314"/>
        </w:trPr>
        <w:tc>
          <w:tcPr>
            <w:tcW w:w="756" w:type="pct"/>
            <w:gridSpan w:val="2"/>
          </w:tcPr>
          <w:p w14:paraId="37D8CB26" w14:textId="77777777" w:rsidR="008430AC" w:rsidRPr="00235B91" w:rsidRDefault="008430AC" w:rsidP="008430AC">
            <w:pPr>
              <w:jc w:val="right"/>
              <w:rPr>
                <w:rFonts w:ascii="Calibri" w:hAnsi="Calibri"/>
                <w:sz w:val="20"/>
                <w:szCs w:val="20"/>
              </w:rPr>
            </w:pPr>
            <w:r w:rsidRPr="00235B91">
              <w:rPr>
                <w:rFonts w:ascii="Calibri" w:hAnsi="Calibri"/>
                <w:sz w:val="20"/>
                <w:szCs w:val="20"/>
              </w:rPr>
              <w:t>Focal Area:</w:t>
            </w:r>
          </w:p>
        </w:tc>
        <w:tc>
          <w:tcPr>
            <w:tcW w:w="882" w:type="pct"/>
            <w:vAlign w:val="center"/>
          </w:tcPr>
          <w:p w14:paraId="12F64301" w14:textId="77777777" w:rsidR="008430AC" w:rsidRPr="00235B91" w:rsidRDefault="008430AC" w:rsidP="008430AC">
            <w:pPr>
              <w:tabs>
                <w:tab w:val="right" w:pos="0"/>
              </w:tabs>
              <w:rPr>
                <w:rFonts w:ascii="Calibri" w:hAnsi="Calibri"/>
                <w:sz w:val="20"/>
                <w:szCs w:val="20"/>
              </w:rPr>
            </w:pPr>
            <w:r w:rsidRPr="001648ED">
              <w:rPr>
                <w:rFonts w:ascii="Calibri" w:hAnsi="Calibri"/>
                <w:sz w:val="20"/>
                <w:szCs w:val="20"/>
              </w:rPr>
              <w:t>Multi Focal Area</w:t>
            </w:r>
          </w:p>
        </w:tc>
        <w:tc>
          <w:tcPr>
            <w:tcW w:w="1205" w:type="pct"/>
          </w:tcPr>
          <w:p w14:paraId="0C753ACF" w14:textId="77777777" w:rsidR="008430AC" w:rsidRPr="00235B91" w:rsidRDefault="008430AC" w:rsidP="008430AC">
            <w:pPr>
              <w:jc w:val="right"/>
              <w:rPr>
                <w:rFonts w:ascii="Calibri" w:hAnsi="Calibri"/>
                <w:bCs/>
                <w:sz w:val="20"/>
                <w:szCs w:val="20"/>
              </w:rPr>
            </w:pPr>
            <w:r w:rsidRPr="00235B91">
              <w:rPr>
                <w:rFonts w:ascii="Calibri" w:hAnsi="Calibri"/>
                <w:bCs/>
                <w:sz w:val="20"/>
                <w:szCs w:val="20"/>
              </w:rPr>
              <w:t>Other:</w:t>
            </w:r>
          </w:p>
          <w:p w14:paraId="085DC895" w14:textId="77777777" w:rsidR="008430AC" w:rsidRPr="00235B91" w:rsidRDefault="008430AC" w:rsidP="008430AC">
            <w:pPr>
              <w:jc w:val="right"/>
              <w:rPr>
                <w:rFonts w:ascii="Calibri" w:eastAsia="Arial Unicode MS" w:hAnsi="Calibri"/>
                <w:sz w:val="20"/>
                <w:szCs w:val="20"/>
              </w:rPr>
            </w:pPr>
            <w:r w:rsidRPr="00235B91">
              <w:rPr>
                <w:rFonts w:ascii="Calibri" w:hAnsi="Calibri"/>
                <w:bCs/>
                <w:sz w:val="20"/>
                <w:szCs w:val="20"/>
              </w:rPr>
              <w:t xml:space="preserve">OECD </w:t>
            </w:r>
            <w:r w:rsidRPr="00235B91">
              <w:rPr>
                <w:rFonts w:ascii="Calibri" w:eastAsia="Arial Unicode MS" w:hAnsi="Calibri"/>
                <w:sz w:val="20"/>
                <w:szCs w:val="20"/>
              </w:rPr>
              <w:t>(in  kind)</w:t>
            </w:r>
          </w:p>
          <w:p w14:paraId="10E4A425" w14:textId="77777777" w:rsidR="008430AC" w:rsidRPr="00235B91" w:rsidRDefault="008430AC" w:rsidP="008430AC">
            <w:pPr>
              <w:jc w:val="right"/>
              <w:rPr>
                <w:rFonts w:ascii="Calibri" w:eastAsia="Arial Unicode MS" w:hAnsi="Calibri"/>
                <w:sz w:val="20"/>
                <w:szCs w:val="20"/>
              </w:rPr>
            </w:pPr>
            <w:r w:rsidRPr="00235B91">
              <w:rPr>
                <w:rFonts w:ascii="Calibri" w:eastAsia="Arial Unicode MS" w:hAnsi="Calibri"/>
                <w:sz w:val="20"/>
                <w:szCs w:val="20"/>
              </w:rPr>
              <w:t>UNDP (in kind)</w:t>
            </w:r>
          </w:p>
          <w:p w14:paraId="2E79D2C5" w14:textId="77777777" w:rsidR="008430AC" w:rsidRPr="00235B91" w:rsidRDefault="008430AC" w:rsidP="008430AC">
            <w:pPr>
              <w:jc w:val="right"/>
              <w:rPr>
                <w:rFonts w:ascii="Calibri" w:eastAsia="Arial Unicode MS" w:hAnsi="Calibri"/>
                <w:sz w:val="20"/>
                <w:szCs w:val="20"/>
              </w:rPr>
            </w:pPr>
          </w:p>
          <w:p w14:paraId="1297934E" w14:textId="77777777" w:rsidR="008430AC" w:rsidRPr="00235B91" w:rsidRDefault="008430AC" w:rsidP="008430AC">
            <w:pPr>
              <w:jc w:val="right"/>
              <w:rPr>
                <w:rFonts w:ascii="Calibri" w:hAnsi="Calibri"/>
                <w:sz w:val="20"/>
                <w:szCs w:val="20"/>
              </w:rPr>
            </w:pPr>
          </w:p>
        </w:tc>
        <w:tc>
          <w:tcPr>
            <w:tcW w:w="1126" w:type="pct"/>
          </w:tcPr>
          <w:p w14:paraId="5BFAD29A" w14:textId="77777777" w:rsidR="008430AC" w:rsidRPr="00235B91" w:rsidRDefault="008430AC" w:rsidP="008430AC">
            <w:pPr>
              <w:rPr>
                <w:rFonts w:ascii="Calibri" w:eastAsia="Arial Unicode MS" w:hAnsi="Calibri"/>
                <w:sz w:val="20"/>
                <w:szCs w:val="20"/>
              </w:rPr>
            </w:pPr>
          </w:p>
          <w:p w14:paraId="406E51C9"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200,000</w:t>
            </w:r>
          </w:p>
          <w:p w14:paraId="63445ED0" w14:textId="77777777" w:rsidR="008430AC" w:rsidRPr="00235B91" w:rsidRDefault="008430AC" w:rsidP="008430AC">
            <w:pPr>
              <w:rPr>
                <w:rFonts w:ascii="Calibri" w:hAnsi="Calibri"/>
                <w:sz w:val="20"/>
                <w:szCs w:val="20"/>
              </w:rPr>
            </w:pPr>
            <w:r w:rsidRPr="00235B91">
              <w:rPr>
                <w:rFonts w:ascii="Calibri" w:eastAsia="Arial Unicode MS" w:hAnsi="Calibri"/>
                <w:sz w:val="20"/>
                <w:szCs w:val="20"/>
              </w:rPr>
              <w:t>50,000</w:t>
            </w:r>
          </w:p>
        </w:tc>
        <w:tc>
          <w:tcPr>
            <w:tcW w:w="1031" w:type="pct"/>
          </w:tcPr>
          <w:p w14:paraId="50F646C0" w14:textId="77777777" w:rsidR="008430AC" w:rsidRPr="00235B91" w:rsidRDefault="008430AC" w:rsidP="008430AC">
            <w:pPr>
              <w:jc w:val="both"/>
              <w:rPr>
                <w:rFonts w:ascii="Calibri" w:hAnsi="Calibri"/>
                <w:sz w:val="20"/>
                <w:szCs w:val="20"/>
              </w:rPr>
            </w:pPr>
          </w:p>
        </w:tc>
      </w:tr>
      <w:tr w:rsidR="008430AC" w:rsidRPr="00D6638C" w14:paraId="3081EAA8" w14:textId="77777777" w:rsidTr="008430AC">
        <w:tblPrEx>
          <w:shd w:val="clear" w:color="auto" w:fill="auto"/>
        </w:tblPrEx>
        <w:trPr>
          <w:trHeight w:val="553"/>
        </w:trPr>
        <w:tc>
          <w:tcPr>
            <w:tcW w:w="756" w:type="pct"/>
            <w:gridSpan w:val="2"/>
          </w:tcPr>
          <w:p w14:paraId="4465A5D6"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FA Objectives, (OP/SP):</w:t>
            </w:r>
          </w:p>
        </w:tc>
        <w:tc>
          <w:tcPr>
            <w:tcW w:w="882" w:type="pct"/>
            <w:vAlign w:val="center"/>
          </w:tcPr>
          <w:p w14:paraId="0A97E6A0"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SP1</w:t>
            </w:r>
          </w:p>
        </w:tc>
        <w:tc>
          <w:tcPr>
            <w:tcW w:w="1205" w:type="pct"/>
          </w:tcPr>
          <w:p w14:paraId="0077407A" w14:textId="77777777" w:rsidR="008430AC" w:rsidRPr="00235B91" w:rsidRDefault="008430AC" w:rsidP="008430AC">
            <w:pPr>
              <w:jc w:val="right"/>
              <w:rPr>
                <w:rFonts w:ascii="Calibri" w:hAnsi="Calibri"/>
                <w:sz w:val="20"/>
                <w:szCs w:val="20"/>
              </w:rPr>
            </w:pPr>
            <w:r w:rsidRPr="00235B91">
              <w:rPr>
                <w:rFonts w:ascii="Calibri" w:hAnsi="Calibri"/>
                <w:sz w:val="20"/>
                <w:szCs w:val="20"/>
              </w:rPr>
              <w:t>Total co-financing:</w:t>
            </w:r>
          </w:p>
        </w:tc>
        <w:tc>
          <w:tcPr>
            <w:tcW w:w="1126" w:type="pct"/>
          </w:tcPr>
          <w:p w14:paraId="79F12C35"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 xml:space="preserve">610,000 </w:t>
            </w:r>
          </w:p>
          <w:p w14:paraId="3439EDAF"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(incl. 500,000 in kind)</w:t>
            </w:r>
          </w:p>
        </w:tc>
        <w:tc>
          <w:tcPr>
            <w:tcW w:w="1031" w:type="pct"/>
          </w:tcPr>
          <w:p w14:paraId="2D601E54" w14:textId="77777777" w:rsidR="008430AC" w:rsidRDefault="008430AC" w:rsidP="008430AC">
            <w:pPr>
              <w:jc w:val="both"/>
              <w:rPr>
                <w:rFonts w:ascii="Calibri" w:hAnsi="Calibri"/>
                <w:sz w:val="20"/>
                <w:szCs w:val="20"/>
              </w:rPr>
            </w:pPr>
            <w:r w:rsidRPr="00235B91">
              <w:rPr>
                <w:rFonts w:ascii="Calibri" w:hAnsi="Calibri"/>
                <w:sz w:val="20"/>
                <w:szCs w:val="20"/>
              </w:rPr>
              <w:t>610,000</w:t>
            </w:r>
          </w:p>
          <w:p w14:paraId="5B78487E" w14:textId="77777777" w:rsidR="008430AC" w:rsidRPr="00235B91" w:rsidRDefault="008430AC" w:rsidP="008430AC">
            <w:pPr>
              <w:jc w:val="both"/>
              <w:rPr>
                <w:rFonts w:ascii="Calibri" w:hAnsi="Calibri"/>
                <w:sz w:val="20"/>
                <w:szCs w:val="20"/>
              </w:rPr>
            </w:pPr>
            <w:r w:rsidRPr="00235B91">
              <w:rPr>
                <w:rFonts w:ascii="Calibri" w:eastAsia="Arial Unicode MS" w:hAnsi="Calibri"/>
                <w:sz w:val="20"/>
                <w:szCs w:val="20"/>
              </w:rPr>
              <w:t>(incl. 500,000 in kind)</w:t>
            </w:r>
          </w:p>
        </w:tc>
      </w:tr>
      <w:tr w:rsidR="008430AC" w:rsidRPr="00D6638C" w14:paraId="115B0971" w14:textId="77777777" w:rsidTr="008430AC">
        <w:tblPrEx>
          <w:shd w:val="clear" w:color="auto" w:fill="auto"/>
        </w:tblPrEx>
        <w:trPr>
          <w:trHeight w:val="341"/>
        </w:trPr>
        <w:tc>
          <w:tcPr>
            <w:tcW w:w="756" w:type="pct"/>
            <w:gridSpan w:val="2"/>
          </w:tcPr>
          <w:p w14:paraId="0314038E"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Executing Agency:</w:t>
            </w:r>
          </w:p>
        </w:tc>
        <w:tc>
          <w:tcPr>
            <w:tcW w:w="882" w:type="pct"/>
            <w:vAlign w:val="center"/>
          </w:tcPr>
          <w:p w14:paraId="31D90DDE"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Ministry of Environment</w:t>
            </w:r>
          </w:p>
        </w:tc>
        <w:tc>
          <w:tcPr>
            <w:tcW w:w="1205" w:type="pct"/>
          </w:tcPr>
          <w:p w14:paraId="6EF5C8BA"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Total Project Cost:</w:t>
            </w:r>
          </w:p>
        </w:tc>
        <w:tc>
          <w:tcPr>
            <w:tcW w:w="1126" w:type="pct"/>
          </w:tcPr>
          <w:p w14:paraId="6622788F"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1,120,450</w:t>
            </w:r>
          </w:p>
          <w:p w14:paraId="537802DB" w14:textId="77777777" w:rsidR="008430AC" w:rsidRPr="00235B91" w:rsidRDefault="008430AC" w:rsidP="008430AC">
            <w:pPr>
              <w:rPr>
                <w:rFonts w:ascii="Calibri" w:eastAsia="Arial Unicode MS" w:hAnsi="Calibri"/>
                <w:sz w:val="20"/>
                <w:szCs w:val="20"/>
              </w:rPr>
            </w:pPr>
            <w:r w:rsidRPr="00235B91">
              <w:rPr>
                <w:rFonts w:ascii="Calibri" w:eastAsia="Arial Unicode MS" w:hAnsi="Calibri"/>
                <w:sz w:val="20"/>
                <w:szCs w:val="20"/>
              </w:rPr>
              <w:t>(incl. 500,000 in kind)</w:t>
            </w:r>
          </w:p>
        </w:tc>
        <w:tc>
          <w:tcPr>
            <w:tcW w:w="1031" w:type="pct"/>
          </w:tcPr>
          <w:p w14:paraId="3E125D88" w14:textId="77777777" w:rsidR="008430AC" w:rsidRDefault="008430AC" w:rsidP="008430AC">
            <w:pPr>
              <w:jc w:val="both"/>
              <w:rPr>
                <w:rFonts w:ascii="Calibri" w:eastAsia="Arial Unicode MS" w:hAnsi="Calibri"/>
                <w:sz w:val="20"/>
                <w:szCs w:val="20"/>
              </w:rPr>
            </w:pPr>
            <w:r w:rsidRPr="00235B91">
              <w:rPr>
                <w:rFonts w:ascii="Calibri" w:eastAsia="Arial Unicode MS" w:hAnsi="Calibri"/>
                <w:sz w:val="20"/>
                <w:szCs w:val="20"/>
              </w:rPr>
              <w:t>1,120,450</w:t>
            </w:r>
          </w:p>
          <w:p w14:paraId="619AF94E" w14:textId="77777777" w:rsidR="008430AC" w:rsidRPr="00235B91" w:rsidRDefault="008430AC" w:rsidP="008430AC">
            <w:pPr>
              <w:jc w:val="both"/>
              <w:rPr>
                <w:rFonts w:ascii="Calibri" w:eastAsia="Arial Unicode MS" w:hAnsi="Calibri"/>
                <w:sz w:val="20"/>
                <w:szCs w:val="20"/>
              </w:rPr>
            </w:pPr>
            <w:r w:rsidRPr="00235B91">
              <w:rPr>
                <w:rFonts w:ascii="Calibri" w:eastAsia="Arial Unicode MS" w:hAnsi="Calibri"/>
                <w:sz w:val="20"/>
                <w:szCs w:val="20"/>
              </w:rPr>
              <w:t>(incl. 500,000 in kind)</w:t>
            </w:r>
          </w:p>
        </w:tc>
      </w:tr>
      <w:tr w:rsidR="008430AC" w:rsidRPr="00D6638C" w14:paraId="0E6842F9" w14:textId="77777777" w:rsidTr="008430AC">
        <w:tblPrEx>
          <w:shd w:val="clear" w:color="auto" w:fill="auto"/>
        </w:tblPrEx>
        <w:trPr>
          <w:trHeight w:val="368"/>
        </w:trPr>
        <w:tc>
          <w:tcPr>
            <w:tcW w:w="756" w:type="pct"/>
            <w:gridSpan w:val="2"/>
            <w:vMerge w:val="restart"/>
          </w:tcPr>
          <w:p w14:paraId="6C86014D"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Other Partners involved:</w:t>
            </w:r>
          </w:p>
        </w:tc>
        <w:tc>
          <w:tcPr>
            <w:tcW w:w="882" w:type="pct"/>
            <w:vMerge w:val="restart"/>
            <w:vAlign w:val="center"/>
          </w:tcPr>
          <w:p w14:paraId="6BECCB39"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 xml:space="preserve">OECD, </w:t>
            </w:r>
          </w:p>
          <w:p w14:paraId="763D4B68"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Local public Authorities</w:t>
            </w:r>
          </w:p>
        </w:tc>
        <w:tc>
          <w:tcPr>
            <w:tcW w:w="2331" w:type="pct"/>
            <w:gridSpan w:val="2"/>
          </w:tcPr>
          <w:p w14:paraId="2882BECE" w14:textId="77777777" w:rsidR="008430AC" w:rsidRPr="00235B91" w:rsidRDefault="008430AC" w:rsidP="008430AC">
            <w:pPr>
              <w:tabs>
                <w:tab w:val="right" w:pos="0"/>
              </w:tabs>
              <w:jc w:val="right"/>
              <w:rPr>
                <w:rFonts w:ascii="Calibri" w:hAnsi="Calibri"/>
                <w:sz w:val="20"/>
                <w:szCs w:val="20"/>
              </w:rPr>
            </w:pPr>
            <w:r w:rsidRPr="00235B91">
              <w:rPr>
                <w:rFonts w:ascii="Calibri" w:hAnsi="Calibri"/>
                <w:sz w:val="20"/>
                <w:szCs w:val="20"/>
              </w:rPr>
              <w:t xml:space="preserve">ProDoc Signature (date project began): </w:t>
            </w:r>
          </w:p>
        </w:tc>
        <w:tc>
          <w:tcPr>
            <w:tcW w:w="1031" w:type="pct"/>
            <w:vAlign w:val="center"/>
          </w:tcPr>
          <w:p w14:paraId="3ADEBF93"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28.10.2011</w:t>
            </w:r>
          </w:p>
        </w:tc>
      </w:tr>
      <w:tr w:rsidR="008430AC" w:rsidRPr="00D6638C" w14:paraId="59A690A8" w14:textId="77777777" w:rsidTr="008430AC">
        <w:tblPrEx>
          <w:shd w:val="clear" w:color="auto" w:fill="auto"/>
        </w:tblPrEx>
        <w:trPr>
          <w:trHeight w:val="144"/>
        </w:trPr>
        <w:tc>
          <w:tcPr>
            <w:tcW w:w="756" w:type="pct"/>
            <w:gridSpan w:val="2"/>
            <w:vMerge/>
            <w:vAlign w:val="center"/>
          </w:tcPr>
          <w:p w14:paraId="50DDF265" w14:textId="77777777" w:rsidR="008430AC" w:rsidRPr="00235B91" w:rsidRDefault="008430AC" w:rsidP="008430AC">
            <w:pPr>
              <w:rPr>
                <w:rFonts w:ascii="Calibri" w:eastAsia="Arial Unicode MS" w:hAnsi="Calibri"/>
                <w:sz w:val="20"/>
                <w:szCs w:val="20"/>
              </w:rPr>
            </w:pPr>
          </w:p>
        </w:tc>
        <w:tc>
          <w:tcPr>
            <w:tcW w:w="882" w:type="pct"/>
            <w:vMerge/>
          </w:tcPr>
          <w:p w14:paraId="6DA8DF69" w14:textId="77777777" w:rsidR="008430AC" w:rsidRPr="00235B91" w:rsidRDefault="008430AC" w:rsidP="008430AC">
            <w:pPr>
              <w:tabs>
                <w:tab w:val="right" w:pos="0"/>
              </w:tabs>
              <w:jc w:val="center"/>
              <w:rPr>
                <w:rFonts w:ascii="Calibri" w:hAnsi="Calibri"/>
                <w:sz w:val="20"/>
                <w:szCs w:val="20"/>
              </w:rPr>
            </w:pPr>
          </w:p>
        </w:tc>
        <w:tc>
          <w:tcPr>
            <w:tcW w:w="1205" w:type="pct"/>
          </w:tcPr>
          <w:p w14:paraId="028FAD5E" w14:textId="77777777" w:rsidR="008430AC" w:rsidRPr="00235B91" w:rsidRDefault="008430AC" w:rsidP="008430AC">
            <w:pPr>
              <w:jc w:val="right"/>
              <w:rPr>
                <w:rFonts w:ascii="Calibri" w:eastAsia="Arial Unicode MS" w:hAnsi="Calibri"/>
                <w:sz w:val="20"/>
                <w:szCs w:val="20"/>
              </w:rPr>
            </w:pPr>
            <w:r w:rsidRPr="00235B91">
              <w:rPr>
                <w:rFonts w:ascii="Calibri" w:hAnsi="Calibri"/>
                <w:sz w:val="20"/>
                <w:szCs w:val="20"/>
              </w:rPr>
              <w:t>(Operational) Closing Date:</w:t>
            </w:r>
          </w:p>
        </w:tc>
        <w:tc>
          <w:tcPr>
            <w:tcW w:w="1126" w:type="pct"/>
          </w:tcPr>
          <w:p w14:paraId="5CFAAA1E"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Proposed:</w:t>
            </w:r>
          </w:p>
          <w:p w14:paraId="175D18DF"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31 December 2014</w:t>
            </w:r>
          </w:p>
        </w:tc>
        <w:tc>
          <w:tcPr>
            <w:tcW w:w="1031" w:type="pct"/>
          </w:tcPr>
          <w:p w14:paraId="698FD091"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Actual:</w:t>
            </w:r>
          </w:p>
          <w:p w14:paraId="4D41354C" w14:textId="77777777" w:rsidR="008430AC" w:rsidRPr="00235B91" w:rsidRDefault="008430AC" w:rsidP="008430AC">
            <w:pPr>
              <w:tabs>
                <w:tab w:val="right" w:pos="0"/>
              </w:tabs>
              <w:rPr>
                <w:rFonts w:ascii="Calibri" w:hAnsi="Calibri"/>
                <w:sz w:val="20"/>
                <w:szCs w:val="20"/>
              </w:rPr>
            </w:pPr>
            <w:r w:rsidRPr="00235B91">
              <w:rPr>
                <w:rFonts w:ascii="Calibri" w:hAnsi="Calibri"/>
                <w:sz w:val="20"/>
                <w:szCs w:val="20"/>
              </w:rPr>
              <w:t>31 September 2015</w:t>
            </w:r>
          </w:p>
        </w:tc>
      </w:tr>
    </w:tbl>
    <w:p w14:paraId="66085405" w14:textId="77777777" w:rsidR="008430AC" w:rsidRPr="00B913F1" w:rsidRDefault="008430AC" w:rsidP="008430AC">
      <w:pPr>
        <w:pStyle w:val="Heading51"/>
      </w:pPr>
      <w:bookmarkStart w:id="73" w:name="_Toc321341549"/>
      <w:r w:rsidRPr="00B913F1">
        <w:t>Objective and Scope</w:t>
      </w:r>
      <w:bookmarkEnd w:id="73"/>
    </w:p>
    <w:p w14:paraId="688C3F99" w14:textId="77777777" w:rsidR="008430AC" w:rsidRPr="007D6326" w:rsidRDefault="008430AC" w:rsidP="008430AC">
      <w:pPr>
        <w:rPr>
          <w:bCs/>
          <w:sz w:val="20"/>
        </w:rPr>
      </w:pPr>
      <w:r w:rsidRPr="00D6638C">
        <w:rPr>
          <w:rFonts w:ascii="Calibri" w:hAnsi="Calibri"/>
          <w:sz w:val="20"/>
          <w:szCs w:val="20"/>
        </w:rPr>
        <w:t>The project was designed to</w:t>
      </w:r>
      <w:r w:rsidRPr="004828EA">
        <w:rPr>
          <w:rFonts w:ascii="Calibri" w:hAnsi="Calibri"/>
          <w:sz w:val="20"/>
          <w:szCs w:val="20"/>
        </w:rPr>
        <w:t xml:space="preserve">: </w:t>
      </w:r>
      <w:r w:rsidRPr="007D6326">
        <w:rPr>
          <w:bCs/>
          <w:sz w:val="20"/>
        </w:rPr>
        <w:t xml:space="preserve">build capacities for implementing environmental fiscal reforms (EFR) that will produce increased national and global environmental benefits through the adoption of selected subsidies, fees, fines, taxes and other appropriate fiscal </w:t>
      </w:r>
      <w:r w:rsidRPr="00235B91">
        <w:rPr>
          <w:bCs/>
          <w:sz w:val="20"/>
        </w:rPr>
        <w:t xml:space="preserve">instruments. The reforms will focus on creating conditions, financial incentives and disincentives, and decreased opportunity costs to undertake actions that deliver global environmental outcomes.  The expected outcome is that EFR will be adopted as an important element of Moldova's development policy, whereby improved fiscal and financial instruments and their use would strengthen regulatory and other approaches to environmentally sound and sustainable development, with a particular emphasis of meeting obligations under the three Rio Conventions. The project will also contribute to and complement a </w:t>
      </w:r>
      <w:r w:rsidRPr="007D6326">
        <w:rPr>
          <w:bCs/>
          <w:sz w:val="20"/>
        </w:rPr>
        <w:t>broader national decentralization reform process, including policy planning at the national level, redesigning of competencies and responsibilities of local and sub-national governments and reforming local government revenue systems.  In order to reach Government of Moldova's objective, the project will adopt a focused and comprehensive strategy co</w:t>
      </w:r>
      <w:r>
        <w:rPr>
          <w:bCs/>
          <w:sz w:val="20"/>
        </w:rPr>
        <w:t xml:space="preserve">mposed of three main components:  (1) </w:t>
      </w:r>
      <w:r w:rsidRPr="007D6326">
        <w:rPr>
          <w:bCs/>
          <w:sz w:val="20"/>
        </w:rPr>
        <w:t>Reform of environmentally harmful subsidies, green subsidies, as well as environmental charges within the agricultural and energy sectors</w:t>
      </w:r>
      <w:r>
        <w:rPr>
          <w:bCs/>
          <w:sz w:val="20"/>
        </w:rPr>
        <w:t>, (2)</w:t>
      </w:r>
      <w:r w:rsidRPr="007D6326">
        <w:rPr>
          <w:bCs/>
          <w:sz w:val="20"/>
        </w:rPr>
        <w:t xml:space="preserve"> Capacity development for EFR to build consensu</w:t>
      </w:r>
      <w:r>
        <w:rPr>
          <w:bCs/>
          <w:sz w:val="20"/>
        </w:rPr>
        <w:t xml:space="preserve">s among concerned stakeholders, and (3) </w:t>
      </w:r>
      <w:r w:rsidRPr="007D6326">
        <w:rPr>
          <w:bCs/>
          <w:sz w:val="20"/>
        </w:rPr>
        <w:t>Component 3: Integration of EFR in local and central planning processes</w:t>
      </w:r>
      <w:r>
        <w:rPr>
          <w:bCs/>
          <w:sz w:val="20"/>
        </w:rPr>
        <w:t>.</w:t>
      </w:r>
    </w:p>
    <w:p w14:paraId="6770AD1E" w14:textId="77777777" w:rsidR="008430AC" w:rsidRPr="00D6638C" w:rsidRDefault="008430AC" w:rsidP="008430AC">
      <w:pPr>
        <w:spacing w:before="200"/>
        <w:rPr>
          <w:rFonts w:ascii="Calibri" w:hAnsi="Calibri"/>
          <w:i/>
          <w:sz w:val="20"/>
          <w:szCs w:val="20"/>
        </w:rPr>
      </w:pPr>
      <w:r w:rsidRPr="00D6638C">
        <w:rPr>
          <w:rFonts w:ascii="Calibri" w:hAnsi="Calibri"/>
          <w:sz w:val="20"/>
          <w:szCs w:val="20"/>
        </w:rPr>
        <w:t>The T</w:t>
      </w:r>
      <w:r>
        <w:rPr>
          <w:rFonts w:ascii="Calibri" w:hAnsi="Calibri"/>
          <w:sz w:val="20"/>
          <w:szCs w:val="20"/>
        </w:rPr>
        <w:t xml:space="preserve">erminal </w:t>
      </w:r>
      <w:r w:rsidRPr="00D6638C">
        <w:rPr>
          <w:rFonts w:ascii="Calibri" w:hAnsi="Calibri"/>
          <w:sz w:val="20"/>
          <w:szCs w:val="20"/>
        </w:rPr>
        <w:t>E</w:t>
      </w:r>
      <w:r>
        <w:rPr>
          <w:rFonts w:ascii="Calibri" w:hAnsi="Calibri"/>
          <w:sz w:val="20"/>
          <w:szCs w:val="20"/>
        </w:rPr>
        <w:t>valuation</w:t>
      </w:r>
      <w:r w:rsidRPr="00D6638C">
        <w:rPr>
          <w:rFonts w:ascii="Calibri" w:hAnsi="Calibri"/>
          <w:sz w:val="20"/>
          <w:szCs w:val="20"/>
        </w:rPr>
        <w:t xml:space="preserve"> will be conducted according to the guidance, rules and procedures established by UNDP and GEF as reflected in the UNDP Evaluation Guidance </w:t>
      </w:r>
      <w:r w:rsidRPr="00D6638C">
        <w:rPr>
          <w:rFonts w:ascii="Calibri" w:hAnsi="Calibri"/>
          <w:sz w:val="20"/>
          <w:szCs w:val="20"/>
        </w:rPr>
        <w:lastRenderedPageBreak/>
        <w:t>for GEF Financed Projects</w:t>
      </w:r>
      <w:r>
        <w:rPr>
          <w:rFonts w:ascii="Calibri" w:hAnsi="Calibri"/>
          <w:sz w:val="20"/>
          <w:szCs w:val="20"/>
        </w:rPr>
        <w:t xml:space="preserve">. </w:t>
      </w:r>
      <w:r w:rsidRPr="00D6638C">
        <w:rPr>
          <w:rFonts w:ascii="Calibri" w:hAnsi="Calibri"/>
          <w:sz w:val="20"/>
          <w:szCs w:val="20"/>
        </w:rPr>
        <w:t xml:space="preserve"> </w:t>
      </w:r>
    </w:p>
    <w:p w14:paraId="68AE3E40" w14:textId="77777777" w:rsidR="008430AC" w:rsidRDefault="008430AC" w:rsidP="008430AC">
      <w:pPr>
        <w:spacing w:before="200"/>
        <w:rPr>
          <w:rFonts w:ascii="Calibri" w:hAnsi="Calibri"/>
          <w:sz w:val="20"/>
          <w:szCs w:val="20"/>
        </w:rPr>
      </w:pPr>
      <w:r w:rsidRPr="00D6638C">
        <w:rPr>
          <w:rFonts w:ascii="Calibri" w:hAnsi="Calibri"/>
          <w:sz w:val="20"/>
          <w:szCs w:val="20"/>
        </w:rPr>
        <w:t xml:space="preserve">The objectives of the evaluation are to assess the achievement of project results, and to draw lessons that can both improve the sustainability of benefits from this project, and aid in the overall enhancement of UNDP programming.   </w:t>
      </w:r>
    </w:p>
    <w:p w14:paraId="7F96FBBB" w14:textId="77777777" w:rsidR="008430AC" w:rsidRPr="00D6638C" w:rsidRDefault="008430AC" w:rsidP="008430AC">
      <w:pPr>
        <w:pStyle w:val="Heading51"/>
      </w:pPr>
      <w:bookmarkStart w:id="74" w:name="_Toc299133043"/>
      <w:bookmarkStart w:id="75" w:name="_Toc321341550"/>
      <w:r w:rsidRPr="00D6638C">
        <w:t>Evaluation approach and method</w:t>
      </w:r>
      <w:bookmarkEnd w:id="74"/>
      <w:bookmarkEnd w:id="75"/>
    </w:p>
    <w:p w14:paraId="5E443702" w14:textId="77777777" w:rsidR="008430AC" w:rsidRPr="00D6638C" w:rsidRDefault="008430AC" w:rsidP="008430AC">
      <w:pPr>
        <w:spacing w:before="200"/>
        <w:rPr>
          <w:rFonts w:ascii="Calibri" w:hAnsi="Calibri"/>
          <w:sz w:val="20"/>
          <w:szCs w:val="20"/>
        </w:rPr>
      </w:pPr>
      <w:r w:rsidRPr="00D6638C">
        <w:rPr>
          <w:rFonts w:ascii="Calibri" w:hAnsi="Calibri"/>
          <w:sz w:val="20"/>
          <w:szCs w:val="20"/>
        </w:rPr>
        <w:t>An overall approach and method</w:t>
      </w:r>
      <w:r w:rsidRPr="00D6638C">
        <w:rPr>
          <w:rFonts w:ascii="Calibri" w:hAnsi="Calibri"/>
          <w:sz w:val="20"/>
          <w:szCs w:val="20"/>
          <w:vertAlign w:val="superscript"/>
        </w:rPr>
        <w:footnoteReference w:id="9"/>
      </w:r>
      <w:r w:rsidRPr="00D6638C">
        <w:rPr>
          <w:rFonts w:ascii="Calibri" w:hAnsi="Calibri"/>
          <w:sz w:val="20"/>
          <w:szCs w:val="20"/>
        </w:rPr>
        <w:t xml:space="preserve"> for conducting project terminal evaluations of UNDP supported GEF financed projects has developed over time. The evaluator is expected to frame the evaluation effort using the criteria of </w:t>
      </w:r>
      <w:r w:rsidRPr="00D6638C">
        <w:rPr>
          <w:rFonts w:ascii="Calibri" w:hAnsi="Calibri"/>
          <w:b/>
          <w:sz w:val="20"/>
          <w:szCs w:val="20"/>
        </w:rPr>
        <w:t xml:space="preserve">relevance, effectiveness, efficiency, sustainability, and impact, </w:t>
      </w:r>
      <w:r w:rsidRPr="00D6638C">
        <w:rPr>
          <w:rFonts w:ascii="Calibri" w:hAnsi="Calibri"/>
          <w:sz w:val="20"/>
          <w:szCs w:val="20"/>
        </w:rPr>
        <w:t xml:space="preserve">as defined and explained in the </w:t>
      </w:r>
      <w:r w:rsidRPr="00D6638C">
        <w:rPr>
          <w:rFonts w:ascii="Calibri" w:hAnsi="Calibri"/>
          <w:sz w:val="20"/>
          <w:szCs w:val="20"/>
          <w:u w:val="single"/>
        </w:rPr>
        <w:t>UNDP Guidance for Conducting Terminal Evaluations of  UNDP-supported, GEF-financed Projects</w:t>
      </w:r>
      <w:r w:rsidRPr="00D6638C">
        <w:rPr>
          <w:rFonts w:ascii="Calibri" w:hAnsi="Calibri"/>
          <w:sz w:val="20"/>
          <w:szCs w:val="20"/>
        </w:rPr>
        <w:t xml:space="preserve">.    A  set of questions covering each of these criteria have been drafted and are included </w:t>
      </w:r>
      <w:r w:rsidRPr="009A3A7D">
        <w:rPr>
          <w:rFonts w:ascii="Calibri" w:hAnsi="Calibri"/>
          <w:sz w:val="20"/>
          <w:szCs w:val="20"/>
        </w:rPr>
        <w:t>with this TOR</w:t>
      </w:r>
      <w:r>
        <w:rPr>
          <w:rFonts w:ascii="Calibri" w:hAnsi="Calibri"/>
          <w:sz w:val="20"/>
          <w:szCs w:val="20"/>
        </w:rPr>
        <w:t xml:space="preserve"> (</w:t>
      </w:r>
      <w:hyperlink w:anchor="_TOR_Annex_C:" w:history="1">
        <w:r w:rsidRPr="000006B7">
          <w:rPr>
            <w:rStyle w:val="Hyperlink"/>
            <w:rFonts w:ascii="Calibri" w:hAnsi="Calibri"/>
            <w:i/>
            <w:sz w:val="20"/>
            <w:szCs w:val="20"/>
          </w:rPr>
          <w:t>Annex C</w:t>
        </w:r>
      </w:hyperlink>
      <w:r>
        <w:rPr>
          <w:rFonts w:ascii="Calibri" w:hAnsi="Calibri"/>
          <w:sz w:val="20"/>
          <w:szCs w:val="20"/>
        </w:rPr>
        <w:t>).</w:t>
      </w:r>
      <w:r w:rsidRPr="00D6638C">
        <w:rPr>
          <w:rFonts w:ascii="Calibri" w:hAnsi="Calibri"/>
          <w:sz w:val="20"/>
          <w:szCs w:val="20"/>
        </w:rPr>
        <w:t xml:space="preserve"> The evaluator is expected to amend, complete and submit this matrix as part of an evaluation inception report, and shall include it as an annex to the final report.  </w:t>
      </w:r>
    </w:p>
    <w:p w14:paraId="79FF2E26" w14:textId="77777777" w:rsidR="008430AC" w:rsidRDefault="008430AC" w:rsidP="008430AC">
      <w:pPr>
        <w:spacing w:after="120"/>
        <w:rPr>
          <w:rFonts w:ascii="Calibri" w:hAnsi="Calibri"/>
          <w:sz w:val="20"/>
          <w:szCs w:val="20"/>
        </w:rPr>
      </w:pPr>
      <w:r w:rsidRPr="00D6638C">
        <w:rPr>
          <w:rFonts w:ascii="Calibri" w:hAnsi="Calibri"/>
          <w:sz w:val="20"/>
          <w:szCs w:val="20"/>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w:t>
      </w:r>
      <w:r w:rsidRPr="00125D93">
        <w:rPr>
          <w:rFonts w:ascii="Calibri" w:hAnsi="Calibri"/>
          <w:sz w:val="20"/>
          <w:szCs w:val="20"/>
        </w:rPr>
        <w:t>to</w:t>
      </w:r>
      <w:r>
        <w:rPr>
          <w:rFonts w:ascii="Calibri" w:hAnsi="Calibri"/>
          <w:sz w:val="20"/>
          <w:szCs w:val="20"/>
        </w:rPr>
        <w:t xml:space="preserve"> </w:t>
      </w:r>
      <w:r w:rsidRPr="00125D93">
        <w:rPr>
          <w:rFonts w:ascii="Calibri" w:hAnsi="Calibri"/>
          <w:i/>
          <w:sz w:val="20"/>
          <w:szCs w:val="20"/>
        </w:rPr>
        <w:t>Chisinau,</w:t>
      </w:r>
      <w:r w:rsidRPr="00125D93">
        <w:rPr>
          <w:rFonts w:ascii="Calibri" w:hAnsi="Calibri"/>
          <w:sz w:val="20"/>
          <w:szCs w:val="20"/>
        </w:rPr>
        <w:t xml:space="preserve"> </w:t>
      </w:r>
      <w:r w:rsidRPr="00125D93">
        <w:rPr>
          <w:rFonts w:ascii="Calibri" w:hAnsi="Calibri"/>
          <w:i/>
          <w:sz w:val="20"/>
          <w:szCs w:val="20"/>
        </w:rPr>
        <w:t>Republic of Moldova</w:t>
      </w:r>
      <w:r w:rsidRPr="00125D93">
        <w:rPr>
          <w:rFonts w:ascii="Calibri" w:hAnsi="Calibri"/>
          <w:sz w:val="20"/>
          <w:szCs w:val="20"/>
        </w:rPr>
        <w:t xml:space="preserve">, including the following project </w:t>
      </w:r>
      <w:r>
        <w:rPr>
          <w:rFonts w:ascii="Calibri" w:hAnsi="Calibri"/>
          <w:sz w:val="20"/>
          <w:szCs w:val="20"/>
        </w:rPr>
        <w:t>pilot towns -</w:t>
      </w:r>
      <w:r w:rsidRPr="00125D93">
        <w:rPr>
          <w:rFonts w:ascii="Calibri" w:hAnsi="Calibri"/>
          <w:i/>
          <w:sz w:val="20"/>
          <w:szCs w:val="20"/>
          <w:shd w:val="clear" w:color="auto" w:fill="FFFFFF"/>
        </w:rPr>
        <w:t xml:space="preserve"> </w:t>
      </w:r>
      <w:r>
        <w:rPr>
          <w:rFonts w:ascii="Calibri" w:hAnsi="Calibri"/>
          <w:i/>
          <w:sz w:val="20"/>
          <w:szCs w:val="20"/>
          <w:shd w:val="clear" w:color="auto" w:fill="FFFFFF"/>
        </w:rPr>
        <w:t>Ungheni and Telenesti</w:t>
      </w:r>
      <w:r w:rsidRPr="00125D93">
        <w:rPr>
          <w:rFonts w:ascii="Calibri" w:hAnsi="Calibri"/>
          <w:i/>
          <w:sz w:val="20"/>
          <w:szCs w:val="20"/>
        </w:rPr>
        <w:t>.</w:t>
      </w:r>
      <w:r w:rsidRPr="00125D93">
        <w:rPr>
          <w:rFonts w:ascii="Calibri" w:hAnsi="Calibri"/>
          <w:sz w:val="20"/>
          <w:szCs w:val="20"/>
        </w:rPr>
        <w:t xml:space="preserve"> Interviews will be held with the following organizations and individuals at a minimum:</w:t>
      </w:r>
    </w:p>
    <w:p w14:paraId="4D9A739F"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 xml:space="preserve">UNDP Moldova CO </w:t>
      </w:r>
    </w:p>
    <w:p w14:paraId="39527281"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Ministry of Environment</w:t>
      </w:r>
    </w:p>
    <w:p w14:paraId="2AFF8D3D"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Ministry of Economy</w:t>
      </w:r>
    </w:p>
    <w:p w14:paraId="28DA36DA"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Ministry of Agriculture and Food Industry</w:t>
      </w:r>
    </w:p>
    <w:p w14:paraId="56770CEE"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Ministry of Finance</w:t>
      </w:r>
    </w:p>
    <w:p w14:paraId="3037E818"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Local Public Authorities from Telenesti and Ungheni towns</w:t>
      </w:r>
    </w:p>
    <w:p w14:paraId="6BCFAE31" w14:textId="77777777" w:rsidR="008430AC" w:rsidRPr="009436EF" w:rsidRDefault="008430AC" w:rsidP="00DC1947">
      <w:pPr>
        <w:pStyle w:val="ListParagraph"/>
        <w:widowControl/>
        <w:numPr>
          <w:ilvl w:val="0"/>
          <w:numId w:val="51"/>
        </w:numPr>
        <w:autoSpaceDE/>
        <w:autoSpaceDN/>
        <w:adjustRightInd/>
        <w:spacing w:before="200" w:after="120" w:line="276" w:lineRule="auto"/>
        <w:rPr>
          <w:rFonts w:ascii="Calibri" w:hAnsi="Calibri"/>
          <w:i/>
          <w:sz w:val="20"/>
          <w:szCs w:val="20"/>
        </w:rPr>
      </w:pPr>
      <w:r w:rsidRPr="009436EF">
        <w:rPr>
          <w:rFonts w:ascii="Calibri" w:hAnsi="Calibri"/>
          <w:i/>
          <w:sz w:val="20"/>
          <w:szCs w:val="20"/>
        </w:rPr>
        <w:t>NGO “Ecological Movement of Moldova” and/or other NGO’s.</w:t>
      </w:r>
    </w:p>
    <w:p w14:paraId="195A86F6" w14:textId="77777777" w:rsidR="008430AC" w:rsidRPr="00D6638C" w:rsidRDefault="008430AC" w:rsidP="008430AC">
      <w:pPr>
        <w:spacing w:after="120"/>
        <w:rPr>
          <w:rFonts w:ascii="Calibri" w:hAnsi="Calibri"/>
          <w:sz w:val="20"/>
          <w:szCs w:val="20"/>
        </w:rPr>
      </w:pPr>
      <w:r w:rsidRPr="00D6638C">
        <w:rPr>
          <w:rFonts w:ascii="Calibri" w:hAnsi="Calibri"/>
          <w:sz w:val="20"/>
          <w:szCs w:val="20"/>
        </w:rPr>
        <w:t>The evaluator will review all relevant sources of information, such as the project document, project reports</w:t>
      </w:r>
      <w:r>
        <w:rPr>
          <w:rFonts w:ascii="Calibri" w:hAnsi="Calibri"/>
          <w:sz w:val="20"/>
          <w:szCs w:val="20"/>
        </w:rPr>
        <w:t xml:space="preserve"> – including</w:t>
      </w:r>
      <w:r w:rsidRPr="00D6638C">
        <w:rPr>
          <w:rFonts w:ascii="Calibri" w:hAnsi="Calibri"/>
          <w:sz w:val="20"/>
          <w:szCs w:val="20"/>
        </w:rPr>
        <w:t xml:space="preserve"> Annual APR/PIR, project budget revisions, progress reports, </w:t>
      </w:r>
      <w:r>
        <w:rPr>
          <w:rFonts w:ascii="Calibri" w:hAnsi="Calibri"/>
          <w:sz w:val="20"/>
          <w:szCs w:val="20"/>
        </w:rPr>
        <w:t>project</w:t>
      </w:r>
      <w:r w:rsidRPr="00D6638C">
        <w:rPr>
          <w:rFonts w:ascii="Calibri" w:hAnsi="Calibri"/>
          <w:sz w:val="20"/>
          <w:szCs w:val="20"/>
        </w:rPr>
        <w:t xml:space="preserve"> files, national strategic and legal documents, and any other material</w:t>
      </w:r>
      <w:r>
        <w:rPr>
          <w:rFonts w:ascii="Calibri" w:hAnsi="Calibri"/>
          <w:sz w:val="20"/>
          <w:szCs w:val="20"/>
        </w:rPr>
        <w:t>s</w:t>
      </w:r>
      <w:r w:rsidRPr="00D6638C">
        <w:rPr>
          <w:rFonts w:ascii="Calibri" w:hAnsi="Calibri"/>
          <w:sz w:val="20"/>
          <w:szCs w:val="20"/>
        </w:rPr>
        <w:t xml:space="preserve"> that the evaluator considers useful for this evidence-based assessment. A list of documents that the project team will provide to the evaluator for review is included in </w:t>
      </w:r>
      <w:hyperlink w:anchor="_TOR_Annex_B:" w:history="1">
        <w:r w:rsidRPr="00D6638C">
          <w:rPr>
            <w:rFonts w:ascii="Calibri" w:hAnsi="Calibri"/>
            <w:color w:val="0000FF"/>
            <w:sz w:val="20"/>
            <w:szCs w:val="20"/>
            <w:u w:val="single"/>
            <w:shd w:val="clear" w:color="auto" w:fill="FFFFFF"/>
          </w:rPr>
          <w:t>Annex B</w:t>
        </w:r>
      </w:hyperlink>
      <w:r w:rsidRPr="00D6638C">
        <w:rPr>
          <w:rFonts w:ascii="Calibri" w:hAnsi="Calibri"/>
          <w:color w:val="0000FF"/>
          <w:sz w:val="20"/>
          <w:szCs w:val="20"/>
          <w:u w:val="single"/>
          <w:shd w:val="clear" w:color="auto" w:fill="FFFFFF"/>
        </w:rPr>
        <w:t xml:space="preserve"> </w:t>
      </w:r>
      <w:r w:rsidRPr="00D6638C">
        <w:rPr>
          <w:rFonts w:ascii="Calibri" w:hAnsi="Calibri"/>
          <w:sz w:val="20"/>
          <w:szCs w:val="20"/>
        </w:rPr>
        <w:t>of this Terms of Reference.</w:t>
      </w:r>
    </w:p>
    <w:p w14:paraId="40F85A44" w14:textId="77777777" w:rsidR="008430AC" w:rsidRPr="00D6638C" w:rsidRDefault="008430AC" w:rsidP="008430AC">
      <w:pPr>
        <w:pStyle w:val="Heading51"/>
      </w:pPr>
      <w:bookmarkStart w:id="76" w:name="_Toc321341551"/>
      <w:r w:rsidRPr="00D6638C">
        <w:t>Evaluation Criteria &amp; Ratings</w:t>
      </w:r>
      <w:bookmarkEnd w:id="76"/>
    </w:p>
    <w:p w14:paraId="12ABC6CF" w14:textId="77777777" w:rsidR="008430AC" w:rsidRPr="00D6638C" w:rsidRDefault="008430AC" w:rsidP="008430AC">
      <w:pPr>
        <w:rPr>
          <w:rFonts w:ascii="Calibri" w:hAnsi="Calibri"/>
          <w:sz w:val="20"/>
          <w:szCs w:val="20"/>
        </w:rPr>
      </w:pPr>
      <w:r w:rsidRPr="00D6638C">
        <w:rPr>
          <w:rFonts w:ascii="Calibri" w:hAnsi="Calibri"/>
          <w:sz w:val="20"/>
          <w:szCs w:val="20"/>
        </w:rPr>
        <w:t xml:space="preserve">An assessment of project performance will be carried out, based against expectations set out in the Project Logical Framework/Results Framework </w:t>
      </w:r>
      <w:r w:rsidRPr="009A3A7D">
        <w:rPr>
          <w:rFonts w:ascii="Calibri" w:hAnsi="Calibri"/>
          <w:sz w:val="20"/>
          <w:szCs w:val="20"/>
        </w:rPr>
        <w:t xml:space="preserve">(see </w:t>
      </w:r>
      <w:hyperlink w:anchor="_TOR_Annex_A:" w:history="1">
        <w:r w:rsidRPr="009A3A7D">
          <w:rPr>
            <w:rFonts w:ascii="Calibri" w:hAnsi="Calibri"/>
            <w:color w:val="0000FF"/>
            <w:sz w:val="20"/>
            <w:szCs w:val="20"/>
            <w:u w:val="single"/>
          </w:rPr>
          <w:t xml:space="preserve"> Annex A</w:t>
        </w:r>
      </w:hyperlink>
      <w:r w:rsidRPr="009A3A7D">
        <w:rPr>
          <w:rFonts w:ascii="Calibri" w:hAnsi="Calibri"/>
          <w:sz w:val="20"/>
          <w:szCs w:val="20"/>
        </w:rPr>
        <w:t>),</w:t>
      </w:r>
      <w:r w:rsidRPr="00D6638C">
        <w:rPr>
          <w:rFonts w:ascii="Calibri" w:hAnsi="Calibri"/>
          <w:sz w:val="20"/>
          <w:szCs w:val="20"/>
        </w:rPr>
        <w:t xml:space="preserve"> which provides performance and impact indicators for project implementation along with their corresponding means of verification</w:t>
      </w:r>
      <w:r w:rsidRPr="00D6638C">
        <w:rPr>
          <w:rFonts w:ascii="Calibri" w:hAnsi="Calibri"/>
          <w:sz w:val="23"/>
          <w:szCs w:val="23"/>
        </w:rPr>
        <w:t xml:space="preserve">. </w:t>
      </w:r>
      <w:r w:rsidRPr="00D6638C">
        <w:rPr>
          <w:rFonts w:ascii="Calibri" w:hAnsi="Calibri"/>
          <w:sz w:val="20"/>
          <w:szCs w:val="20"/>
        </w:rPr>
        <w:t xml:space="preserve">The evaluation will at a minimum cover the criteria of: </w:t>
      </w:r>
      <w:r w:rsidRPr="00D6638C">
        <w:rPr>
          <w:rFonts w:ascii="Calibri" w:hAnsi="Calibri"/>
          <w:b/>
          <w:sz w:val="20"/>
          <w:szCs w:val="20"/>
        </w:rPr>
        <w:t xml:space="preserve">relevance, effectiveness, efficiency, sustainability and impact. </w:t>
      </w:r>
      <w:r w:rsidRPr="00D6638C">
        <w:rPr>
          <w:rFonts w:ascii="Calibri" w:hAnsi="Calibri"/>
          <w:sz w:val="20"/>
          <w:szCs w:val="20"/>
        </w:rPr>
        <w:t>Ratings must be provided on the following performance criteria. The comp</w:t>
      </w:r>
      <w:r>
        <w:rPr>
          <w:rFonts w:ascii="Calibri" w:hAnsi="Calibri"/>
          <w:sz w:val="20"/>
          <w:szCs w:val="20"/>
        </w:rPr>
        <w:t>l</w:t>
      </w:r>
      <w:r w:rsidRPr="00D6638C">
        <w:rPr>
          <w:rFonts w:ascii="Calibri" w:hAnsi="Calibri"/>
          <w:sz w:val="20"/>
          <w:szCs w:val="20"/>
        </w:rPr>
        <w:t xml:space="preserve">eted table must be included in the evaluation executive summary.   The obligatory rating scales are included in </w:t>
      </w:r>
      <w:hyperlink w:anchor="_TOR_Annex_D:" w:history="1">
        <w:r w:rsidRPr="00D6638C">
          <w:rPr>
            <w:rFonts w:ascii="Calibri" w:hAnsi="Calibri"/>
            <w:color w:val="0000FF"/>
            <w:sz w:val="20"/>
            <w:szCs w:val="20"/>
            <w:u w:val="single"/>
          </w:rPr>
          <w:t xml:space="preserve"> Annex D</w:t>
        </w:r>
      </w:hyperlink>
      <w:r w:rsidRPr="00D6638C">
        <w:rPr>
          <w:rFonts w:ascii="Calibri" w:hAnsi="Calibri"/>
          <w:sz w:val="20"/>
          <w:szCs w:val="20"/>
        </w:rPr>
        <w:t>.</w:t>
      </w:r>
    </w:p>
    <w:p w14:paraId="62F6C073" w14:textId="77777777" w:rsidR="008430AC" w:rsidRDefault="008430AC" w:rsidP="008430AC">
      <w:pPr>
        <w:rPr>
          <w:rFonts w:ascii="Calibri" w:hAnsi="Calibri"/>
          <w:sz w:val="20"/>
          <w:szCs w:val="20"/>
        </w:rPr>
      </w:pPr>
    </w:p>
    <w:p w14:paraId="2A0434D4" w14:textId="77777777" w:rsidR="009436EF" w:rsidRPr="00D6638C" w:rsidRDefault="009436EF" w:rsidP="008430AC">
      <w:pPr>
        <w:rPr>
          <w:rFonts w:ascii="Calibri" w:hAnsi="Calibri"/>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725"/>
        <w:gridCol w:w="5025"/>
        <w:gridCol w:w="725"/>
      </w:tblGrid>
      <w:tr w:rsidR="008430AC" w:rsidRPr="00D6638C" w14:paraId="0D3C6E19" w14:textId="77777777" w:rsidTr="008430AC">
        <w:trPr>
          <w:trHeight w:val="206"/>
        </w:trPr>
        <w:tc>
          <w:tcPr>
            <w:tcW w:w="5000" w:type="pct"/>
            <w:gridSpan w:val="4"/>
            <w:vAlign w:val="center"/>
          </w:tcPr>
          <w:p w14:paraId="2F41E008" w14:textId="77777777" w:rsidR="008430AC" w:rsidRPr="00D6638C" w:rsidRDefault="008430AC" w:rsidP="008430AC">
            <w:pPr>
              <w:tabs>
                <w:tab w:val="right" w:pos="0"/>
              </w:tabs>
              <w:rPr>
                <w:rFonts w:ascii="Calibri" w:hAnsi="Calibri"/>
                <w:b/>
                <w:color w:val="000000"/>
                <w:sz w:val="20"/>
                <w:szCs w:val="20"/>
              </w:rPr>
            </w:pPr>
            <w:r w:rsidRPr="00D6638C">
              <w:rPr>
                <w:rFonts w:ascii="Calibri" w:hAnsi="Calibri"/>
                <w:b/>
                <w:color w:val="000000"/>
                <w:sz w:val="20"/>
                <w:szCs w:val="20"/>
              </w:rPr>
              <w:t>Evaluation Ratings:</w:t>
            </w:r>
          </w:p>
        </w:tc>
      </w:tr>
      <w:tr w:rsidR="008430AC" w:rsidRPr="00D6638C" w14:paraId="7E3159E2" w14:textId="77777777" w:rsidTr="008430AC">
        <w:tblPrEx>
          <w:shd w:val="clear" w:color="auto" w:fill="4F81BD"/>
        </w:tblPrEx>
        <w:tc>
          <w:tcPr>
            <w:tcW w:w="1652" w:type="pct"/>
            <w:shd w:val="clear" w:color="auto" w:fill="7F7F7F"/>
          </w:tcPr>
          <w:p w14:paraId="62586ABB" w14:textId="77777777" w:rsidR="008430AC" w:rsidRPr="00D6638C" w:rsidRDefault="008430AC" w:rsidP="008430AC">
            <w:pPr>
              <w:rPr>
                <w:rFonts w:ascii="Calibri" w:hAnsi="Calibri"/>
                <w:b/>
                <w:bCs/>
                <w:color w:val="FFFFFF"/>
                <w:sz w:val="20"/>
                <w:szCs w:val="20"/>
              </w:rPr>
            </w:pPr>
            <w:bookmarkStart w:id="77" w:name="_Toc299133036"/>
            <w:r w:rsidRPr="00D6638C">
              <w:rPr>
                <w:rFonts w:ascii="Calibri" w:hAnsi="Calibri"/>
                <w:b/>
                <w:color w:val="FFFFFF"/>
                <w:sz w:val="20"/>
                <w:szCs w:val="20"/>
              </w:rPr>
              <w:t>1. Monitoring and Evaluation</w:t>
            </w:r>
          </w:p>
        </w:tc>
        <w:tc>
          <w:tcPr>
            <w:tcW w:w="375" w:type="pct"/>
            <w:shd w:val="clear" w:color="auto" w:fill="7F7F7F"/>
          </w:tcPr>
          <w:p w14:paraId="750363DE" w14:textId="77777777" w:rsidR="008430AC" w:rsidRPr="00D6638C" w:rsidRDefault="008430AC" w:rsidP="008430AC">
            <w:pPr>
              <w:jc w:val="center"/>
              <w:rPr>
                <w:rFonts w:ascii="Calibri" w:hAnsi="Calibri"/>
                <w:b/>
                <w:bCs/>
                <w:color w:val="FFFFFF"/>
                <w:sz w:val="20"/>
                <w:szCs w:val="20"/>
              </w:rPr>
            </w:pPr>
            <w:r w:rsidRPr="00D6638C">
              <w:rPr>
                <w:rFonts w:ascii="Calibri" w:hAnsi="Calibri"/>
                <w:b/>
                <w:i/>
                <w:color w:val="FFFFFF"/>
                <w:sz w:val="20"/>
                <w:szCs w:val="20"/>
              </w:rPr>
              <w:t>rating</w:t>
            </w:r>
          </w:p>
        </w:tc>
        <w:tc>
          <w:tcPr>
            <w:tcW w:w="2598" w:type="pct"/>
            <w:shd w:val="clear" w:color="auto" w:fill="7F7F7F"/>
          </w:tcPr>
          <w:p w14:paraId="1E1B36FC" w14:textId="77777777" w:rsidR="008430AC" w:rsidRPr="00D6638C" w:rsidRDefault="008430AC" w:rsidP="008430AC">
            <w:pPr>
              <w:rPr>
                <w:rFonts w:ascii="Calibri" w:hAnsi="Calibri"/>
                <w:b/>
                <w:i/>
                <w:color w:val="FFFFFF"/>
                <w:sz w:val="20"/>
                <w:szCs w:val="20"/>
              </w:rPr>
            </w:pPr>
            <w:r w:rsidRPr="00D6638C">
              <w:rPr>
                <w:rFonts w:ascii="Calibri" w:hAnsi="Calibri"/>
                <w:b/>
                <w:color w:val="FFFFFF"/>
                <w:sz w:val="20"/>
                <w:szCs w:val="20"/>
              </w:rPr>
              <w:t>2. IA&amp; EA Execution</w:t>
            </w:r>
          </w:p>
        </w:tc>
        <w:tc>
          <w:tcPr>
            <w:tcW w:w="375" w:type="pct"/>
            <w:shd w:val="clear" w:color="auto" w:fill="7F7F7F"/>
          </w:tcPr>
          <w:p w14:paraId="1519146D" w14:textId="77777777" w:rsidR="008430AC" w:rsidRPr="00D6638C" w:rsidRDefault="008430AC" w:rsidP="008430AC">
            <w:pPr>
              <w:jc w:val="center"/>
              <w:rPr>
                <w:rFonts w:ascii="Calibri" w:hAnsi="Calibri"/>
                <w:b/>
                <w:i/>
                <w:color w:val="FFFFFF"/>
                <w:sz w:val="20"/>
                <w:szCs w:val="20"/>
              </w:rPr>
            </w:pPr>
            <w:r w:rsidRPr="00D6638C">
              <w:rPr>
                <w:rFonts w:ascii="Calibri" w:hAnsi="Calibri"/>
                <w:b/>
                <w:i/>
                <w:color w:val="FFFFFF"/>
                <w:sz w:val="20"/>
                <w:szCs w:val="20"/>
              </w:rPr>
              <w:t>rating</w:t>
            </w:r>
          </w:p>
        </w:tc>
      </w:tr>
      <w:tr w:rsidR="008430AC" w:rsidRPr="00D6638C" w14:paraId="7B1F44DF"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6522D76" w14:textId="77777777" w:rsidR="008430AC" w:rsidRPr="00D6638C" w:rsidRDefault="008430AC" w:rsidP="008430AC">
            <w:pPr>
              <w:rPr>
                <w:rFonts w:ascii="Calibri" w:hAnsi="Calibri"/>
                <w:sz w:val="20"/>
                <w:szCs w:val="20"/>
              </w:rPr>
            </w:pPr>
            <w:r w:rsidRPr="00D6638C">
              <w:rPr>
                <w:rFonts w:ascii="Calibri" w:hAnsi="Calibri"/>
                <w:sz w:val="20"/>
                <w:szCs w:val="20"/>
              </w:rPr>
              <w:t>M&amp;E design at entry</w:t>
            </w:r>
          </w:p>
        </w:tc>
        <w:tc>
          <w:tcPr>
            <w:tcW w:w="375" w:type="pct"/>
            <w:tcBorders>
              <w:bottom w:val="single" w:sz="4" w:space="0" w:color="auto"/>
            </w:tcBorders>
          </w:tcPr>
          <w:p w14:paraId="59A6D32B"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Borders>
              <w:bottom w:val="single" w:sz="4" w:space="0" w:color="auto"/>
            </w:tcBorders>
          </w:tcPr>
          <w:p w14:paraId="70000783" w14:textId="77777777" w:rsidR="008430AC" w:rsidRPr="00D6638C" w:rsidRDefault="008430AC" w:rsidP="008430AC">
            <w:pPr>
              <w:rPr>
                <w:rFonts w:ascii="Calibri" w:hAnsi="Calibri"/>
                <w:sz w:val="20"/>
                <w:szCs w:val="20"/>
              </w:rPr>
            </w:pPr>
            <w:r w:rsidRPr="00D6638C">
              <w:rPr>
                <w:rFonts w:ascii="Calibri" w:hAnsi="Calibri"/>
                <w:sz w:val="20"/>
                <w:szCs w:val="20"/>
              </w:rPr>
              <w:t>Quality of UNDP Implementation</w:t>
            </w:r>
          </w:p>
        </w:tc>
        <w:tc>
          <w:tcPr>
            <w:tcW w:w="375" w:type="pct"/>
            <w:tcBorders>
              <w:bottom w:val="single" w:sz="4" w:space="0" w:color="auto"/>
            </w:tcBorders>
          </w:tcPr>
          <w:p w14:paraId="4C2D2633"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483B97AE"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9A210C0" w14:textId="77777777" w:rsidR="008430AC" w:rsidRPr="00D6638C" w:rsidRDefault="008430AC" w:rsidP="008430AC">
            <w:pPr>
              <w:rPr>
                <w:rFonts w:ascii="Calibri" w:hAnsi="Calibri"/>
                <w:sz w:val="20"/>
                <w:szCs w:val="20"/>
              </w:rPr>
            </w:pPr>
            <w:r w:rsidRPr="00D6638C">
              <w:rPr>
                <w:rFonts w:ascii="Calibri" w:hAnsi="Calibri"/>
                <w:sz w:val="20"/>
                <w:szCs w:val="20"/>
              </w:rPr>
              <w:t>M&amp;E Plan Implementation</w:t>
            </w:r>
          </w:p>
        </w:tc>
        <w:tc>
          <w:tcPr>
            <w:tcW w:w="375" w:type="pct"/>
            <w:tcBorders>
              <w:bottom w:val="single" w:sz="4" w:space="0" w:color="auto"/>
            </w:tcBorders>
          </w:tcPr>
          <w:p w14:paraId="59698BC3"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Borders>
              <w:bottom w:val="single" w:sz="4" w:space="0" w:color="auto"/>
            </w:tcBorders>
          </w:tcPr>
          <w:p w14:paraId="412394FA" w14:textId="77777777" w:rsidR="008430AC" w:rsidRPr="00D6638C" w:rsidRDefault="008430AC" w:rsidP="008430AC">
            <w:pPr>
              <w:rPr>
                <w:rFonts w:ascii="Calibri" w:hAnsi="Calibri"/>
                <w:sz w:val="20"/>
                <w:szCs w:val="20"/>
              </w:rPr>
            </w:pPr>
            <w:r w:rsidRPr="00D6638C">
              <w:rPr>
                <w:rFonts w:ascii="Calibri" w:hAnsi="Calibri"/>
                <w:sz w:val="20"/>
                <w:szCs w:val="20"/>
              </w:rPr>
              <w:t xml:space="preserve">Quality of Execution - Executing Agency </w:t>
            </w:r>
          </w:p>
        </w:tc>
        <w:tc>
          <w:tcPr>
            <w:tcW w:w="375" w:type="pct"/>
            <w:tcBorders>
              <w:bottom w:val="single" w:sz="4" w:space="0" w:color="auto"/>
            </w:tcBorders>
          </w:tcPr>
          <w:p w14:paraId="0D170C32"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47818B5F"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136CCEC" w14:textId="77777777" w:rsidR="008430AC" w:rsidRPr="00D6638C" w:rsidRDefault="008430AC" w:rsidP="008430AC">
            <w:pPr>
              <w:rPr>
                <w:rFonts w:ascii="Calibri" w:hAnsi="Calibri"/>
                <w:sz w:val="20"/>
                <w:szCs w:val="20"/>
              </w:rPr>
            </w:pPr>
            <w:r w:rsidRPr="00D6638C">
              <w:rPr>
                <w:rFonts w:ascii="Calibri" w:hAnsi="Calibri"/>
                <w:sz w:val="20"/>
                <w:szCs w:val="20"/>
              </w:rPr>
              <w:lastRenderedPageBreak/>
              <w:t>Overall quality of M&amp;E</w:t>
            </w:r>
          </w:p>
        </w:tc>
        <w:tc>
          <w:tcPr>
            <w:tcW w:w="375" w:type="pct"/>
            <w:tcBorders>
              <w:bottom w:val="single" w:sz="4" w:space="0" w:color="auto"/>
            </w:tcBorders>
          </w:tcPr>
          <w:p w14:paraId="1E6043FE"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Borders>
              <w:bottom w:val="single" w:sz="4" w:space="0" w:color="auto"/>
            </w:tcBorders>
          </w:tcPr>
          <w:p w14:paraId="6E1D1AF9" w14:textId="77777777" w:rsidR="008430AC" w:rsidRPr="00D6638C" w:rsidRDefault="008430AC" w:rsidP="008430AC">
            <w:pPr>
              <w:rPr>
                <w:rFonts w:ascii="Calibri" w:hAnsi="Calibri"/>
                <w:sz w:val="20"/>
                <w:szCs w:val="20"/>
              </w:rPr>
            </w:pPr>
            <w:r w:rsidRPr="00D6638C">
              <w:rPr>
                <w:rFonts w:ascii="Calibri" w:hAnsi="Calibri"/>
                <w:sz w:val="20"/>
                <w:szCs w:val="20"/>
              </w:rPr>
              <w:t>Overall quality of Implementation / Execution</w:t>
            </w:r>
          </w:p>
        </w:tc>
        <w:tc>
          <w:tcPr>
            <w:tcW w:w="375" w:type="pct"/>
            <w:tcBorders>
              <w:bottom w:val="single" w:sz="4" w:space="0" w:color="auto"/>
            </w:tcBorders>
          </w:tcPr>
          <w:p w14:paraId="6DA0A908"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2DCDA013" w14:textId="77777777" w:rsidTr="008430AC">
        <w:tblPrEx>
          <w:shd w:val="clear" w:color="auto" w:fill="4F81BD"/>
        </w:tblPrEx>
        <w:tc>
          <w:tcPr>
            <w:tcW w:w="1652" w:type="pct"/>
            <w:shd w:val="clear" w:color="auto" w:fill="7F7F7F"/>
          </w:tcPr>
          <w:p w14:paraId="4FCC91E7" w14:textId="77777777" w:rsidR="008430AC" w:rsidRPr="00D6638C" w:rsidRDefault="008430AC" w:rsidP="008430AC">
            <w:pPr>
              <w:contextualSpacing/>
              <w:rPr>
                <w:rFonts w:ascii="Calibri" w:hAnsi="Calibri" w:cs="Calibri"/>
                <w:b/>
                <w:bCs/>
                <w:color w:val="FFFFFF"/>
                <w:sz w:val="20"/>
                <w:szCs w:val="20"/>
              </w:rPr>
            </w:pPr>
            <w:r w:rsidRPr="00D6638C">
              <w:rPr>
                <w:rFonts w:ascii="Calibri" w:hAnsi="Calibri" w:cs="Calibri"/>
                <w:b/>
                <w:bCs/>
                <w:color w:val="FFFFFF"/>
                <w:sz w:val="20"/>
                <w:szCs w:val="20"/>
              </w:rPr>
              <w:t xml:space="preserve">3. Assessment of Outcomes </w:t>
            </w:r>
          </w:p>
        </w:tc>
        <w:tc>
          <w:tcPr>
            <w:tcW w:w="375" w:type="pct"/>
            <w:shd w:val="clear" w:color="auto" w:fill="7F7F7F"/>
          </w:tcPr>
          <w:p w14:paraId="76063550" w14:textId="77777777" w:rsidR="008430AC" w:rsidRPr="00D6638C" w:rsidRDefault="008430AC" w:rsidP="008430AC">
            <w:pPr>
              <w:contextualSpacing/>
              <w:jc w:val="center"/>
              <w:rPr>
                <w:rFonts w:ascii="Calibri" w:hAnsi="Calibri" w:cs="Calibri"/>
                <w:b/>
                <w:bCs/>
                <w:color w:val="FFFFFF"/>
                <w:sz w:val="20"/>
                <w:szCs w:val="20"/>
              </w:rPr>
            </w:pPr>
            <w:r w:rsidRPr="00D6638C">
              <w:rPr>
                <w:rFonts w:ascii="Calibri" w:hAnsi="Calibri" w:cs="Calibri"/>
                <w:b/>
                <w:bCs/>
                <w:color w:val="FFFFFF"/>
                <w:sz w:val="20"/>
                <w:szCs w:val="20"/>
              </w:rPr>
              <w:t>rating</w:t>
            </w:r>
          </w:p>
        </w:tc>
        <w:tc>
          <w:tcPr>
            <w:tcW w:w="2598" w:type="pct"/>
            <w:shd w:val="clear" w:color="auto" w:fill="7F7F7F"/>
          </w:tcPr>
          <w:p w14:paraId="67383B91" w14:textId="77777777" w:rsidR="008430AC" w:rsidRPr="00D6638C" w:rsidRDefault="008430AC" w:rsidP="008430AC">
            <w:pPr>
              <w:contextualSpacing/>
              <w:rPr>
                <w:rFonts w:ascii="Calibri" w:hAnsi="Calibri" w:cs="Calibri"/>
                <w:b/>
                <w:bCs/>
                <w:color w:val="FFFFFF"/>
                <w:sz w:val="20"/>
                <w:szCs w:val="20"/>
              </w:rPr>
            </w:pPr>
            <w:r w:rsidRPr="00D6638C">
              <w:rPr>
                <w:rFonts w:ascii="Calibri" w:hAnsi="Calibri" w:cs="Calibri"/>
                <w:b/>
                <w:bCs/>
                <w:color w:val="FFFFFF"/>
                <w:sz w:val="20"/>
                <w:szCs w:val="20"/>
              </w:rPr>
              <w:t>4. Sustainability</w:t>
            </w:r>
          </w:p>
        </w:tc>
        <w:tc>
          <w:tcPr>
            <w:tcW w:w="375" w:type="pct"/>
            <w:shd w:val="clear" w:color="auto" w:fill="7F7F7F"/>
          </w:tcPr>
          <w:p w14:paraId="73520D1A" w14:textId="77777777" w:rsidR="008430AC" w:rsidRPr="00D6638C" w:rsidRDefault="008430AC" w:rsidP="008430AC">
            <w:pPr>
              <w:contextualSpacing/>
              <w:jc w:val="center"/>
              <w:rPr>
                <w:rFonts w:ascii="Calibri" w:hAnsi="Calibri" w:cs="Calibri"/>
                <w:b/>
                <w:bCs/>
                <w:color w:val="FFFFFF"/>
                <w:sz w:val="20"/>
                <w:szCs w:val="20"/>
              </w:rPr>
            </w:pPr>
            <w:r w:rsidRPr="00D6638C">
              <w:rPr>
                <w:rFonts w:ascii="Calibri" w:hAnsi="Calibri" w:cs="Calibri"/>
                <w:b/>
                <w:bCs/>
                <w:color w:val="FFFFFF"/>
                <w:sz w:val="20"/>
                <w:szCs w:val="20"/>
              </w:rPr>
              <w:t>rating</w:t>
            </w:r>
          </w:p>
        </w:tc>
      </w:tr>
      <w:tr w:rsidR="008430AC" w:rsidRPr="00D6638C" w14:paraId="2CE662A5"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482B5AB" w14:textId="77777777" w:rsidR="008430AC" w:rsidRPr="00D6638C" w:rsidRDefault="008430AC" w:rsidP="008430AC">
            <w:pPr>
              <w:rPr>
                <w:rFonts w:ascii="Calibri" w:hAnsi="Calibri"/>
                <w:sz w:val="20"/>
                <w:szCs w:val="20"/>
              </w:rPr>
            </w:pPr>
            <w:r w:rsidRPr="00D6638C">
              <w:rPr>
                <w:rFonts w:ascii="Calibri" w:hAnsi="Calibri"/>
                <w:sz w:val="20"/>
                <w:szCs w:val="20"/>
              </w:rPr>
              <w:t xml:space="preserve">Relevance </w:t>
            </w:r>
          </w:p>
        </w:tc>
        <w:tc>
          <w:tcPr>
            <w:tcW w:w="375" w:type="pct"/>
          </w:tcPr>
          <w:p w14:paraId="658046DF"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052BCC7B" w14:textId="77777777" w:rsidR="008430AC" w:rsidRPr="00D6638C" w:rsidRDefault="008430AC" w:rsidP="008430AC">
            <w:pPr>
              <w:rPr>
                <w:rFonts w:ascii="Calibri" w:hAnsi="Calibri"/>
                <w:sz w:val="20"/>
                <w:szCs w:val="20"/>
              </w:rPr>
            </w:pPr>
            <w:r w:rsidRPr="00D6638C">
              <w:rPr>
                <w:rFonts w:ascii="Calibri" w:hAnsi="Calibri"/>
                <w:sz w:val="20"/>
                <w:szCs w:val="20"/>
              </w:rPr>
              <w:t>Financial resources:</w:t>
            </w:r>
          </w:p>
        </w:tc>
        <w:tc>
          <w:tcPr>
            <w:tcW w:w="375" w:type="pct"/>
          </w:tcPr>
          <w:p w14:paraId="7C503AA2"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674905D2"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D632F48" w14:textId="77777777" w:rsidR="008430AC" w:rsidRPr="00D6638C" w:rsidRDefault="008430AC" w:rsidP="008430AC">
            <w:pPr>
              <w:rPr>
                <w:rFonts w:ascii="Calibri" w:hAnsi="Calibri"/>
                <w:sz w:val="20"/>
                <w:szCs w:val="20"/>
              </w:rPr>
            </w:pPr>
            <w:r w:rsidRPr="00D6638C">
              <w:rPr>
                <w:rFonts w:ascii="Calibri" w:hAnsi="Calibri"/>
                <w:sz w:val="20"/>
                <w:szCs w:val="20"/>
              </w:rPr>
              <w:t>Effectiveness</w:t>
            </w:r>
          </w:p>
        </w:tc>
        <w:tc>
          <w:tcPr>
            <w:tcW w:w="375" w:type="pct"/>
          </w:tcPr>
          <w:p w14:paraId="0119A0BF"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4F386CB8" w14:textId="77777777" w:rsidR="008430AC" w:rsidRPr="00D6638C" w:rsidRDefault="008430AC" w:rsidP="008430AC">
            <w:pPr>
              <w:rPr>
                <w:rFonts w:ascii="Calibri" w:hAnsi="Calibri"/>
                <w:sz w:val="20"/>
                <w:szCs w:val="20"/>
              </w:rPr>
            </w:pPr>
            <w:r w:rsidRPr="00D6638C">
              <w:rPr>
                <w:rFonts w:ascii="Calibri" w:hAnsi="Calibri"/>
                <w:sz w:val="20"/>
                <w:szCs w:val="20"/>
              </w:rPr>
              <w:t>Socio-political:</w:t>
            </w:r>
          </w:p>
        </w:tc>
        <w:tc>
          <w:tcPr>
            <w:tcW w:w="375" w:type="pct"/>
          </w:tcPr>
          <w:p w14:paraId="42AFA490"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2F29394F"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7713D80" w14:textId="77777777" w:rsidR="008430AC" w:rsidRPr="00D6638C" w:rsidRDefault="008430AC" w:rsidP="008430AC">
            <w:pPr>
              <w:rPr>
                <w:rFonts w:ascii="Calibri" w:hAnsi="Calibri"/>
                <w:sz w:val="20"/>
                <w:szCs w:val="20"/>
              </w:rPr>
            </w:pPr>
            <w:r w:rsidRPr="00D6638C">
              <w:rPr>
                <w:rFonts w:ascii="Calibri" w:hAnsi="Calibri"/>
                <w:sz w:val="20"/>
                <w:szCs w:val="20"/>
              </w:rPr>
              <w:t xml:space="preserve">Efficiency </w:t>
            </w:r>
          </w:p>
        </w:tc>
        <w:tc>
          <w:tcPr>
            <w:tcW w:w="375" w:type="pct"/>
          </w:tcPr>
          <w:p w14:paraId="4E514D23"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20091873" w14:textId="77777777" w:rsidR="008430AC" w:rsidRPr="00D6638C" w:rsidRDefault="008430AC" w:rsidP="008430AC">
            <w:pPr>
              <w:rPr>
                <w:rFonts w:ascii="Calibri" w:hAnsi="Calibri"/>
                <w:sz w:val="20"/>
                <w:szCs w:val="20"/>
              </w:rPr>
            </w:pPr>
            <w:r w:rsidRPr="00D6638C">
              <w:rPr>
                <w:rFonts w:ascii="Calibri" w:hAnsi="Calibri"/>
                <w:sz w:val="20"/>
                <w:szCs w:val="20"/>
              </w:rPr>
              <w:t>Institutional framework and governance:</w:t>
            </w:r>
          </w:p>
        </w:tc>
        <w:tc>
          <w:tcPr>
            <w:tcW w:w="375" w:type="pct"/>
          </w:tcPr>
          <w:p w14:paraId="17FBBA5D"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45BB94FB"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B885607" w14:textId="77777777" w:rsidR="008430AC" w:rsidRPr="00D6638C" w:rsidRDefault="008430AC" w:rsidP="008430AC">
            <w:pPr>
              <w:rPr>
                <w:rFonts w:ascii="Calibri" w:hAnsi="Calibri"/>
                <w:sz w:val="20"/>
                <w:szCs w:val="20"/>
              </w:rPr>
            </w:pPr>
            <w:r w:rsidRPr="00D6638C">
              <w:rPr>
                <w:rFonts w:ascii="Calibri" w:hAnsi="Calibri"/>
                <w:sz w:val="20"/>
                <w:szCs w:val="20"/>
              </w:rPr>
              <w:t>Overall Project Outcome Rating</w:t>
            </w:r>
          </w:p>
        </w:tc>
        <w:tc>
          <w:tcPr>
            <w:tcW w:w="375" w:type="pct"/>
          </w:tcPr>
          <w:p w14:paraId="18592B94"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2FE988DC" w14:textId="77777777" w:rsidR="008430AC" w:rsidRPr="00D6638C" w:rsidRDefault="008430AC" w:rsidP="008430AC">
            <w:pPr>
              <w:rPr>
                <w:rFonts w:ascii="Calibri" w:hAnsi="Calibri"/>
                <w:sz w:val="20"/>
                <w:szCs w:val="20"/>
              </w:rPr>
            </w:pPr>
            <w:r w:rsidRPr="00D6638C">
              <w:rPr>
                <w:rFonts w:ascii="Calibri" w:hAnsi="Calibri"/>
                <w:sz w:val="20"/>
                <w:szCs w:val="20"/>
              </w:rPr>
              <w:t>Environmental :</w:t>
            </w:r>
          </w:p>
        </w:tc>
        <w:tc>
          <w:tcPr>
            <w:tcW w:w="375" w:type="pct"/>
          </w:tcPr>
          <w:p w14:paraId="2D342D53"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8430AC" w:rsidRPr="00D6638C" w14:paraId="1BB582A7" w14:textId="77777777" w:rsidTr="008430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84F3421" w14:textId="77777777" w:rsidR="008430AC" w:rsidRPr="00D6638C" w:rsidRDefault="008430AC" w:rsidP="008430AC">
            <w:pPr>
              <w:rPr>
                <w:rFonts w:ascii="Calibri" w:hAnsi="Calibri"/>
                <w:sz w:val="20"/>
                <w:szCs w:val="20"/>
              </w:rPr>
            </w:pPr>
          </w:p>
        </w:tc>
        <w:tc>
          <w:tcPr>
            <w:tcW w:w="375" w:type="pct"/>
          </w:tcPr>
          <w:p w14:paraId="218FB2C0" w14:textId="77777777" w:rsidR="008430AC" w:rsidRPr="00D6638C" w:rsidRDefault="008430AC" w:rsidP="008430AC">
            <w:pPr>
              <w:rPr>
                <w:rFonts w:ascii="Calibri" w:hAnsi="Calibri"/>
                <w:sz w:val="20"/>
                <w:szCs w:val="20"/>
              </w:rPr>
            </w:pPr>
          </w:p>
        </w:tc>
        <w:tc>
          <w:tcPr>
            <w:tcW w:w="2598" w:type="pct"/>
          </w:tcPr>
          <w:p w14:paraId="20C944A5" w14:textId="77777777" w:rsidR="008430AC" w:rsidRPr="00D6638C" w:rsidRDefault="008430AC" w:rsidP="008430AC">
            <w:pPr>
              <w:rPr>
                <w:rFonts w:ascii="Calibri" w:hAnsi="Calibri"/>
                <w:sz w:val="20"/>
                <w:szCs w:val="20"/>
              </w:rPr>
            </w:pPr>
            <w:r w:rsidRPr="00D6638C">
              <w:rPr>
                <w:rFonts w:ascii="Calibri" w:hAnsi="Calibri"/>
                <w:sz w:val="20"/>
                <w:szCs w:val="20"/>
              </w:rPr>
              <w:t>Overall likelihood of sustainability:</w:t>
            </w:r>
          </w:p>
        </w:tc>
        <w:tc>
          <w:tcPr>
            <w:tcW w:w="375" w:type="pct"/>
          </w:tcPr>
          <w:p w14:paraId="645B4010" w14:textId="77777777" w:rsidR="008430AC" w:rsidRPr="00D6638C" w:rsidRDefault="008430AC" w:rsidP="008430AC">
            <w:pPr>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bl>
    <w:p w14:paraId="1D61F62B" w14:textId="77777777" w:rsidR="008430AC" w:rsidRPr="00D6638C" w:rsidRDefault="008430AC" w:rsidP="008430AC">
      <w:pPr>
        <w:pStyle w:val="Heading51"/>
      </w:pPr>
      <w:bookmarkStart w:id="78" w:name="_Toc321341552"/>
      <w:bookmarkStart w:id="79" w:name="_Toc277677977"/>
      <w:bookmarkStart w:id="80" w:name="_Toc299122831"/>
      <w:bookmarkStart w:id="81" w:name="_Toc299122853"/>
      <w:bookmarkStart w:id="82" w:name="_Toc299122832"/>
      <w:bookmarkStart w:id="83" w:name="_Toc299122854"/>
      <w:bookmarkStart w:id="84" w:name="_Toc299126619"/>
      <w:bookmarkEnd w:id="71"/>
      <w:bookmarkEnd w:id="77"/>
      <w:r w:rsidRPr="00D6638C">
        <w:t>Project finance / cofinance</w:t>
      </w:r>
      <w:bookmarkEnd w:id="78"/>
    </w:p>
    <w:p w14:paraId="522D9D9F" w14:textId="77777777" w:rsidR="008430AC" w:rsidRPr="00CC653C" w:rsidRDefault="008430AC" w:rsidP="008430AC">
      <w:pPr>
        <w:spacing w:before="200" w:after="120"/>
        <w:rPr>
          <w:rFonts w:ascii="Calibri" w:hAnsi="Calibri"/>
          <w:sz w:val="20"/>
          <w:szCs w:val="20"/>
          <w:lang w:val="en-GB"/>
        </w:rPr>
      </w:pPr>
      <w:r w:rsidRPr="00D6638C">
        <w:rPr>
          <w:rFonts w:ascii="Calibri" w:hAnsi="Calibri"/>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w:t>
      </w:r>
      <w:r w:rsidRPr="00CC653C">
        <w:rPr>
          <w:rFonts w:ascii="Calibri" w:hAnsi="Calibri"/>
          <w:sz w:val="20"/>
          <w:szCs w:val="20"/>
          <w:lang w:val="en-GB"/>
        </w:rPr>
        <w:t xml:space="preserve">Team to obtain financial data in order to complete the co-financing table below, which will be included in the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8430AC" w:rsidRPr="00CC653C" w14:paraId="32E9EF36" w14:textId="77777777" w:rsidTr="008430AC">
        <w:tc>
          <w:tcPr>
            <w:tcW w:w="2088" w:type="dxa"/>
            <w:vMerge w:val="restart"/>
          </w:tcPr>
          <w:p w14:paraId="3B04B9F9" w14:textId="77777777" w:rsidR="008430AC" w:rsidRPr="00CC653C" w:rsidRDefault="008430AC" w:rsidP="008430AC">
            <w:pPr>
              <w:rPr>
                <w:rFonts w:ascii="Calibri" w:hAnsi="Calibri"/>
                <w:sz w:val="20"/>
                <w:szCs w:val="20"/>
              </w:rPr>
            </w:pPr>
            <w:r w:rsidRPr="00CC653C">
              <w:rPr>
                <w:rFonts w:ascii="Calibri" w:hAnsi="Calibri"/>
                <w:sz w:val="20"/>
                <w:szCs w:val="20"/>
              </w:rPr>
              <w:t>Co-financing</w:t>
            </w:r>
          </w:p>
          <w:p w14:paraId="3F5F5DCC" w14:textId="77777777" w:rsidR="008430AC" w:rsidRPr="00CC653C" w:rsidRDefault="008430AC" w:rsidP="008430AC">
            <w:pPr>
              <w:rPr>
                <w:rFonts w:ascii="Calibri" w:hAnsi="Calibri"/>
                <w:sz w:val="20"/>
                <w:szCs w:val="20"/>
              </w:rPr>
            </w:pPr>
            <w:r w:rsidRPr="00CC653C">
              <w:rPr>
                <w:rFonts w:ascii="Calibri" w:hAnsi="Calibri"/>
                <w:sz w:val="20"/>
                <w:szCs w:val="20"/>
              </w:rPr>
              <w:t>(type/source)</w:t>
            </w:r>
          </w:p>
        </w:tc>
        <w:tc>
          <w:tcPr>
            <w:tcW w:w="1980" w:type="dxa"/>
            <w:gridSpan w:val="2"/>
          </w:tcPr>
          <w:p w14:paraId="489E3ADE" w14:textId="77777777" w:rsidR="008430AC" w:rsidRPr="00CC653C" w:rsidRDefault="008430AC" w:rsidP="008430AC">
            <w:pPr>
              <w:rPr>
                <w:rFonts w:ascii="Calibri" w:hAnsi="Calibri"/>
                <w:sz w:val="20"/>
                <w:szCs w:val="20"/>
              </w:rPr>
            </w:pPr>
            <w:r w:rsidRPr="00CC653C">
              <w:rPr>
                <w:rFonts w:ascii="Calibri" w:hAnsi="Calibri"/>
                <w:sz w:val="20"/>
                <w:szCs w:val="20"/>
              </w:rPr>
              <w:t>UNDP own financing (mill. US$)</w:t>
            </w:r>
          </w:p>
        </w:tc>
        <w:tc>
          <w:tcPr>
            <w:tcW w:w="2160" w:type="dxa"/>
            <w:gridSpan w:val="2"/>
          </w:tcPr>
          <w:p w14:paraId="794535BB" w14:textId="77777777" w:rsidR="008430AC" w:rsidRPr="00CC653C" w:rsidRDefault="008430AC" w:rsidP="008430AC">
            <w:pPr>
              <w:rPr>
                <w:rFonts w:ascii="Calibri" w:hAnsi="Calibri"/>
                <w:sz w:val="20"/>
                <w:szCs w:val="20"/>
              </w:rPr>
            </w:pPr>
            <w:r w:rsidRPr="00CC653C">
              <w:rPr>
                <w:rFonts w:ascii="Calibri" w:hAnsi="Calibri"/>
                <w:sz w:val="20"/>
                <w:szCs w:val="20"/>
              </w:rPr>
              <w:t>Government</w:t>
            </w:r>
          </w:p>
          <w:p w14:paraId="6F2B3407" w14:textId="77777777" w:rsidR="008430AC" w:rsidRPr="00CC653C" w:rsidRDefault="008430AC" w:rsidP="008430AC">
            <w:pPr>
              <w:rPr>
                <w:rFonts w:ascii="Calibri" w:hAnsi="Calibri"/>
                <w:sz w:val="20"/>
                <w:szCs w:val="20"/>
              </w:rPr>
            </w:pPr>
            <w:r w:rsidRPr="00CC653C">
              <w:rPr>
                <w:rFonts w:ascii="Calibri" w:hAnsi="Calibri"/>
                <w:sz w:val="20"/>
                <w:szCs w:val="20"/>
              </w:rPr>
              <w:t>(mill. US$)</w:t>
            </w:r>
          </w:p>
        </w:tc>
        <w:tc>
          <w:tcPr>
            <w:tcW w:w="2070" w:type="dxa"/>
            <w:gridSpan w:val="2"/>
          </w:tcPr>
          <w:p w14:paraId="6777DC5D" w14:textId="77777777" w:rsidR="008430AC" w:rsidRPr="00CC653C" w:rsidRDefault="008430AC" w:rsidP="008430AC">
            <w:pPr>
              <w:rPr>
                <w:rFonts w:ascii="Calibri" w:hAnsi="Calibri"/>
                <w:sz w:val="20"/>
                <w:szCs w:val="20"/>
              </w:rPr>
            </w:pPr>
            <w:r w:rsidRPr="00CC653C">
              <w:rPr>
                <w:rFonts w:ascii="Calibri" w:hAnsi="Calibri"/>
                <w:sz w:val="20"/>
                <w:szCs w:val="20"/>
              </w:rPr>
              <w:t>Partner Agency</w:t>
            </w:r>
          </w:p>
          <w:p w14:paraId="7C4DC44F" w14:textId="77777777" w:rsidR="008430AC" w:rsidRPr="00CC653C" w:rsidRDefault="008430AC" w:rsidP="008430AC">
            <w:pPr>
              <w:rPr>
                <w:rFonts w:ascii="Calibri" w:hAnsi="Calibri"/>
                <w:sz w:val="20"/>
                <w:szCs w:val="20"/>
              </w:rPr>
            </w:pPr>
            <w:r w:rsidRPr="00CC653C">
              <w:rPr>
                <w:rFonts w:ascii="Calibri" w:hAnsi="Calibri"/>
                <w:sz w:val="20"/>
                <w:szCs w:val="20"/>
              </w:rPr>
              <w:t>(mill. US$)</w:t>
            </w:r>
          </w:p>
        </w:tc>
        <w:tc>
          <w:tcPr>
            <w:tcW w:w="2250" w:type="dxa"/>
            <w:gridSpan w:val="2"/>
          </w:tcPr>
          <w:p w14:paraId="4E70F373" w14:textId="77777777" w:rsidR="008430AC" w:rsidRPr="00CC653C" w:rsidRDefault="008430AC" w:rsidP="008430AC">
            <w:pPr>
              <w:rPr>
                <w:rFonts w:ascii="Calibri" w:hAnsi="Calibri"/>
                <w:sz w:val="20"/>
                <w:szCs w:val="20"/>
              </w:rPr>
            </w:pPr>
            <w:r w:rsidRPr="00CC653C">
              <w:rPr>
                <w:rFonts w:ascii="Calibri" w:hAnsi="Calibri"/>
                <w:sz w:val="20"/>
                <w:szCs w:val="20"/>
              </w:rPr>
              <w:t>Total</w:t>
            </w:r>
          </w:p>
          <w:p w14:paraId="5E385A38" w14:textId="77777777" w:rsidR="008430AC" w:rsidRPr="00CC653C" w:rsidRDefault="008430AC" w:rsidP="008430AC">
            <w:pPr>
              <w:rPr>
                <w:rFonts w:ascii="Calibri" w:hAnsi="Calibri"/>
                <w:sz w:val="20"/>
                <w:szCs w:val="20"/>
              </w:rPr>
            </w:pPr>
            <w:r w:rsidRPr="00CC653C">
              <w:rPr>
                <w:rFonts w:ascii="Calibri" w:hAnsi="Calibri"/>
                <w:sz w:val="20"/>
                <w:szCs w:val="20"/>
              </w:rPr>
              <w:t>(mill. US$)</w:t>
            </w:r>
          </w:p>
        </w:tc>
      </w:tr>
      <w:tr w:rsidR="008430AC" w:rsidRPr="00CC653C" w14:paraId="7E1C0CF6" w14:textId="77777777" w:rsidTr="008430AC">
        <w:trPr>
          <w:trHeight w:val="143"/>
        </w:trPr>
        <w:tc>
          <w:tcPr>
            <w:tcW w:w="2088" w:type="dxa"/>
            <w:vMerge/>
          </w:tcPr>
          <w:p w14:paraId="538AAE6D" w14:textId="77777777" w:rsidR="008430AC" w:rsidRPr="00CC653C" w:rsidRDefault="008430AC" w:rsidP="008430AC">
            <w:pPr>
              <w:rPr>
                <w:rFonts w:ascii="Calibri" w:hAnsi="Calibri"/>
                <w:sz w:val="20"/>
                <w:szCs w:val="20"/>
              </w:rPr>
            </w:pPr>
          </w:p>
        </w:tc>
        <w:tc>
          <w:tcPr>
            <w:tcW w:w="900" w:type="dxa"/>
          </w:tcPr>
          <w:p w14:paraId="0A527433" w14:textId="77777777" w:rsidR="008430AC" w:rsidRPr="00CC653C" w:rsidRDefault="008430AC" w:rsidP="008430AC">
            <w:pPr>
              <w:rPr>
                <w:rFonts w:ascii="Calibri" w:hAnsi="Calibri"/>
                <w:sz w:val="20"/>
                <w:szCs w:val="20"/>
              </w:rPr>
            </w:pPr>
            <w:r w:rsidRPr="00CC653C">
              <w:rPr>
                <w:rFonts w:ascii="Calibri" w:hAnsi="Calibri"/>
                <w:sz w:val="20"/>
                <w:szCs w:val="20"/>
              </w:rPr>
              <w:t>Planned</w:t>
            </w:r>
          </w:p>
        </w:tc>
        <w:tc>
          <w:tcPr>
            <w:tcW w:w="1080" w:type="dxa"/>
          </w:tcPr>
          <w:p w14:paraId="184091E3" w14:textId="77777777" w:rsidR="008430AC" w:rsidRPr="00CC653C" w:rsidRDefault="008430AC" w:rsidP="008430AC">
            <w:pPr>
              <w:rPr>
                <w:rFonts w:ascii="Calibri" w:hAnsi="Calibri"/>
                <w:sz w:val="20"/>
                <w:szCs w:val="20"/>
              </w:rPr>
            </w:pPr>
            <w:r w:rsidRPr="00CC653C">
              <w:rPr>
                <w:rFonts w:ascii="Calibri" w:hAnsi="Calibri"/>
                <w:sz w:val="20"/>
                <w:szCs w:val="20"/>
              </w:rPr>
              <w:t xml:space="preserve">Actual </w:t>
            </w:r>
          </w:p>
        </w:tc>
        <w:tc>
          <w:tcPr>
            <w:tcW w:w="1080" w:type="dxa"/>
          </w:tcPr>
          <w:p w14:paraId="00295E47" w14:textId="77777777" w:rsidR="008430AC" w:rsidRPr="00CC653C" w:rsidRDefault="008430AC" w:rsidP="008430AC">
            <w:pPr>
              <w:rPr>
                <w:rFonts w:ascii="Calibri" w:hAnsi="Calibri"/>
                <w:sz w:val="20"/>
                <w:szCs w:val="20"/>
              </w:rPr>
            </w:pPr>
            <w:r w:rsidRPr="00CC653C">
              <w:rPr>
                <w:rFonts w:ascii="Calibri" w:hAnsi="Calibri"/>
                <w:sz w:val="20"/>
                <w:szCs w:val="20"/>
              </w:rPr>
              <w:t>Planned</w:t>
            </w:r>
          </w:p>
        </w:tc>
        <w:tc>
          <w:tcPr>
            <w:tcW w:w="1080" w:type="dxa"/>
          </w:tcPr>
          <w:p w14:paraId="4E126EBB" w14:textId="77777777" w:rsidR="008430AC" w:rsidRPr="00CC653C" w:rsidRDefault="008430AC" w:rsidP="008430AC">
            <w:pPr>
              <w:rPr>
                <w:rFonts w:ascii="Calibri" w:hAnsi="Calibri"/>
                <w:sz w:val="20"/>
                <w:szCs w:val="20"/>
              </w:rPr>
            </w:pPr>
            <w:r w:rsidRPr="00CC653C">
              <w:rPr>
                <w:rFonts w:ascii="Calibri" w:hAnsi="Calibri"/>
                <w:sz w:val="20"/>
                <w:szCs w:val="20"/>
              </w:rPr>
              <w:t>Actual</w:t>
            </w:r>
          </w:p>
        </w:tc>
        <w:tc>
          <w:tcPr>
            <w:tcW w:w="1080" w:type="dxa"/>
          </w:tcPr>
          <w:p w14:paraId="342EEAD4" w14:textId="77777777" w:rsidR="008430AC" w:rsidRPr="00CC653C" w:rsidRDefault="008430AC" w:rsidP="008430AC">
            <w:pPr>
              <w:rPr>
                <w:rFonts w:ascii="Calibri" w:hAnsi="Calibri"/>
                <w:sz w:val="20"/>
                <w:szCs w:val="20"/>
              </w:rPr>
            </w:pPr>
            <w:r w:rsidRPr="00CC653C">
              <w:rPr>
                <w:rFonts w:ascii="Calibri" w:hAnsi="Calibri"/>
                <w:sz w:val="20"/>
                <w:szCs w:val="20"/>
              </w:rPr>
              <w:t>Planned</w:t>
            </w:r>
          </w:p>
        </w:tc>
        <w:tc>
          <w:tcPr>
            <w:tcW w:w="990" w:type="dxa"/>
          </w:tcPr>
          <w:p w14:paraId="06F3A8A7" w14:textId="77777777" w:rsidR="008430AC" w:rsidRPr="00CC653C" w:rsidRDefault="008430AC" w:rsidP="008430AC">
            <w:pPr>
              <w:rPr>
                <w:rFonts w:ascii="Calibri" w:hAnsi="Calibri"/>
                <w:sz w:val="20"/>
                <w:szCs w:val="20"/>
              </w:rPr>
            </w:pPr>
            <w:r w:rsidRPr="00CC653C">
              <w:rPr>
                <w:rFonts w:ascii="Calibri" w:hAnsi="Calibri"/>
                <w:sz w:val="20"/>
                <w:szCs w:val="20"/>
              </w:rPr>
              <w:t>Actual</w:t>
            </w:r>
          </w:p>
        </w:tc>
        <w:tc>
          <w:tcPr>
            <w:tcW w:w="1170" w:type="dxa"/>
          </w:tcPr>
          <w:p w14:paraId="4C99B5C8" w14:textId="77777777" w:rsidR="008430AC" w:rsidRPr="00CC653C" w:rsidRDefault="008430AC" w:rsidP="008430AC">
            <w:pPr>
              <w:rPr>
                <w:rFonts w:ascii="Calibri" w:hAnsi="Calibri"/>
                <w:sz w:val="20"/>
                <w:szCs w:val="20"/>
              </w:rPr>
            </w:pPr>
            <w:r w:rsidRPr="00CC653C">
              <w:rPr>
                <w:rFonts w:ascii="Calibri" w:hAnsi="Calibri"/>
                <w:sz w:val="20"/>
                <w:szCs w:val="20"/>
              </w:rPr>
              <w:t>Actual</w:t>
            </w:r>
          </w:p>
        </w:tc>
        <w:tc>
          <w:tcPr>
            <w:tcW w:w="1080" w:type="dxa"/>
          </w:tcPr>
          <w:p w14:paraId="3FDF8C74" w14:textId="77777777" w:rsidR="008430AC" w:rsidRPr="00CC653C" w:rsidRDefault="008430AC" w:rsidP="008430AC">
            <w:pPr>
              <w:rPr>
                <w:rFonts w:ascii="Calibri" w:hAnsi="Calibri"/>
                <w:sz w:val="20"/>
                <w:szCs w:val="20"/>
              </w:rPr>
            </w:pPr>
            <w:r w:rsidRPr="00CC653C">
              <w:rPr>
                <w:rFonts w:ascii="Calibri" w:hAnsi="Calibri"/>
                <w:sz w:val="20"/>
                <w:szCs w:val="20"/>
              </w:rPr>
              <w:t>Actual</w:t>
            </w:r>
          </w:p>
        </w:tc>
      </w:tr>
      <w:tr w:rsidR="008430AC" w:rsidRPr="00CC653C" w14:paraId="00D52BAF" w14:textId="77777777" w:rsidTr="008430AC">
        <w:tc>
          <w:tcPr>
            <w:tcW w:w="2088" w:type="dxa"/>
          </w:tcPr>
          <w:p w14:paraId="152A3CDF" w14:textId="77777777" w:rsidR="008430AC" w:rsidRPr="00CC653C" w:rsidRDefault="008430AC" w:rsidP="008430AC">
            <w:pPr>
              <w:rPr>
                <w:rFonts w:ascii="Calibri" w:hAnsi="Calibri"/>
                <w:sz w:val="20"/>
                <w:szCs w:val="20"/>
              </w:rPr>
            </w:pPr>
            <w:r w:rsidRPr="00CC653C">
              <w:rPr>
                <w:rFonts w:ascii="Calibri" w:hAnsi="Calibri"/>
                <w:sz w:val="20"/>
                <w:szCs w:val="20"/>
              </w:rPr>
              <w:t xml:space="preserve">Grants </w:t>
            </w:r>
          </w:p>
        </w:tc>
        <w:tc>
          <w:tcPr>
            <w:tcW w:w="900" w:type="dxa"/>
          </w:tcPr>
          <w:p w14:paraId="106DE219" w14:textId="77777777" w:rsidR="008430AC" w:rsidRPr="00CC653C" w:rsidRDefault="008430AC" w:rsidP="008430AC">
            <w:pPr>
              <w:rPr>
                <w:rFonts w:ascii="Calibri" w:hAnsi="Calibri"/>
                <w:sz w:val="20"/>
                <w:szCs w:val="20"/>
              </w:rPr>
            </w:pPr>
          </w:p>
        </w:tc>
        <w:tc>
          <w:tcPr>
            <w:tcW w:w="1080" w:type="dxa"/>
          </w:tcPr>
          <w:p w14:paraId="62879D91" w14:textId="77777777" w:rsidR="008430AC" w:rsidRPr="00CC653C" w:rsidRDefault="008430AC" w:rsidP="008430AC">
            <w:pPr>
              <w:rPr>
                <w:rFonts w:ascii="Calibri" w:hAnsi="Calibri"/>
                <w:sz w:val="20"/>
                <w:szCs w:val="20"/>
              </w:rPr>
            </w:pPr>
          </w:p>
        </w:tc>
        <w:tc>
          <w:tcPr>
            <w:tcW w:w="1080" w:type="dxa"/>
          </w:tcPr>
          <w:p w14:paraId="07B49E45" w14:textId="77777777" w:rsidR="008430AC" w:rsidRPr="00CC653C" w:rsidRDefault="008430AC" w:rsidP="008430AC">
            <w:pPr>
              <w:rPr>
                <w:rFonts w:ascii="Calibri" w:hAnsi="Calibri"/>
                <w:sz w:val="20"/>
                <w:szCs w:val="20"/>
              </w:rPr>
            </w:pPr>
          </w:p>
        </w:tc>
        <w:tc>
          <w:tcPr>
            <w:tcW w:w="1080" w:type="dxa"/>
          </w:tcPr>
          <w:p w14:paraId="37286155" w14:textId="77777777" w:rsidR="008430AC" w:rsidRPr="00CC653C" w:rsidRDefault="008430AC" w:rsidP="008430AC">
            <w:pPr>
              <w:rPr>
                <w:rFonts w:ascii="Calibri" w:hAnsi="Calibri"/>
                <w:sz w:val="20"/>
                <w:szCs w:val="20"/>
              </w:rPr>
            </w:pPr>
          </w:p>
        </w:tc>
        <w:tc>
          <w:tcPr>
            <w:tcW w:w="1080" w:type="dxa"/>
          </w:tcPr>
          <w:p w14:paraId="232AD06C" w14:textId="77777777" w:rsidR="008430AC" w:rsidRPr="00CC653C" w:rsidRDefault="008430AC" w:rsidP="008430AC">
            <w:pPr>
              <w:rPr>
                <w:rFonts w:ascii="Calibri" w:hAnsi="Calibri"/>
                <w:sz w:val="20"/>
                <w:szCs w:val="20"/>
              </w:rPr>
            </w:pPr>
          </w:p>
        </w:tc>
        <w:tc>
          <w:tcPr>
            <w:tcW w:w="990" w:type="dxa"/>
          </w:tcPr>
          <w:p w14:paraId="3C8A9135" w14:textId="77777777" w:rsidR="008430AC" w:rsidRPr="00CC653C" w:rsidRDefault="008430AC" w:rsidP="008430AC">
            <w:pPr>
              <w:rPr>
                <w:rFonts w:ascii="Calibri" w:hAnsi="Calibri"/>
                <w:sz w:val="20"/>
                <w:szCs w:val="20"/>
              </w:rPr>
            </w:pPr>
          </w:p>
        </w:tc>
        <w:tc>
          <w:tcPr>
            <w:tcW w:w="1170" w:type="dxa"/>
          </w:tcPr>
          <w:p w14:paraId="2AF16D28" w14:textId="77777777" w:rsidR="008430AC" w:rsidRPr="00CC653C" w:rsidRDefault="008430AC" w:rsidP="008430AC">
            <w:pPr>
              <w:rPr>
                <w:rFonts w:ascii="Calibri" w:hAnsi="Calibri"/>
                <w:sz w:val="20"/>
                <w:szCs w:val="20"/>
              </w:rPr>
            </w:pPr>
          </w:p>
        </w:tc>
        <w:tc>
          <w:tcPr>
            <w:tcW w:w="1080" w:type="dxa"/>
          </w:tcPr>
          <w:p w14:paraId="0AF55547" w14:textId="77777777" w:rsidR="008430AC" w:rsidRPr="00CC653C" w:rsidRDefault="008430AC" w:rsidP="008430AC">
            <w:pPr>
              <w:rPr>
                <w:rFonts w:ascii="Calibri" w:hAnsi="Calibri"/>
                <w:sz w:val="20"/>
                <w:szCs w:val="20"/>
              </w:rPr>
            </w:pPr>
          </w:p>
        </w:tc>
      </w:tr>
      <w:tr w:rsidR="008430AC" w:rsidRPr="00CC653C" w14:paraId="0D68AE9E" w14:textId="77777777" w:rsidTr="008430AC">
        <w:trPr>
          <w:trHeight w:val="332"/>
        </w:trPr>
        <w:tc>
          <w:tcPr>
            <w:tcW w:w="2088" w:type="dxa"/>
          </w:tcPr>
          <w:p w14:paraId="0CF99678" w14:textId="77777777" w:rsidR="008430AC" w:rsidRPr="00CC653C" w:rsidRDefault="008430AC" w:rsidP="008430AC">
            <w:pPr>
              <w:rPr>
                <w:rFonts w:ascii="Calibri" w:hAnsi="Calibri"/>
                <w:sz w:val="20"/>
                <w:szCs w:val="20"/>
              </w:rPr>
            </w:pPr>
            <w:r w:rsidRPr="00CC653C">
              <w:rPr>
                <w:rFonts w:ascii="Calibri" w:hAnsi="Calibri"/>
                <w:sz w:val="20"/>
                <w:szCs w:val="20"/>
              </w:rPr>
              <w:t xml:space="preserve">Loans/Concessions </w:t>
            </w:r>
          </w:p>
        </w:tc>
        <w:tc>
          <w:tcPr>
            <w:tcW w:w="900" w:type="dxa"/>
          </w:tcPr>
          <w:p w14:paraId="5E0E2E6B" w14:textId="77777777" w:rsidR="008430AC" w:rsidRPr="00CC653C" w:rsidRDefault="008430AC" w:rsidP="008430AC">
            <w:pPr>
              <w:rPr>
                <w:rFonts w:ascii="Calibri" w:hAnsi="Calibri"/>
                <w:sz w:val="20"/>
                <w:szCs w:val="20"/>
              </w:rPr>
            </w:pPr>
          </w:p>
        </w:tc>
        <w:tc>
          <w:tcPr>
            <w:tcW w:w="1080" w:type="dxa"/>
          </w:tcPr>
          <w:p w14:paraId="6117A662" w14:textId="77777777" w:rsidR="008430AC" w:rsidRPr="00CC653C" w:rsidRDefault="008430AC" w:rsidP="008430AC">
            <w:pPr>
              <w:rPr>
                <w:rFonts w:ascii="Calibri" w:hAnsi="Calibri"/>
                <w:sz w:val="20"/>
                <w:szCs w:val="20"/>
              </w:rPr>
            </w:pPr>
          </w:p>
        </w:tc>
        <w:tc>
          <w:tcPr>
            <w:tcW w:w="1080" w:type="dxa"/>
          </w:tcPr>
          <w:p w14:paraId="6356E826" w14:textId="77777777" w:rsidR="008430AC" w:rsidRPr="00CC653C" w:rsidRDefault="008430AC" w:rsidP="008430AC">
            <w:pPr>
              <w:rPr>
                <w:rFonts w:ascii="Calibri" w:hAnsi="Calibri"/>
                <w:sz w:val="20"/>
                <w:szCs w:val="20"/>
              </w:rPr>
            </w:pPr>
          </w:p>
        </w:tc>
        <w:tc>
          <w:tcPr>
            <w:tcW w:w="1080" w:type="dxa"/>
          </w:tcPr>
          <w:p w14:paraId="1814DEE3" w14:textId="77777777" w:rsidR="008430AC" w:rsidRPr="00CC653C" w:rsidRDefault="008430AC" w:rsidP="008430AC">
            <w:pPr>
              <w:rPr>
                <w:rFonts w:ascii="Calibri" w:hAnsi="Calibri"/>
                <w:sz w:val="20"/>
                <w:szCs w:val="20"/>
              </w:rPr>
            </w:pPr>
          </w:p>
        </w:tc>
        <w:tc>
          <w:tcPr>
            <w:tcW w:w="1080" w:type="dxa"/>
          </w:tcPr>
          <w:p w14:paraId="73B75F36" w14:textId="77777777" w:rsidR="008430AC" w:rsidRPr="00CC653C" w:rsidRDefault="008430AC" w:rsidP="008430AC">
            <w:pPr>
              <w:rPr>
                <w:rFonts w:ascii="Calibri" w:hAnsi="Calibri"/>
                <w:sz w:val="20"/>
                <w:szCs w:val="20"/>
              </w:rPr>
            </w:pPr>
          </w:p>
        </w:tc>
        <w:tc>
          <w:tcPr>
            <w:tcW w:w="990" w:type="dxa"/>
          </w:tcPr>
          <w:p w14:paraId="5CCC9606" w14:textId="77777777" w:rsidR="008430AC" w:rsidRPr="00CC653C" w:rsidRDefault="008430AC" w:rsidP="008430AC">
            <w:pPr>
              <w:rPr>
                <w:rFonts w:ascii="Calibri" w:hAnsi="Calibri"/>
                <w:sz w:val="20"/>
                <w:szCs w:val="20"/>
              </w:rPr>
            </w:pPr>
          </w:p>
        </w:tc>
        <w:tc>
          <w:tcPr>
            <w:tcW w:w="1170" w:type="dxa"/>
          </w:tcPr>
          <w:p w14:paraId="2FA44450" w14:textId="77777777" w:rsidR="008430AC" w:rsidRPr="00CC653C" w:rsidRDefault="008430AC" w:rsidP="008430AC">
            <w:pPr>
              <w:rPr>
                <w:rFonts w:ascii="Calibri" w:hAnsi="Calibri"/>
                <w:sz w:val="20"/>
                <w:szCs w:val="20"/>
              </w:rPr>
            </w:pPr>
          </w:p>
        </w:tc>
        <w:tc>
          <w:tcPr>
            <w:tcW w:w="1080" w:type="dxa"/>
          </w:tcPr>
          <w:p w14:paraId="4BDD8CA0" w14:textId="77777777" w:rsidR="008430AC" w:rsidRPr="00CC653C" w:rsidRDefault="008430AC" w:rsidP="008430AC">
            <w:pPr>
              <w:rPr>
                <w:rFonts w:ascii="Calibri" w:hAnsi="Calibri"/>
                <w:sz w:val="20"/>
                <w:szCs w:val="20"/>
              </w:rPr>
            </w:pPr>
          </w:p>
        </w:tc>
      </w:tr>
      <w:tr w:rsidR="008430AC" w:rsidRPr="00CC653C" w14:paraId="5848E650" w14:textId="77777777" w:rsidTr="008430AC">
        <w:trPr>
          <w:trHeight w:val="293"/>
        </w:trPr>
        <w:tc>
          <w:tcPr>
            <w:tcW w:w="2088" w:type="dxa"/>
          </w:tcPr>
          <w:p w14:paraId="03FFAABC" w14:textId="77777777" w:rsidR="008430AC" w:rsidRPr="00CC653C" w:rsidRDefault="008430AC" w:rsidP="00DC1947">
            <w:pPr>
              <w:widowControl/>
              <w:numPr>
                <w:ilvl w:val="0"/>
                <w:numId w:val="47"/>
              </w:numPr>
              <w:autoSpaceDE/>
              <w:autoSpaceDN/>
              <w:adjustRightInd/>
              <w:spacing w:before="60" w:after="60"/>
              <w:ind w:left="360"/>
              <w:rPr>
                <w:rFonts w:ascii="Calibri" w:hAnsi="Calibri"/>
                <w:sz w:val="20"/>
                <w:szCs w:val="20"/>
              </w:rPr>
            </w:pPr>
            <w:r w:rsidRPr="00CC653C">
              <w:rPr>
                <w:rFonts w:ascii="Calibri" w:hAnsi="Calibri"/>
                <w:sz w:val="20"/>
                <w:szCs w:val="20"/>
              </w:rPr>
              <w:t>In-kind support</w:t>
            </w:r>
          </w:p>
        </w:tc>
        <w:tc>
          <w:tcPr>
            <w:tcW w:w="900" w:type="dxa"/>
          </w:tcPr>
          <w:p w14:paraId="02459EC8" w14:textId="77777777" w:rsidR="008430AC" w:rsidRPr="00CC653C" w:rsidRDefault="008430AC" w:rsidP="008430AC">
            <w:pPr>
              <w:rPr>
                <w:rFonts w:ascii="Calibri" w:hAnsi="Calibri"/>
                <w:sz w:val="20"/>
                <w:szCs w:val="20"/>
              </w:rPr>
            </w:pPr>
          </w:p>
        </w:tc>
        <w:tc>
          <w:tcPr>
            <w:tcW w:w="1080" w:type="dxa"/>
          </w:tcPr>
          <w:p w14:paraId="43E8FFC6" w14:textId="77777777" w:rsidR="008430AC" w:rsidRPr="00CC653C" w:rsidRDefault="008430AC" w:rsidP="008430AC">
            <w:pPr>
              <w:rPr>
                <w:rFonts w:ascii="Calibri" w:hAnsi="Calibri"/>
                <w:sz w:val="20"/>
                <w:szCs w:val="20"/>
              </w:rPr>
            </w:pPr>
          </w:p>
        </w:tc>
        <w:tc>
          <w:tcPr>
            <w:tcW w:w="1080" w:type="dxa"/>
          </w:tcPr>
          <w:p w14:paraId="5CA933B6" w14:textId="77777777" w:rsidR="008430AC" w:rsidRPr="00CC653C" w:rsidRDefault="008430AC" w:rsidP="008430AC">
            <w:pPr>
              <w:rPr>
                <w:rFonts w:ascii="Calibri" w:hAnsi="Calibri"/>
                <w:sz w:val="20"/>
                <w:szCs w:val="20"/>
              </w:rPr>
            </w:pPr>
          </w:p>
        </w:tc>
        <w:tc>
          <w:tcPr>
            <w:tcW w:w="1080" w:type="dxa"/>
          </w:tcPr>
          <w:p w14:paraId="6231A35C" w14:textId="77777777" w:rsidR="008430AC" w:rsidRPr="00CC653C" w:rsidRDefault="008430AC" w:rsidP="008430AC">
            <w:pPr>
              <w:rPr>
                <w:rFonts w:ascii="Calibri" w:hAnsi="Calibri"/>
                <w:sz w:val="20"/>
                <w:szCs w:val="20"/>
              </w:rPr>
            </w:pPr>
          </w:p>
        </w:tc>
        <w:tc>
          <w:tcPr>
            <w:tcW w:w="1080" w:type="dxa"/>
          </w:tcPr>
          <w:p w14:paraId="2554DCE3" w14:textId="77777777" w:rsidR="008430AC" w:rsidRPr="00CC653C" w:rsidRDefault="008430AC" w:rsidP="008430AC">
            <w:pPr>
              <w:rPr>
                <w:rFonts w:ascii="Calibri" w:hAnsi="Calibri"/>
                <w:sz w:val="20"/>
                <w:szCs w:val="20"/>
              </w:rPr>
            </w:pPr>
          </w:p>
        </w:tc>
        <w:tc>
          <w:tcPr>
            <w:tcW w:w="990" w:type="dxa"/>
          </w:tcPr>
          <w:p w14:paraId="43AAA97C" w14:textId="77777777" w:rsidR="008430AC" w:rsidRPr="00CC653C" w:rsidRDefault="008430AC" w:rsidP="008430AC">
            <w:pPr>
              <w:rPr>
                <w:rFonts w:ascii="Calibri" w:hAnsi="Calibri"/>
                <w:sz w:val="20"/>
                <w:szCs w:val="20"/>
              </w:rPr>
            </w:pPr>
          </w:p>
        </w:tc>
        <w:tc>
          <w:tcPr>
            <w:tcW w:w="1170" w:type="dxa"/>
          </w:tcPr>
          <w:p w14:paraId="0534DCA8" w14:textId="77777777" w:rsidR="008430AC" w:rsidRPr="00CC653C" w:rsidRDefault="008430AC" w:rsidP="008430AC">
            <w:pPr>
              <w:rPr>
                <w:rFonts w:ascii="Calibri" w:hAnsi="Calibri"/>
                <w:sz w:val="20"/>
                <w:szCs w:val="20"/>
              </w:rPr>
            </w:pPr>
          </w:p>
        </w:tc>
        <w:tc>
          <w:tcPr>
            <w:tcW w:w="1080" w:type="dxa"/>
          </w:tcPr>
          <w:p w14:paraId="5801CE01" w14:textId="77777777" w:rsidR="008430AC" w:rsidRPr="00CC653C" w:rsidRDefault="008430AC" w:rsidP="008430AC">
            <w:pPr>
              <w:rPr>
                <w:rFonts w:ascii="Calibri" w:hAnsi="Calibri"/>
                <w:sz w:val="20"/>
                <w:szCs w:val="20"/>
              </w:rPr>
            </w:pPr>
          </w:p>
        </w:tc>
      </w:tr>
      <w:tr w:rsidR="008430AC" w:rsidRPr="00CC653C" w14:paraId="7CD6427B" w14:textId="77777777" w:rsidTr="008430AC">
        <w:tc>
          <w:tcPr>
            <w:tcW w:w="2088" w:type="dxa"/>
          </w:tcPr>
          <w:p w14:paraId="7FB85EC1" w14:textId="77777777" w:rsidR="008430AC" w:rsidRPr="00CC653C" w:rsidRDefault="008430AC" w:rsidP="00DC1947">
            <w:pPr>
              <w:widowControl/>
              <w:numPr>
                <w:ilvl w:val="0"/>
                <w:numId w:val="47"/>
              </w:numPr>
              <w:autoSpaceDE/>
              <w:autoSpaceDN/>
              <w:adjustRightInd/>
              <w:spacing w:before="60" w:after="60"/>
              <w:ind w:left="360"/>
              <w:rPr>
                <w:rFonts w:ascii="Calibri" w:hAnsi="Calibri"/>
                <w:sz w:val="20"/>
                <w:szCs w:val="20"/>
              </w:rPr>
            </w:pPr>
            <w:r w:rsidRPr="00CC653C">
              <w:rPr>
                <w:rFonts w:ascii="Calibri" w:hAnsi="Calibri"/>
                <w:sz w:val="20"/>
                <w:szCs w:val="20"/>
              </w:rPr>
              <w:t>Other</w:t>
            </w:r>
          </w:p>
        </w:tc>
        <w:tc>
          <w:tcPr>
            <w:tcW w:w="900" w:type="dxa"/>
          </w:tcPr>
          <w:p w14:paraId="5F180E31" w14:textId="77777777" w:rsidR="008430AC" w:rsidRPr="00CC653C" w:rsidRDefault="008430AC" w:rsidP="008430AC">
            <w:pPr>
              <w:rPr>
                <w:rFonts w:ascii="Calibri" w:hAnsi="Calibri"/>
                <w:sz w:val="20"/>
                <w:szCs w:val="20"/>
              </w:rPr>
            </w:pPr>
          </w:p>
        </w:tc>
        <w:tc>
          <w:tcPr>
            <w:tcW w:w="1080" w:type="dxa"/>
          </w:tcPr>
          <w:p w14:paraId="38E56636" w14:textId="77777777" w:rsidR="008430AC" w:rsidRPr="00CC653C" w:rsidRDefault="008430AC" w:rsidP="008430AC">
            <w:pPr>
              <w:rPr>
                <w:rFonts w:ascii="Calibri" w:hAnsi="Calibri"/>
                <w:sz w:val="20"/>
                <w:szCs w:val="20"/>
              </w:rPr>
            </w:pPr>
          </w:p>
        </w:tc>
        <w:tc>
          <w:tcPr>
            <w:tcW w:w="1080" w:type="dxa"/>
          </w:tcPr>
          <w:p w14:paraId="538EFB7C" w14:textId="77777777" w:rsidR="008430AC" w:rsidRPr="00CC653C" w:rsidRDefault="008430AC" w:rsidP="008430AC">
            <w:pPr>
              <w:rPr>
                <w:rFonts w:ascii="Calibri" w:hAnsi="Calibri"/>
                <w:sz w:val="20"/>
                <w:szCs w:val="20"/>
              </w:rPr>
            </w:pPr>
          </w:p>
        </w:tc>
        <w:tc>
          <w:tcPr>
            <w:tcW w:w="1080" w:type="dxa"/>
          </w:tcPr>
          <w:p w14:paraId="2F52A408" w14:textId="77777777" w:rsidR="008430AC" w:rsidRPr="00CC653C" w:rsidRDefault="008430AC" w:rsidP="008430AC">
            <w:pPr>
              <w:rPr>
                <w:rFonts w:ascii="Calibri" w:hAnsi="Calibri"/>
                <w:sz w:val="20"/>
                <w:szCs w:val="20"/>
              </w:rPr>
            </w:pPr>
          </w:p>
        </w:tc>
        <w:tc>
          <w:tcPr>
            <w:tcW w:w="1080" w:type="dxa"/>
          </w:tcPr>
          <w:p w14:paraId="106B9489" w14:textId="77777777" w:rsidR="008430AC" w:rsidRPr="00CC653C" w:rsidRDefault="008430AC" w:rsidP="008430AC">
            <w:pPr>
              <w:rPr>
                <w:rFonts w:ascii="Calibri" w:hAnsi="Calibri"/>
                <w:sz w:val="20"/>
                <w:szCs w:val="20"/>
              </w:rPr>
            </w:pPr>
          </w:p>
        </w:tc>
        <w:tc>
          <w:tcPr>
            <w:tcW w:w="990" w:type="dxa"/>
          </w:tcPr>
          <w:p w14:paraId="0A2E0624" w14:textId="77777777" w:rsidR="008430AC" w:rsidRPr="00CC653C" w:rsidRDefault="008430AC" w:rsidP="008430AC">
            <w:pPr>
              <w:rPr>
                <w:rFonts w:ascii="Calibri" w:hAnsi="Calibri"/>
                <w:sz w:val="20"/>
                <w:szCs w:val="20"/>
              </w:rPr>
            </w:pPr>
          </w:p>
        </w:tc>
        <w:tc>
          <w:tcPr>
            <w:tcW w:w="1170" w:type="dxa"/>
          </w:tcPr>
          <w:p w14:paraId="22AE59AA" w14:textId="77777777" w:rsidR="008430AC" w:rsidRPr="00CC653C" w:rsidRDefault="008430AC" w:rsidP="008430AC">
            <w:pPr>
              <w:rPr>
                <w:rFonts w:ascii="Calibri" w:hAnsi="Calibri"/>
                <w:sz w:val="20"/>
                <w:szCs w:val="20"/>
              </w:rPr>
            </w:pPr>
          </w:p>
        </w:tc>
        <w:tc>
          <w:tcPr>
            <w:tcW w:w="1080" w:type="dxa"/>
          </w:tcPr>
          <w:p w14:paraId="15B28648" w14:textId="77777777" w:rsidR="008430AC" w:rsidRPr="00CC653C" w:rsidRDefault="008430AC" w:rsidP="008430AC">
            <w:pPr>
              <w:rPr>
                <w:rFonts w:ascii="Calibri" w:hAnsi="Calibri"/>
                <w:sz w:val="20"/>
                <w:szCs w:val="20"/>
              </w:rPr>
            </w:pPr>
          </w:p>
        </w:tc>
      </w:tr>
      <w:tr w:rsidR="008430AC" w:rsidRPr="00D6638C" w14:paraId="5E9FE6F4" w14:textId="77777777" w:rsidTr="008430AC">
        <w:trPr>
          <w:trHeight w:val="215"/>
        </w:trPr>
        <w:tc>
          <w:tcPr>
            <w:tcW w:w="2088" w:type="dxa"/>
          </w:tcPr>
          <w:p w14:paraId="42C17014" w14:textId="77777777" w:rsidR="008430AC" w:rsidRPr="00D6638C" w:rsidRDefault="008430AC" w:rsidP="008430AC">
            <w:pPr>
              <w:rPr>
                <w:rFonts w:ascii="Calibri" w:hAnsi="Calibri"/>
                <w:sz w:val="20"/>
                <w:szCs w:val="20"/>
              </w:rPr>
            </w:pPr>
            <w:r w:rsidRPr="00CC653C">
              <w:rPr>
                <w:rFonts w:ascii="Calibri" w:hAnsi="Calibri"/>
                <w:sz w:val="20"/>
                <w:szCs w:val="20"/>
              </w:rPr>
              <w:t>Totals</w:t>
            </w:r>
          </w:p>
        </w:tc>
        <w:tc>
          <w:tcPr>
            <w:tcW w:w="900" w:type="dxa"/>
          </w:tcPr>
          <w:p w14:paraId="11F591CD" w14:textId="77777777" w:rsidR="008430AC" w:rsidRPr="00D6638C" w:rsidRDefault="008430AC" w:rsidP="008430AC">
            <w:pPr>
              <w:rPr>
                <w:rFonts w:ascii="Calibri" w:hAnsi="Calibri"/>
                <w:sz w:val="20"/>
                <w:szCs w:val="20"/>
              </w:rPr>
            </w:pPr>
          </w:p>
        </w:tc>
        <w:tc>
          <w:tcPr>
            <w:tcW w:w="1080" w:type="dxa"/>
          </w:tcPr>
          <w:p w14:paraId="14E7137B" w14:textId="77777777" w:rsidR="008430AC" w:rsidRPr="00D6638C" w:rsidRDefault="008430AC" w:rsidP="008430AC">
            <w:pPr>
              <w:rPr>
                <w:rFonts w:ascii="Calibri" w:hAnsi="Calibri"/>
                <w:sz w:val="20"/>
                <w:szCs w:val="20"/>
              </w:rPr>
            </w:pPr>
          </w:p>
        </w:tc>
        <w:tc>
          <w:tcPr>
            <w:tcW w:w="1080" w:type="dxa"/>
          </w:tcPr>
          <w:p w14:paraId="7FE31D63" w14:textId="77777777" w:rsidR="008430AC" w:rsidRPr="00D6638C" w:rsidRDefault="008430AC" w:rsidP="008430AC">
            <w:pPr>
              <w:rPr>
                <w:rFonts w:ascii="Calibri" w:hAnsi="Calibri"/>
                <w:sz w:val="20"/>
                <w:szCs w:val="20"/>
              </w:rPr>
            </w:pPr>
          </w:p>
        </w:tc>
        <w:tc>
          <w:tcPr>
            <w:tcW w:w="1080" w:type="dxa"/>
          </w:tcPr>
          <w:p w14:paraId="46EB58A6" w14:textId="77777777" w:rsidR="008430AC" w:rsidRPr="00D6638C" w:rsidRDefault="008430AC" w:rsidP="008430AC">
            <w:pPr>
              <w:rPr>
                <w:rFonts w:ascii="Calibri" w:hAnsi="Calibri"/>
                <w:sz w:val="20"/>
                <w:szCs w:val="20"/>
              </w:rPr>
            </w:pPr>
          </w:p>
        </w:tc>
        <w:tc>
          <w:tcPr>
            <w:tcW w:w="1080" w:type="dxa"/>
          </w:tcPr>
          <w:p w14:paraId="4DB4B18B" w14:textId="77777777" w:rsidR="008430AC" w:rsidRPr="00D6638C" w:rsidRDefault="008430AC" w:rsidP="008430AC">
            <w:pPr>
              <w:rPr>
                <w:rFonts w:ascii="Calibri" w:hAnsi="Calibri"/>
                <w:sz w:val="20"/>
                <w:szCs w:val="20"/>
              </w:rPr>
            </w:pPr>
          </w:p>
        </w:tc>
        <w:tc>
          <w:tcPr>
            <w:tcW w:w="990" w:type="dxa"/>
          </w:tcPr>
          <w:p w14:paraId="280C0826" w14:textId="77777777" w:rsidR="008430AC" w:rsidRPr="00D6638C" w:rsidRDefault="008430AC" w:rsidP="008430AC">
            <w:pPr>
              <w:rPr>
                <w:rFonts w:ascii="Calibri" w:hAnsi="Calibri"/>
                <w:sz w:val="20"/>
                <w:szCs w:val="20"/>
              </w:rPr>
            </w:pPr>
          </w:p>
        </w:tc>
        <w:tc>
          <w:tcPr>
            <w:tcW w:w="1170" w:type="dxa"/>
          </w:tcPr>
          <w:p w14:paraId="70A16DCC" w14:textId="77777777" w:rsidR="008430AC" w:rsidRPr="00D6638C" w:rsidRDefault="008430AC" w:rsidP="008430AC">
            <w:pPr>
              <w:rPr>
                <w:rFonts w:ascii="Calibri" w:hAnsi="Calibri"/>
                <w:sz w:val="20"/>
                <w:szCs w:val="20"/>
              </w:rPr>
            </w:pPr>
          </w:p>
        </w:tc>
        <w:tc>
          <w:tcPr>
            <w:tcW w:w="1080" w:type="dxa"/>
          </w:tcPr>
          <w:p w14:paraId="7BFE1CB3" w14:textId="77777777" w:rsidR="008430AC" w:rsidRPr="00D6638C" w:rsidRDefault="008430AC" w:rsidP="008430AC">
            <w:pPr>
              <w:rPr>
                <w:rFonts w:ascii="Calibri" w:hAnsi="Calibri"/>
                <w:sz w:val="20"/>
                <w:szCs w:val="20"/>
              </w:rPr>
            </w:pPr>
          </w:p>
        </w:tc>
      </w:tr>
    </w:tbl>
    <w:p w14:paraId="376BF615" w14:textId="77777777" w:rsidR="008430AC" w:rsidRPr="00D6638C" w:rsidRDefault="008430AC" w:rsidP="008430AC">
      <w:pPr>
        <w:pStyle w:val="Heading51"/>
      </w:pPr>
      <w:bookmarkStart w:id="85" w:name="_Toc321341553"/>
      <w:r w:rsidRPr="00D6638C">
        <w:t>Mainstreaming</w:t>
      </w:r>
      <w:bookmarkEnd w:id="79"/>
      <w:bookmarkEnd w:id="85"/>
    </w:p>
    <w:p w14:paraId="43CC5C7E" w14:textId="77777777" w:rsidR="008430AC" w:rsidRPr="00D6638C" w:rsidRDefault="008430AC" w:rsidP="008430AC">
      <w:pPr>
        <w:spacing w:after="120"/>
        <w:rPr>
          <w:rFonts w:ascii="Calibri" w:hAnsi="Calibri"/>
          <w:sz w:val="20"/>
          <w:szCs w:val="20"/>
        </w:rPr>
      </w:pPr>
      <w:r w:rsidRPr="00D6638C">
        <w:rPr>
          <w:rFonts w:ascii="Calibri" w:hAnsi="Calibri"/>
          <w:sz w:val="20"/>
          <w:szCs w:val="20"/>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120537F3" w14:textId="77777777" w:rsidR="008430AC" w:rsidRPr="00D6638C" w:rsidRDefault="008430AC" w:rsidP="008430AC">
      <w:pPr>
        <w:pStyle w:val="Heading51"/>
      </w:pPr>
      <w:bookmarkStart w:id="86" w:name="_Toc277677980"/>
      <w:bookmarkStart w:id="87" w:name="_Toc321341554"/>
      <w:r w:rsidRPr="00D6638C">
        <w:t>Impact</w:t>
      </w:r>
      <w:bookmarkEnd w:id="86"/>
      <w:bookmarkEnd w:id="87"/>
    </w:p>
    <w:p w14:paraId="6D402783" w14:textId="77777777" w:rsidR="008430AC" w:rsidRPr="00D6638C" w:rsidRDefault="008430AC" w:rsidP="008430AC">
      <w:pPr>
        <w:spacing w:after="120"/>
        <w:rPr>
          <w:rFonts w:ascii="Calibri" w:hAnsi="Calibri"/>
          <w:sz w:val="20"/>
          <w:szCs w:val="20"/>
        </w:rPr>
      </w:pPr>
      <w:r w:rsidRPr="00D6638C">
        <w:rPr>
          <w:rFonts w:ascii="Calibri" w:hAnsi="Calibri"/>
          <w:sz w:val="20"/>
          <w:szCs w:val="20"/>
        </w:rPr>
        <w:t>The evaluators will assess the extent to which the project is achieving impacts or progressing towards the achievement of impacts.</w:t>
      </w:r>
      <w:r w:rsidRPr="00D6638C">
        <w:rPr>
          <w:rFonts w:ascii="Calibri" w:hAnsi="Calibri" w:cs="WarnockPro-Light"/>
          <w:sz w:val="20"/>
          <w:szCs w:val="20"/>
        </w:rPr>
        <w:t xml:space="preserve"> K</w:t>
      </w:r>
      <w:r w:rsidRPr="00D6638C">
        <w:rPr>
          <w:rFonts w:ascii="Calibri" w:hAnsi="Calibri"/>
          <w:sz w:val="20"/>
          <w:szCs w:val="20"/>
        </w:rPr>
        <w:t xml:space="preserve">ey findings that should be brought out in the evaluations include whether the project has demonstrated: a) verifiable improvements in ecological status, b) verifiable reductions in stress on ecological systems, </w:t>
      </w:r>
      <w:r>
        <w:rPr>
          <w:rFonts w:ascii="Calibri" w:hAnsi="Calibri"/>
          <w:sz w:val="20"/>
          <w:szCs w:val="20"/>
        </w:rPr>
        <w:t>and/</w:t>
      </w:r>
      <w:r w:rsidRPr="00D6638C">
        <w:rPr>
          <w:rFonts w:ascii="Calibri" w:hAnsi="Calibri"/>
          <w:sz w:val="20"/>
          <w:szCs w:val="20"/>
        </w:rPr>
        <w:t>or c) demonstrated progress towards these impact achievements.</w:t>
      </w:r>
      <w:r>
        <w:rPr>
          <w:rStyle w:val="FootnoteReference"/>
          <w:rFonts w:ascii="Calibri" w:hAnsi="Calibri"/>
          <w:sz w:val="20"/>
          <w:szCs w:val="20"/>
        </w:rPr>
        <w:footnoteReference w:id="10"/>
      </w:r>
      <w:r w:rsidRPr="00D6638C">
        <w:rPr>
          <w:rFonts w:ascii="Calibri" w:hAnsi="Calibri"/>
          <w:sz w:val="20"/>
          <w:szCs w:val="20"/>
        </w:rPr>
        <w:t xml:space="preserve"> </w:t>
      </w:r>
    </w:p>
    <w:p w14:paraId="5138BC4F" w14:textId="77777777" w:rsidR="008430AC" w:rsidRPr="00D6638C" w:rsidRDefault="008430AC" w:rsidP="008430AC">
      <w:pPr>
        <w:pStyle w:val="Heading51"/>
      </w:pPr>
      <w:bookmarkStart w:id="88" w:name="_Toc278193982"/>
      <w:bookmarkStart w:id="89" w:name="_Toc299133042"/>
      <w:bookmarkStart w:id="90" w:name="_Toc321341555"/>
      <w:bookmarkStart w:id="91" w:name="_Toc299126621"/>
      <w:bookmarkEnd w:id="80"/>
      <w:bookmarkEnd w:id="81"/>
      <w:bookmarkEnd w:id="82"/>
      <w:bookmarkEnd w:id="83"/>
      <w:bookmarkEnd w:id="84"/>
      <w:r w:rsidRPr="00D6638C">
        <w:t>Conclusions</w:t>
      </w:r>
      <w:bookmarkStart w:id="92" w:name="_Toc277677982"/>
      <w:r w:rsidRPr="00D6638C">
        <w:t>, recommendations &amp; lessons</w:t>
      </w:r>
      <w:bookmarkEnd w:id="88"/>
      <w:bookmarkEnd w:id="89"/>
      <w:bookmarkEnd w:id="90"/>
      <w:bookmarkEnd w:id="92"/>
    </w:p>
    <w:p w14:paraId="089CF5F3" w14:textId="77777777" w:rsidR="008430AC" w:rsidRPr="00D6638C" w:rsidRDefault="008430AC" w:rsidP="008430AC">
      <w:pPr>
        <w:spacing w:after="120"/>
        <w:rPr>
          <w:rFonts w:ascii="Calibri" w:hAnsi="Calibri"/>
          <w:sz w:val="20"/>
          <w:szCs w:val="20"/>
        </w:rPr>
      </w:pPr>
      <w:r w:rsidRPr="00D6638C">
        <w:rPr>
          <w:rFonts w:ascii="Calibri" w:hAnsi="Calibri"/>
          <w:sz w:val="20"/>
          <w:szCs w:val="20"/>
        </w:rPr>
        <w:t xml:space="preserve">The evaluation report must include a chapter providing a set of </w:t>
      </w:r>
      <w:r w:rsidRPr="00D6638C">
        <w:rPr>
          <w:rFonts w:ascii="Calibri" w:hAnsi="Calibri"/>
          <w:b/>
          <w:sz w:val="20"/>
          <w:szCs w:val="20"/>
        </w:rPr>
        <w:t>conclusions</w:t>
      </w:r>
      <w:r w:rsidRPr="00D6638C">
        <w:rPr>
          <w:rFonts w:ascii="Calibri" w:hAnsi="Calibri"/>
          <w:sz w:val="20"/>
          <w:szCs w:val="20"/>
        </w:rPr>
        <w:t xml:space="preserve">, </w:t>
      </w:r>
      <w:r w:rsidRPr="00D6638C">
        <w:rPr>
          <w:rFonts w:ascii="Calibri" w:hAnsi="Calibri"/>
          <w:b/>
          <w:sz w:val="20"/>
          <w:szCs w:val="20"/>
        </w:rPr>
        <w:t>recommendations</w:t>
      </w:r>
      <w:r w:rsidRPr="00D6638C">
        <w:rPr>
          <w:rFonts w:ascii="Calibri" w:hAnsi="Calibri"/>
          <w:sz w:val="20"/>
          <w:szCs w:val="20"/>
        </w:rPr>
        <w:t xml:space="preserve"> and </w:t>
      </w:r>
      <w:r w:rsidRPr="00D6638C">
        <w:rPr>
          <w:rFonts w:ascii="Calibri" w:hAnsi="Calibri"/>
          <w:b/>
          <w:sz w:val="20"/>
          <w:szCs w:val="20"/>
        </w:rPr>
        <w:t>lessons</w:t>
      </w:r>
      <w:r w:rsidRPr="00D6638C">
        <w:rPr>
          <w:rFonts w:ascii="Calibri" w:hAnsi="Calibri"/>
          <w:sz w:val="20"/>
          <w:szCs w:val="20"/>
        </w:rPr>
        <w:t xml:space="preserve">.  </w:t>
      </w:r>
    </w:p>
    <w:p w14:paraId="08941730" w14:textId="77777777" w:rsidR="008430AC" w:rsidRPr="00D6638C" w:rsidRDefault="008430AC" w:rsidP="008430AC">
      <w:pPr>
        <w:pStyle w:val="Heading51"/>
      </w:pPr>
      <w:bookmarkStart w:id="93" w:name="_Toc299126625"/>
      <w:bookmarkStart w:id="94" w:name="_Toc299133044"/>
      <w:bookmarkStart w:id="95" w:name="_Toc321341556"/>
      <w:r w:rsidRPr="00D6638C">
        <w:t>Implementation arrangements</w:t>
      </w:r>
      <w:bookmarkEnd w:id="93"/>
      <w:bookmarkEnd w:id="94"/>
      <w:bookmarkEnd w:id="95"/>
    </w:p>
    <w:p w14:paraId="344A50D9" w14:textId="77777777" w:rsidR="008430AC" w:rsidRDefault="008430AC" w:rsidP="008430AC">
      <w:pPr>
        <w:spacing w:before="200"/>
        <w:rPr>
          <w:rFonts w:ascii="Calibri" w:hAnsi="Calibri"/>
          <w:sz w:val="20"/>
          <w:szCs w:val="20"/>
        </w:rPr>
      </w:pPr>
      <w:r w:rsidRPr="00D6638C">
        <w:rPr>
          <w:rFonts w:ascii="Calibri" w:hAnsi="Calibri"/>
          <w:sz w:val="20"/>
          <w:szCs w:val="20"/>
        </w:rPr>
        <w:t xml:space="preserve">The principal responsibility for managing this evaluation resides with the UNDP CO </w:t>
      </w:r>
      <w:r w:rsidRPr="00125D93">
        <w:rPr>
          <w:rFonts w:ascii="Calibri" w:hAnsi="Calibri"/>
          <w:sz w:val="20"/>
          <w:szCs w:val="20"/>
        </w:rPr>
        <w:t>in</w:t>
      </w:r>
      <w:r>
        <w:rPr>
          <w:rFonts w:ascii="Calibri" w:hAnsi="Calibri"/>
          <w:sz w:val="20"/>
          <w:szCs w:val="20"/>
        </w:rPr>
        <w:t xml:space="preserve"> the</w:t>
      </w:r>
      <w:r w:rsidRPr="00125D93">
        <w:rPr>
          <w:rFonts w:ascii="Calibri" w:hAnsi="Calibri"/>
          <w:sz w:val="20"/>
          <w:szCs w:val="20"/>
        </w:rPr>
        <w:t xml:space="preserve"> </w:t>
      </w:r>
      <w:r w:rsidRPr="002C78BD">
        <w:rPr>
          <w:rFonts w:ascii="Calibri" w:hAnsi="Calibri"/>
          <w:sz w:val="20"/>
          <w:szCs w:val="20"/>
        </w:rPr>
        <w:t>Republic of Moldova</w:t>
      </w:r>
      <w:r w:rsidRPr="00125D93">
        <w:rPr>
          <w:rFonts w:ascii="Calibri" w:hAnsi="Calibri"/>
          <w:i/>
          <w:sz w:val="20"/>
          <w:szCs w:val="20"/>
        </w:rPr>
        <w:t>.</w:t>
      </w:r>
      <w:r w:rsidRPr="00D6638C">
        <w:rPr>
          <w:rFonts w:ascii="Calibri" w:hAnsi="Calibri"/>
          <w:sz w:val="20"/>
          <w:szCs w:val="20"/>
        </w:rPr>
        <w:t xml:space="preserve"> </w:t>
      </w:r>
      <w:r w:rsidRPr="002B2119">
        <w:rPr>
          <w:rFonts w:ascii="Calibri" w:hAnsi="Calibri"/>
          <w:sz w:val="20"/>
          <w:szCs w:val="20"/>
        </w:rPr>
        <w:t>The UNDP CO will contract</w:t>
      </w:r>
      <w:r w:rsidRPr="00D6638C">
        <w:rPr>
          <w:rFonts w:ascii="Calibri" w:hAnsi="Calibri"/>
          <w:sz w:val="20"/>
          <w:szCs w:val="20"/>
        </w:rPr>
        <w:t xml:space="preserve">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96" w:name="_Toc299133047"/>
      <w:bookmarkStart w:id="97" w:name="_Toc299122838"/>
      <w:bookmarkStart w:id="98" w:name="_Toc299122860"/>
      <w:bookmarkStart w:id="99" w:name="_Toc299126629"/>
      <w:bookmarkEnd w:id="91"/>
    </w:p>
    <w:p w14:paraId="220C6874" w14:textId="77777777" w:rsidR="008430AC" w:rsidRPr="00D6638C" w:rsidRDefault="008430AC" w:rsidP="008430AC">
      <w:pPr>
        <w:pStyle w:val="Heading51"/>
      </w:pPr>
      <w:r w:rsidRPr="00D6638C">
        <w:lastRenderedPageBreak/>
        <w:t>Evaluation timeframe</w:t>
      </w:r>
      <w:bookmarkEnd w:id="96"/>
      <w:bookmarkEnd w:id="97"/>
      <w:bookmarkEnd w:id="98"/>
      <w:bookmarkEnd w:id="99"/>
    </w:p>
    <w:p w14:paraId="510FF8E4" w14:textId="77777777" w:rsidR="008430AC" w:rsidRPr="00D6638C" w:rsidRDefault="008430AC" w:rsidP="008430AC">
      <w:pPr>
        <w:spacing w:after="120"/>
        <w:rPr>
          <w:rFonts w:ascii="Calibri" w:hAnsi="Calibri"/>
          <w:sz w:val="20"/>
          <w:szCs w:val="20"/>
        </w:rPr>
      </w:pPr>
      <w:r w:rsidRPr="00D6638C">
        <w:rPr>
          <w:rFonts w:ascii="Calibri" w:hAnsi="Calibri"/>
          <w:sz w:val="20"/>
          <w:szCs w:val="20"/>
        </w:rPr>
        <w:t>The total duration of the evaluation will be</w:t>
      </w:r>
      <w:r>
        <w:rPr>
          <w:rFonts w:ascii="Calibri" w:hAnsi="Calibri"/>
          <w:sz w:val="20"/>
          <w:szCs w:val="20"/>
        </w:rPr>
        <w:t xml:space="preserve"> 20 </w:t>
      </w:r>
      <w:r w:rsidRPr="00D6638C">
        <w:rPr>
          <w:rFonts w:ascii="Calibri" w:hAnsi="Calibri"/>
          <w:sz w:val="20"/>
          <w:szCs w:val="20"/>
        </w:rPr>
        <w:t xml:space="preserve">days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499"/>
        <w:gridCol w:w="3071"/>
      </w:tblGrid>
      <w:tr w:rsidR="008430AC" w:rsidRPr="00D6638C" w14:paraId="6FE7E8F3" w14:textId="77777777" w:rsidTr="008430AC">
        <w:trPr>
          <w:trHeight w:val="440"/>
        </w:trPr>
        <w:tc>
          <w:tcPr>
            <w:tcW w:w="2988" w:type="dxa"/>
            <w:shd w:val="clear" w:color="auto" w:fill="7F7F7F"/>
          </w:tcPr>
          <w:p w14:paraId="6CCC18FE" w14:textId="77777777" w:rsidR="008430AC" w:rsidRPr="00D6638C" w:rsidRDefault="008430AC" w:rsidP="008430AC">
            <w:pPr>
              <w:jc w:val="center"/>
              <w:rPr>
                <w:rFonts w:ascii="Calibri" w:hAnsi="Calibri"/>
                <w:b/>
                <w:color w:val="FFFFFF"/>
                <w:sz w:val="20"/>
                <w:szCs w:val="20"/>
              </w:rPr>
            </w:pPr>
            <w:r w:rsidRPr="00D6638C">
              <w:rPr>
                <w:rFonts w:ascii="Calibri" w:hAnsi="Calibri"/>
                <w:b/>
                <w:color w:val="FFFFFF"/>
                <w:sz w:val="20"/>
                <w:szCs w:val="20"/>
              </w:rPr>
              <w:t>Activity</w:t>
            </w:r>
          </w:p>
        </w:tc>
        <w:tc>
          <w:tcPr>
            <w:tcW w:w="3499" w:type="dxa"/>
            <w:shd w:val="clear" w:color="auto" w:fill="7F7F7F"/>
          </w:tcPr>
          <w:p w14:paraId="6CE7C421" w14:textId="77777777" w:rsidR="008430AC" w:rsidRPr="00D6638C" w:rsidRDefault="008430AC" w:rsidP="008430AC">
            <w:pPr>
              <w:jc w:val="center"/>
              <w:rPr>
                <w:rFonts w:ascii="Calibri" w:hAnsi="Calibri"/>
                <w:color w:val="FFFFFF"/>
                <w:sz w:val="20"/>
                <w:szCs w:val="20"/>
              </w:rPr>
            </w:pPr>
            <w:r w:rsidRPr="00D6638C">
              <w:rPr>
                <w:rFonts w:ascii="Calibri" w:hAnsi="Calibri"/>
                <w:color w:val="FFFFFF"/>
                <w:sz w:val="20"/>
                <w:szCs w:val="20"/>
              </w:rPr>
              <w:t>Timing</w:t>
            </w:r>
          </w:p>
        </w:tc>
        <w:tc>
          <w:tcPr>
            <w:tcW w:w="3071" w:type="dxa"/>
            <w:shd w:val="clear" w:color="auto" w:fill="7F7F7F"/>
          </w:tcPr>
          <w:p w14:paraId="125C0992" w14:textId="77777777" w:rsidR="008430AC" w:rsidRPr="00D6638C" w:rsidRDefault="008430AC" w:rsidP="008430AC">
            <w:pPr>
              <w:jc w:val="center"/>
              <w:rPr>
                <w:rFonts w:ascii="Calibri" w:hAnsi="Calibri"/>
                <w:color w:val="FFFFFF"/>
                <w:sz w:val="20"/>
                <w:szCs w:val="20"/>
              </w:rPr>
            </w:pPr>
            <w:r w:rsidRPr="00D6638C">
              <w:rPr>
                <w:rFonts w:ascii="Calibri" w:hAnsi="Calibri"/>
                <w:color w:val="FFFFFF"/>
                <w:sz w:val="20"/>
                <w:szCs w:val="20"/>
              </w:rPr>
              <w:t>Completion Date</w:t>
            </w:r>
          </w:p>
        </w:tc>
      </w:tr>
      <w:tr w:rsidR="008430AC" w:rsidRPr="00D6638C" w14:paraId="6D0E4DA0" w14:textId="77777777" w:rsidTr="008430AC">
        <w:tc>
          <w:tcPr>
            <w:tcW w:w="2988" w:type="dxa"/>
          </w:tcPr>
          <w:p w14:paraId="2EE093FC" w14:textId="77777777" w:rsidR="008430AC" w:rsidRPr="00D6638C" w:rsidRDefault="008430AC" w:rsidP="008430AC">
            <w:pPr>
              <w:rPr>
                <w:rFonts w:ascii="Calibri" w:hAnsi="Calibri"/>
                <w:b/>
                <w:sz w:val="20"/>
                <w:szCs w:val="20"/>
              </w:rPr>
            </w:pPr>
            <w:r w:rsidRPr="00D6638C">
              <w:rPr>
                <w:rFonts w:ascii="Calibri" w:hAnsi="Calibri"/>
                <w:b/>
                <w:sz w:val="20"/>
                <w:szCs w:val="20"/>
              </w:rPr>
              <w:t>Preparation</w:t>
            </w:r>
          </w:p>
        </w:tc>
        <w:tc>
          <w:tcPr>
            <w:tcW w:w="3499" w:type="dxa"/>
          </w:tcPr>
          <w:p w14:paraId="7899FEFD" w14:textId="77777777" w:rsidR="008430AC" w:rsidRPr="00D6638C" w:rsidRDefault="008430AC" w:rsidP="008430AC">
            <w:pPr>
              <w:rPr>
                <w:rFonts w:ascii="Calibri" w:hAnsi="Calibri"/>
                <w:b/>
                <w:sz w:val="20"/>
                <w:szCs w:val="20"/>
              </w:rPr>
            </w:pPr>
            <w:r>
              <w:rPr>
                <w:rFonts w:ascii="Calibri" w:hAnsi="Calibri"/>
                <w:i/>
                <w:sz w:val="20"/>
                <w:szCs w:val="20"/>
              </w:rPr>
              <w:t>4 days</w:t>
            </w:r>
            <w:r w:rsidRPr="00D6638C">
              <w:rPr>
                <w:rFonts w:ascii="Calibri" w:hAnsi="Calibri"/>
                <w:sz w:val="20"/>
                <w:szCs w:val="20"/>
              </w:rPr>
              <w:t xml:space="preserve"> </w:t>
            </w:r>
          </w:p>
        </w:tc>
        <w:tc>
          <w:tcPr>
            <w:tcW w:w="3071" w:type="dxa"/>
          </w:tcPr>
          <w:p w14:paraId="46D824F3" w14:textId="77777777" w:rsidR="008430AC" w:rsidRPr="00224F9C" w:rsidRDefault="008430AC" w:rsidP="008430AC">
            <w:pPr>
              <w:rPr>
                <w:rFonts w:ascii="Calibri" w:hAnsi="Calibri"/>
                <w:i/>
                <w:sz w:val="20"/>
                <w:szCs w:val="20"/>
                <w:highlight w:val="lightGray"/>
              </w:rPr>
            </w:pPr>
            <w:r>
              <w:rPr>
                <w:rFonts w:ascii="Calibri" w:hAnsi="Calibri"/>
                <w:i/>
                <w:sz w:val="20"/>
                <w:szCs w:val="20"/>
              </w:rPr>
              <w:t>July 20</w:t>
            </w:r>
          </w:p>
        </w:tc>
      </w:tr>
      <w:tr w:rsidR="008430AC" w:rsidRPr="00D6638C" w14:paraId="0DD55D51" w14:textId="77777777" w:rsidTr="008430AC">
        <w:tc>
          <w:tcPr>
            <w:tcW w:w="2988" w:type="dxa"/>
          </w:tcPr>
          <w:p w14:paraId="58C4DAAD" w14:textId="77777777" w:rsidR="008430AC" w:rsidRPr="00D6638C" w:rsidRDefault="008430AC" w:rsidP="008430AC">
            <w:pPr>
              <w:rPr>
                <w:rFonts w:ascii="Calibri" w:hAnsi="Calibri"/>
                <w:b/>
                <w:sz w:val="20"/>
                <w:szCs w:val="20"/>
              </w:rPr>
            </w:pPr>
            <w:r w:rsidRPr="00D6638C">
              <w:rPr>
                <w:rFonts w:ascii="Calibri" w:hAnsi="Calibri"/>
                <w:b/>
                <w:sz w:val="20"/>
                <w:szCs w:val="20"/>
              </w:rPr>
              <w:t>Evaluation Mission</w:t>
            </w:r>
          </w:p>
        </w:tc>
        <w:tc>
          <w:tcPr>
            <w:tcW w:w="3499" w:type="dxa"/>
          </w:tcPr>
          <w:p w14:paraId="1305F9E3" w14:textId="77777777" w:rsidR="008430AC" w:rsidRPr="00D6638C" w:rsidRDefault="008430AC" w:rsidP="008430AC">
            <w:pPr>
              <w:rPr>
                <w:rFonts w:ascii="Calibri" w:hAnsi="Calibri"/>
                <w:b/>
                <w:sz w:val="20"/>
                <w:szCs w:val="20"/>
              </w:rPr>
            </w:pPr>
            <w:r>
              <w:rPr>
                <w:rFonts w:ascii="Calibri" w:hAnsi="Calibri"/>
                <w:i/>
                <w:sz w:val="20"/>
                <w:szCs w:val="20"/>
              </w:rPr>
              <w:t>6 days</w:t>
            </w:r>
          </w:p>
        </w:tc>
        <w:tc>
          <w:tcPr>
            <w:tcW w:w="3071" w:type="dxa"/>
          </w:tcPr>
          <w:p w14:paraId="6750478A" w14:textId="77777777" w:rsidR="008430AC" w:rsidRPr="00224F9C" w:rsidRDefault="008430AC" w:rsidP="008430AC">
            <w:pPr>
              <w:rPr>
                <w:rFonts w:ascii="Calibri" w:hAnsi="Calibri"/>
                <w:i/>
                <w:sz w:val="20"/>
                <w:szCs w:val="20"/>
                <w:highlight w:val="lightGray"/>
              </w:rPr>
            </w:pPr>
            <w:r>
              <w:rPr>
                <w:rFonts w:ascii="Calibri" w:hAnsi="Calibri"/>
                <w:i/>
                <w:sz w:val="20"/>
                <w:szCs w:val="20"/>
              </w:rPr>
              <w:t>August 10 – 15</w:t>
            </w:r>
          </w:p>
        </w:tc>
      </w:tr>
      <w:tr w:rsidR="008430AC" w:rsidRPr="00D6638C" w14:paraId="063353E9" w14:textId="77777777" w:rsidTr="008430AC">
        <w:tc>
          <w:tcPr>
            <w:tcW w:w="2988" w:type="dxa"/>
          </w:tcPr>
          <w:p w14:paraId="4D699A48" w14:textId="77777777" w:rsidR="008430AC" w:rsidRPr="00D6638C" w:rsidRDefault="008430AC" w:rsidP="008430AC">
            <w:pPr>
              <w:rPr>
                <w:rFonts w:ascii="Calibri" w:hAnsi="Calibri"/>
                <w:b/>
                <w:sz w:val="20"/>
                <w:szCs w:val="20"/>
              </w:rPr>
            </w:pPr>
            <w:r w:rsidRPr="00D6638C">
              <w:rPr>
                <w:rFonts w:ascii="Calibri" w:hAnsi="Calibri"/>
                <w:b/>
                <w:sz w:val="20"/>
                <w:szCs w:val="20"/>
              </w:rPr>
              <w:t>Draft Evaluation Report</w:t>
            </w:r>
          </w:p>
        </w:tc>
        <w:tc>
          <w:tcPr>
            <w:tcW w:w="3499" w:type="dxa"/>
          </w:tcPr>
          <w:p w14:paraId="67509C4A" w14:textId="77777777" w:rsidR="008430AC" w:rsidRPr="00D6638C" w:rsidRDefault="008430AC" w:rsidP="008430AC">
            <w:pPr>
              <w:rPr>
                <w:rFonts w:ascii="Calibri" w:hAnsi="Calibri"/>
                <w:b/>
                <w:sz w:val="20"/>
                <w:szCs w:val="20"/>
              </w:rPr>
            </w:pPr>
            <w:r>
              <w:rPr>
                <w:rFonts w:ascii="Calibri" w:hAnsi="Calibri"/>
                <w:i/>
                <w:sz w:val="20"/>
                <w:szCs w:val="20"/>
              </w:rPr>
              <w:t>8 days</w:t>
            </w:r>
            <w:r w:rsidRPr="00D6638C">
              <w:rPr>
                <w:rFonts w:ascii="Calibri" w:hAnsi="Calibri"/>
                <w:sz w:val="20"/>
                <w:szCs w:val="20"/>
              </w:rPr>
              <w:t xml:space="preserve"> </w:t>
            </w:r>
          </w:p>
        </w:tc>
        <w:tc>
          <w:tcPr>
            <w:tcW w:w="3071" w:type="dxa"/>
          </w:tcPr>
          <w:p w14:paraId="1A889E73" w14:textId="77777777" w:rsidR="008430AC" w:rsidRPr="00224F9C" w:rsidRDefault="008430AC" w:rsidP="008430AC">
            <w:pPr>
              <w:rPr>
                <w:rFonts w:ascii="Calibri" w:hAnsi="Calibri"/>
                <w:i/>
                <w:sz w:val="20"/>
                <w:szCs w:val="20"/>
                <w:highlight w:val="lightGray"/>
              </w:rPr>
            </w:pPr>
            <w:r>
              <w:rPr>
                <w:rFonts w:ascii="Calibri" w:hAnsi="Calibri"/>
                <w:i/>
                <w:sz w:val="20"/>
                <w:szCs w:val="20"/>
              </w:rPr>
              <w:t>September 1</w:t>
            </w:r>
          </w:p>
        </w:tc>
      </w:tr>
      <w:tr w:rsidR="008430AC" w:rsidRPr="00D6638C" w14:paraId="40DDCAFE" w14:textId="77777777" w:rsidTr="008430AC">
        <w:tc>
          <w:tcPr>
            <w:tcW w:w="2988" w:type="dxa"/>
          </w:tcPr>
          <w:p w14:paraId="7A26B29C" w14:textId="77777777" w:rsidR="008430AC" w:rsidRPr="00D6638C" w:rsidRDefault="008430AC" w:rsidP="008430AC">
            <w:pPr>
              <w:rPr>
                <w:rFonts w:ascii="Calibri" w:hAnsi="Calibri"/>
                <w:b/>
                <w:sz w:val="20"/>
                <w:szCs w:val="20"/>
              </w:rPr>
            </w:pPr>
            <w:r w:rsidRPr="00D6638C">
              <w:rPr>
                <w:rFonts w:ascii="Calibri" w:hAnsi="Calibri"/>
                <w:b/>
                <w:sz w:val="20"/>
                <w:szCs w:val="20"/>
              </w:rPr>
              <w:t>Final Report</w:t>
            </w:r>
          </w:p>
        </w:tc>
        <w:tc>
          <w:tcPr>
            <w:tcW w:w="3499" w:type="dxa"/>
          </w:tcPr>
          <w:p w14:paraId="399F07E1" w14:textId="77777777" w:rsidR="008430AC" w:rsidRPr="00D6638C" w:rsidRDefault="008430AC" w:rsidP="008430AC">
            <w:pPr>
              <w:rPr>
                <w:rFonts w:ascii="Calibri" w:hAnsi="Calibri"/>
                <w:sz w:val="20"/>
                <w:szCs w:val="20"/>
              </w:rPr>
            </w:pPr>
            <w:r>
              <w:rPr>
                <w:rFonts w:ascii="Calibri" w:hAnsi="Calibri"/>
                <w:i/>
                <w:sz w:val="20"/>
                <w:szCs w:val="20"/>
              </w:rPr>
              <w:t>2 days</w:t>
            </w:r>
          </w:p>
        </w:tc>
        <w:tc>
          <w:tcPr>
            <w:tcW w:w="3071" w:type="dxa"/>
          </w:tcPr>
          <w:p w14:paraId="24FE0A4C" w14:textId="77777777" w:rsidR="008430AC" w:rsidRPr="00224F9C" w:rsidRDefault="008430AC" w:rsidP="008430AC">
            <w:pPr>
              <w:rPr>
                <w:rFonts w:ascii="Calibri" w:hAnsi="Calibri"/>
                <w:i/>
                <w:sz w:val="20"/>
                <w:szCs w:val="20"/>
                <w:highlight w:val="lightGray"/>
              </w:rPr>
            </w:pPr>
            <w:r>
              <w:rPr>
                <w:rFonts w:ascii="Calibri" w:hAnsi="Calibri"/>
                <w:i/>
                <w:sz w:val="20"/>
                <w:szCs w:val="20"/>
              </w:rPr>
              <w:t>September 10</w:t>
            </w:r>
          </w:p>
        </w:tc>
      </w:tr>
    </w:tbl>
    <w:p w14:paraId="17C153C2" w14:textId="77777777" w:rsidR="008430AC" w:rsidRPr="00F05366" w:rsidRDefault="008430AC" w:rsidP="008430AC">
      <w:pPr>
        <w:pStyle w:val="Heading31"/>
      </w:pPr>
      <w:bookmarkStart w:id="100" w:name="_Toc299133045"/>
      <w:bookmarkStart w:id="101" w:name="_Toc321341557"/>
      <w:bookmarkStart w:id="102" w:name="_Toc299126622"/>
      <w:bookmarkStart w:id="103" w:name="_Toc299133048"/>
      <w:r w:rsidRPr="00F05366">
        <w:t>Evaluation deliverables</w:t>
      </w:r>
      <w:bookmarkEnd w:id="100"/>
      <w:bookmarkEnd w:id="101"/>
    </w:p>
    <w:p w14:paraId="6EB6F903" w14:textId="77777777" w:rsidR="008430AC" w:rsidRPr="00D6638C" w:rsidRDefault="008430AC" w:rsidP="008430AC">
      <w:pPr>
        <w:spacing w:before="200"/>
        <w:rPr>
          <w:rFonts w:ascii="Calibri" w:hAnsi="Calibri"/>
          <w:sz w:val="20"/>
          <w:szCs w:val="20"/>
        </w:rPr>
      </w:pPr>
      <w:r w:rsidRPr="00D6638C">
        <w:rPr>
          <w:rFonts w:ascii="Calibri" w:hAnsi="Calibri"/>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8430AC" w:rsidRPr="00D6638C" w14:paraId="2E7350ED" w14:textId="77777777" w:rsidTr="008430AC">
        <w:trPr>
          <w:tblHeader/>
        </w:trPr>
        <w:tc>
          <w:tcPr>
            <w:tcW w:w="1548" w:type="dxa"/>
            <w:shd w:val="clear" w:color="auto" w:fill="7F7F7F"/>
          </w:tcPr>
          <w:p w14:paraId="7C7BE97D" w14:textId="77777777" w:rsidR="008430AC" w:rsidRPr="00D6638C" w:rsidRDefault="008430AC" w:rsidP="008430AC">
            <w:pPr>
              <w:spacing w:before="200"/>
              <w:jc w:val="center"/>
              <w:rPr>
                <w:rFonts w:ascii="Calibri" w:hAnsi="Calibri"/>
                <w:color w:val="FFFFFF"/>
                <w:sz w:val="20"/>
                <w:szCs w:val="20"/>
              </w:rPr>
            </w:pPr>
            <w:r w:rsidRPr="00D6638C">
              <w:rPr>
                <w:rFonts w:ascii="Calibri" w:hAnsi="Calibri"/>
                <w:color w:val="FFFFFF"/>
                <w:sz w:val="20"/>
                <w:szCs w:val="20"/>
              </w:rPr>
              <w:t>Deliverable</w:t>
            </w:r>
          </w:p>
        </w:tc>
        <w:tc>
          <w:tcPr>
            <w:tcW w:w="2340" w:type="dxa"/>
            <w:shd w:val="clear" w:color="auto" w:fill="7F7F7F"/>
          </w:tcPr>
          <w:p w14:paraId="38B954ED" w14:textId="77777777" w:rsidR="008430AC" w:rsidRPr="00D6638C" w:rsidRDefault="008430AC" w:rsidP="008430AC">
            <w:pPr>
              <w:spacing w:before="200"/>
              <w:jc w:val="center"/>
              <w:rPr>
                <w:rFonts w:ascii="Calibri" w:hAnsi="Calibri"/>
                <w:color w:val="FFFFFF"/>
                <w:sz w:val="20"/>
                <w:szCs w:val="20"/>
              </w:rPr>
            </w:pPr>
            <w:r w:rsidRPr="00D6638C">
              <w:rPr>
                <w:rFonts w:ascii="Calibri" w:hAnsi="Calibri"/>
                <w:color w:val="FFFFFF"/>
                <w:sz w:val="20"/>
                <w:szCs w:val="20"/>
              </w:rPr>
              <w:t xml:space="preserve">Content </w:t>
            </w:r>
          </w:p>
        </w:tc>
        <w:tc>
          <w:tcPr>
            <w:tcW w:w="2610" w:type="dxa"/>
            <w:shd w:val="clear" w:color="auto" w:fill="7F7F7F"/>
          </w:tcPr>
          <w:p w14:paraId="38FBCCF5" w14:textId="77777777" w:rsidR="008430AC" w:rsidRPr="00D6638C" w:rsidRDefault="008430AC" w:rsidP="008430AC">
            <w:pPr>
              <w:spacing w:before="200"/>
              <w:jc w:val="center"/>
              <w:rPr>
                <w:rFonts w:ascii="Calibri" w:hAnsi="Calibri"/>
                <w:color w:val="FFFFFF"/>
                <w:sz w:val="20"/>
                <w:szCs w:val="20"/>
              </w:rPr>
            </w:pPr>
            <w:r w:rsidRPr="00D6638C">
              <w:rPr>
                <w:rFonts w:ascii="Calibri" w:hAnsi="Calibri"/>
                <w:color w:val="FFFFFF"/>
                <w:sz w:val="20"/>
                <w:szCs w:val="20"/>
              </w:rPr>
              <w:t>Timing</w:t>
            </w:r>
          </w:p>
        </w:tc>
        <w:tc>
          <w:tcPr>
            <w:tcW w:w="3060" w:type="dxa"/>
            <w:shd w:val="clear" w:color="auto" w:fill="7F7F7F"/>
          </w:tcPr>
          <w:p w14:paraId="2EF2AA12" w14:textId="77777777" w:rsidR="008430AC" w:rsidRPr="00D6638C" w:rsidRDefault="008430AC" w:rsidP="008430AC">
            <w:pPr>
              <w:spacing w:before="200"/>
              <w:jc w:val="center"/>
              <w:rPr>
                <w:rFonts w:ascii="Calibri" w:hAnsi="Calibri"/>
                <w:color w:val="FFFFFF"/>
                <w:sz w:val="20"/>
                <w:szCs w:val="20"/>
              </w:rPr>
            </w:pPr>
            <w:r w:rsidRPr="00D6638C">
              <w:rPr>
                <w:rFonts w:ascii="Calibri" w:hAnsi="Calibri"/>
                <w:color w:val="FFFFFF"/>
                <w:sz w:val="20"/>
                <w:szCs w:val="20"/>
              </w:rPr>
              <w:t>Responsibilities</w:t>
            </w:r>
          </w:p>
        </w:tc>
      </w:tr>
      <w:tr w:rsidR="008430AC" w:rsidRPr="00D6638C" w14:paraId="1033635E" w14:textId="77777777" w:rsidTr="008430AC">
        <w:tc>
          <w:tcPr>
            <w:tcW w:w="1548" w:type="dxa"/>
          </w:tcPr>
          <w:p w14:paraId="18F46C84" w14:textId="77777777" w:rsidR="008430AC" w:rsidRPr="00D6638C" w:rsidRDefault="008430AC" w:rsidP="008430AC">
            <w:pPr>
              <w:rPr>
                <w:rFonts w:ascii="Calibri" w:hAnsi="Calibri"/>
                <w:b/>
                <w:sz w:val="20"/>
                <w:szCs w:val="20"/>
              </w:rPr>
            </w:pPr>
            <w:r w:rsidRPr="00D6638C">
              <w:rPr>
                <w:rFonts w:ascii="Calibri" w:hAnsi="Calibri"/>
                <w:b/>
                <w:sz w:val="20"/>
                <w:szCs w:val="20"/>
              </w:rPr>
              <w:t>Inception Report</w:t>
            </w:r>
          </w:p>
        </w:tc>
        <w:tc>
          <w:tcPr>
            <w:tcW w:w="2340" w:type="dxa"/>
          </w:tcPr>
          <w:p w14:paraId="73F3C450" w14:textId="77777777" w:rsidR="008430AC" w:rsidRPr="00D6638C" w:rsidRDefault="008430AC" w:rsidP="008430AC">
            <w:pPr>
              <w:rPr>
                <w:rFonts w:ascii="Calibri" w:hAnsi="Calibri"/>
                <w:sz w:val="20"/>
                <w:szCs w:val="20"/>
              </w:rPr>
            </w:pPr>
            <w:r w:rsidRPr="00D6638C">
              <w:rPr>
                <w:rFonts w:ascii="Calibri" w:hAnsi="Calibri"/>
                <w:sz w:val="20"/>
                <w:szCs w:val="20"/>
              </w:rPr>
              <w:t xml:space="preserve">Evaluator provides clarifications on timing and method </w:t>
            </w:r>
          </w:p>
        </w:tc>
        <w:tc>
          <w:tcPr>
            <w:tcW w:w="2610" w:type="dxa"/>
          </w:tcPr>
          <w:p w14:paraId="69BF3263" w14:textId="77777777" w:rsidR="008430AC" w:rsidRPr="00D6638C" w:rsidRDefault="008430AC" w:rsidP="008430AC">
            <w:pPr>
              <w:rPr>
                <w:rFonts w:ascii="Calibri" w:hAnsi="Calibri"/>
                <w:sz w:val="20"/>
                <w:szCs w:val="20"/>
              </w:rPr>
            </w:pPr>
            <w:r w:rsidRPr="00D6638C">
              <w:rPr>
                <w:rFonts w:ascii="Calibri" w:hAnsi="Calibri"/>
                <w:sz w:val="20"/>
                <w:szCs w:val="20"/>
              </w:rPr>
              <w:t xml:space="preserve">No later than 2 weeks before the evaluation mission. </w:t>
            </w:r>
          </w:p>
        </w:tc>
        <w:tc>
          <w:tcPr>
            <w:tcW w:w="3060" w:type="dxa"/>
          </w:tcPr>
          <w:p w14:paraId="66FCED95" w14:textId="77777777" w:rsidR="008430AC" w:rsidRPr="00D6638C" w:rsidRDefault="008430AC" w:rsidP="008430AC">
            <w:pPr>
              <w:rPr>
                <w:rFonts w:ascii="Calibri" w:hAnsi="Calibri"/>
                <w:sz w:val="20"/>
                <w:szCs w:val="20"/>
              </w:rPr>
            </w:pPr>
            <w:r w:rsidRPr="00D6638C">
              <w:rPr>
                <w:rFonts w:ascii="Calibri" w:hAnsi="Calibri"/>
                <w:sz w:val="20"/>
                <w:szCs w:val="20"/>
              </w:rPr>
              <w:t xml:space="preserve">Evaluator submits to UNDP CO </w:t>
            </w:r>
          </w:p>
        </w:tc>
      </w:tr>
      <w:tr w:rsidR="008430AC" w:rsidRPr="00D6638C" w14:paraId="68EAB602" w14:textId="77777777" w:rsidTr="008430AC">
        <w:tc>
          <w:tcPr>
            <w:tcW w:w="1548" w:type="dxa"/>
          </w:tcPr>
          <w:p w14:paraId="1E77D8C1" w14:textId="77777777" w:rsidR="008430AC" w:rsidRPr="00D6638C" w:rsidRDefault="008430AC" w:rsidP="008430AC">
            <w:pPr>
              <w:rPr>
                <w:rFonts w:ascii="Calibri" w:hAnsi="Calibri"/>
                <w:b/>
                <w:sz w:val="20"/>
                <w:szCs w:val="20"/>
              </w:rPr>
            </w:pPr>
            <w:r w:rsidRPr="00D6638C">
              <w:rPr>
                <w:rFonts w:ascii="Calibri" w:hAnsi="Calibri"/>
                <w:b/>
                <w:sz w:val="20"/>
                <w:szCs w:val="20"/>
              </w:rPr>
              <w:t>Presentation</w:t>
            </w:r>
          </w:p>
        </w:tc>
        <w:tc>
          <w:tcPr>
            <w:tcW w:w="2340" w:type="dxa"/>
          </w:tcPr>
          <w:p w14:paraId="76C32227" w14:textId="77777777" w:rsidR="008430AC" w:rsidRPr="00D6638C" w:rsidRDefault="008430AC" w:rsidP="008430AC">
            <w:pPr>
              <w:rPr>
                <w:rFonts w:ascii="Calibri" w:hAnsi="Calibri"/>
                <w:sz w:val="20"/>
                <w:szCs w:val="20"/>
              </w:rPr>
            </w:pPr>
            <w:r w:rsidRPr="00D6638C">
              <w:rPr>
                <w:rFonts w:ascii="Calibri" w:hAnsi="Calibri"/>
                <w:sz w:val="20"/>
                <w:szCs w:val="20"/>
              </w:rPr>
              <w:t xml:space="preserve">Initial Findings </w:t>
            </w:r>
          </w:p>
        </w:tc>
        <w:tc>
          <w:tcPr>
            <w:tcW w:w="2610" w:type="dxa"/>
          </w:tcPr>
          <w:p w14:paraId="37021B4B" w14:textId="77777777" w:rsidR="008430AC" w:rsidRPr="00D6638C" w:rsidRDefault="008430AC" w:rsidP="008430AC">
            <w:pPr>
              <w:rPr>
                <w:rFonts w:ascii="Calibri" w:hAnsi="Calibri"/>
                <w:sz w:val="20"/>
                <w:szCs w:val="20"/>
              </w:rPr>
            </w:pPr>
            <w:r w:rsidRPr="00D6638C">
              <w:rPr>
                <w:rFonts w:ascii="Calibri" w:hAnsi="Calibri"/>
                <w:sz w:val="20"/>
                <w:szCs w:val="20"/>
              </w:rPr>
              <w:t>End of evaluation mission</w:t>
            </w:r>
          </w:p>
        </w:tc>
        <w:tc>
          <w:tcPr>
            <w:tcW w:w="3060" w:type="dxa"/>
          </w:tcPr>
          <w:p w14:paraId="66DDE017" w14:textId="77777777" w:rsidR="008430AC" w:rsidRPr="00D6638C" w:rsidRDefault="008430AC" w:rsidP="008430AC">
            <w:pPr>
              <w:rPr>
                <w:rFonts w:ascii="Calibri" w:hAnsi="Calibri"/>
                <w:sz w:val="20"/>
                <w:szCs w:val="20"/>
              </w:rPr>
            </w:pPr>
            <w:r w:rsidRPr="00D6638C">
              <w:rPr>
                <w:rFonts w:ascii="Calibri" w:hAnsi="Calibri"/>
                <w:sz w:val="20"/>
                <w:szCs w:val="20"/>
              </w:rPr>
              <w:t>To project management, UNDP CO</w:t>
            </w:r>
          </w:p>
        </w:tc>
      </w:tr>
      <w:tr w:rsidR="008430AC" w:rsidRPr="00D6638C" w14:paraId="1D62540A" w14:textId="77777777" w:rsidTr="008430AC">
        <w:tc>
          <w:tcPr>
            <w:tcW w:w="1548" w:type="dxa"/>
          </w:tcPr>
          <w:p w14:paraId="0F555AE6" w14:textId="77777777" w:rsidR="008430AC" w:rsidRPr="00D6638C" w:rsidRDefault="008430AC" w:rsidP="008430AC">
            <w:pPr>
              <w:rPr>
                <w:rFonts w:ascii="Calibri" w:hAnsi="Calibri"/>
                <w:b/>
                <w:sz w:val="20"/>
                <w:szCs w:val="20"/>
              </w:rPr>
            </w:pPr>
            <w:r w:rsidRPr="00D6638C">
              <w:rPr>
                <w:rFonts w:ascii="Calibri" w:hAnsi="Calibri"/>
                <w:b/>
                <w:sz w:val="20"/>
                <w:szCs w:val="20"/>
              </w:rPr>
              <w:t xml:space="preserve">Draft Final Report </w:t>
            </w:r>
          </w:p>
        </w:tc>
        <w:tc>
          <w:tcPr>
            <w:tcW w:w="2340" w:type="dxa"/>
          </w:tcPr>
          <w:p w14:paraId="588CD9CF" w14:textId="77777777" w:rsidR="008430AC" w:rsidRPr="00D6638C" w:rsidRDefault="008430AC" w:rsidP="008430AC">
            <w:pPr>
              <w:rPr>
                <w:rFonts w:ascii="Calibri" w:hAnsi="Calibri"/>
                <w:sz w:val="20"/>
                <w:szCs w:val="20"/>
              </w:rPr>
            </w:pPr>
            <w:r w:rsidRPr="00D6638C">
              <w:rPr>
                <w:rFonts w:ascii="Calibri" w:hAnsi="Calibri"/>
                <w:sz w:val="20"/>
                <w:szCs w:val="20"/>
              </w:rPr>
              <w:t>Full report, (per annexed template) with annexes</w:t>
            </w:r>
          </w:p>
        </w:tc>
        <w:tc>
          <w:tcPr>
            <w:tcW w:w="2610" w:type="dxa"/>
          </w:tcPr>
          <w:p w14:paraId="2E8CB324" w14:textId="77777777" w:rsidR="008430AC" w:rsidRPr="00D6638C" w:rsidRDefault="008430AC" w:rsidP="008430AC">
            <w:pPr>
              <w:rPr>
                <w:rFonts w:ascii="Calibri" w:hAnsi="Calibri"/>
                <w:sz w:val="20"/>
                <w:szCs w:val="20"/>
              </w:rPr>
            </w:pPr>
            <w:r w:rsidRPr="00D6638C">
              <w:rPr>
                <w:rFonts w:ascii="Calibri" w:hAnsi="Calibri"/>
                <w:sz w:val="20"/>
                <w:szCs w:val="20"/>
              </w:rPr>
              <w:t>Within 3 weeks of the evaluation mission</w:t>
            </w:r>
          </w:p>
        </w:tc>
        <w:tc>
          <w:tcPr>
            <w:tcW w:w="3060" w:type="dxa"/>
          </w:tcPr>
          <w:p w14:paraId="66C136DB" w14:textId="77777777" w:rsidR="008430AC" w:rsidRPr="00D6638C" w:rsidRDefault="008430AC" w:rsidP="008430AC">
            <w:pPr>
              <w:rPr>
                <w:rFonts w:ascii="Calibri" w:hAnsi="Calibri"/>
                <w:sz w:val="20"/>
                <w:szCs w:val="20"/>
              </w:rPr>
            </w:pPr>
            <w:r w:rsidRPr="00D6638C">
              <w:rPr>
                <w:rFonts w:ascii="Calibri" w:hAnsi="Calibri"/>
                <w:sz w:val="20"/>
                <w:szCs w:val="20"/>
              </w:rPr>
              <w:t>Sent to CO, reviewed by RTA, PCU, GEF OFPs</w:t>
            </w:r>
          </w:p>
        </w:tc>
      </w:tr>
      <w:tr w:rsidR="008430AC" w:rsidRPr="00D6638C" w14:paraId="314DED26" w14:textId="77777777" w:rsidTr="008430AC">
        <w:tc>
          <w:tcPr>
            <w:tcW w:w="1548" w:type="dxa"/>
          </w:tcPr>
          <w:p w14:paraId="603ECD5C" w14:textId="77777777" w:rsidR="008430AC" w:rsidRPr="00D6638C" w:rsidRDefault="008430AC" w:rsidP="008430AC">
            <w:pPr>
              <w:rPr>
                <w:rFonts w:ascii="Calibri" w:hAnsi="Calibri"/>
                <w:b/>
                <w:sz w:val="20"/>
                <w:szCs w:val="20"/>
              </w:rPr>
            </w:pPr>
            <w:r w:rsidRPr="00D6638C">
              <w:rPr>
                <w:rFonts w:ascii="Calibri" w:hAnsi="Calibri"/>
                <w:b/>
                <w:sz w:val="20"/>
                <w:szCs w:val="20"/>
              </w:rPr>
              <w:t>Final Report*</w:t>
            </w:r>
          </w:p>
        </w:tc>
        <w:tc>
          <w:tcPr>
            <w:tcW w:w="2340" w:type="dxa"/>
          </w:tcPr>
          <w:p w14:paraId="6459386F" w14:textId="77777777" w:rsidR="008430AC" w:rsidRPr="00D6638C" w:rsidRDefault="008430AC" w:rsidP="008430AC">
            <w:pPr>
              <w:rPr>
                <w:rFonts w:ascii="Calibri" w:hAnsi="Calibri"/>
                <w:sz w:val="20"/>
                <w:szCs w:val="20"/>
              </w:rPr>
            </w:pPr>
            <w:r w:rsidRPr="00D6638C">
              <w:rPr>
                <w:rFonts w:ascii="Calibri" w:hAnsi="Calibri"/>
                <w:sz w:val="20"/>
                <w:szCs w:val="20"/>
              </w:rPr>
              <w:t xml:space="preserve">Revised report </w:t>
            </w:r>
          </w:p>
        </w:tc>
        <w:tc>
          <w:tcPr>
            <w:tcW w:w="2610" w:type="dxa"/>
          </w:tcPr>
          <w:p w14:paraId="4DD6D762" w14:textId="77777777" w:rsidR="008430AC" w:rsidRPr="00D6638C" w:rsidRDefault="008430AC" w:rsidP="008430AC">
            <w:pPr>
              <w:rPr>
                <w:rFonts w:ascii="Calibri" w:hAnsi="Calibri"/>
                <w:sz w:val="20"/>
                <w:szCs w:val="20"/>
              </w:rPr>
            </w:pPr>
            <w:r w:rsidRPr="00D6638C">
              <w:rPr>
                <w:rFonts w:ascii="Calibri" w:hAnsi="Calibri"/>
                <w:sz w:val="20"/>
                <w:szCs w:val="20"/>
              </w:rPr>
              <w:t xml:space="preserve">Within 1 week of receiving UNDP comments on draft </w:t>
            </w:r>
          </w:p>
        </w:tc>
        <w:tc>
          <w:tcPr>
            <w:tcW w:w="3060" w:type="dxa"/>
          </w:tcPr>
          <w:p w14:paraId="4611BB5E" w14:textId="77777777" w:rsidR="008430AC" w:rsidRPr="00D6638C" w:rsidRDefault="008430AC" w:rsidP="008430AC">
            <w:pPr>
              <w:rPr>
                <w:rFonts w:ascii="Calibri" w:hAnsi="Calibri"/>
                <w:sz w:val="20"/>
                <w:szCs w:val="20"/>
              </w:rPr>
            </w:pPr>
            <w:r w:rsidRPr="00D6638C">
              <w:rPr>
                <w:rFonts w:ascii="Calibri" w:hAnsi="Calibri"/>
                <w:sz w:val="20"/>
                <w:szCs w:val="20"/>
              </w:rPr>
              <w:t xml:space="preserve">Sent to CO for uploading to UNDP ERC. </w:t>
            </w:r>
          </w:p>
        </w:tc>
      </w:tr>
    </w:tbl>
    <w:p w14:paraId="158FA924" w14:textId="77777777" w:rsidR="008430AC" w:rsidRPr="00D6638C" w:rsidRDefault="008430AC" w:rsidP="008430AC">
      <w:pPr>
        <w:spacing w:before="200"/>
        <w:jc w:val="both"/>
        <w:rPr>
          <w:rFonts w:ascii="Calibri" w:hAnsi="Calibri"/>
          <w:sz w:val="20"/>
          <w:szCs w:val="20"/>
        </w:rPr>
      </w:pPr>
      <w:r>
        <w:rPr>
          <w:rFonts w:ascii="Calibri" w:hAnsi="Calibri"/>
          <w:sz w:val="20"/>
          <w:szCs w:val="20"/>
        </w:rPr>
        <w:t>*</w:t>
      </w:r>
      <w:r w:rsidRPr="00D6638C">
        <w:rPr>
          <w:rFonts w:ascii="Calibri" w:hAnsi="Calibri"/>
          <w:sz w:val="20"/>
          <w:szCs w:val="20"/>
        </w:rPr>
        <w:t xml:space="preserve">When submitting the final evaluation report, the evaluator is required also to provide an 'audit trail', detailing how all received comments have (and have not) been addressed in the final evaluation </w:t>
      </w:r>
      <w:bookmarkEnd w:id="102"/>
      <w:bookmarkEnd w:id="103"/>
      <w:r w:rsidRPr="00D6638C">
        <w:rPr>
          <w:rFonts w:ascii="Calibri" w:hAnsi="Calibri"/>
          <w:sz w:val="20"/>
          <w:szCs w:val="20"/>
        </w:rPr>
        <w:t xml:space="preserve">report. </w:t>
      </w:r>
    </w:p>
    <w:p w14:paraId="435897DB" w14:textId="77777777" w:rsidR="008430AC" w:rsidRPr="00D6638C" w:rsidRDefault="008430AC" w:rsidP="008430AC">
      <w:pPr>
        <w:pStyle w:val="Heading51"/>
      </w:pPr>
      <w:bookmarkStart w:id="104" w:name="_Toc321341558"/>
      <w:r w:rsidRPr="00D6638C">
        <w:t>Team Composition</w:t>
      </w:r>
      <w:bookmarkEnd w:id="104"/>
    </w:p>
    <w:p w14:paraId="38C674DD" w14:textId="77777777" w:rsidR="008430AC" w:rsidRPr="00D6638C" w:rsidRDefault="008430AC" w:rsidP="008430AC">
      <w:pPr>
        <w:spacing w:before="200"/>
        <w:rPr>
          <w:rFonts w:ascii="Calibri" w:hAnsi="Calibri"/>
          <w:sz w:val="20"/>
          <w:szCs w:val="20"/>
        </w:rPr>
      </w:pPr>
      <w:r w:rsidRPr="00D6638C">
        <w:rPr>
          <w:rFonts w:ascii="Calibri" w:hAnsi="Calibri"/>
          <w:sz w:val="20"/>
          <w:szCs w:val="20"/>
        </w:rPr>
        <w:t>The evaluation team will be composed of</w:t>
      </w:r>
      <w:r>
        <w:rPr>
          <w:rFonts w:ascii="Calibri" w:hAnsi="Calibri"/>
          <w:sz w:val="20"/>
          <w:szCs w:val="20"/>
        </w:rPr>
        <w:t xml:space="preserve"> </w:t>
      </w:r>
      <w:r w:rsidRPr="002C78BD">
        <w:rPr>
          <w:rFonts w:ascii="Calibri" w:hAnsi="Calibri"/>
          <w:sz w:val="20"/>
          <w:szCs w:val="20"/>
        </w:rPr>
        <w:t>one international and one national evaluator</w:t>
      </w:r>
      <w:r w:rsidRPr="00197EF8">
        <w:rPr>
          <w:rFonts w:ascii="Calibri" w:hAnsi="Calibri"/>
          <w:i/>
          <w:sz w:val="20"/>
          <w:szCs w:val="20"/>
        </w:rPr>
        <w:t>.</w:t>
      </w:r>
      <w:r w:rsidRPr="00197EF8">
        <w:rPr>
          <w:rFonts w:ascii="Calibri" w:hAnsi="Calibri"/>
          <w:sz w:val="20"/>
          <w:szCs w:val="20"/>
        </w:rPr>
        <w:t xml:space="preserve"> </w:t>
      </w:r>
      <w:r w:rsidRPr="00D6638C">
        <w:rPr>
          <w:rFonts w:ascii="Calibri" w:hAnsi="Calibri"/>
          <w:sz w:val="20"/>
          <w:szCs w:val="20"/>
        </w:rPr>
        <w:t>The consultants shall have prior experience in evaluating similar projects.  Experience with GEF financed projects is an advantage</w:t>
      </w:r>
      <w:r>
        <w:rPr>
          <w:rFonts w:ascii="Calibri" w:hAnsi="Calibri"/>
          <w:sz w:val="20"/>
          <w:szCs w:val="20"/>
        </w:rPr>
        <w:t xml:space="preserve">. </w:t>
      </w:r>
      <w:r w:rsidRPr="002C78BD">
        <w:rPr>
          <w:rFonts w:ascii="Calibri" w:hAnsi="Calibri"/>
          <w:sz w:val="20"/>
          <w:szCs w:val="20"/>
        </w:rPr>
        <w:t>The international evaluator will be designated as the team leader and will be responsible for finalizing the evaluation report.</w:t>
      </w:r>
      <w:r w:rsidRPr="00197EF8" w:rsidDel="00197EF8">
        <w:rPr>
          <w:rFonts w:ascii="Calibri" w:hAnsi="Calibri"/>
          <w:sz w:val="20"/>
          <w:szCs w:val="20"/>
        </w:rPr>
        <w:t xml:space="preserve"> </w:t>
      </w:r>
      <w:r w:rsidRPr="00197EF8">
        <w:rPr>
          <w:rFonts w:ascii="Calibri" w:hAnsi="Calibri"/>
          <w:sz w:val="20"/>
          <w:szCs w:val="20"/>
        </w:rPr>
        <w:t>The evaluators selected should not have participated in the project preparation and/or impleme</w:t>
      </w:r>
      <w:r w:rsidRPr="00D6638C">
        <w:rPr>
          <w:rFonts w:ascii="Calibri" w:hAnsi="Calibri"/>
          <w:sz w:val="20"/>
          <w:szCs w:val="20"/>
        </w:rPr>
        <w:t>ntation and should not have conflict of interest with project related activities.</w:t>
      </w:r>
    </w:p>
    <w:p w14:paraId="307E26FD" w14:textId="77777777" w:rsidR="008430AC" w:rsidRDefault="008430AC" w:rsidP="008430AC">
      <w:pPr>
        <w:pStyle w:val="Heading51"/>
      </w:pPr>
      <w:bookmarkStart w:id="105" w:name="_Toc278193977"/>
      <w:bookmarkStart w:id="106" w:name="_Toc299122835"/>
      <w:bookmarkStart w:id="107" w:name="_Toc299122857"/>
      <w:bookmarkStart w:id="108" w:name="_Toc299126624"/>
      <w:bookmarkStart w:id="109" w:name="_Toc299133050"/>
      <w:bookmarkStart w:id="110" w:name="_Toc321341559"/>
      <w:r w:rsidRPr="00D6638C">
        <w:t>Evaluator Ethics</w:t>
      </w:r>
      <w:bookmarkEnd w:id="105"/>
      <w:bookmarkEnd w:id="106"/>
      <w:bookmarkEnd w:id="107"/>
      <w:bookmarkEnd w:id="108"/>
      <w:bookmarkEnd w:id="109"/>
      <w:bookmarkEnd w:id="110"/>
    </w:p>
    <w:p w14:paraId="6F531456" w14:textId="634C66F2" w:rsidR="009436EF" w:rsidRPr="009A7641" w:rsidRDefault="008430AC" w:rsidP="008430AC">
      <w:pPr>
        <w:spacing w:before="200"/>
        <w:rPr>
          <w:rStyle w:val="Hyperlink"/>
          <w:rFonts w:ascii="Calibri" w:hAnsi="Calibri"/>
          <w:sz w:val="20"/>
          <w:szCs w:val="20"/>
        </w:rPr>
      </w:pPr>
      <w:r w:rsidRPr="009A7641">
        <w:rPr>
          <w:sz w:val="20"/>
          <w:szCs w:val="20"/>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27" w:history="1">
        <w:r w:rsidRPr="009A7641">
          <w:rPr>
            <w:rStyle w:val="Hyperlink"/>
            <w:rFonts w:ascii="Calibri" w:hAnsi="Calibri"/>
            <w:sz w:val="20"/>
            <w:szCs w:val="20"/>
          </w:rPr>
          <w:t>UNEG 'Ethical Guidelines for Evaluations'</w:t>
        </w:r>
      </w:hyperlink>
      <w:r w:rsidRPr="009A7641">
        <w:rPr>
          <w:rStyle w:val="Hyperlink"/>
          <w:rFonts w:ascii="Calibri" w:hAnsi="Calibri"/>
          <w:sz w:val="20"/>
          <w:szCs w:val="20"/>
        </w:rPr>
        <w:t>.</w:t>
      </w:r>
    </w:p>
    <w:p w14:paraId="155E3C26" w14:textId="77777777" w:rsidR="008430AC" w:rsidRPr="009A7641" w:rsidRDefault="008430AC" w:rsidP="008430AC">
      <w:pPr>
        <w:pStyle w:val="Heading51"/>
      </w:pPr>
      <w:r w:rsidRPr="009A7641">
        <w:t>DUTIES AND Responsabilities OF EVALUATION TEAM</w:t>
      </w:r>
    </w:p>
    <w:p w14:paraId="5B3635C6" w14:textId="77777777" w:rsidR="008430AC" w:rsidRPr="009A7641" w:rsidRDefault="008430AC" w:rsidP="008430AC">
      <w:pPr>
        <w:spacing w:before="60" w:after="60"/>
        <w:rPr>
          <w:sz w:val="20"/>
          <w:szCs w:val="20"/>
        </w:rPr>
      </w:pPr>
    </w:p>
    <w:p w14:paraId="49B9E111" w14:textId="77777777" w:rsidR="008430AC" w:rsidRPr="009A7641" w:rsidRDefault="008430AC" w:rsidP="008430AC">
      <w:pPr>
        <w:spacing w:before="60" w:after="60"/>
        <w:rPr>
          <w:b/>
          <w:sz w:val="20"/>
          <w:szCs w:val="20"/>
        </w:rPr>
      </w:pPr>
      <w:r w:rsidRPr="009A7641">
        <w:rPr>
          <w:b/>
          <w:sz w:val="20"/>
          <w:szCs w:val="20"/>
        </w:rPr>
        <w:t xml:space="preserve">International Expert </w:t>
      </w:r>
    </w:p>
    <w:p w14:paraId="7AFC37D7"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Desk review of documents, development of draft methodology, detailed work plan and TE outline;</w:t>
      </w:r>
    </w:p>
    <w:p w14:paraId="38F73E2C"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Debriefing with UNDP CO, agreement on the methodology, scope and outline of the TE report;</w:t>
      </w:r>
    </w:p>
    <w:p w14:paraId="0018FC9F"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Interviews with project implementing partner (executing agency), relevant Government, NGO and donor representatives and UNDP/GEF Regional Technical Advisor;</w:t>
      </w:r>
    </w:p>
    <w:p w14:paraId="59A0230C"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Field visit to the pilot project site (Ungheni and Telenesti) and interviews with local stakeholders;</w:t>
      </w:r>
    </w:p>
    <w:p w14:paraId="6F6D618B"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lastRenderedPageBreak/>
        <w:t>Elaboration of a summary matrix of the project implementation key findings based on interviews and site visits performed;</w:t>
      </w:r>
    </w:p>
    <w:p w14:paraId="52440556"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Debriefing with UNDP and project implementing partner;</w:t>
      </w:r>
    </w:p>
    <w:p w14:paraId="168D8731"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Development and submission of the first TE report draft. The draft will be shared with the UNDP CO, UNDP/GEF (UNDP/GEF RCU Istanbul) and key project stakeholders for review and commenting;</w:t>
      </w:r>
    </w:p>
    <w:p w14:paraId="4E881933"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 xml:space="preserve">Finalization and submission of the Response Grid; </w:t>
      </w:r>
    </w:p>
    <w:p w14:paraId="563B8E6C"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Finalization and submission of the final TE report through incorporating suggestions received on the draft report;</w:t>
      </w:r>
    </w:p>
    <w:p w14:paraId="45D3975B"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 xml:space="preserve">Supervision of the work of the national expert (during entire evaluation period). </w:t>
      </w:r>
    </w:p>
    <w:p w14:paraId="61625AE5" w14:textId="77777777" w:rsidR="008430AC" w:rsidRPr="009A7641" w:rsidRDefault="008430AC" w:rsidP="008430AC">
      <w:pPr>
        <w:spacing w:before="60" w:after="60"/>
        <w:rPr>
          <w:sz w:val="20"/>
          <w:szCs w:val="20"/>
        </w:rPr>
      </w:pPr>
    </w:p>
    <w:p w14:paraId="1545DF0E" w14:textId="77777777" w:rsidR="008430AC" w:rsidRPr="009A7641" w:rsidRDefault="008430AC" w:rsidP="008430AC">
      <w:pPr>
        <w:spacing w:before="60" w:after="60"/>
        <w:rPr>
          <w:b/>
          <w:sz w:val="20"/>
          <w:szCs w:val="20"/>
        </w:rPr>
      </w:pPr>
      <w:r w:rsidRPr="009A7641">
        <w:rPr>
          <w:b/>
          <w:sz w:val="20"/>
          <w:szCs w:val="20"/>
        </w:rPr>
        <w:t>National Expert</w:t>
      </w:r>
    </w:p>
    <w:p w14:paraId="348AEA16"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Collection of background materials upon request by International Expert/ TE Team Leader;</w:t>
      </w:r>
    </w:p>
    <w:p w14:paraId="50432B34"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Provision of important inputs in developing methodologies, work plans and MTE report outlines upon request by International Expert/ TE Team Leader;</w:t>
      </w:r>
    </w:p>
    <w:p w14:paraId="3BDD423B"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Assistance to the International Expert/ TE Team Leader in desk review of materials;</w:t>
      </w:r>
    </w:p>
    <w:p w14:paraId="3242B131"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Assistance to the International Expert/ TE Team Leader in developing the mission agenda and establishing meeting with relevant stakeholders;</w:t>
      </w:r>
    </w:p>
    <w:p w14:paraId="439483E3"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Participation in debriefings with UNDP CO representatives, project team and  project implementing partners;</w:t>
      </w:r>
    </w:p>
    <w:p w14:paraId="33946233"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 xml:space="preserve">Assistance to the International Expert/ TE Team Leader in conducting interviews with relevant stakeholders; </w:t>
      </w:r>
    </w:p>
    <w:p w14:paraId="5E8803FC"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Field visit and assistance to the International Expert/ TE Team Leader in interviewing local stakeholders at project sites;</w:t>
      </w:r>
    </w:p>
    <w:p w14:paraId="230DC300" w14:textId="77777777" w:rsidR="008430AC" w:rsidRPr="009A7641" w:rsidRDefault="008430AC" w:rsidP="00DC1947">
      <w:pPr>
        <w:widowControl/>
        <w:numPr>
          <w:ilvl w:val="0"/>
          <w:numId w:val="57"/>
        </w:numPr>
        <w:autoSpaceDE/>
        <w:autoSpaceDN/>
        <w:adjustRightInd/>
        <w:spacing w:before="60" w:after="60"/>
        <w:rPr>
          <w:sz w:val="20"/>
          <w:szCs w:val="20"/>
        </w:rPr>
      </w:pPr>
      <w:r w:rsidRPr="009A7641">
        <w:rPr>
          <w:sz w:val="20"/>
          <w:szCs w:val="20"/>
        </w:rPr>
        <w:t>Assist the International Expert/ TE Team Leader in elaboration of a summary matrix of the project implementation key findings based on interviews and site visits performed;</w:t>
      </w:r>
    </w:p>
    <w:p w14:paraId="61FE926B" w14:textId="77777777" w:rsidR="008430AC" w:rsidRPr="009A7641" w:rsidRDefault="008430AC" w:rsidP="00DC1947">
      <w:pPr>
        <w:widowControl/>
        <w:numPr>
          <w:ilvl w:val="0"/>
          <w:numId w:val="57"/>
        </w:numPr>
        <w:autoSpaceDE/>
        <w:autoSpaceDN/>
        <w:adjustRightInd/>
        <w:rPr>
          <w:sz w:val="20"/>
          <w:szCs w:val="20"/>
        </w:rPr>
      </w:pPr>
      <w:r w:rsidRPr="009A7641">
        <w:rPr>
          <w:sz w:val="20"/>
          <w:szCs w:val="20"/>
        </w:rPr>
        <w:t>Assistance to the International Expert/ TE Team Leader in developing the first draft of the TE report. The draft will be shared with the UNDP CO, UNDP/GEF (UNDP/GEF RCU Istanbul) and key project stakeholders for review and commenting;</w:t>
      </w:r>
    </w:p>
    <w:p w14:paraId="7E43EE48" w14:textId="77777777" w:rsidR="008430AC" w:rsidRPr="009A7641" w:rsidRDefault="008430AC" w:rsidP="00DC1947">
      <w:pPr>
        <w:widowControl/>
        <w:numPr>
          <w:ilvl w:val="0"/>
          <w:numId w:val="57"/>
        </w:numPr>
        <w:autoSpaceDE/>
        <w:autoSpaceDN/>
        <w:adjustRightInd/>
        <w:rPr>
          <w:sz w:val="20"/>
          <w:szCs w:val="20"/>
        </w:rPr>
      </w:pPr>
      <w:r w:rsidRPr="009A7641">
        <w:rPr>
          <w:sz w:val="20"/>
          <w:szCs w:val="20"/>
        </w:rPr>
        <w:t xml:space="preserve">Elaboration of the Draft Response Grid based on comments made by UNDP CO, UNDP/GEF (UNDP/GEF RCU Istanbul) and key project stakeholders;  </w:t>
      </w:r>
    </w:p>
    <w:p w14:paraId="0F193114" w14:textId="77777777" w:rsidR="008430AC" w:rsidRPr="009A7641" w:rsidRDefault="008430AC" w:rsidP="00DC1947">
      <w:pPr>
        <w:widowControl/>
        <w:numPr>
          <w:ilvl w:val="0"/>
          <w:numId w:val="57"/>
        </w:numPr>
        <w:autoSpaceDE/>
        <w:autoSpaceDN/>
        <w:adjustRightInd/>
        <w:rPr>
          <w:sz w:val="20"/>
          <w:szCs w:val="20"/>
        </w:rPr>
      </w:pPr>
      <w:r w:rsidRPr="009A7641">
        <w:rPr>
          <w:sz w:val="20"/>
          <w:szCs w:val="20"/>
        </w:rPr>
        <w:t>Assistance to the International Expert/ TE Team Leader in finalization of the Final Terminal Evaluation Report.</w:t>
      </w:r>
    </w:p>
    <w:p w14:paraId="547C758D" w14:textId="77777777" w:rsidR="008430AC" w:rsidRPr="009A7641" w:rsidRDefault="008430AC" w:rsidP="008430AC">
      <w:pPr>
        <w:pStyle w:val="Heading51"/>
        <w:rPr>
          <w:highlight w:val="lightGray"/>
          <w:shd w:val="clear" w:color="auto" w:fill="FFFFFF"/>
        </w:rPr>
      </w:pPr>
      <w:bookmarkStart w:id="111" w:name="_Toc299126626"/>
      <w:bookmarkStart w:id="112" w:name="_Toc299133051"/>
      <w:bookmarkStart w:id="113" w:name="_Toc321341560"/>
      <w:bookmarkStart w:id="114" w:name="_Toc299122837"/>
      <w:bookmarkStart w:id="115" w:name="_Toc299122859"/>
      <w:bookmarkStart w:id="116" w:name="_Toc299126627"/>
      <w:r w:rsidRPr="009A7641">
        <w:t>Payment modalities and specifications</w:t>
      </w:r>
      <w:bookmarkEnd w:id="111"/>
      <w:bookmarkEnd w:id="112"/>
      <w:bookmarkEnd w:id="113"/>
      <w:r w:rsidRPr="009A7641">
        <w:t xml:space="preserve"> </w:t>
      </w:r>
    </w:p>
    <w:p w14:paraId="45B67F49" w14:textId="77777777" w:rsidR="008430AC" w:rsidRPr="002C78BD" w:rsidRDefault="008430AC" w:rsidP="008430AC">
      <w:pPr>
        <w:spacing w:before="200"/>
        <w:jc w:val="both"/>
        <w:rPr>
          <w:rFonts w:ascii="Calibri" w:hAnsi="Calibri"/>
          <w:sz w:val="20"/>
          <w:szCs w:val="20"/>
          <w:shd w:val="clear" w:color="auto" w:fill="FFFFFF"/>
        </w:rPr>
      </w:pPr>
      <w:r w:rsidRPr="002C78BD">
        <w:rPr>
          <w:rFonts w:ascii="Calibri" w:hAnsi="Calibri"/>
          <w:sz w:val="20"/>
          <w:szCs w:val="20"/>
          <w:shd w:val="clear" w:color="auto" w:fill="FFFFFF"/>
        </w:rPr>
        <w:t xml:space="preserve">The </w:t>
      </w:r>
      <w:r>
        <w:rPr>
          <w:rFonts w:ascii="Calibri" w:hAnsi="Calibri"/>
          <w:sz w:val="20"/>
          <w:szCs w:val="20"/>
          <w:shd w:val="clear" w:color="auto" w:fill="FFFFFF"/>
        </w:rPr>
        <w:t>International consultant</w:t>
      </w:r>
      <w:r w:rsidRPr="002C78BD">
        <w:rPr>
          <w:rFonts w:ascii="Calibri" w:hAnsi="Calibri"/>
          <w:sz w:val="20"/>
          <w:szCs w:val="20"/>
          <w:shd w:val="clear" w:color="auto" w:fill="FFFFFF"/>
        </w:rPr>
        <w:t xml:space="preserve"> will be hired for maximum 20 days under Individual Contract (IC) with maximum 14 days of home</w:t>
      </w:r>
      <w:r>
        <w:rPr>
          <w:rFonts w:ascii="Calibri" w:hAnsi="Calibri"/>
          <w:sz w:val="20"/>
          <w:szCs w:val="20"/>
          <w:shd w:val="clear" w:color="auto" w:fill="FFFFFF"/>
        </w:rPr>
        <w:t>-based</w:t>
      </w:r>
      <w:r w:rsidRPr="002C78BD">
        <w:rPr>
          <w:rFonts w:ascii="Calibri" w:hAnsi="Calibri"/>
          <w:sz w:val="20"/>
          <w:szCs w:val="20"/>
          <w:shd w:val="clear" w:color="auto" w:fill="FFFFFF"/>
        </w:rPr>
        <w:t xml:space="preserve"> work and maximum 6 days of mission to Moldova. DSA payments will be made based actual days spent in Moldova in according to local DSA rate. Fee payments will be made based on following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8427"/>
      </w:tblGrid>
      <w:tr w:rsidR="008430AC" w:rsidRPr="00D6638C" w14:paraId="52ABA0A1" w14:textId="77777777" w:rsidTr="008430AC">
        <w:tc>
          <w:tcPr>
            <w:tcW w:w="1264" w:type="dxa"/>
            <w:shd w:val="clear" w:color="auto" w:fill="7F7F7F"/>
          </w:tcPr>
          <w:p w14:paraId="053DDDED" w14:textId="77777777" w:rsidR="008430AC" w:rsidRPr="00D6638C" w:rsidRDefault="008430AC" w:rsidP="008430AC">
            <w:pPr>
              <w:jc w:val="center"/>
              <w:rPr>
                <w:rFonts w:ascii="Calibri" w:hAnsi="Calibri"/>
                <w:color w:val="FFFFFF"/>
                <w:sz w:val="20"/>
                <w:szCs w:val="20"/>
              </w:rPr>
            </w:pPr>
            <w:r w:rsidRPr="00D6638C">
              <w:rPr>
                <w:rFonts w:ascii="Calibri" w:hAnsi="Calibri"/>
                <w:color w:val="FFFFFF"/>
                <w:sz w:val="20"/>
                <w:szCs w:val="20"/>
              </w:rPr>
              <w:t>%</w:t>
            </w:r>
          </w:p>
        </w:tc>
        <w:tc>
          <w:tcPr>
            <w:tcW w:w="8427" w:type="dxa"/>
            <w:shd w:val="clear" w:color="auto" w:fill="7F7F7F"/>
          </w:tcPr>
          <w:p w14:paraId="31778EBC" w14:textId="77777777" w:rsidR="008430AC" w:rsidRPr="00D6638C" w:rsidRDefault="008430AC" w:rsidP="008430AC">
            <w:pPr>
              <w:jc w:val="center"/>
              <w:rPr>
                <w:rFonts w:ascii="Calibri" w:hAnsi="Calibri"/>
                <w:color w:val="FFFFFF"/>
                <w:sz w:val="20"/>
                <w:szCs w:val="20"/>
              </w:rPr>
            </w:pPr>
            <w:r w:rsidRPr="00D6638C">
              <w:rPr>
                <w:rFonts w:ascii="Calibri" w:hAnsi="Calibri"/>
                <w:color w:val="FFFFFF"/>
                <w:sz w:val="20"/>
                <w:szCs w:val="20"/>
              </w:rPr>
              <w:t>Milestone</w:t>
            </w:r>
          </w:p>
        </w:tc>
      </w:tr>
      <w:tr w:rsidR="008430AC" w:rsidRPr="00D6638C" w14:paraId="203E6C74" w14:textId="77777777" w:rsidTr="008430AC">
        <w:tc>
          <w:tcPr>
            <w:tcW w:w="1264" w:type="dxa"/>
          </w:tcPr>
          <w:p w14:paraId="1D3E34A1" w14:textId="77777777" w:rsidR="008430AC" w:rsidRPr="00E23201" w:rsidRDefault="008430AC" w:rsidP="008430AC">
            <w:pPr>
              <w:jc w:val="center"/>
              <w:rPr>
                <w:rFonts w:ascii="Calibri" w:hAnsi="Calibri"/>
                <w:i/>
                <w:sz w:val="20"/>
                <w:szCs w:val="20"/>
              </w:rPr>
            </w:pPr>
            <w:r>
              <w:rPr>
                <w:rFonts w:ascii="Calibri" w:hAnsi="Calibri"/>
                <w:i/>
                <w:sz w:val="20"/>
                <w:szCs w:val="20"/>
              </w:rPr>
              <w:t>2</w:t>
            </w:r>
            <w:r w:rsidRPr="00E23201">
              <w:rPr>
                <w:rFonts w:ascii="Calibri" w:hAnsi="Calibri"/>
                <w:i/>
                <w:sz w:val="20"/>
                <w:szCs w:val="20"/>
              </w:rPr>
              <w:t>0%</w:t>
            </w:r>
          </w:p>
        </w:tc>
        <w:tc>
          <w:tcPr>
            <w:tcW w:w="8427" w:type="dxa"/>
          </w:tcPr>
          <w:p w14:paraId="7675CCCB" w14:textId="77777777" w:rsidR="008430AC" w:rsidRPr="00D6638C" w:rsidRDefault="008430AC" w:rsidP="008430AC">
            <w:pPr>
              <w:rPr>
                <w:rFonts w:ascii="Calibri" w:hAnsi="Calibri"/>
                <w:sz w:val="20"/>
                <w:szCs w:val="20"/>
              </w:rPr>
            </w:pPr>
            <w:r w:rsidRPr="00D6638C">
              <w:rPr>
                <w:rFonts w:ascii="Calibri" w:hAnsi="Calibri"/>
                <w:sz w:val="20"/>
                <w:szCs w:val="20"/>
              </w:rPr>
              <w:t>At contract signing</w:t>
            </w:r>
          </w:p>
        </w:tc>
      </w:tr>
      <w:tr w:rsidR="008430AC" w:rsidRPr="00D6638C" w14:paraId="087DC0EF" w14:textId="77777777" w:rsidTr="008430AC">
        <w:tc>
          <w:tcPr>
            <w:tcW w:w="1264" w:type="dxa"/>
          </w:tcPr>
          <w:p w14:paraId="15D3566A" w14:textId="77777777" w:rsidR="008430AC" w:rsidRPr="00E23201" w:rsidRDefault="008430AC" w:rsidP="008430AC">
            <w:pPr>
              <w:jc w:val="center"/>
              <w:rPr>
                <w:rFonts w:ascii="Calibri" w:hAnsi="Calibri"/>
                <w:i/>
                <w:sz w:val="20"/>
                <w:szCs w:val="20"/>
              </w:rPr>
            </w:pPr>
            <w:r>
              <w:rPr>
                <w:rFonts w:ascii="Calibri" w:hAnsi="Calibri"/>
                <w:i/>
                <w:sz w:val="20"/>
                <w:szCs w:val="20"/>
              </w:rPr>
              <w:t>5</w:t>
            </w:r>
            <w:r w:rsidRPr="00E23201">
              <w:rPr>
                <w:rFonts w:ascii="Calibri" w:hAnsi="Calibri"/>
                <w:i/>
                <w:sz w:val="20"/>
                <w:szCs w:val="20"/>
              </w:rPr>
              <w:t>0%</w:t>
            </w:r>
          </w:p>
        </w:tc>
        <w:tc>
          <w:tcPr>
            <w:tcW w:w="8427" w:type="dxa"/>
          </w:tcPr>
          <w:p w14:paraId="67A6E3CB" w14:textId="77777777" w:rsidR="008430AC" w:rsidRPr="00D6638C" w:rsidRDefault="008430AC" w:rsidP="008430AC">
            <w:pPr>
              <w:rPr>
                <w:rFonts w:ascii="Calibri" w:hAnsi="Calibri"/>
                <w:sz w:val="20"/>
                <w:szCs w:val="20"/>
              </w:rPr>
            </w:pPr>
            <w:r w:rsidRPr="00D6638C">
              <w:rPr>
                <w:rFonts w:ascii="Calibri" w:hAnsi="Calibri"/>
                <w:sz w:val="20"/>
                <w:szCs w:val="20"/>
              </w:rPr>
              <w:t>Following submission and approval of the 1ST draft terminal evaluation report</w:t>
            </w:r>
          </w:p>
        </w:tc>
      </w:tr>
      <w:tr w:rsidR="008430AC" w:rsidRPr="00D6638C" w14:paraId="72E3464A" w14:textId="77777777" w:rsidTr="008430AC">
        <w:tc>
          <w:tcPr>
            <w:tcW w:w="1264" w:type="dxa"/>
          </w:tcPr>
          <w:p w14:paraId="5B5F50A9" w14:textId="77777777" w:rsidR="008430AC" w:rsidRPr="00E23201" w:rsidRDefault="008430AC" w:rsidP="008430AC">
            <w:pPr>
              <w:jc w:val="center"/>
              <w:rPr>
                <w:rFonts w:ascii="Calibri" w:hAnsi="Calibri"/>
                <w:i/>
                <w:sz w:val="20"/>
                <w:szCs w:val="20"/>
              </w:rPr>
            </w:pPr>
            <w:r>
              <w:rPr>
                <w:rFonts w:ascii="Calibri" w:hAnsi="Calibri"/>
                <w:i/>
                <w:sz w:val="20"/>
                <w:szCs w:val="20"/>
              </w:rPr>
              <w:t>3</w:t>
            </w:r>
            <w:r w:rsidRPr="00E23201">
              <w:rPr>
                <w:rFonts w:ascii="Calibri" w:hAnsi="Calibri"/>
                <w:i/>
                <w:sz w:val="20"/>
                <w:szCs w:val="20"/>
              </w:rPr>
              <w:t>0%</w:t>
            </w:r>
          </w:p>
        </w:tc>
        <w:tc>
          <w:tcPr>
            <w:tcW w:w="8427" w:type="dxa"/>
          </w:tcPr>
          <w:p w14:paraId="72A65A4E" w14:textId="77777777" w:rsidR="008430AC" w:rsidRPr="00D6638C" w:rsidRDefault="008430AC" w:rsidP="008430AC">
            <w:pPr>
              <w:rPr>
                <w:rFonts w:ascii="Calibri" w:hAnsi="Calibri"/>
                <w:sz w:val="20"/>
                <w:szCs w:val="20"/>
              </w:rPr>
            </w:pPr>
            <w:r w:rsidRPr="00D6638C">
              <w:rPr>
                <w:rFonts w:ascii="Calibri" w:hAnsi="Calibri"/>
                <w:sz w:val="20"/>
                <w:szCs w:val="20"/>
              </w:rPr>
              <w:t xml:space="preserve">Following submission and approval (UNDP-CO and UNDP RTA) of the final terminal evaluation report </w:t>
            </w:r>
          </w:p>
        </w:tc>
      </w:tr>
    </w:tbl>
    <w:p w14:paraId="140C6AB7" w14:textId="77777777" w:rsidR="008430AC" w:rsidRPr="009A7641" w:rsidRDefault="008430AC" w:rsidP="008430AC">
      <w:pPr>
        <w:pStyle w:val="Heading51"/>
      </w:pPr>
      <w:bookmarkStart w:id="117" w:name="_Toc299133052"/>
      <w:bookmarkStart w:id="118" w:name="_Toc321341561"/>
      <w:r w:rsidRPr="009A7641">
        <w:t>Required Qualifications and Competencies</w:t>
      </w:r>
    </w:p>
    <w:p w14:paraId="3B669C43" w14:textId="77777777" w:rsidR="008430AC" w:rsidRPr="009A7641" w:rsidRDefault="008430AC" w:rsidP="008430AC">
      <w:pPr>
        <w:spacing w:before="200"/>
        <w:rPr>
          <w:sz w:val="20"/>
          <w:szCs w:val="20"/>
        </w:rPr>
      </w:pPr>
      <w:r w:rsidRPr="009A7641">
        <w:rPr>
          <w:sz w:val="20"/>
          <w:szCs w:val="20"/>
        </w:rPr>
        <w:t>The International Evaluator must present the following qualifications:</w:t>
      </w:r>
    </w:p>
    <w:p w14:paraId="6A858F81" w14:textId="77777777" w:rsidR="008430AC" w:rsidRPr="009A7641" w:rsidRDefault="008430AC" w:rsidP="00DC1947">
      <w:pPr>
        <w:pStyle w:val="Default"/>
        <w:numPr>
          <w:ilvl w:val="0"/>
          <w:numId w:val="56"/>
        </w:numPr>
        <w:ind w:left="1080"/>
        <w:jc w:val="both"/>
        <w:rPr>
          <w:rFonts w:asciiTheme="minorHAnsi" w:hAnsiTheme="minorHAnsi" w:cs="Calibri"/>
          <w:color w:val="auto"/>
          <w:sz w:val="20"/>
          <w:szCs w:val="20"/>
        </w:rPr>
      </w:pPr>
      <w:bookmarkStart w:id="119" w:name="OLE_LINK1"/>
      <w:bookmarkStart w:id="120" w:name="OLE_LINK2"/>
      <w:r w:rsidRPr="009A7641">
        <w:rPr>
          <w:rFonts w:asciiTheme="minorHAnsi" w:hAnsiTheme="minorHAnsi" w:cs="Calibri"/>
          <w:color w:val="auto"/>
          <w:sz w:val="20"/>
          <w:szCs w:val="20"/>
        </w:rPr>
        <w:t xml:space="preserve">Master’s degree in Public Finance, Environmental management or other related areas; </w:t>
      </w:r>
    </w:p>
    <w:p w14:paraId="20DF278D" w14:textId="77777777" w:rsidR="008430AC" w:rsidRPr="009A7641" w:rsidRDefault="008430AC" w:rsidP="00DC1947">
      <w:pPr>
        <w:pStyle w:val="Default"/>
        <w:numPr>
          <w:ilvl w:val="0"/>
          <w:numId w:val="56"/>
        </w:numPr>
        <w:ind w:left="1080"/>
        <w:jc w:val="both"/>
        <w:rPr>
          <w:rFonts w:asciiTheme="minorHAnsi" w:hAnsiTheme="minorHAnsi" w:cs="Calibri"/>
          <w:color w:val="auto"/>
          <w:sz w:val="20"/>
          <w:szCs w:val="20"/>
        </w:rPr>
      </w:pPr>
      <w:r w:rsidRPr="009A7641">
        <w:rPr>
          <w:rFonts w:asciiTheme="minorHAnsi" w:hAnsiTheme="minorHAnsi" w:cs="Calibri"/>
          <w:color w:val="auto"/>
          <w:sz w:val="20"/>
          <w:szCs w:val="20"/>
        </w:rPr>
        <w:lastRenderedPageBreak/>
        <w:t xml:space="preserve">7 years of working experience in providing management or consultancy services to the multi focal area projects, preferably in environmental planning and management; </w:t>
      </w:r>
    </w:p>
    <w:p w14:paraId="2BFCFDFA" w14:textId="77777777" w:rsidR="008430AC" w:rsidRPr="009A7641" w:rsidRDefault="008430AC" w:rsidP="00DC1947">
      <w:pPr>
        <w:pStyle w:val="Default"/>
        <w:numPr>
          <w:ilvl w:val="0"/>
          <w:numId w:val="56"/>
        </w:numPr>
        <w:ind w:left="1080"/>
        <w:jc w:val="both"/>
        <w:rPr>
          <w:rFonts w:asciiTheme="minorHAnsi" w:hAnsiTheme="minorHAnsi" w:cs="Calibri"/>
          <w:color w:val="auto"/>
          <w:sz w:val="20"/>
          <w:szCs w:val="20"/>
        </w:rPr>
      </w:pPr>
      <w:r w:rsidRPr="009A7641">
        <w:rPr>
          <w:rFonts w:asciiTheme="minorHAnsi" w:hAnsiTheme="minorHAnsi" w:cs="Calibri"/>
          <w:color w:val="auto"/>
          <w:sz w:val="20"/>
          <w:szCs w:val="20"/>
        </w:rPr>
        <w:t>Experience in monitoring and evaluating environmental projects for UN or other international development agencies  (at least one project);</w:t>
      </w:r>
    </w:p>
    <w:p w14:paraId="23A82AAD" w14:textId="77777777" w:rsidR="008430AC" w:rsidRPr="009A7641" w:rsidRDefault="008430AC" w:rsidP="00DC1947">
      <w:pPr>
        <w:pStyle w:val="Default"/>
        <w:numPr>
          <w:ilvl w:val="0"/>
          <w:numId w:val="56"/>
        </w:numPr>
        <w:ind w:left="1080"/>
        <w:rPr>
          <w:rFonts w:asciiTheme="minorHAnsi" w:hAnsiTheme="minorHAnsi" w:cs="Calibri"/>
          <w:sz w:val="20"/>
          <w:szCs w:val="20"/>
        </w:rPr>
      </w:pPr>
      <w:r w:rsidRPr="009A7641">
        <w:rPr>
          <w:rFonts w:asciiTheme="minorHAnsi" w:hAnsiTheme="minorHAnsi" w:cs="Calibri"/>
          <w:sz w:val="20"/>
          <w:szCs w:val="20"/>
        </w:rPr>
        <w:t xml:space="preserve">Sound knowledge in results-based management (especially results-oriented monitoring and evaluation); </w:t>
      </w:r>
    </w:p>
    <w:p w14:paraId="0579F3EF" w14:textId="77777777" w:rsidR="008430AC" w:rsidRPr="009A7641" w:rsidRDefault="008430AC" w:rsidP="00DC1947">
      <w:pPr>
        <w:widowControl/>
        <w:numPr>
          <w:ilvl w:val="0"/>
          <w:numId w:val="56"/>
        </w:numPr>
        <w:autoSpaceDE/>
        <w:autoSpaceDN/>
        <w:adjustRightInd/>
        <w:spacing w:before="60" w:after="60"/>
        <w:ind w:left="1080"/>
        <w:rPr>
          <w:sz w:val="20"/>
          <w:szCs w:val="20"/>
        </w:rPr>
      </w:pPr>
      <w:r w:rsidRPr="009A7641">
        <w:rPr>
          <w:sz w:val="20"/>
          <w:szCs w:val="20"/>
        </w:rPr>
        <w:t>Experience in GEF multi  focal area project design, technical consultancy or evaluation will be an asset</w:t>
      </w:r>
      <w:r>
        <w:rPr>
          <w:sz w:val="20"/>
          <w:szCs w:val="20"/>
        </w:rPr>
        <w:t>.</w:t>
      </w:r>
    </w:p>
    <w:bookmarkEnd w:id="119"/>
    <w:bookmarkEnd w:id="120"/>
    <w:p w14:paraId="328FDD6F" w14:textId="77777777" w:rsidR="008430AC" w:rsidRPr="009A7641" w:rsidRDefault="008430AC" w:rsidP="008430AC">
      <w:pPr>
        <w:spacing w:before="60" w:after="60"/>
        <w:rPr>
          <w:sz w:val="20"/>
          <w:szCs w:val="20"/>
          <w:highlight w:val="yellow"/>
          <w:u w:val="single"/>
        </w:rPr>
      </w:pPr>
    </w:p>
    <w:p w14:paraId="542EBB59" w14:textId="77777777" w:rsidR="008430AC" w:rsidRPr="009A7641" w:rsidRDefault="008430AC" w:rsidP="008430AC">
      <w:pPr>
        <w:spacing w:before="60"/>
        <w:rPr>
          <w:sz w:val="20"/>
          <w:szCs w:val="20"/>
          <w:u w:val="single"/>
        </w:rPr>
      </w:pPr>
      <w:r w:rsidRPr="009A7641">
        <w:rPr>
          <w:sz w:val="20"/>
          <w:szCs w:val="20"/>
          <w:u w:val="single"/>
        </w:rPr>
        <w:t>Competencies:</w:t>
      </w:r>
    </w:p>
    <w:p w14:paraId="1FD61EE0" w14:textId="77777777" w:rsidR="008430AC" w:rsidRPr="009A7641" w:rsidRDefault="008430AC" w:rsidP="00DC1947">
      <w:pPr>
        <w:pStyle w:val="Default"/>
        <w:numPr>
          <w:ilvl w:val="0"/>
          <w:numId w:val="56"/>
        </w:numPr>
        <w:ind w:left="1080"/>
        <w:jc w:val="both"/>
        <w:rPr>
          <w:rFonts w:asciiTheme="minorHAnsi" w:hAnsiTheme="minorHAnsi" w:cs="Calibri"/>
          <w:color w:val="auto"/>
          <w:sz w:val="20"/>
          <w:szCs w:val="20"/>
        </w:rPr>
      </w:pPr>
      <w:r w:rsidRPr="009A7641">
        <w:rPr>
          <w:rFonts w:asciiTheme="minorHAnsi" w:hAnsiTheme="minorHAnsi" w:cs="Calibri"/>
          <w:color w:val="auto"/>
          <w:sz w:val="20"/>
          <w:szCs w:val="20"/>
        </w:rPr>
        <w:t>Ability to critically analyze issues, find root-causes and suggest optimum solutions;</w:t>
      </w:r>
    </w:p>
    <w:p w14:paraId="746B2D2C" w14:textId="77777777" w:rsidR="008430AC" w:rsidRDefault="008430AC" w:rsidP="00DC1947">
      <w:pPr>
        <w:pStyle w:val="Default"/>
        <w:numPr>
          <w:ilvl w:val="0"/>
          <w:numId w:val="56"/>
        </w:numPr>
        <w:ind w:left="1080"/>
        <w:jc w:val="both"/>
        <w:rPr>
          <w:rFonts w:asciiTheme="minorHAnsi" w:hAnsiTheme="minorHAnsi" w:cs="Calibri"/>
          <w:color w:val="auto"/>
          <w:sz w:val="20"/>
          <w:szCs w:val="20"/>
        </w:rPr>
      </w:pPr>
      <w:r w:rsidRPr="009A7641">
        <w:rPr>
          <w:rFonts w:asciiTheme="minorHAnsi" w:hAnsiTheme="minorHAnsi" w:cs="Calibri"/>
          <w:color w:val="auto"/>
          <w:sz w:val="20"/>
          <w:szCs w:val="20"/>
        </w:rPr>
        <w:t xml:space="preserve">Ability to interact with a wide range of partners: government officials, development agencies and etc.; </w:t>
      </w:r>
    </w:p>
    <w:p w14:paraId="4EB0DADC" w14:textId="77777777" w:rsidR="008430AC" w:rsidRPr="009A7641" w:rsidRDefault="008430AC" w:rsidP="00DC1947">
      <w:pPr>
        <w:pStyle w:val="BodyText3"/>
        <w:numPr>
          <w:ilvl w:val="0"/>
          <w:numId w:val="56"/>
        </w:numPr>
        <w:ind w:left="1080"/>
        <w:rPr>
          <w:rFonts w:eastAsia="MS Mincho" w:cs="Calibri"/>
          <w:sz w:val="20"/>
          <w:lang w:eastAsia="ja-JP"/>
        </w:rPr>
      </w:pPr>
      <w:r w:rsidRPr="009A7641">
        <w:rPr>
          <w:rFonts w:eastAsia="MS Mincho" w:cs="Calibri"/>
          <w:sz w:val="20"/>
          <w:lang w:eastAsia="ja-JP"/>
        </w:rPr>
        <w:t>Fluent in English both written and spoken; Knowledge of Russian or Romanian will be a strong asset</w:t>
      </w:r>
      <w:r>
        <w:rPr>
          <w:rFonts w:eastAsia="MS Mincho" w:cs="Calibri"/>
          <w:sz w:val="20"/>
          <w:lang w:eastAsia="ja-JP"/>
        </w:rPr>
        <w:t>;</w:t>
      </w:r>
    </w:p>
    <w:p w14:paraId="71C8F6B8" w14:textId="77777777" w:rsidR="008430AC" w:rsidRPr="009A7641" w:rsidRDefault="008430AC" w:rsidP="00DC1947">
      <w:pPr>
        <w:pStyle w:val="Default"/>
        <w:numPr>
          <w:ilvl w:val="0"/>
          <w:numId w:val="56"/>
        </w:numPr>
        <w:spacing w:before="60" w:after="60"/>
        <w:ind w:left="1080"/>
        <w:jc w:val="both"/>
        <w:rPr>
          <w:rFonts w:cs="Times New Roman"/>
          <w:sz w:val="20"/>
          <w:szCs w:val="20"/>
        </w:rPr>
      </w:pPr>
      <w:r w:rsidRPr="009A7641">
        <w:rPr>
          <w:rFonts w:asciiTheme="minorHAnsi" w:hAnsiTheme="minorHAnsi" w:cs="Calibri"/>
          <w:color w:val="auto"/>
          <w:sz w:val="20"/>
          <w:szCs w:val="20"/>
        </w:rPr>
        <w:t>Excellent team working and management skills.</w:t>
      </w:r>
    </w:p>
    <w:p w14:paraId="45ADF804" w14:textId="77777777" w:rsidR="008430AC" w:rsidRPr="009A7641" w:rsidRDefault="008430AC" w:rsidP="008430AC">
      <w:pPr>
        <w:spacing w:before="60" w:after="60"/>
        <w:rPr>
          <w:sz w:val="20"/>
          <w:szCs w:val="20"/>
        </w:rPr>
      </w:pPr>
      <w:r w:rsidRPr="009A7641">
        <w:rPr>
          <w:sz w:val="20"/>
          <w:szCs w:val="20"/>
        </w:rPr>
        <w:t>CV and/or P11 should provide evidence on the above mentioned qualifications and competencies.</w:t>
      </w:r>
    </w:p>
    <w:p w14:paraId="3E107F01" w14:textId="77777777" w:rsidR="008430AC" w:rsidRPr="009A7641" w:rsidRDefault="008430AC" w:rsidP="008430AC">
      <w:pPr>
        <w:pStyle w:val="Heading51"/>
      </w:pPr>
      <w:r w:rsidRPr="009A7641">
        <w:t>Application process</w:t>
      </w:r>
      <w:bookmarkEnd w:id="114"/>
      <w:bookmarkEnd w:id="115"/>
      <w:bookmarkEnd w:id="116"/>
      <w:bookmarkEnd w:id="117"/>
      <w:bookmarkEnd w:id="118"/>
    </w:p>
    <w:p w14:paraId="19E52321" w14:textId="77777777" w:rsidR="008430AC" w:rsidRPr="00D6638C" w:rsidRDefault="008430AC" w:rsidP="008430AC">
      <w:pPr>
        <w:spacing w:after="120"/>
        <w:rPr>
          <w:rFonts w:ascii="Calibri" w:hAnsi="Calibri"/>
          <w:sz w:val="20"/>
          <w:szCs w:val="20"/>
        </w:rPr>
      </w:pPr>
      <w:r w:rsidRPr="00D6638C">
        <w:rPr>
          <w:rFonts w:ascii="Calibri" w:hAnsi="Calibri"/>
          <w:sz w:val="20"/>
          <w:szCs w:val="20"/>
        </w:rPr>
        <w:t>Applicants are requested to apply online</w:t>
      </w:r>
      <w:r>
        <w:rPr>
          <w:rFonts w:ascii="Calibri" w:hAnsi="Calibri"/>
          <w:sz w:val="20"/>
          <w:szCs w:val="20"/>
        </w:rPr>
        <w:t xml:space="preserve"> (</w:t>
      </w:r>
      <w:hyperlink r:id="rId28" w:history="1">
        <w:r w:rsidRPr="005A4196">
          <w:rPr>
            <w:rStyle w:val="Hyperlink"/>
            <w:rFonts w:ascii="Calibri" w:hAnsi="Calibri"/>
            <w:sz w:val="20"/>
            <w:szCs w:val="20"/>
          </w:rPr>
          <w:t>http://jobs.undp.org</w:t>
        </w:r>
      </w:hyperlink>
      <w:r>
        <w:rPr>
          <w:rFonts w:ascii="Calibri" w:hAnsi="Calibri"/>
          <w:sz w:val="20"/>
          <w:szCs w:val="20"/>
        </w:rPr>
        <w:t xml:space="preserve"> </w:t>
      </w:r>
      <w:r w:rsidRPr="003A0A1A">
        <w:rPr>
          <w:rFonts w:ascii="Calibri" w:hAnsi="Calibri"/>
          <w:sz w:val="20"/>
          <w:szCs w:val="20"/>
        </w:rPr>
        <w:t xml:space="preserve"> and </w:t>
      </w:r>
      <w:hyperlink r:id="rId29" w:history="1">
        <w:r w:rsidRPr="005A4196">
          <w:rPr>
            <w:rStyle w:val="Hyperlink"/>
            <w:rFonts w:ascii="Calibri" w:hAnsi="Calibri"/>
            <w:sz w:val="20"/>
            <w:szCs w:val="20"/>
          </w:rPr>
          <w:t>http://www.undp.md/jobs/current_jobs</w:t>
        </w:r>
      </w:hyperlink>
      <w:r>
        <w:rPr>
          <w:rFonts w:ascii="Calibri" w:hAnsi="Calibri"/>
          <w:sz w:val="20"/>
          <w:szCs w:val="20"/>
        </w:rPr>
        <w:t xml:space="preserve">) </w:t>
      </w:r>
      <w:r w:rsidRPr="00D6638C">
        <w:rPr>
          <w:rFonts w:ascii="Calibri" w:hAnsi="Calibri"/>
          <w:sz w:val="20"/>
          <w:szCs w:val="20"/>
        </w:rPr>
        <w:t xml:space="preserve">by </w:t>
      </w:r>
      <w:r>
        <w:rPr>
          <w:rFonts w:ascii="Calibri" w:hAnsi="Calibri"/>
          <w:sz w:val="20"/>
          <w:szCs w:val="20"/>
        </w:rPr>
        <w:t>June 30</w:t>
      </w:r>
      <w:r w:rsidRPr="002C78BD">
        <w:rPr>
          <w:rFonts w:ascii="Calibri" w:hAnsi="Calibri"/>
          <w:sz w:val="20"/>
          <w:szCs w:val="20"/>
        </w:rPr>
        <w:t>.</w:t>
      </w:r>
      <w:r w:rsidRPr="00D6638C">
        <w:rPr>
          <w:rFonts w:ascii="Calibri" w:hAnsi="Calibri"/>
          <w:sz w:val="20"/>
          <w:szCs w:val="20"/>
        </w:rPr>
        <w:t xml:space="preserve"> Individual consultants are invited to submit applications together with their CV for these positions. The application should contain a current and complete C.V. in English with indication of the e‐mail and phone contact. Shortlisted candidates will be requested to submit a price offer indicating the total cost of the assignment (including daily fee, per diem and travel costs). </w:t>
      </w:r>
    </w:p>
    <w:p w14:paraId="068173B2" w14:textId="77777777" w:rsidR="008430AC" w:rsidRPr="00D6638C" w:rsidRDefault="008430AC" w:rsidP="008430AC">
      <w:pPr>
        <w:spacing w:before="200"/>
        <w:rPr>
          <w:rFonts w:ascii="Calibri" w:hAnsi="Calibri"/>
          <w:sz w:val="20"/>
          <w:szCs w:val="20"/>
        </w:rPr>
      </w:pPr>
      <w:r w:rsidRPr="00D6638C">
        <w:rPr>
          <w:rFonts w:ascii="Calibri" w:hAnsi="Calibri"/>
          <w:sz w:val="20"/>
          <w:szCs w:val="20"/>
        </w:rPr>
        <w:t xml:space="preserve">UNDP applies a fair and transparent selection process that will take into account the competencies/skills of the applicants as well as their financial proposals. Qualified women and members of social minorities are encouraged to apply. </w:t>
      </w:r>
      <w:r w:rsidRPr="00D6638C">
        <w:rPr>
          <w:rFonts w:ascii="Calibri" w:hAnsi="Calibri"/>
          <w:sz w:val="20"/>
          <w:szCs w:val="20"/>
        </w:rPr>
        <w:br w:type="page"/>
      </w:r>
    </w:p>
    <w:p w14:paraId="2F402AD0" w14:textId="77777777" w:rsidR="008430AC" w:rsidRDefault="008430AC" w:rsidP="008430AC">
      <w:pPr>
        <w:spacing w:before="200"/>
        <w:rPr>
          <w:rFonts w:ascii="Calibri" w:hAnsi="Calibri"/>
          <w:sz w:val="20"/>
          <w:szCs w:val="20"/>
        </w:rPr>
        <w:sectPr w:rsidR="008430AC" w:rsidSect="008430AC">
          <w:pgSz w:w="12240" w:h="15840"/>
          <w:pgMar w:top="1380" w:right="1220" w:bottom="1140" w:left="1340" w:header="0" w:footer="953" w:gutter="0"/>
          <w:cols w:space="720"/>
        </w:sectPr>
      </w:pPr>
    </w:p>
    <w:p w14:paraId="4BB73B6A" w14:textId="05164934" w:rsidR="008430AC" w:rsidRDefault="009436EF" w:rsidP="008430AC">
      <w:pPr>
        <w:pStyle w:val="Heading31"/>
      </w:pPr>
      <w:bookmarkStart w:id="121" w:name="_Toc299122844"/>
      <w:bookmarkStart w:id="122" w:name="_Toc299122866"/>
      <w:bookmarkStart w:id="123" w:name="_Toc299126630"/>
      <w:bookmarkStart w:id="124" w:name="_Toc299133053"/>
      <w:bookmarkStart w:id="125" w:name="_Toc321341562"/>
      <w:r>
        <w:lastRenderedPageBreak/>
        <w:t>TOR-</w:t>
      </w:r>
      <w:r w:rsidR="008430AC" w:rsidRPr="00D6638C">
        <w:t>Annex A: Project Logical Framework</w:t>
      </w:r>
      <w:bookmarkEnd w:id="121"/>
      <w:bookmarkEnd w:id="122"/>
      <w:bookmarkEnd w:id="123"/>
      <w:bookmarkEnd w:id="124"/>
      <w:bookmarkEnd w:id="125"/>
    </w:p>
    <w:p w14:paraId="7549793C" w14:textId="77777777" w:rsidR="008430AC" w:rsidRDefault="008430AC" w:rsidP="008430AC">
      <w:pPr>
        <w:spacing w:before="200"/>
        <w:rPr>
          <w:rFonts w:ascii="Calibri" w:hAnsi="Calibri"/>
          <w:i/>
          <w:sz w:val="20"/>
          <w:szCs w:val="20"/>
          <w:lang w:val="en-GB"/>
        </w:rPr>
      </w:pPr>
    </w:p>
    <w:tbl>
      <w:tblPr>
        <w:tblW w:w="509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471"/>
        <w:gridCol w:w="4009"/>
        <w:gridCol w:w="3173"/>
        <w:gridCol w:w="2781"/>
      </w:tblGrid>
      <w:tr w:rsidR="008430AC" w:rsidRPr="007F26C6" w14:paraId="67B5BE3B" w14:textId="77777777" w:rsidTr="009436EF">
        <w:trPr>
          <w:tblHeader/>
        </w:trPr>
        <w:tc>
          <w:tcPr>
            <w:tcW w:w="1292" w:type="pct"/>
            <w:tcBorders>
              <w:top w:val="double" w:sz="4" w:space="0" w:color="auto"/>
              <w:left w:val="double" w:sz="4" w:space="0" w:color="auto"/>
              <w:bottom w:val="single" w:sz="6" w:space="0" w:color="auto"/>
              <w:right w:val="single" w:sz="6" w:space="0" w:color="auto"/>
            </w:tcBorders>
            <w:shd w:val="clear" w:color="auto" w:fill="auto"/>
          </w:tcPr>
          <w:p w14:paraId="1EBCF82C" w14:textId="77777777" w:rsidR="008430AC" w:rsidRPr="004B36F1" w:rsidRDefault="008430AC" w:rsidP="008430AC">
            <w:pPr>
              <w:tabs>
                <w:tab w:val="left" w:pos="0"/>
                <w:tab w:val="left" w:pos="708"/>
                <w:tab w:val="left" w:pos="1416"/>
                <w:tab w:val="left" w:pos="2124"/>
                <w:tab w:val="left" w:pos="2832"/>
                <w:tab w:val="left" w:pos="3540"/>
              </w:tabs>
              <w:rPr>
                <w:b/>
                <w:color w:val="000000" w:themeColor="text1"/>
                <w:sz w:val="16"/>
                <w:szCs w:val="16"/>
              </w:rPr>
            </w:pPr>
            <w:r w:rsidRPr="004B36F1">
              <w:rPr>
                <w:b/>
                <w:color w:val="000000" w:themeColor="text1"/>
                <w:sz w:val="16"/>
                <w:szCs w:val="16"/>
              </w:rPr>
              <w:t>Objectives</w:t>
            </w:r>
          </w:p>
        </w:tc>
        <w:tc>
          <w:tcPr>
            <w:tcW w:w="1492" w:type="pct"/>
            <w:tcBorders>
              <w:top w:val="double" w:sz="4" w:space="0" w:color="auto"/>
              <w:left w:val="single" w:sz="6" w:space="0" w:color="auto"/>
              <w:bottom w:val="single" w:sz="6" w:space="0" w:color="auto"/>
              <w:right w:val="single" w:sz="6" w:space="0" w:color="auto"/>
            </w:tcBorders>
            <w:shd w:val="clear" w:color="auto" w:fill="auto"/>
          </w:tcPr>
          <w:p w14:paraId="52896FBF" w14:textId="77777777" w:rsidR="008430AC" w:rsidRPr="004B36F1" w:rsidRDefault="008430AC" w:rsidP="008430AC">
            <w:pPr>
              <w:tabs>
                <w:tab w:val="left" w:pos="0"/>
                <w:tab w:val="left" w:pos="708"/>
                <w:tab w:val="left" w:pos="1416"/>
                <w:tab w:val="left" w:pos="2124"/>
                <w:tab w:val="left" w:pos="2832"/>
              </w:tabs>
              <w:rPr>
                <w:b/>
                <w:color w:val="000000" w:themeColor="text1"/>
                <w:sz w:val="16"/>
                <w:szCs w:val="16"/>
              </w:rPr>
            </w:pPr>
            <w:r w:rsidRPr="004B36F1">
              <w:rPr>
                <w:b/>
                <w:color w:val="000000" w:themeColor="text1"/>
                <w:sz w:val="16"/>
                <w:szCs w:val="16"/>
              </w:rPr>
              <w:t>Indicators</w:t>
            </w:r>
          </w:p>
        </w:tc>
        <w:tc>
          <w:tcPr>
            <w:tcW w:w="1181" w:type="pct"/>
            <w:tcBorders>
              <w:top w:val="double" w:sz="4" w:space="0" w:color="auto"/>
              <w:left w:val="single" w:sz="6" w:space="0" w:color="auto"/>
              <w:bottom w:val="single" w:sz="6" w:space="0" w:color="auto"/>
              <w:right w:val="single" w:sz="6" w:space="0" w:color="auto"/>
            </w:tcBorders>
            <w:shd w:val="clear" w:color="auto" w:fill="auto"/>
          </w:tcPr>
          <w:p w14:paraId="7D90E253" w14:textId="77777777" w:rsidR="008430AC" w:rsidRPr="004B36F1" w:rsidRDefault="008430AC" w:rsidP="008430AC">
            <w:pPr>
              <w:tabs>
                <w:tab w:val="left" w:pos="0"/>
                <w:tab w:val="left" w:pos="708"/>
                <w:tab w:val="left" w:pos="1416"/>
                <w:tab w:val="left" w:pos="2124"/>
                <w:tab w:val="left" w:pos="2832"/>
              </w:tabs>
              <w:rPr>
                <w:b/>
                <w:color w:val="000000" w:themeColor="text1"/>
                <w:sz w:val="16"/>
                <w:szCs w:val="16"/>
              </w:rPr>
            </w:pPr>
            <w:r w:rsidRPr="004B36F1">
              <w:rPr>
                <w:b/>
                <w:color w:val="000000" w:themeColor="text1"/>
                <w:sz w:val="16"/>
                <w:szCs w:val="16"/>
              </w:rPr>
              <w:t>Means of verification</w:t>
            </w:r>
          </w:p>
        </w:tc>
        <w:tc>
          <w:tcPr>
            <w:tcW w:w="1036" w:type="pct"/>
            <w:tcBorders>
              <w:top w:val="double" w:sz="4" w:space="0" w:color="auto"/>
              <w:left w:val="single" w:sz="6" w:space="0" w:color="auto"/>
              <w:bottom w:val="single" w:sz="6" w:space="0" w:color="auto"/>
              <w:right w:val="double" w:sz="4" w:space="0" w:color="auto"/>
            </w:tcBorders>
            <w:shd w:val="clear" w:color="auto" w:fill="auto"/>
          </w:tcPr>
          <w:p w14:paraId="3A479897" w14:textId="77777777" w:rsidR="008430AC" w:rsidRPr="004B36F1" w:rsidRDefault="008430AC" w:rsidP="008430AC">
            <w:pPr>
              <w:tabs>
                <w:tab w:val="left" w:pos="0"/>
                <w:tab w:val="left" w:pos="708"/>
                <w:tab w:val="left" w:pos="1416"/>
                <w:tab w:val="left" w:pos="2124"/>
                <w:tab w:val="left" w:pos="2832"/>
              </w:tabs>
              <w:rPr>
                <w:b/>
                <w:color w:val="000000" w:themeColor="text1"/>
                <w:sz w:val="16"/>
                <w:szCs w:val="16"/>
              </w:rPr>
            </w:pPr>
            <w:r w:rsidRPr="004B36F1">
              <w:rPr>
                <w:b/>
                <w:color w:val="000000" w:themeColor="text1"/>
                <w:sz w:val="16"/>
                <w:szCs w:val="16"/>
              </w:rPr>
              <w:t>Key assumptions/comments</w:t>
            </w:r>
          </w:p>
        </w:tc>
      </w:tr>
      <w:tr w:rsidR="008430AC" w:rsidRPr="007F26C6" w14:paraId="5896DE3B" w14:textId="77777777" w:rsidTr="008430AC">
        <w:trPr>
          <w:trHeight w:val="4164"/>
        </w:trPr>
        <w:tc>
          <w:tcPr>
            <w:tcW w:w="1292" w:type="pct"/>
            <w:tcBorders>
              <w:top w:val="single" w:sz="6" w:space="0" w:color="auto"/>
              <w:left w:val="double" w:sz="4" w:space="0" w:color="auto"/>
              <w:right w:val="single" w:sz="6" w:space="0" w:color="auto"/>
            </w:tcBorders>
            <w:shd w:val="clear" w:color="auto" w:fill="auto"/>
          </w:tcPr>
          <w:p w14:paraId="424FD46B" w14:textId="77777777" w:rsidR="008430AC" w:rsidRPr="004B36F1" w:rsidRDefault="008430AC" w:rsidP="008430AC">
            <w:pPr>
              <w:tabs>
                <w:tab w:val="left" w:pos="0"/>
                <w:tab w:val="left" w:pos="425"/>
                <w:tab w:val="left" w:pos="708"/>
                <w:tab w:val="left" w:pos="1416"/>
                <w:tab w:val="left" w:pos="2124"/>
                <w:tab w:val="left" w:pos="2832"/>
                <w:tab w:val="left" w:pos="3540"/>
              </w:tabs>
              <w:rPr>
                <w:bCs/>
                <w:sz w:val="16"/>
                <w:szCs w:val="16"/>
              </w:rPr>
            </w:pPr>
            <w:r w:rsidRPr="004B36F1">
              <w:rPr>
                <w:bCs/>
                <w:sz w:val="16"/>
                <w:szCs w:val="16"/>
                <w:u w:val="single"/>
              </w:rPr>
              <w:t>Project Objective</w:t>
            </w:r>
          </w:p>
          <w:p w14:paraId="0B94F7CC"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r w:rsidRPr="004B36F1">
              <w:rPr>
                <w:sz w:val="16"/>
                <w:szCs w:val="16"/>
              </w:rPr>
              <w:t>To build capacities for implementing environmental fiscal reforms (EFR) that will produce increased national and global environmental benefits through the adoption of selected subsidies, fees, fines, taxes and other appropriate fiscal instruments.</w:t>
            </w:r>
          </w:p>
        </w:tc>
        <w:tc>
          <w:tcPr>
            <w:tcW w:w="1492" w:type="pct"/>
            <w:tcBorders>
              <w:top w:val="single" w:sz="6" w:space="0" w:color="auto"/>
              <w:left w:val="single" w:sz="6" w:space="0" w:color="auto"/>
              <w:right w:val="single" w:sz="6" w:space="0" w:color="auto"/>
            </w:tcBorders>
            <w:shd w:val="clear" w:color="auto" w:fill="auto"/>
          </w:tcPr>
          <w:p w14:paraId="6CF3084D"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Demonstrated global environmental benefits through the adoption of EFR instruments related to biodiversity conservation, reducing GHG emissions and combating land degradation </w:t>
            </w:r>
          </w:p>
          <w:p w14:paraId="42925ED8"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044D5B77"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Capacity development scorecard ratings increase in a consistent manner (initial rating to be established at project inception workshop) </w:t>
            </w:r>
          </w:p>
          <w:p w14:paraId="26BA934A"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5EB1340E"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Regulatory and operational guidelines adopted by the EFR commission for 5 EFR instruments addressed by the project:</w:t>
            </w:r>
            <w:r w:rsidRPr="004B36F1">
              <w:rPr>
                <w:sz w:val="16"/>
                <w:szCs w:val="16"/>
              </w:rPr>
              <w:t xml:space="preserve"> </w:t>
            </w:r>
          </w:p>
          <w:p w14:paraId="4F26E370" w14:textId="77777777" w:rsidR="008430AC" w:rsidRPr="004B36F1" w:rsidRDefault="008430AC" w:rsidP="008430AC">
            <w:pPr>
              <w:tabs>
                <w:tab w:val="left" w:pos="294"/>
                <w:tab w:val="left" w:pos="708"/>
                <w:tab w:val="left" w:pos="1416"/>
                <w:tab w:val="left" w:pos="2124"/>
                <w:tab w:val="left" w:pos="2832"/>
                <w:tab w:val="left" w:pos="3540"/>
              </w:tabs>
              <w:ind w:left="294"/>
              <w:rPr>
                <w:bCs/>
                <w:sz w:val="16"/>
                <w:szCs w:val="16"/>
              </w:rPr>
            </w:pPr>
            <w:r w:rsidRPr="004B36F1">
              <w:rPr>
                <w:sz w:val="16"/>
                <w:szCs w:val="16"/>
              </w:rPr>
              <w:t xml:space="preserve">1) agricultural subsidies scheme/programme, </w:t>
            </w:r>
          </w:p>
          <w:p w14:paraId="21F01E2D" w14:textId="77777777" w:rsidR="008430AC" w:rsidRPr="004B36F1" w:rsidRDefault="008430AC" w:rsidP="008430AC">
            <w:pPr>
              <w:tabs>
                <w:tab w:val="left" w:pos="294"/>
                <w:tab w:val="left" w:pos="708"/>
                <w:tab w:val="left" w:pos="1416"/>
                <w:tab w:val="left" w:pos="2124"/>
                <w:tab w:val="left" w:pos="2832"/>
                <w:tab w:val="left" w:pos="3540"/>
              </w:tabs>
              <w:ind w:left="294"/>
              <w:rPr>
                <w:bCs/>
                <w:sz w:val="16"/>
                <w:szCs w:val="16"/>
              </w:rPr>
            </w:pPr>
            <w:r w:rsidRPr="004B36F1">
              <w:rPr>
                <w:sz w:val="16"/>
                <w:szCs w:val="16"/>
              </w:rPr>
              <w:t xml:space="preserve">2) energy subsidies scheme/programme, </w:t>
            </w:r>
          </w:p>
          <w:p w14:paraId="13C259B3" w14:textId="77777777" w:rsidR="008430AC" w:rsidRPr="004B36F1" w:rsidRDefault="008430AC" w:rsidP="008430AC">
            <w:pPr>
              <w:tabs>
                <w:tab w:val="left" w:pos="294"/>
                <w:tab w:val="left" w:pos="708"/>
                <w:tab w:val="left" w:pos="1416"/>
                <w:tab w:val="left" w:pos="2124"/>
                <w:tab w:val="left" w:pos="2832"/>
                <w:tab w:val="left" w:pos="3540"/>
              </w:tabs>
              <w:ind w:left="294"/>
              <w:rPr>
                <w:bCs/>
                <w:sz w:val="16"/>
                <w:szCs w:val="16"/>
              </w:rPr>
            </w:pPr>
            <w:r w:rsidRPr="004B36F1">
              <w:rPr>
                <w:sz w:val="16"/>
                <w:szCs w:val="16"/>
              </w:rPr>
              <w:t xml:space="preserve">3) environmental charges; </w:t>
            </w:r>
          </w:p>
          <w:p w14:paraId="21F7E818" w14:textId="77777777" w:rsidR="008430AC" w:rsidRPr="004B36F1" w:rsidRDefault="008430AC" w:rsidP="008430AC">
            <w:pPr>
              <w:tabs>
                <w:tab w:val="left" w:pos="294"/>
                <w:tab w:val="left" w:pos="708"/>
                <w:tab w:val="left" w:pos="1416"/>
                <w:tab w:val="left" w:pos="2124"/>
                <w:tab w:val="left" w:pos="2832"/>
                <w:tab w:val="left" w:pos="3540"/>
              </w:tabs>
              <w:ind w:left="294"/>
              <w:rPr>
                <w:bCs/>
                <w:sz w:val="16"/>
                <w:szCs w:val="16"/>
              </w:rPr>
            </w:pPr>
            <w:r w:rsidRPr="004B36F1">
              <w:rPr>
                <w:sz w:val="16"/>
                <w:szCs w:val="16"/>
              </w:rPr>
              <w:t xml:space="preserve">4) green/environmental subsidies through NEF/LEF; </w:t>
            </w:r>
          </w:p>
          <w:p w14:paraId="3E8F9FCF" w14:textId="77777777" w:rsidR="008430AC" w:rsidRPr="004B36F1" w:rsidRDefault="008430AC" w:rsidP="008430AC">
            <w:pPr>
              <w:tabs>
                <w:tab w:val="left" w:pos="294"/>
                <w:tab w:val="left" w:pos="708"/>
                <w:tab w:val="left" w:pos="1416"/>
                <w:tab w:val="left" w:pos="2124"/>
                <w:tab w:val="left" w:pos="2832"/>
                <w:tab w:val="left" w:pos="3540"/>
              </w:tabs>
              <w:ind w:left="294"/>
              <w:rPr>
                <w:sz w:val="16"/>
                <w:szCs w:val="16"/>
              </w:rPr>
            </w:pPr>
            <w:r w:rsidRPr="004B36F1">
              <w:rPr>
                <w:sz w:val="16"/>
                <w:szCs w:val="16"/>
              </w:rPr>
              <w:t>5) new eco-technology subsidies</w:t>
            </w:r>
          </w:p>
          <w:p w14:paraId="26F29FCB" w14:textId="77777777" w:rsidR="008430AC" w:rsidRPr="004B36F1" w:rsidRDefault="008430AC" w:rsidP="008430AC">
            <w:pPr>
              <w:tabs>
                <w:tab w:val="left" w:pos="294"/>
                <w:tab w:val="left" w:pos="708"/>
                <w:tab w:val="left" w:pos="1416"/>
                <w:tab w:val="left" w:pos="2124"/>
                <w:tab w:val="left" w:pos="2832"/>
                <w:tab w:val="left" w:pos="3540"/>
              </w:tabs>
              <w:ind w:left="294"/>
              <w:rPr>
                <w:bCs/>
                <w:sz w:val="16"/>
                <w:szCs w:val="16"/>
              </w:rPr>
            </w:pPr>
          </w:p>
          <w:p w14:paraId="44E8EF2F"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sz w:val="16"/>
                <w:szCs w:val="16"/>
              </w:rPr>
              <w:t>Medium-Term Expenditure budget reflects increased national allocations to meet CBD, CCD, and FCCC targets</w:t>
            </w:r>
          </w:p>
          <w:p w14:paraId="372CC002" w14:textId="77777777" w:rsidR="008430AC" w:rsidRPr="004B36F1" w:rsidRDefault="008430AC" w:rsidP="008430AC">
            <w:pPr>
              <w:tabs>
                <w:tab w:val="left" w:pos="0"/>
                <w:tab w:val="left" w:pos="1416"/>
                <w:tab w:val="left" w:pos="2124"/>
                <w:tab w:val="left" w:pos="2832"/>
                <w:tab w:val="left" w:pos="3540"/>
              </w:tabs>
              <w:ind w:left="360"/>
              <w:rPr>
                <w:sz w:val="16"/>
                <w:szCs w:val="16"/>
              </w:rPr>
            </w:pPr>
          </w:p>
          <w:p w14:paraId="4ACECFB6" w14:textId="77777777" w:rsidR="008430AC" w:rsidRPr="004B36F1" w:rsidRDefault="008430AC" w:rsidP="008430AC">
            <w:pPr>
              <w:tabs>
                <w:tab w:val="left" w:pos="0"/>
                <w:tab w:val="left" w:pos="1416"/>
                <w:tab w:val="left" w:pos="2124"/>
                <w:tab w:val="left" w:pos="2832"/>
                <w:tab w:val="left" w:pos="3540"/>
              </w:tabs>
              <w:ind w:left="360"/>
              <w:rPr>
                <w:bCs/>
                <w:sz w:val="16"/>
                <w:szCs w:val="16"/>
              </w:rPr>
            </w:pPr>
          </w:p>
        </w:tc>
        <w:tc>
          <w:tcPr>
            <w:tcW w:w="1181" w:type="pct"/>
            <w:tcBorders>
              <w:top w:val="single" w:sz="6" w:space="0" w:color="auto"/>
              <w:left w:val="single" w:sz="6" w:space="0" w:color="auto"/>
              <w:right w:val="single" w:sz="6" w:space="0" w:color="auto"/>
            </w:tcBorders>
            <w:shd w:val="clear" w:color="auto" w:fill="auto"/>
          </w:tcPr>
          <w:p w14:paraId="7B0361CA"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Three case studies are published based the lessons learned related to improved national financing for CBD, CCD, and FCCC implementation through the EFR in Moldova</w:t>
            </w:r>
          </w:p>
          <w:p w14:paraId="4BCB7912"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57F07696" w14:textId="77777777" w:rsidR="008430AC" w:rsidRPr="004B36F1" w:rsidRDefault="008430AC" w:rsidP="00DC1947">
            <w:pPr>
              <w:numPr>
                <w:ilvl w:val="0"/>
                <w:numId w:val="54"/>
              </w:numPr>
              <w:autoSpaceDE/>
              <w:autoSpaceDN/>
              <w:adjustRightInd/>
              <w:rPr>
                <w:sz w:val="16"/>
                <w:szCs w:val="16"/>
              </w:rPr>
            </w:pPr>
            <w:r w:rsidRPr="004B36F1">
              <w:rPr>
                <w:sz w:val="16"/>
                <w:szCs w:val="16"/>
              </w:rPr>
              <w:t>Capacity Scorecard applied at project inception and as part of the mid-term and final evaluations</w:t>
            </w:r>
          </w:p>
          <w:p w14:paraId="3F024A89" w14:textId="77777777" w:rsidR="008430AC" w:rsidRPr="004B36F1" w:rsidRDefault="008430AC" w:rsidP="008430AC">
            <w:pPr>
              <w:rPr>
                <w:sz w:val="16"/>
                <w:szCs w:val="16"/>
              </w:rPr>
            </w:pPr>
          </w:p>
          <w:p w14:paraId="55F22EC7"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sz w:val="16"/>
                <w:szCs w:val="16"/>
              </w:rPr>
              <w:t xml:space="preserve">Recommendations for legislative texts and technical guidelines </w:t>
            </w:r>
            <w:r w:rsidRPr="004B36F1">
              <w:rPr>
                <w:bCs/>
                <w:sz w:val="16"/>
                <w:szCs w:val="16"/>
              </w:rPr>
              <w:t>elaborated and submitted for political debate and adoption</w:t>
            </w:r>
          </w:p>
          <w:p w14:paraId="46F96D4C"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69E2D0C0"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3D6F5547"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73276479"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49467470"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2EEDB78B"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sz w:val="16"/>
                <w:szCs w:val="16"/>
              </w:rPr>
            </w:pPr>
            <w:r w:rsidRPr="004B36F1">
              <w:rPr>
                <w:bCs/>
                <w:sz w:val="16"/>
                <w:szCs w:val="16"/>
              </w:rPr>
              <w:t>Comparative analysis of past MTEF with new and improved MTEF prepared by end of the project</w:t>
            </w:r>
            <w:r w:rsidRPr="004B36F1">
              <w:rPr>
                <w:sz w:val="16"/>
                <w:szCs w:val="16"/>
              </w:rPr>
              <w:t xml:space="preserve"> </w:t>
            </w:r>
          </w:p>
        </w:tc>
        <w:tc>
          <w:tcPr>
            <w:tcW w:w="1036" w:type="pct"/>
            <w:tcBorders>
              <w:top w:val="single" w:sz="6" w:space="0" w:color="auto"/>
              <w:left w:val="single" w:sz="6" w:space="0" w:color="auto"/>
              <w:right w:val="double" w:sz="4" w:space="0" w:color="auto"/>
            </w:tcBorders>
            <w:shd w:val="clear" w:color="auto" w:fill="auto"/>
          </w:tcPr>
          <w:p w14:paraId="70A71494"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Political and economic stability</w:t>
            </w:r>
          </w:p>
          <w:p w14:paraId="54CD5DBD"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Concerned stakeholders adopt and enforce EFR recommendations as part of the Environment Law and Tax Code</w:t>
            </w:r>
          </w:p>
          <w:p w14:paraId="6591EBC2"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Eco-technology investments are viable in Moldova</w:t>
            </w:r>
          </w:p>
          <w:p w14:paraId="2A0E51FC"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MoE engage in NEF/LEFs restructuring </w:t>
            </w:r>
          </w:p>
          <w:p w14:paraId="026C0897"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MoE engage in eco-</w:t>
            </w:r>
            <w:r w:rsidRPr="004B36F1" w:rsidDel="00D01490">
              <w:rPr>
                <w:bCs/>
                <w:sz w:val="16"/>
                <w:szCs w:val="16"/>
              </w:rPr>
              <w:t xml:space="preserve"> </w:t>
            </w:r>
            <w:r w:rsidRPr="004B36F1">
              <w:rPr>
                <w:bCs/>
                <w:sz w:val="16"/>
                <w:szCs w:val="16"/>
              </w:rPr>
              <w:t xml:space="preserve">charges reform </w:t>
            </w:r>
          </w:p>
          <w:p w14:paraId="05924CBF"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tc>
      </w:tr>
      <w:tr w:rsidR="008430AC" w:rsidRPr="007F26C6" w14:paraId="3CF489F4" w14:textId="77777777" w:rsidTr="008430AC">
        <w:trPr>
          <w:trHeight w:val="460"/>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2ED859AA" w14:textId="77777777" w:rsidR="008430AC" w:rsidRPr="004B36F1" w:rsidRDefault="008430AC" w:rsidP="008430AC">
            <w:pPr>
              <w:tabs>
                <w:tab w:val="num" w:pos="425"/>
                <w:tab w:val="left" w:pos="1416"/>
                <w:tab w:val="left" w:pos="2124"/>
                <w:tab w:val="left" w:pos="2832"/>
                <w:tab w:val="left" w:pos="3540"/>
              </w:tabs>
              <w:rPr>
                <w:b/>
                <w:iCs/>
                <w:sz w:val="16"/>
                <w:szCs w:val="16"/>
                <w:u w:val="single"/>
              </w:rPr>
            </w:pPr>
            <w:r w:rsidRPr="004B36F1">
              <w:rPr>
                <w:b/>
                <w:iCs/>
                <w:sz w:val="16"/>
                <w:szCs w:val="16"/>
                <w:u w:val="single"/>
              </w:rPr>
              <w:t>Component 1:</w:t>
            </w:r>
            <w:r w:rsidRPr="004B36F1">
              <w:rPr>
                <w:b/>
                <w:sz w:val="16"/>
                <w:szCs w:val="16"/>
                <w:u w:val="single"/>
              </w:rPr>
              <w:t xml:space="preserve">  Reform of environmentally harmful subsidies, green subsidies as well as environmental charges</w:t>
            </w:r>
          </w:p>
        </w:tc>
      </w:tr>
      <w:tr w:rsidR="008430AC" w:rsidRPr="007F26C6" w14:paraId="12DA99E9" w14:textId="77777777" w:rsidTr="008430AC">
        <w:trPr>
          <w:trHeight w:val="1545"/>
        </w:trPr>
        <w:tc>
          <w:tcPr>
            <w:tcW w:w="1292" w:type="pct"/>
            <w:tcBorders>
              <w:top w:val="single" w:sz="6" w:space="0" w:color="auto"/>
              <w:left w:val="double" w:sz="4" w:space="0" w:color="auto"/>
              <w:bottom w:val="single" w:sz="6" w:space="0" w:color="auto"/>
              <w:right w:val="single" w:sz="6" w:space="0" w:color="auto"/>
            </w:tcBorders>
            <w:shd w:val="clear" w:color="auto" w:fill="auto"/>
          </w:tcPr>
          <w:p w14:paraId="0C5D1C27" w14:textId="77777777" w:rsidR="008430AC" w:rsidRPr="004B36F1" w:rsidRDefault="008430AC" w:rsidP="008430AC">
            <w:pPr>
              <w:rPr>
                <w:sz w:val="16"/>
                <w:szCs w:val="16"/>
              </w:rPr>
            </w:pPr>
            <w:r w:rsidRPr="004B36F1">
              <w:rPr>
                <w:sz w:val="16"/>
                <w:szCs w:val="16"/>
                <w:u w:val="single"/>
              </w:rPr>
              <w:t>Sub-component 1.1:</w:t>
            </w:r>
            <w:r w:rsidRPr="004B36F1">
              <w:rPr>
                <w:sz w:val="16"/>
                <w:szCs w:val="16"/>
              </w:rPr>
              <w:t xml:space="preserve"> Introduce policy reform in the area of environmentally harmful subsidies</w:t>
            </w:r>
          </w:p>
          <w:p w14:paraId="6B0DB4B8" w14:textId="77777777" w:rsidR="008430AC" w:rsidRPr="004B36F1" w:rsidRDefault="008430AC" w:rsidP="008430AC">
            <w:pPr>
              <w:rPr>
                <w:bCs/>
                <w:sz w:val="16"/>
                <w:szCs w:val="16"/>
              </w:rPr>
            </w:pPr>
          </w:p>
          <w:p w14:paraId="07DAEBA9" w14:textId="77777777" w:rsidR="008430AC" w:rsidRPr="004B36F1" w:rsidRDefault="008430AC" w:rsidP="008430AC">
            <w:pPr>
              <w:rPr>
                <w:bCs/>
                <w:sz w:val="16"/>
                <w:szCs w:val="16"/>
              </w:rPr>
            </w:pP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748F6CC3"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sz w:val="16"/>
                <w:szCs w:val="16"/>
              </w:rPr>
            </w:pPr>
            <w:r w:rsidRPr="004B36F1">
              <w:rPr>
                <w:bCs/>
                <w:sz w:val="16"/>
                <w:szCs w:val="16"/>
              </w:rPr>
              <w:t xml:space="preserve">Feasibility of reform proposals to energy pricing and subsidies and </w:t>
            </w:r>
            <w:r w:rsidRPr="004B36F1">
              <w:rPr>
                <w:sz w:val="16"/>
                <w:szCs w:val="16"/>
              </w:rPr>
              <w:t>adoption of  appropriate legal amendments and implementation measures is confirmed</w:t>
            </w:r>
          </w:p>
          <w:p w14:paraId="3D4C61C9"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Feasibility of  reform proposals to agricultural subsidies and </w:t>
            </w:r>
            <w:r w:rsidRPr="004B36F1">
              <w:rPr>
                <w:sz w:val="16"/>
                <w:szCs w:val="16"/>
              </w:rPr>
              <w:t>adoption of appropriate  legal amendments and implementation measures is confirmed</w:t>
            </w:r>
          </w:p>
          <w:p w14:paraId="36503A0E"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tc>
        <w:tc>
          <w:tcPr>
            <w:tcW w:w="1181" w:type="pct"/>
            <w:tcBorders>
              <w:top w:val="single" w:sz="6" w:space="0" w:color="auto"/>
              <w:left w:val="single" w:sz="6" w:space="0" w:color="auto"/>
              <w:right w:val="single" w:sz="6" w:space="0" w:color="auto"/>
            </w:tcBorders>
            <w:shd w:val="clear" w:color="auto" w:fill="auto"/>
          </w:tcPr>
          <w:p w14:paraId="3ED0035A"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Level of VAT rates, excise tax rates and import duties on energy products (and other possible pricing factors) after reform implementation</w:t>
            </w:r>
          </w:p>
          <w:p w14:paraId="4D1D6C7C"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sz w:val="16"/>
                <w:szCs w:val="16"/>
              </w:rPr>
            </w:pPr>
            <w:r w:rsidRPr="004B36F1">
              <w:rPr>
                <w:bCs/>
                <w:sz w:val="16"/>
                <w:szCs w:val="16"/>
              </w:rPr>
              <w:t xml:space="preserve">Identification of options for greening and reforming current agricultural subsidies, focusing on the development of new markets </w:t>
            </w:r>
          </w:p>
        </w:tc>
        <w:tc>
          <w:tcPr>
            <w:tcW w:w="1036" w:type="pct"/>
            <w:vMerge w:val="restart"/>
            <w:tcBorders>
              <w:top w:val="single" w:sz="6" w:space="0" w:color="auto"/>
              <w:left w:val="single" w:sz="6" w:space="0" w:color="auto"/>
              <w:right w:val="double" w:sz="4" w:space="0" w:color="auto"/>
            </w:tcBorders>
            <w:shd w:val="clear" w:color="auto" w:fill="auto"/>
          </w:tcPr>
          <w:p w14:paraId="7CD7B440"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Readiness and willingness of concerned ministries (especially ministers responsible for environment, agriculture and energy) and subordinated institutions to implement good international practice</w:t>
            </w:r>
          </w:p>
          <w:p w14:paraId="7A2AE7F8"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Proposed EFR instruments and reform can effectively be based on national policies and linked to relevant EU environmental policy (for example, there is no comprehensive environmental policy at the moment that could, among others, outline steps towards EU approximation) </w:t>
            </w:r>
          </w:p>
          <w:p w14:paraId="5B120483"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p w14:paraId="5D43F353" w14:textId="77777777" w:rsidR="008430AC" w:rsidRPr="004B36F1" w:rsidDel="008B005C" w:rsidRDefault="008430AC" w:rsidP="008430AC">
            <w:pPr>
              <w:tabs>
                <w:tab w:val="left" w:pos="0"/>
                <w:tab w:val="left" w:pos="708"/>
                <w:tab w:val="left" w:pos="1416"/>
                <w:tab w:val="left" w:pos="2124"/>
                <w:tab w:val="left" w:pos="2832"/>
                <w:tab w:val="left" w:pos="3540"/>
              </w:tabs>
              <w:rPr>
                <w:bCs/>
                <w:sz w:val="16"/>
                <w:szCs w:val="16"/>
              </w:rPr>
            </w:pPr>
          </w:p>
        </w:tc>
      </w:tr>
      <w:tr w:rsidR="008430AC" w:rsidRPr="007F26C6" w14:paraId="7839141D" w14:textId="77777777" w:rsidTr="008430AC">
        <w:trPr>
          <w:trHeight w:val="1175"/>
        </w:trPr>
        <w:tc>
          <w:tcPr>
            <w:tcW w:w="1292" w:type="pct"/>
            <w:tcBorders>
              <w:top w:val="single" w:sz="6" w:space="0" w:color="auto"/>
              <w:left w:val="double" w:sz="4" w:space="0" w:color="auto"/>
              <w:bottom w:val="single" w:sz="6" w:space="0" w:color="auto"/>
              <w:right w:val="single" w:sz="6" w:space="0" w:color="auto"/>
            </w:tcBorders>
            <w:shd w:val="clear" w:color="auto" w:fill="auto"/>
          </w:tcPr>
          <w:p w14:paraId="674F428E" w14:textId="77777777" w:rsidR="008430AC" w:rsidRPr="004B36F1" w:rsidRDefault="008430AC" w:rsidP="008430AC">
            <w:pPr>
              <w:rPr>
                <w:sz w:val="16"/>
                <w:szCs w:val="16"/>
              </w:rPr>
            </w:pPr>
            <w:r w:rsidRPr="004B36F1">
              <w:rPr>
                <w:sz w:val="16"/>
                <w:szCs w:val="16"/>
                <w:u w:val="single"/>
              </w:rPr>
              <w:t>Sub-Component 1.2:</w:t>
            </w:r>
            <w:r w:rsidRPr="004B36F1">
              <w:rPr>
                <w:sz w:val="16"/>
                <w:szCs w:val="16"/>
              </w:rPr>
              <w:t xml:space="preserve"> Reform of environmental charges and facilitation of eco-technology investments</w:t>
            </w: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66B9234A"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Feasibility of reform proposals for several environmental charges currently in force </w:t>
            </w:r>
            <w:r w:rsidRPr="004B36F1">
              <w:rPr>
                <w:sz w:val="16"/>
                <w:szCs w:val="16"/>
              </w:rPr>
              <w:t>is confirmed</w:t>
            </w:r>
          </w:p>
          <w:p w14:paraId="678BC8B0"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Number of identified eco-technologies that have true potential to be mainstreamed in Moldova</w:t>
            </w:r>
          </w:p>
          <w:p w14:paraId="789EFCF9"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Readiness of eco-technology investment scheme for implementation </w:t>
            </w:r>
          </w:p>
          <w:p w14:paraId="065BD206"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r w:rsidRPr="004B36F1">
              <w:rPr>
                <w:sz w:val="16"/>
                <w:szCs w:val="16"/>
              </w:rPr>
              <w:t xml:space="preserve"> </w:t>
            </w:r>
          </w:p>
          <w:p w14:paraId="0B94E382"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tc>
        <w:tc>
          <w:tcPr>
            <w:tcW w:w="1181" w:type="pct"/>
            <w:tcBorders>
              <w:left w:val="single" w:sz="6" w:space="0" w:color="auto"/>
              <w:right w:val="single" w:sz="6" w:space="0" w:color="auto"/>
            </w:tcBorders>
            <w:shd w:val="clear" w:color="auto" w:fill="auto"/>
          </w:tcPr>
          <w:p w14:paraId="69E8B5F6"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Identification of policy and legal options for environmental charges including considering environmental, economic and fiscal effects</w:t>
            </w:r>
          </w:p>
          <w:p w14:paraId="1F998000"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Market analysis of current (financing) markets for several groups and  types of eco-technology solutions that could be mainstreamed in Moldova</w:t>
            </w:r>
          </w:p>
        </w:tc>
        <w:tc>
          <w:tcPr>
            <w:tcW w:w="1036" w:type="pct"/>
            <w:vMerge/>
            <w:tcBorders>
              <w:left w:val="single" w:sz="6" w:space="0" w:color="auto"/>
              <w:right w:val="double" w:sz="4" w:space="0" w:color="auto"/>
            </w:tcBorders>
            <w:shd w:val="clear" w:color="auto" w:fill="auto"/>
          </w:tcPr>
          <w:p w14:paraId="5ED04D79" w14:textId="77777777" w:rsidR="008430AC" w:rsidRPr="004B36F1" w:rsidRDefault="008430AC" w:rsidP="008430AC">
            <w:pPr>
              <w:ind w:left="360"/>
              <w:rPr>
                <w:bCs/>
                <w:sz w:val="16"/>
                <w:szCs w:val="16"/>
              </w:rPr>
            </w:pPr>
          </w:p>
        </w:tc>
      </w:tr>
      <w:tr w:rsidR="008430AC" w:rsidRPr="007F26C6" w14:paraId="57165BD3" w14:textId="77777777" w:rsidTr="008430AC">
        <w:trPr>
          <w:trHeight w:val="1175"/>
        </w:trPr>
        <w:tc>
          <w:tcPr>
            <w:tcW w:w="1292" w:type="pct"/>
            <w:tcBorders>
              <w:top w:val="single" w:sz="6" w:space="0" w:color="auto"/>
              <w:left w:val="double" w:sz="4" w:space="0" w:color="auto"/>
              <w:bottom w:val="single" w:sz="6" w:space="0" w:color="auto"/>
              <w:right w:val="single" w:sz="6" w:space="0" w:color="auto"/>
            </w:tcBorders>
            <w:shd w:val="clear" w:color="auto" w:fill="auto"/>
          </w:tcPr>
          <w:p w14:paraId="40C591B9" w14:textId="77777777" w:rsidR="008430AC" w:rsidRPr="004B36F1" w:rsidRDefault="008430AC" w:rsidP="008430AC">
            <w:pPr>
              <w:rPr>
                <w:bCs/>
                <w:sz w:val="16"/>
                <w:szCs w:val="16"/>
              </w:rPr>
            </w:pPr>
            <w:r w:rsidRPr="004B36F1">
              <w:rPr>
                <w:bCs/>
                <w:sz w:val="16"/>
                <w:szCs w:val="16"/>
                <w:u w:val="single"/>
              </w:rPr>
              <w:t>Sub-Component 1.3:</w:t>
            </w:r>
            <w:r w:rsidRPr="004B36F1">
              <w:rPr>
                <w:bCs/>
                <w:sz w:val="16"/>
                <w:szCs w:val="16"/>
              </w:rPr>
              <w:t xml:space="preserve"> Improved regulations and operational management of the National and Local Ecological Funds (NEF/LEFs)</w:t>
            </w:r>
          </w:p>
          <w:p w14:paraId="76744357" w14:textId="77777777" w:rsidR="008430AC" w:rsidRPr="004B36F1" w:rsidRDefault="008430AC" w:rsidP="008430AC">
            <w:pPr>
              <w:rPr>
                <w:sz w:val="16"/>
                <w:szCs w:val="16"/>
              </w:rPr>
            </w:pPr>
          </w:p>
          <w:p w14:paraId="65485857" w14:textId="77777777" w:rsidR="008430AC" w:rsidRPr="004B36F1" w:rsidRDefault="008430AC" w:rsidP="008430AC">
            <w:pPr>
              <w:rPr>
                <w:sz w:val="16"/>
                <w:szCs w:val="16"/>
                <w:u w:val="single"/>
              </w:rPr>
            </w:pP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2371E5A3"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Implementation of good international practice in managing public environment expenditure programmes applied to NEF/LEF management, especially the areas governance, spending strategies, project cycle management, procurement and reporting/promotion</w:t>
            </w:r>
          </w:p>
          <w:p w14:paraId="6383647F"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tc>
        <w:tc>
          <w:tcPr>
            <w:tcW w:w="1181" w:type="pct"/>
            <w:tcBorders>
              <w:left w:val="single" w:sz="6" w:space="0" w:color="auto"/>
              <w:right w:val="single" w:sz="6" w:space="0" w:color="auto"/>
            </w:tcBorders>
            <w:shd w:val="clear" w:color="auto" w:fill="auto"/>
          </w:tcPr>
          <w:p w14:paraId="42B34483"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Procedures for project cycle management (PCM) for 2-3 main spending areas;</w:t>
            </w:r>
          </w:p>
          <w:p w14:paraId="72583066"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Procurement procedures in line with relevant domestic and EU procurement legislation/practice</w:t>
            </w:r>
          </w:p>
          <w:p w14:paraId="3C45BEF4"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Short and long-term spending strategy of NEF/LEFs</w:t>
            </w:r>
          </w:p>
          <w:p w14:paraId="5ABB60E5"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Revised statutes of the NEF/LEFs</w:t>
            </w:r>
          </w:p>
          <w:p w14:paraId="61810B41"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Website of NEF/LEFs</w:t>
            </w:r>
          </w:p>
        </w:tc>
        <w:tc>
          <w:tcPr>
            <w:tcW w:w="1036" w:type="pct"/>
            <w:vMerge/>
            <w:tcBorders>
              <w:left w:val="single" w:sz="6" w:space="0" w:color="auto"/>
              <w:right w:val="double" w:sz="4" w:space="0" w:color="auto"/>
            </w:tcBorders>
            <w:shd w:val="clear" w:color="auto" w:fill="auto"/>
          </w:tcPr>
          <w:p w14:paraId="2E99A331" w14:textId="77777777" w:rsidR="008430AC" w:rsidRPr="004B36F1" w:rsidRDefault="008430AC" w:rsidP="008430AC">
            <w:pPr>
              <w:ind w:left="360"/>
              <w:rPr>
                <w:bCs/>
                <w:sz w:val="16"/>
                <w:szCs w:val="16"/>
              </w:rPr>
            </w:pPr>
          </w:p>
        </w:tc>
      </w:tr>
      <w:tr w:rsidR="008430AC" w:rsidRPr="007F26C6" w14:paraId="5F010E56" w14:textId="77777777" w:rsidTr="008430AC">
        <w:trPr>
          <w:trHeight w:val="342"/>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0FCDA35E" w14:textId="77777777" w:rsidR="008430AC" w:rsidRPr="004B36F1" w:rsidRDefault="008430AC" w:rsidP="008430AC">
            <w:pPr>
              <w:tabs>
                <w:tab w:val="left" w:pos="0"/>
                <w:tab w:val="left" w:pos="708"/>
                <w:tab w:val="left" w:pos="1416"/>
                <w:tab w:val="left" w:pos="2124"/>
                <w:tab w:val="left" w:pos="2832"/>
                <w:tab w:val="left" w:pos="3540"/>
              </w:tabs>
              <w:rPr>
                <w:b/>
                <w:iCs/>
                <w:sz w:val="16"/>
                <w:szCs w:val="16"/>
                <w:u w:val="single"/>
              </w:rPr>
            </w:pPr>
            <w:bookmarkStart w:id="126" w:name="_Toc299122845"/>
            <w:bookmarkStart w:id="127" w:name="_Toc299122867"/>
            <w:bookmarkStart w:id="128" w:name="_Toc299126631"/>
            <w:r w:rsidRPr="004B36F1">
              <w:rPr>
                <w:b/>
                <w:iCs/>
                <w:sz w:val="16"/>
                <w:szCs w:val="16"/>
                <w:u w:val="single"/>
              </w:rPr>
              <w:t>Component 3:</w:t>
            </w:r>
            <w:r w:rsidRPr="004B36F1">
              <w:rPr>
                <w:b/>
                <w:sz w:val="16"/>
                <w:szCs w:val="16"/>
                <w:u w:val="single"/>
              </w:rPr>
              <w:t xml:space="preserve">  Integration of EFR in local and central planning processes</w:t>
            </w:r>
          </w:p>
        </w:tc>
      </w:tr>
      <w:tr w:rsidR="008430AC" w:rsidRPr="007F26C6" w14:paraId="7B676828" w14:textId="77777777" w:rsidTr="008430AC">
        <w:trPr>
          <w:trHeight w:val="1175"/>
        </w:trPr>
        <w:tc>
          <w:tcPr>
            <w:tcW w:w="1292" w:type="pct"/>
            <w:tcBorders>
              <w:top w:val="single" w:sz="6" w:space="0" w:color="auto"/>
              <w:left w:val="double" w:sz="4" w:space="0" w:color="auto"/>
              <w:bottom w:val="single" w:sz="6" w:space="0" w:color="auto"/>
              <w:right w:val="single" w:sz="6" w:space="0" w:color="auto"/>
            </w:tcBorders>
            <w:shd w:val="clear" w:color="auto" w:fill="auto"/>
          </w:tcPr>
          <w:p w14:paraId="468FD421" w14:textId="77777777" w:rsidR="008430AC" w:rsidRPr="004B36F1" w:rsidRDefault="008430AC" w:rsidP="008430AC">
            <w:pPr>
              <w:rPr>
                <w:sz w:val="16"/>
                <w:szCs w:val="16"/>
              </w:rPr>
            </w:pPr>
            <w:r w:rsidRPr="004B36F1">
              <w:rPr>
                <w:sz w:val="16"/>
                <w:szCs w:val="16"/>
                <w:u w:val="single"/>
              </w:rPr>
              <w:t>Sub-Component 3.1:</w:t>
            </w:r>
            <w:r w:rsidRPr="004B36F1">
              <w:rPr>
                <w:sz w:val="16"/>
                <w:szCs w:val="16"/>
              </w:rPr>
              <w:t xml:space="preserve"> EFR instruments integrated in the decentralization process</w:t>
            </w:r>
          </w:p>
          <w:p w14:paraId="16C9DC7E" w14:textId="77777777" w:rsidR="008430AC" w:rsidRPr="004B36F1" w:rsidRDefault="008430AC" w:rsidP="008430AC">
            <w:pPr>
              <w:rPr>
                <w:b/>
                <w:sz w:val="16"/>
                <w:szCs w:val="16"/>
              </w:rPr>
            </w:pPr>
          </w:p>
          <w:p w14:paraId="591C93D5" w14:textId="77777777" w:rsidR="008430AC" w:rsidRPr="004B36F1" w:rsidRDefault="008430AC" w:rsidP="008430AC">
            <w:pPr>
              <w:rPr>
                <w:sz w:val="16"/>
                <w:szCs w:val="16"/>
                <w:u w:val="single"/>
              </w:rPr>
            </w:pP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386025DA"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A common coordination work plan with the Joint Integrated Local Development Programme (JILDP) developed</w:t>
            </w:r>
          </w:p>
          <w:p w14:paraId="5B98DD02"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Regular meetings of the Sub-group under the working group Financial Decentralization were held</w:t>
            </w:r>
          </w:p>
          <w:p w14:paraId="12637424"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Identification of environmental management priorities within the Local Development Strategies took place</w:t>
            </w:r>
          </w:p>
          <w:p w14:paraId="0C6B3776"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Greening JILDP’s Performance Based Budgeting system to address local environmental priorities</w:t>
            </w:r>
          </w:p>
        </w:tc>
        <w:tc>
          <w:tcPr>
            <w:tcW w:w="1181" w:type="pct"/>
            <w:vMerge w:val="restart"/>
            <w:tcBorders>
              <w:top w:val="single" w:sz="6" w:space="0" w:color="auto"/>
              <w:left w:val="single" w:sz="6" w:space="0" w:color="auto"/>
              <w:right w:val="single" w:sz="6" w:space="0" w:color="auto"/>
            </w:tcBorders>
            <w:shd w:val="clear" w:color="auto" w:fill="auto"/>
          </w:tcPr>
          <w:p w14:paraId="083B6E0E"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Yearly joint work plan between the UNDP/GEF EFR project and JILDP</w:t>
            </w:r>
          </w:p>
          <w:p w14:paraId="6AF9CDCC"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Minutes f meeting of Sub-group under the working group Financial Decentralization</w:t>
            </w:r>
          </w:p>
          <w:p w14:paraId="0C590C97"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Assessment of environmental management priorities within the Local Development Strategies </w:t>
            </w:r>
          </w:p>
          <w:p w14:paraId="4F44AB89"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Identification of fiscal reform for local environmental taxes that can be integrated in the PBB system</w:t>
            </w:r>
          </w:p>
          <w:p w14:paraId="187586D5"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MoE reports confirming  stabilized or increased budget allocations and spending on national and global environmental priorities</w:t>
            </w:r>
          </w:p>
          <w:p w14:paraId="6FC2479B"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Costing study and financing strategy to implement Rio Conventions</w:t>
            </w:r>
          </w:p>
          <w:p w14:paraId="0B420849"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Comparative analysis of pre-existing MTEF with MTEF that is strengthened under the project to meet Rio Convention targets</w:t>
            </w:r>
          </w:p>
          <w:p w14:paraId="7F449F79" w14:textId="77777777" w:rsidR="008430AC" w:rsidRPr="004B36F1" w:rsidRDefault="008430AC" w:rsidP="008430AC">
            <w:pPr>
              <w:tabs>
                <w:tab w:val="left" w:pos="0"/>
                <w:tab w:val="left" w:pos="708"/>
                <w:tab w:val="left" w:pos="1416"/>
                <w:tab w:val="left" w:pos="2124"/>
                <w:tab w:val="left" w:pos="2832"/>
                <w:tab w:val="left" w:pos="3540"/>
              </w:tabs>
              <w:rPr>
                <w:bCs/>
                <w:sz w:val="16"/>
                <w:szCs w:val="16"/>
              </w:rPr>
            </w:pPr>
          </w:p>
        </w:tc>
        <w:tc>
          <w:tcPr>
            <w:tcW w:w="1036" w:type="pct"/>
            <w:vMerge w:val="restart"/>
            <w:tcBorders>
              <w:top w:val="single" w:sz="6" w:space="0" w:color="auto"/>
              <w:left w:val="single" w:sz="6" w:space="0" w:color="auto"/>
              <w:right w:val="double" w:sz="4" w:space="0" w:color="auto"/>
            </w:tcBorders>
            <w:shd w:val="clear" w:color="auto" w:fill="auto"/>
          </w:tcPr>
          <w:p w14:paraId="06A6E5B0" w14:textId="77777777" w:rsidR="008430AC" w:rsidRPr="004B36F1" w:rsidRDefault="008430AC" w:rsidP="00DC1947">
            <w:pPr>
              <w:numPr>
                <w:ilvl w:val="0"/>
                <w:numId w:val="54"/>
              </w:numPr>
              <w:tabs>
                <w:tab w:val="left" w:pos="0"/>
                <w:tab w:val="left" w:pos="708"/>
                <w:tab w:val="left" w:pos="1416"/>
                <w:tab w:val="left" w:pos="2124"/>
                <w:tab w:val="left" w:pos="2832"/>
                <w:tab w:val="left" w:pos="3540"/>
              </w:tabs>
              <w:rPr>
                <w:bCs/>
                <w:sz w:val="16"/>
                <w:szCs w:val="16"/>
              </w:rPr>
            </w:pPr>
            <w:r w:rsidRPr="004B36F1">
              <w:rPr>
                <w:bCs/>
                <w:sz w:val="16"/>
                <w:szCs w:val="16"/>
              </w:rPr>
              <w:t xml:space="preserve">Cooperation with the Joint Integrated Local Development Programme (JILDP) is supported by the </w:t>
            </w:r>
            <w:r w:rsidRPr="004B36F1">
              <w:rPr>
                <w:sz w:val="16"/>
                <w:szCs w:val="16"/>
              </w:rPr>
              <w:t>State Chancellery</w:t>
            </w:r>
            <w:r w:rsidRPr="004B36F1">
              <w:rPr>
                <w:bCs/>
                <w:sz w:val="16"/>
                <w:szCs w:val="16"/>
              </w:rPr>
              <w:t xml:space="preserve"> and MoE</w:t>
            </w:r>
          </w:p>
          <w:p w14:paraId="4BC646D0" w14:textId="77777777" w:rsidR="008430AC" w:rsidRPr="004B36F1" w:rsidRDefault="008430AC" w:rsidP="00DC1947">
            <w:pPr>
              <w:numPr>
                <w:ilvl w:val="0"/>
                <w:numId w:val="54"/>
              </w:numPr>
              <w:tabs>
                <w:tab w:val="left" w:pos="0"/>
                <w:tab w:val="left" w:pos="708"/>
                <w:tab w:val="left" w:pos="1416"/>
                <w:tab w:val="left" w:pos="2124"/>
                <w:tab w:val="left" w:pos="2832"/>
                <w:tab w:val="left" w:pos="3540"/>
              </w:tabs>
              <w:rPr>
                <w:bCs/>
                <w:sz w:val="16"/>
                <w:szCs w:val="16"/>
              </w:rPr>
            </w:pPr>
            <w:r w:rsidRPr="004B36F1">
              <w:rPr>
                <w:bCs/>
                <w:sz w:val="16"/>
                <w:szCs w:val="16"/>
              </w:rPr>
              <w:t xml:space="preserve">Pilot LPAs within the  JILDP accept to engage in the identification of policy and legal options for collection and distribution of taxes at decentralized level for environmental management </w:t>
            </w:r>
          </w:p>
          <w:p w14:paraId="1097640B" w14:textId="77777777" w:rsidR="008430AC" w:rsidRPr="004B36F1" w:rsidRDefault="008430AC" w:rsidP="00DC1947">
            <w:pPr>
              <w:numPr>
                <w:ilvl w:val="0"/>
                <w:numId w:val="54"/>
              </w:numPr>
              <w:tabs>
                <w:tab w:val="left" w:pos="0"/>
                <w:tab w:val="left" w:pos="708"/>
                <w:tab w:val="left" w:pos="1416"/>
                <w:tab w:val="left" w:pos="2124"/>
                <w:tab w:val="left" w:pos="2832"/>
                <w:tab w:val="left" w:pos="3540"/>
              </w:tabs>
              <w:rPr>
                <w:bCs/>
                <w:sz w:val="16"/>
                <w:szCs w:val="16"/>
              </w:rPr>
            </w:pPr>
            <w:r w:rsidRPr="004B36F1">
              <w:rPr>
                <w:bCs/>
                <w:sz w:val="16"/>
                <w:szCs w:val="16"/>
              </w:rPr>
              <w:t>Effective and efficient cooperation between Ministry of Finance and Ministry of Environment as well as other relevant line ministries can be established</w:t>
            </w:r>
          </w:p>
          <w:p w14:paraId="1AE5C29B" w14:textId="77777777" w:rsidR="008430AC" w:rsidRPr="004B36F1" w:rsidDel="008B005C" w:rsidRDefault="008430AC" w:rsidP="00DC1947">
            <w:pPr>
              <w:numPr>
                <w:ilvl w:val="0"/>
                <w:numId w:val="54"/>
              </w:numPr>
              <w:tabs>
                <w:tab w:val="left" w:pos="0"/>
                <w:tab w:val="left" w:pos="708"/>
                <w:tab w:val="left" w:pos="1416"/>
                <w:tab w:val="left" w:pos="2124"/>
                <w:tab w:val="left" w:pos="2832"/>
                <w:tab w:val="left" w:pos="3540"/>
              </w:tabs>
              <w:rPr>
                <w:bCs/>
                <w:sz w:val="16"/>
                <w:szCs w:val="16"/>
              </w:rPr>
            </w:pPr>
            <w:r w:rsidRPr="004B36F1">
              <w:rPr>
                <w:bCs/>
                <w:sz w:val="16"/>
                <w:szCs w:val="16"/>
              </w:rPr>
              <w:t>The is a sufficiency of human resources within the various government agencies that can absorb the green budgeting and planning training provided, and translate these into high calibre financial strategies and plans.</w:t>
            </w:r>
          </w:p>
        </w:tc>
      </w:tr>
      <w:tr w:rsidR="008430AC" w:rsidRPr="002C5538" w14:paraId="42B51304" w14:textId="77777777" w:rsidTr="008430AC">
        <w:trPr>
          <w:trHeight w:val="1175"/>
        </w:trPr>
        <w:tc>
          <w:tcPr>
            <w:tcW w:w="1292" w:type="pct"/>
            <w:tcBorders>
              <w:top w:val="single" w:sz="6" w:space="0" w:color="auto"/>
              <w:left w:val="double" w:sz="4" w:space="0" w:color="auto"/>
              <w:bottom w:val="single" w:sz="6" w:space="0" w:color="auto"/>
              <w:right w:val="single" w:sz="6" w:space="0" w:color="auto"/>
            </w:tcBorders>
            <w:shd w:val="clear" w:color="auto" w:fill="auto"/>
          </w:tcPr>
          <w:p w14:paraId="4913BB0B" w14:textId="77777777" w:rsidR="008430AC" w:rsidRPr="004B36F1" w:rsidRDefault="008430AC" w:rsidP="008430AC">
            <w:pPr>
              <w:rPr>
                <w:sz w:val="16"/>
                <w:szCs w:val="16"/>
              </w:rPr>
            </w:pPr>
            <w:r w:rsidRPr="004B36F1">
              <w:rPr>
                <w:sz w:val="16"/>
                <w:szCs w:val="16"/>
                <w:u w:val="single"/>
              </w:rPr>
              <w:t xml:space="preserve">Sub-Component 3.2: </w:t>
            </w:r>
            <w:r w:rsidRPr="004B36F1">
              <w:rPr>
                <w:sz w:val="16"/>
                <w:szCs w:val="16"/>
              </w:rPr>
              <w:t xml:space="preserve">EFR instruments integrated into governmental budgeting and MTEF processes </w:t>
            </w: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14FB8039"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B</w:t>
            </w:r>
            <w:r w:rsidRPr="004B36F1">
              <w:rPr>
                <w:sz w:val="16"/>
                <w:szCs w:val="16"/>
              </w:rPr>
              <w:t>udget and MTEF planning is effectively greened in line with good international practice</w:t>
            </w:r>
          </w:p>
          <w:p w14:paraId="0F72BB6A" w14:textId="77777777" w:rsidR="008430AC" w:rsidRPr="004B36F1" w:rsidRDefault="008430AC" w:rsidP="00DC1947">
            <w:pPr>
              <w:numPr>
                <w:ilvl w:val="0"/>
                <w:numId w:val="53"/>
              </w:numPr>
              <w:tabs>
                <w:tab w:val="left" w:pos="0"/>
                <w:tab w:val="left" w:pos="708"/>
                <w:tab w:val="left" w:pos="1416"/>
                <w:tab w:val="left" w:pos="2124"/>
                <w:tab w:val="left" w:pos="2832"/>
                <w:tab w:val="left" w:pos="3540"/>
              </w:tabs>
              <w:rPr>
                <w:bCs/>
                <w:sz w:val="16"/>
                <w:szCs w:val="16"/>
              </w:rPr>
            </w:pPr>
            <w:r w:rsidRPr="004B36F1">
              <w:rPr>
                <w:bCs/>
                <w:sz w:val="16"/>
                <w:szCs w:val="16"/>
              </w:rPr>
              <w:t xml:space="preserve">Increased and improved budget allocations and investment finance for biodiversity conservation, addressing climate change, and activities to combat land degradation (all per Rio Convention targets) </w:t>
            </w:r>
          </w:p>
        </w:tc>
        <w:tc>
          <w:tcPr>
            <w:tcW w:w="1181" w:type="pct"/>
            <w:vMerge/>
            <w:tcBorders>
              <w:left w:val="single" w:sz="6" w:space="0" w:color="auto"/>
              <w:right w:val="single" w:sz="6" w:space="0" w:color="auto"/>
            </w:tcBorders>
            <w:shd w:val="clear" w:color="auto" w:fill="auto"/>
          </w:tcPr>
          <w:p w14:paraId="3F8C8788" w14:textId="77777777" w:rsidR="008430AC" w:rsidRPr="002C5538" w:rsidRDefault="008430AC" w:rsidP="00DC1947">
            <w:pPr>
              <w:numPr>
                <w:ilvl w:val="0"/>
                <w:numId w:val="55"/>
              </w:numPr>
              <w:tabs>
                <w:tab w:val="left" w:pos="0"/>
                <w:tab w:val="left" w:pos="708"/>
                <w:tab w:val="left" w:pos="1416"/>
                <w:tab w:val="left" w:pos="2124"/>
                <w:tab w:val="left" w:pos="2832"/>
                <w:tab w:val="left" w:pos="3540"/>
              </w:tabs>
              <w:rPr>
                <w:bCs/>
              </w:rPr>
            </w:pPr>
          </w:p>
        </w:tc>
        <w:tc>
          <w:tcPr>
            <w:tcW w:w="1036" w:type="pct"/>
            <w:vMerge/>
            <w:tcBorders>
              <w:left w:val="single" w:sz="6" w:space="0" w:color="auto"/>
              <w:right w:val="double" w:sz="4" w:space="0" w:color="auto"/>
            </w:tcBorders>
            <w:shd w:val="clear" w:color="auto" w:fill="auto"/>
          </w:tcPr>
          <w:p w14:paraId="0D3844D3" w14:textId="77777777" w:rsidR="008430AC" w:rsidRPr="002C5538" w:rsidRDefault="008430AC" w:rsidP="008430AC">
            <w:pPr>
              <w:tabs>
                <w:tab w:val="left" w:pos="0"/>
                <w:tab w:val="left" w:pos="708"/>
                <w:tab w:val="left" w:pos="1416"/>
                <w:tab w:val="left" w:pos="2124"/>
                <w:tab w:val="left" w:pos="2832"/>
                <w:tab w:val="left" w:pos="3540"/>
              </w:tabs>
              <w:rPr>
                <w:bCs/>
              </w:rPr>
            </w:pPr>
          </w:p>
        </w:tc>
      </w:tr>
    </w:tbl>
    <w:p w14:paraId="37A75B6B" w14:textId="77777777" w:rsidR="008430AC" w:rsidRDefault="008430AC">
      <w:pPr>
        <w:rPr>
          <w:rFonts w:ascii="Calibri" w:hAnsi="Calibri"/>
          <w:sz w:val="20"/>
          <w:szCs w:val="20"/>
        </w:rPr>
        <w:sectPr w:rsidR="008430AC" w:rsidSect="008430AC">
          <w:pgSz w:w="15840" w:h="12240" w:orient="landscape"/>
          <w:pgMar w:top="1440" w:right="1440" w:bottom="1325" w:left="1440" w:header="706" w:footer="706" w:gutter="0"/>
          <w:cols w:space="708"/>
          <w:docGrid w:linePitch="360"/>
        </w:sectPr>
      </w:pPr>
    </w:p>
    <w:p w14:paraId="2A6ADEFB" w14:textId="430309F6" w:rsidR="008430AC" w:rsidRPr="00D6638C" w:rsidRDefault="009436EF" w:rsidP="008430AC">
      <w:pPr>
        <w:pStyle w:val="Heading31"/>
      </w:pPr>
      <w:bookmarkStart w:id="129" w:name="_TOR_Annex_B:"/>
      <w:bookmarkStart w:id="130" w:name="_Toc299133054"/>
      <w:bookmarkStart w:id="131" w:name="_Toc321341563"/>
      <w:bookmarkEnd w:id="129"/>
      <w:r>
        <w:lastRenderedPageBreak/>
        <w:t>TOR-</w:t>
      </w:r>
      <w:r w:rsidR="008430AC" w:rsidRPr="00D6638C">
        <w:t>Annex B: List of Documents to be reviewed by the evaluators</w:t>
      </w:r>
      <w:bookmarkEnd w:id="126"/>
      <w:bookmarkEnd w:id="127"/>
      <w:bookmarkEnd w:id="128"/>
      <w:bookmarkEnd w:id="130"/>
      <w:bookmarkEnd w:id="131"/>
    </w:p>
    <w:p w14:paraId="60F9051E" w14:textId="77777777" w:rsidR="008430AC" w:rsidRPr="002C78BD" w:rsidRDefault="008430AC" w:rsidP="008430AC">
      <w:pPr>
        <w:spacing w:before="200"/>
        <w:rPr>
          <w:rFonts w:ascii="Calibri" w:hAnsi="Calibri"/>
          <w:i/>
          <w:sz w:val="20"/>
          <w:szCs w:val="20"/>
          <w:lang w:val="en-GB"/>
        </w:rPr>
      </w:pPr>
    </w:p>
    <w:p w14:paraId="4C464A1B"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Project document and its annexes;</w:t>
      </w:r>
    </w:p>
    <w:p w14:paraId="3F95D177"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Project Annual/Quarter operational and progress reports;</w:t>
      </w:r>
    </w:p>
    <w:p w14:paraId="71918C08"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Annual/Quarter work plans;</w:t>
      </w:r>
    </w:p>
    <w:p w14:paraId="77B60BE2"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 xml:space="preserve">Project financial work plans and expenditure reports; </w:t>
      </w:r>
    </w:p>
    <w:p w14:paraId="1DF2DC68"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201</w:t>
      </w:r>
      <w:r>
        <w:rPr>
          <w:rFonts w:ascii="Calibri" w:hAnsi="Calibri"/>
          <w:sz w:val="20"/>
          <w:szCs w:val="20"/>
          <w:lang w:val="en-GB"/>
        </w:rPr>
        <w:t>3</w:t>
      </w:r>
      <w:r w:rsidRPr="002C78BD">
        <w:rPr>
          <w:rFonts w:ascii="Calibri" w:hAnsi="Calibri"/>
          <w:sz w:val="20"/>
          <w:szCs w:val="20"/>
          <w:lang w:val="en-GB"/>
        </w:rPr>
        <w:t>, 201</w:t>
      </w:r>
      <w:r>
        <w:rPr>
          <w:rFonts w:ascii="Calibri" w:hAnsi="Calibri"/>
          <w:sz w:val="20"/>
          <w:szCs w:val="20"/>
          <w:lang w:val="en-GB"/>
        </w:rPr>
        <w:t>4</w:t>
      </w:r>
      <w:r w:rsidRPr="002C78BD">
        <w:rPr>
          <w:rFonts w:ascii="Calibri" w:hAnsi="Calibri"/>
          <w:sz w:val="20"/>
          <w:szCs w:val="20"/>
          <w:lang w:val="en-GB"/>
        </w:rPr>
        <w:t xml:space="preserve"> and 201</w:t>
      </w:r>
      <w:r>
        <w:rPr>
          <w:rFonts w:ascii="Calibri" w:hAnsi="Calibri"/>
          <w:sz w:val="20"/>
          <w:szCs w:val="20"/>
          <w:lang w:val="en-GB"/>
        </w:rPr>
        <w:t>5</w:t>
      </w:r>
      <w:r w:rsidRPr="002C78BD">
        <w:rPr>
          <w:rFonts w:ascii="Calibri" w:hAnsi="Calibri"/>
          <w:sz w:val="20"/>
          <w:szCs w:val="20"/>
          <w:lang w:val="en-GB"/>
        </w:rPr>
        <w:t xml:space="preserve"> UNDP/GEF Project Implementation Reviews (PIR); </w:t>
      </w:r>
    </w:p>
    <w:p w14:paraId="08FE4CA3"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Minutes of the PSC meetings;</w:t>
      </w:r>
    </w:p>
    <w:p w14:paraId="1ECECE4D"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Mission Reports of International Experts;</w:t>
      </w:r>
    </w:p>
    <w:p w14:paraId="7ECD2594"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Reports of International and National Experts</w:t>
      </w:r>
    </w:p>
    <w:p w14:paraId="1F279528"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 xml:space="preserve">Research </w:t>
      </w:r>
      <w:r>
        <w:rPr>
          <w:rFonts w:ascii="Calibri" w:hAnsi="Calibri"/>
          <w:sz w:val="20"/>
          <w:szCs w:val="20"/>
          <w:lang w:val="en-GB"/>
        </w:rPr>
        <w:t>studie</w:t>
      </w:r>
      <w:r w:rsidRPr="002C78BD">
        <w:rPr>
          <w:rFonts w:ascii="Calibri" w:hAnsi="Calibri"/>
          <w:sz w:val="20"/>
          <w:szCs w:val="20"/>
          <w:lang w:val="en-GB"/>
        </w:rPr>
        <w:t>s;</w:t>
      </w:r>
    </w:p>
    <w:p w14:paraId="4C91D2B5"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Media information;</w:t>
      </w:r>
    </w:p>
    <w:p w14:paraId="114D45EB"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 xml:space="preserve">GEF Monitoring and Evaluation Policies; </w:t>
      </w:r>
    </w:p>
    <w:p w14:paraId="5C800BE1"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 xml:space="preserve">Handbook on planning, monitoring and evaluating for development results;  </w:t>
      </w:r>
    </w:p>
    <w:p w14:paraId="3754A9D4" w14:textId="77777777" w:rsidR="008430AC" w:rsidRPr="002C78BD" w:rsidRDefault="008430AC" w:rsidP="00DC1947">
      <w:pPr>
        <w:widowControl/>
        <w:numPr>
          <w:ilvl w:val="0"/>
          <w:numId w:val="50"/>
        </w:numPr>
        <w:autoSpaceDE/>
        <w:autoSpaceDN/>
        <w:adjustRightInd/>
        <w:jc w:val="both"/>
        <w:rPr>
          <w:rFonts w:ascii="Calibri" w:hAnsi="Calibri"/>
          <w:sz w:val="20"/>
          <w:szCs w:val="20"/>
          <w:lang w:val="en-GB"/>
        </w:rPr>
      </w:pPr>
      <w:r w:rsidRPr="002C78BD">
        <w:rPr>
          <w:rFonts w:ascii="Calibri" w:hAnsi="Calibri"/>
          <w:sz w:val="20"/>
          <w:szCs w:val="20"/>
          <w:lang w:val="en-GB"/>
        </w:rPr>
        <w:t>Other upon request.</w:t>
      </w:r>
    </w:p>
    <w:p w14:paraId="460403DB" w14:textId="77777777" w:rsidR="008430AC" w:rsidRPr="00D6638C" w:rsidRDefault="008430AC" w:rsidP="008430AC">
      <w:pPr>
        <w:spacing w:before="200"/>
        <w:rPr>
          <w:rFonts w:ascii="Calibri" w:hAnsi="Calibri"/>
          <w:i/>
          <w:sz w:val="20"/>
          <w:szCs w:val="20"/>
          <w:highlight w:val="lightGray"/>
          <w:lang w:val="en-GB"/>
        </w:rPr>
        <w:sectPr w:rsidR="008430AC" w:rsidRPr="00D6638C" w:rsidSect="008430AC">
          <w:pgSz w:w="12240" w:h="15840"/>
          <w:pgMar w:top="1440" w:right="1325" w:bottom="1440" w:left="1440" w:header="708" w:footer="708" w:gutter="0"/>
          <w:cols w:space="708"/>
          <w:docGrid w:linePitch="360"/>
        </w:sectPr>
      </w:pPr>
    </w:p>
    <w:p w14:paraId="2314BA3C" w14:textId="66A1F370" w:rsidR="008430AC" w:rsidRDefault="009436EF" w:rsidP="008430AC">
      <w:pPr>
        <w:pStyle w:val="Heading31"/>
      </w:pPr>
      <w:bookmarkStart w:id="132" w:name="_TOR_Annex_C:"/>
      <w:bookmarkStart w:id="133" w:name="_Toc321341564"/>
      <w:bookmarkStart w:id="134" w:name="_Toc299122846"/>
      <w:bookmarkStart w:id="135" w:name="_Toc299122868"/>
      <w:bookmarkStart w:id="136" w:name="_Toc299126632"/>
      <w:bookmarkEnd w:id="132"/>
      <w:r>
        <w:lastRenderedPageBreak/>
        <w:t>TOR-</w:t>
      </w:r>
      <w:r w:rsidR="008430AC" w:rsidRPr="00D6638C">
        <w:t xml:space="preserve">Annex C: </w:t>
      </w:r>
      <w:r w:rsidR="008430AC" w:rsidRPr="002C78BD">
        <w:t>Evaluation Questions</w:t>
      </w:r>
      <w:bookmarkEnd w:id="133"/>
    </w:p>
    <w:tbl>
      <w:tblPr>
        <w:tblW w:w="0" w:type="auto"/>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2552"/>
        <w:gridCol w:w="2552"/>
        <w:gridCol w:w="2268"/>
        <w:gridCol w:w="21"/>
      </w:tblGrid>
      <w:tr w:rsidR="008430AC" w:rsidRPr="00D6638C" w14:paraId="55F5135F" w14:textId="77777777" w:rsidTr="009436EF">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48C566E1" w14:textId="77777777" w:rsidR="008430AC" w:rsidRPr="00D6638C" w:rsidRDefault="008430AC" w:rsidP="009436EF">
            <w:pPr>
              <w:jc w:val="center"/>
              <w:rPr>
                <w:rFonts w:ascii="Calibri" w:hAnsi="Calibri" w:cs="Calibri"/>
                <w:b/>
                <w:sz w:val="20"/>
                <w:szCs w:val="20"/>
              </w:rPr>
            </w:pPr>
            <w:r w:rsidRPr="00D6638C">
              <w:rPr>
                <w:rFonts w:ascii="Calibri" w:hAnsi="Calibri" w:cs="Calibri"/>
                <w:b/>
                <w:sz w:val="20"/>
                <w:szCs w:val="20"/>
              </w:rPr>
              <w:t>Evaluative Criteria</w:t>
            </w:r>
            <w:r>
              <w:rPr>
                <w:rFonts w:ascii="Calibri" w:hAnsi="Calibri" w:cs="Calibri"/>
                <w:b/>
                <w:sz w:val="20"/>
                <w:szCs w:val="20"/>
              </w:rPr>
              <w:t xml:space="preserve"> </w:t>
            </w:r>
            <w:r w:rsidRPr="00D6638C">
              <w:rPr>
                <w:rFonts w:ascii="Calibri" w:hAnsi="Calibri" w:cs="Calibri"/>
                <w:b/>
                <w:sz w:val="20"/>
                <w:szCs w:val="20"/>
              </w:rPr>
              <w:t>Questions</w:t>
            </w:r>
          </w:p>
        </w:tc>
        <w:tc>
          <w:tcPr>
            <w:tcW w:w="2552" w:type="dxa"/>
            <w:tcBorders>
              <w:top w:val="single" w:sz="6" w:space="0" w:color="auto"/>
              <w:bottom w:val="single" w:sz="6" w:space="0" w:color="auto"/>
            </w:tcBorders>
            <w:shd w:val="clear" w:color="auto" w:fill="D9D9D9" w:themeFill="background1" w:themeFillShade="D9"/>
            <w:vAlign w:val="center"/>
          </w:tcPr>
          <w:p w14:paraId="5808917D" w14:textId="77777777" w:rsidR="008430AC" w:rsidRPr="00D6638C" w:rsidRDefault="008430AC" w:rsidP="009436EF">
            <w:pPr>
              <w:jc w:val="center"/>
              <w:rPr>
                <w:rFonts w:ascii="Calibri" w:hAnsi="Calibri" w:cs="Calibri"/>
                <w:b/>
                <w:sz w:val="20"/>
                <w:szCs w:val="20"/>
              </w:rPr>
            </w:pPr>
            <w:r w:rsidRPr="00D6638C">
              <w:rPr>
                <w:rFonts w:ascii="Calibri" w:hAnsi="Calibri" w:cs="Calibri"/>
                <w:b/>
                <w:sz w:val="20"/>
                <w:szCs w:val="20"/>
              </w:rPr>
              <w:t>Indicators</w:t>
            </w:r>
          </w:p>
        </w:tc>
        <w:tc>
          <w:tcPr>
            <w:tcW w:w="2552" w:type="dxa"/>
            <w:tcBorders>
              <w:top w:val="single" w:sz="6" w:space="0" w:color="auto"/>
              <w:bottom w:val="single" w:sz="6" w:space="0" w:color="auto"/>
            </w:tcBorders>
            <w:shd w:val="clear" w:color="auto" w:fill="D9D9D9" w:themeFill="background1" w:themeFillShade="D9"/>
            <w:vAlign w:val="center"/>
          </w:tcPr>
          <w:p w14:paraId="5BC25AC0" w14:textId="77777777" w:rsidR="008430AC" w:rsidRPr="00D6638C" w:rsidRDefault="008430AC" w:rsidP="009436EF">
            <w:pPr>
              <w:jc w:val="center"/>
              <w:rPr>
                <w:rFonts w:ascii="Calibri" w:hAnsi="Calibri" w:cs="Calibri"/>
                <w:b/>
                <w:sz w:val="20"/>
                <w:szCs w:val="20"/>
              </w:rPr>
            </w:pPr>
            <w:r w:rsidRPr="00D6638C">
              <w:rPr>
                <w:rFonts w:ascii="Calibri" w:hAnsi="Calibri" w:cs="Calibri"/>
                <w:b/>
                <w:sz w:val="20"/>
                <w:szCs w:val="20"/>
              </w:rPr>
              <w:t>Sources</w:t>
            </w:r>
          </w:p>
        </w:tc>
        <w:tc>
          <w:tcPr>
            <w:tcW w:w="2268" w:type="dxa"/>
            <w:tcBorders>
              <w:top w:val="single" w:sz="6" w:space="0" w:color="auto"/>
              <w:bottom w:val="single" w:sz="6" w:space="0" w:color="auto"/>
              <w:right w:val="single" w:sz="6" w:space="0" w:color="auto"/>
            </w:tcBorders>
            <w:shd w:val="clear" w:color="auto" w:fill="D9D9D9" w:themeFill="background1" w:themeFillShade="D9"/>
            <w:vAlign w:val="center"/>
          </w:tcPr>
          <w:p w14:paraId="4A2058A2" w14:textId="77777777" w:rsidR="008430AC" w:rsidRPr="00D6638C" w:rsidRDefault="008430AC" w:rsidP="009436EF">
            <w:pPr>
              <w:jc w:val="center"/>
              <w:rPr>
                <w:rFonts w:ascii="Calibri" w:hAnsi="Calibri" w:cs="Calibri"/>
                <w:b/>
                <w:sz w:val="20"/>
                <w:szCs w:val="20"/>
              </w:rPr>
            </w:pPr>
            <w:r w:rsidRPr="00D6638C">
              <w:rPr>
                <w:rFonts w:ascii="Calibri" w:hAnsi="Calibri" w:cs="Calibri"/>
                <w:b/>
                <w:sz w:val="20"/>
                <w:szCs w:val="20"/>
              </w:rPr>
              <w:t>Methodology</w:t>
            </w:r>
          </w:p>
        </w:tc>
      </w:tr>
      <w:tr w:rsidR="008430AC" w:rsidRPr="00D6638C" w14:paraId="12073E9D" w14:textId="77777777" w:rsidTr="009436EF">
        <w:trPr>
          <w:gridAfter w:val="1"/>
          <w:wAfter w:w="21" w:type="dxa"/>
        </w:trPr>
        <w:tc>
          <w:tcPr>
            <w:tcW w:w="2268" w:type="dxa"/>
            <w:gridSpan w:val="5"/>
            <w:tcBorders>
              <w:left w:val="single" w:sz="6" w:space="0" w:color="auto"/>
              <w:right w:val="single" w:sz="6" w:space="0" w:color="auto"/>
            </w:tcBorders>
            <w:shd w:val="pct12" w:color="auto" w:fill="000000" w:themeFill="text1"/>
          </w:tcPr>
          <w:p w14:paraId="35F4F928" w14:textId="77777777" w:rsidR="008430AC" w:rsidRPr="00310398" w:rsidRDefault="008430AC" w:rsidP="009436EF">
            <w:pPr>
              <w:numPr>
                <w:ilvl w:val="12"/>
                <w:numId w:val="0"/>
              </w:numPr>
              <w:rPr>
                <w:rFonts w:ascii="Calibri" w:hAnsi="Calibri" w:cs="Calibri"/>
                <w:iCs/>
                <w:sz w:val="20"/>
                <w:szCs w:val="20"/>
                <w:highlight w:val="yellow"/>
              </w:rPr>
            </w:pPr>
            <w:r w:rsidRPr="00310398">
              <w:rPr>
                <w:rFonts w:ascii="Calibri" w:hAnsi="Calibri" w:cs="Calibri"/>
                <w:iCs/>
                <w:sz w:val="20"/>
                <w:szCs w:val="20"/>
              </w:rPr>
              <w:t xml:space="preserve">Relevance: How does the project relate to the main objectives of the GEF focal area, and to the environment and development priorities at the local, regional and national levels? </w:t>
            </w:r>
          </w:p>
        </w:tc>
      </w:tr>
      <w:tr w:rsidR="008430AC" w:rsidRPr="00D6638C" w14:paraId="0CC9E82C" w14:textId="77777777" w:rsidTr="009436EF">
        <w:trPr>
          <w:gridAfter w:val="1"/>
          <w:wAfter w:w="21" w:type="dxa"/>
        </w:trPr>
        <w:tc>
          <w:tcPr>
            <w:tcW w:w="199" w:type="dxa"/>
            <w:tcBorders>
              <w:top w:val="nil"/>
              <w:left w:val="nil"/>
              <w:bottom w:val="nil"/>
              <w:right w:val="nil"/>
            </w:tcBorders>
            <w:shd w:val="pct12" w:color="auto" w:fill="FFFFFF"/>
          </w:tcPr>
          <w:p w14:paraId="3AF9C0A9"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1A60F301"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Is the Project relevant to UNCBD and GEF objectives?</w:t>
            </w:r>
          </w:p>
        </w:tc>
        <w:tc>
          <w:tcPr>
            <w:tcW w:w="2552" w:type="dxa"/>
          </w:tcPr>
          <w:p w14:paraId="14573E83"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7205F690"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69D0DD62"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34BB1213" w14:textId="77777777" w:rsidTr="009436EF">
        <w:trPr>
          <w:gridAfter w:val="1"/>
          <w:wAfter w:w="21" w:type="dxa"/>
        </w:trPr>
        <w:tc>
          <w:tcPr>
            <w:tcW w:w="199" w:type="dxa"/>
            <w:tcBorders>
              <w:top w:val="nil"/>
              <w:left w:val="nil"/>
              <w:bottom w:val="nil"/>
              <w:right w:val="nil"/>
            </w:tcBorders>
            <w:shd w:val="pct12" w:color="auto" w:fill="FFFFFF"/>
          </w:tcPr>
          <w:p w14:paraId="38DCA538"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03BB28E5"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Is the Project relevant to UNDP objectives?</w:t>
            </w:r>
          </w:p>
        </w:tc>
        <w:tc>
          <w:tcPr>
            <w:tcW w:w="2552" w:type="dxa"/>
          </w:tcPr>
          <w:p w14:paraId="3E1C7A9C"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65988CF5"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28648E7D"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52420D99" w14:textId="77777777" w:rsidTr="009436EF">
        <w:trPr>
          <w:gridAfter w:val="1"/>
          <w:wAfter w:w="21" w:type="dxa"/>
        </w:trPr>
        <w:tc>
          <w:tcPr>
            <w:tcW w:w="199" w:type="dxa"/>
            <w:tcBorders>
              <w:top w:val="nil"/>
              <w:left w:val="nil"/>
              <w:bottom w:val="nil"/>
              <w:right w:val="nil"/>
            </w:tcBorders>
            <w:shd w:val="pct12" w:color="auto" w:fill="FFFFFF"/>
          </w:tcPr>
          <w:p w14:paraId="07B13361"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340CC6DD"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Is the Project relevant to Moldova’s environmental objectives, policies and strategic documents?</w:t>
            </w:r>
          </w:p>
        </w:tc>
        <w:tc>
          <w:tcPr>
            <w:tcW w:w="2552" w:type="dxa"/>
          </w:tcPr>
          <w:p w14:paraId="6935CFB8"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506EB1F7"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41AE2EB1"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7BAE027" w14:textId="77777777" w:rsidTr="009436EF">
        <w:trPr>
          <w:gridAfter w:val="1"/>
          <w:wAfter w:w="21" w:type="dxa"/>
        </w:trPr>
        <w:tc>
          <w:tcPr>
            <w:tcW w:w="199" w:type="dxa"/>
            <w:tcBorders>
              <w:top w:val="nil"/>
              <w:left w:val="nil"/>
              <w:bottom w:val="nil"/>
              <w:right w:val="nil"/>
            </w:tcBorders>
            <w:shd w:val="pct12" w:color="auto" w:fill="FFFFFF"/>
          </w:tcPr>
          <w:p w14:paraId="4B10837E"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53915B9A"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Does the Project address the needs of target beneficiaries?</w:t>
            </w:r>
          </w:p>
        </w:tc>
        <w:tc>
          <w:tcPr>
            <w:tcW w:w="2552" w:type="dxa"/>
          </w:tcPr>
          <w:p w14:paraId="0A741331"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2210F606"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7FBB18FF"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5592FE1" w14:textId="77777777" w:rsidTr="009436EF">
        <w:trPr>
          <w:gridAfter w:val="1"/>
          <w:wAfter w:w="21" w:type="dxa"/>
        </w:trPr>
        <w:tc>
          <w:tcPr>
            <w:tcW w:w="199" w:type="dxa"/>
            <w:tcBorders>
              <w:top w:val="nil"/>
              <w:left w:val="nil"/>
              <w:bottom w:val="nil"/>
              <w:right w:val="nil"/>
            </w:tcBorders>
            <w:shd w:val="pct12" w:color="auto" w:fill="FFFFFF"/>
          </w:tcPr>
          <w:p w14:paraId="67361933"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21719BFC"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Is the Project internally coherent in its design?</w:t>
            </w:r>
          </w:p>
        </w:tc>
        <w:tc>
          <w:tcPr>
            <w:tcW w:w="2552" w:type="dxa"/>
          </w:tcPr>
          <w:p w14:paraId="1E79DFF3"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4491391B"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124893C2"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1F425BFE" w14:textId="77777777" w:rsidTr="009436EF">
        <w:trPr>
          <w:gridAfter w:val="1"/>
          <w:wAfter w:w="21" w:type="dxa"/>
        </w:trPr>
        <w:tc>
          <w:tcPr>
            <w:tcW w:w="199" w:type="dxa"/>
            <w:tcBorders>
              <w:top w:val="nil"/>
              <w:left w:val="nil"/>
              <w:bottom w:val="nil"/>
              <w:right w:val="nil"/>
            </w:tcBorders>
            <w:shd w:val="pct12" w:color="auto" w:fill="FFFFFF"/>
          </w:tcPr>
          <w:p w14:paraId="498E7945"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79CF1E2F" w14:textId="77777777" w:rsidR="008430AC" w:rsidRPr="00523AD8" w:rsidRDefault="008430AC" w:rsidP="00DC1947">
            <w:pPr>
              <w:widowControl/>
              <w:numPr>
                <w:ilvl w:val="0"/>
                <w:numId w:val="46"/>
              </w:numPr>
              <w:autoSpaceDE/>
              <w:autoSpaceDN/>
              <w:adjustRightInd/>
              <w:rPr>
                <w:rFonts w:cstheme="minorHAnsi"/>
                <w:sz w:val="20"/>
                <w:szCs w:val="20"/>
                <w:lang w:val="en-GB" w:eastAsia="ru-RU"/>
              </w:rPr>
            </w:pPr>
            <w:r>
              <w:rPr>
                <w:rFonts w:cstheme="minorHAnsi"/>
                <w:sz w:val="20"/>
                <w:szCs w:val="20"/>
                <w:lang w:val="en-CA" w:eastAsia="ru-RU"/>
              </w:rPr>
              <w:t>How is the Project</w:t>
            </w:r>
            <w:r>
              <w:rPr>
                <w:rFonts w:cstheme="minorHAnsi"/>
                <w:sz w:val="20"/>
                <w:szCs w:val="20"/>
                <w:lang w:eastAsia="ru-RU"/>
              </w:rPr>
              <w:t xml:space="preserve"> complementary to activities of other stakeholders and donors activity in the region?</w:t>
            </w:r>
          </w:p>
        </w:tc>
        <w:tc>
          <w:tcPr>
            <w:tcW w:w="2552" w:type="dxa"/>
          </w:tcPr>
          <w:p w14:paraId="19C5F447"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5A38FD5E"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575CD41E"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7C98D8CF" w14:textId="77777777" w:rsidTr="009436EF">
        <w:trPr>
          <w:gridAfter w:val="1"/>
          <w:wAfter w:w="21" w:type="dxa"/>
        </w:trPr>
        <w:tc>
          <w:tcPr>
            <w:tcW w:w="199" w:type="dxa"/>
            <w:tcBorders>
              <w:top w:val="nil"/>
              <w:left w:val="nil"/>
              <w:bottom w:val="nil"/>
              <w:right w:val="nil"/>
            </w:tcBorders>
            <w:shd w:val="pct12" w:color="auto" w:fill="FFFFFF"/>
          </w:tcPr>
          <w:p w14:paraId="4FCFD1A0"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72A9C35C" w14:textId="77777777" w:rsidR="008430AC"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How could the Project better target and address the priorities and development challenges of targeted beneficiaries?</w:t>
            </w:r>
          </w:p>
        </w:tc>
        <w:tc>
          <w:tcPr>
            <w:tcW w:w="2552" w:type="dxa"/>
          </w:tcPr>
          <w:p w14:paraId="75B89143"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44A9A675"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tcBorders>
              <w:right w:val="single" w:sz="6" w:space="0" w:color="auto"/>
            </w:tcBorders>
          </w:tcPr>
          <w:p w14:paraId="3B63BEBB"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52A89453" w14:textId="77777777" w:rsidTr="009436EF">
        <w:tc>
          <w:tcPr>
            <w:tcW w:w="2268" w:type="dxa"/>
            <w:gridSpan w:val="6"/>
            <w:tcBorders>
              <w:top w:val="nil"/>
              <w:left w:val="single" w:sz="6" w:space="0" w:color="auto"/>
              <w:bottom w:val="nil"/>
              <w:right w:val="single" w:sz="6" w:space="0" w:color="auto"/>
            </w:tcBorders>
            <w:shd w:val="pct12" w:color="auto" w:fill="000000" w:themeFill="text1"/>
          </w:tcPr>
          <w:p w14:paraId="0EC264FA" w14:textId="77777777" w:rsidR="008430AC" w:rsidRPr="00310398" w:rsidRDefault="008430AC" w:rsidP="009436EF">
            <w:pPr>
              <w:numPr>
                <w:ilvl w:val="12"/>
                <w:numId w:val="0"/>
              </w:numPr>
              <w:jc w:val="both"/>
              <w:rPr>
                <w:rFonts w:ascii="Calibri" w:hAnsi="Calibri" w:cs="Calibri"/>
                <w:sz w:val="20"/>
                <w:szCs w:val="20"/>
              </w:rPr>
            </w:pPr>
            <w:r w:rsidRPr="00310398">
              <w:rPr>
                <w:rFonts w:ascii="Calibri" w:hAnsi="Calibri" w:cs="Calibri"/>
                <w:bCs/>
                <w:iCs/>
                <w:sz w:val="20"/>
                <w:szCs w:val="20"/>
              </w:rPr>
              <w:t>Effectiveness:</w:t>
            </w:r>
            <w:r w:rsidRPr="00310398">
              <w:rPr>
                <w:rFonts w:ascii="Calibri" w:hAnsi="Calibri" w:cs="Calibri"/>
                <w:iCs/>
                <w:sz w:val="20"/>
                <w:szCs w:val="20"/>
              </w:rPr>
              <w:t xml:space="preserve"> To what extent have the expected outcomes and objectives of the project been achieved?</w:t>
            </w:r>
          </w:p>
        </w:tc>
      </w:tr>
      <w:tr w:rsidR="008430AC" w:rsidRPr="00D6638C" w14:paraId="08C29EDD" w14:textId="77777777" w:rsidTr="009436EF">
        <w:tc>
          <w:tcPr>
            <w:tcW w:w="199" w:type="dxa"/>
            <w:tcBorders>
              <w:top w:val="nil"/>
              <w:left w:val="nil"/>
              <w:bottom w:val="nil"/>
              <w:right w:val="nil"/>
            </w:tcBorders>
            <w:shd w:val="pct12" w:color="auto" w:fill="FFFFFF"/>
          </w:tcPr>
          <w:p w14:paraId="284F1543"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7CEF6E66" w14:textId="77777777" w:rsidR="008430AC" w:rsidRPr="00D6638C" w:rsidRDefault="008430AC" w:rsidP="00DC1947">
            <w:pPr>
              <w:widowControl/>
              <w:numPr>
                <w:ilvl w:val="0"/>
                <w:numId w:val="46"/>
              </w:numPr>
              <w:autoSpaceDE/>
              <w:autoSpaceDN/>
              <w:adjustRightInd/>
              <w:rPr>
                <w:rFonts w:ascii="Calibri" w:hAnsi="Calibri" w:cs="Calibri"/>
                <w:sz w:val="20"/>
                <w:szCs w:val="20"/>
              </w:rPr>
            </w:pPr>
            <w:r>
              <w:rPr>
                <w:rFonts w:cstheme="minorHAnsi"/>
                <w:sz w:val="20"/>
                <w:szCs w:val="20"/>
                <w:lang w:eastAsia="ru-RU"/>
              </w:rPr>
              <w:t>To what extent are the outputs and activities of the project consistent with the intended project objective and goal?</w:t>
            </w:r>
            <w:r w:rsidRPr="00D6638C">
              <w:rPr>
                <w:rFonts w:ascii="Calibri" w:hAnsi="Calibri" w:cs="Calibri"/>
                <w:sz w:val="20"/>
                <w:szCs w:val="20"/>
              </w:rPr>
              <w:t xml:space="preserve"> </w:t>
            </w:r>
          </w:p>
        </w:tc>
        <w:tc>
          <w:tcPr>
            <w:tcW w:w="2552" w:type="dxa"/>
          </w:tcPr>
          <w:p w14:paraId="086B2EB4"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12EB5562"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69374799"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F5BAE70" w14:textId="77777777" w:rsidTr="009436EF">
        <w:tc>
          <w:tcPr>
            <w:tcW w:w="199" w:type="dxa"/>
            <w:tcBorders>
              <w:top w:val="nil"/>
              <w:left w:val="nil"/>
              <w:bottom w:val="nil"/>
              <w:right w:val="nil"/>
            </w:tcBorders>
            <w:shd w:val="pct12" w:color="auto" w:fill="FFFFFF"/>
          </w:tcPr>
          <w:p w14:paraId="2D553571"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38EFE986" w14:textId="77777777" w:rsidR="008430AC" w:rsidRPr="00523AD8" w:rsidRDefault="008430AC" w:rsidP="00DC1947">
            <w:pPr>
              <w:widowControl/>
              <w:numPr>
                <w:ilvl w:val="0"/>
                <w:numId w:val="46"/>
              </w:numPr>
              <w:autoSpaceDE/>
              <w:autoSpaceDN/>
              <w:adjustRightInd/>
              <w:rPr>
                <w:rFonts w:cstheme="minorHAnsi"/>
                <w:sz w:val="20"/>
                <w:szCs w:val="20"/>
                <w:lang w:eastAsia="ru-RU"/>
              </w:rPr>
            </w:pPr>
            <w:r>
              <w:rPr>
                <w:rFonts w:cstheme="minorHAnsi"/>
                <w:sz w:val="20"/>
                <w:szCs w:val="20"/>
                <w:lang w:eastAsia="ru-RU"/>
              </w:rPr>
              <w:t>To what extent have implemented outputs produced or contributed to attaining the expected outcomes?</w:t>
            </w:r>
          </w:p>
        </w:tc>
        <w:tc>
          <w:tcPr>
            <w:tcW w:w="2552" w:type="dxa"/>
          </w:tcPr>
          <w:p w14:paraId="66DE795E"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7FE2F41F"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40BC3575"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53492B3" w14:textId="77777777" w:rsidTr="009436EF">
        <w:tc>
          <w:tcPr>
            <w:tcW w:w="199" w:type="dxa"/>
            <w:tcBorders>
              <w:top w:val="nil"/>
              <w:left w:val="nil"/>
              <w:bottom w:val="nil"/>
              <w:right w:val="nil"/>
            </w:tcBorders>
            <w:shd w:val="pct12" w:color="auto" w:fill="FFFFFF"/>
          </w:tcPr>
          <w:p w14:paraId="4B3FA580"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63BCFCC9"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How was risk and risk mitigation being managed?</w:t>
            </w:r>
          </w:p>
        </w:tc>
        <w:tc>
          <w:tcPr>
            <w:tcW w:w="2552" w:type="dxa"/>
          </w:tcPr>
          <w:p w14:paraId="643A8A54"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34D99427"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1A157BA1"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A44D674" w14:textId="77777777" w:rsidTr="009436EF">
        <w:tc>
          <w:tcPr>
            <w:tcW w:w="199" w:type="dxa"/>
            <w:tcBorders>
              <w:top w:val="nil"/>
              <w:left w:val="nil"/>
              <w:bottom w:val="nil"/>
              <w:right w:val="nil"/>
            </w:tcBorders>
            <w:shd w:val="pct12" w:color="auto" w:fill="FFFFFF"/>
          </w:tcPr>
          <w:p w14:paraId="0CECB43F"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6FCB98D8"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What lessons have been learnt for the Project to achieve its outcomes?</w:t>
            </w:r>
          </w:p>
        </w:tc>
        <w:tc>
          <w:tcPr>
            <w:tcW w:w="2552" w:type="dxa"/>
          </w:tcPr>
          <w:p w14:paraId="70B38D01"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333546FD"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1DF139D8"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7B08152" w14:textId="77777777" w:rsidTr="009436EF">
        <w:tc>
          <w:tcPr>
            <w:tcW w:w="199" w:type="dxa"/>
            <w:tcBorders>
              <w:top w:val="nil"/>
              <w:left w:val="nil"/>
              <w:bottom w:val="nil"/>
              <w:right w:val="nil"/>
            </w:tcBorders>
            <w:shd w:val="pct12" w:color="auto" w:fill="FFFFFF"/>
          </w:tcPr>
          <w:p w14:paraId="4DE408D1" w14:textId="77777777" w:rsidR="008430AC" w:rsidRPr="00D6638C" w:rsidRDefault="008430AC" w:rsidP="009436EF">
            <w:pPr>
              <w:numPr>
                <w:ilvl w:val="12"/>
                <w:numId w:val="0"/>
              </w:numPr>
              <w:overflowPunct w:val="0"/>
              <w:ind w:left="74" w:right="74"/>
              <w:textAlignment w:val="baseline"/>
              <w:rPr>
                <w:rFonts w:ascii="Calibri" w:hAnsi="Calibri" w:cs="Calibri"/>
                <w:b/>
                <w:bCs/>
                <w:iCs/>
                <w:sz w:val="20"/>
                <w:szCs w:val="20"/>
              </w:rPr>
            </w:pPr>
          </w:p>
        </w:tc>
        <w:tc>
          <w:tcPr>
            <w:tcW w:w="6158" w:type="dxa"/>
            <w:tcBorders>
              <w:left w:val="nil"/>
            </w:tcBorders>
          </w:tcPr>
          <w:p w14:paraId="40330A40"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What changes could have been made (if any) to the design of the Project in order to improve the achievement of the Project’ expected results?</w:t>
            </w:r>
          </w:p>
        </w:tc>
        <w:tc>
          <w:tcPr>
            <w:tcW w:w="2552" w:type="dxa"/>
          </w:tcPr>
          <w:p w14:paraId="011D084E" w14:textId="77777777" w:rsidR="008430AC" w:rsidRPr="00D6638C" w:rsidRDefault="008430AC" w:rsidP="009436EF">
            <w:pPr>
              <w:tabs>
                <w:tab w:val="left" w:pos="108"/>
                <w:tab w:val="left" w:pos="227"/>
              </w:tabs>
              <w:overflowPunct w:val="0"/>
              <w:spacing w:line="180" w:lineRule="exact"/>
              <w:ind w:right="72"/>
              <w:textAlignment w:val="baseline"/>
              <w:rPr>
                <w:rFonts w:ascii="Calibri" w:eastAsia="Cambria" w:hAnsi="Calibri" w:cs="Calibri"/>
                <w:sz w:val="20"/>
                <w:szCs w:val="20"/>
              </w:rPr>
            </w:pPr>
          </w:p>
        </w:tc>
        <w:tc>
          <w:tcPr>
            <w:tcW w:w="2552" w:type="dxa"/>
          </w:tcPr>
          <w:p w14:paraId="51D43DA6"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564DF4AD"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22A72215" w14:textId="77777777" w:rsidTr="009436EF">
        <w:tc>
          <w:tcPr>
            <w:tcW w:w="199" w:type="dxa"/>
            <w:tcBorders>
              <w:top w:val="nil"/>
              <w:left w:val="nil"/>
              <w:bottom w:val="nil"/>
              <w:right w:val="nil"/>
            </w:tcBorders>
            <w:shd w:val="pct12" w:color="auto" w:fill="FFFFFF"/>
          </w:tcPr>
          <w:p w14:paraId="195DCC8E" w14:textId="77777777" w:rsidR="008430AC" w:rsidRPr="00D6638C" w:rsidRDefault="008430AC" w:rsidP="009436EF">
            <w:pPr>
              <w:numPr>
                <w:ilvl w:val="12"/>
                <w:numId w:val="0"/>
              </w:numPr>
              <w:overflowPunct w:val="0"/>
              <w:ind w:left="74" w:right="74"/>
              <w:textAlignment w:val="baseline"/>
              <w:rPr>
                <w:rFonts w:ascii="Calibri" w:hAnsi="Calibri" w:cs="Calibri"/>
                <w:b/>
                <w:bCs/>
                <w:iCs/>
                <w:sz w:val="20"/>
                <w:szCs w:val="20"/>
              </w:rPr>
            </w:pPr>
          </w:p>
        </w:tc>
        <w:tc>
          <w:tcPr>
            <w:tcW w:w="6158" w:type="dxa"/>
            <w:tcBorders>
              <w:left w:val="nil"/>
            </w:tcBorders>
          </w:tcPr>
          <w:p w14:paraId="3E7D2C0B" w14:textId="77777777" w:rsidR="008430AC"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How could the Project be more effective in achieving its results?</w:t>
            </w:r>
          </w:p>
        </w:tc>
        <w:tc>
          <w:tcPr>
            <w:tcW w:w="2552" w:type="dxa"/>
          </w:tcPr>
          <w:p w14:paraId="630F6E45" w14:textId="77777777" w:rsidR="008430AC" w:rsidRPr="00D6638C" w:rsidRDefault="008430AC" w:rsidP="009436EF">
            <w:pPr>
              <w:tabs>
                <w:tab w:val="left" w:pos="108"/>
                <w:tab w:val="left" w:pos="227"/>
              </w:tabs>
              <w:overflowPunct w:val="0"/>
              <w:spacing w:line="180" w:lineRule="exact"/>
              <w:ind w:right="72"/>
              <w:textAlignment w:val="baseline"/>
              <w:rPr>
                <w:rFonts w:ascii="Calibri" w:eastAsia="Cambria" w:hAnsi="Calibri" w:cs="Calibri"/>
                <w:sz w:val="20"/>
                <w:szCs w:val="20"/>
              </w:rPr>
            </w:pPr>
          </w:p>
        </w:tc>
        <w:tc>
          <w:tcPr>
            <w:tcW w:w="2552" w:type="dxa"/>
          </w:tcPr>
          <w:p w14:paraId="620649D2"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264AE7B0"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2C9740E" w14:textId="77777777" w:rsidTr="009436EF">
        <w:trPr>
          <w:trHeight w:val="267"/>
        </w:trPr>
        <w:tc>
          <w:tcPr>
            <w:tcW w:w="2268" w:type="dxa"/>
            <w:gridSpan w:val="6"/>
            <w:tcBorders>
              <w:top w:val="nil"/>
              <w:left w:val="single" w:sz="6" w:space="0" w:color="auto"/>
              <w:bottom w:val="nil"/>
              <w:right w:val="single" w:sz="6" w:space="0" w:color="auto"/>
            </w:tcBorders>
            <w:shd w:val="pct12" w:color="auto" w:fill="000000" w:themeFill="text1"/>
            <w:vAlign w:val="center"/>
          </w:tcPr>
          <w:p w14:paraId="00D33CA0" w14:textId="77777777" w:rsidR="008430AC" w:rsidRPr="00310398" w:rsidRDefault="008430AC" w:rsidP="009436EF">
            <w:pPr>
              <w:numPr>
                <w:ilvl w:val="12"/>
                <w:numId w:val="0"/>
              </w:numPr>
              <w:rPr>
                <w:rFonts w:ascii="Calibri" w:hAnsi="Calibri" w:cs="Calibri"/>
                <w:sz w:val="20"/>
                <w:szCs w:val="20"/>
              </w:rPr>
            </w:pPr>
            <w:r w:rsidRPr="00310398">
              <w:rPr>
                <w:rFonts w:ascii="Calibri" w:hAnsi="Calibri" w:cs="Calibri"/>
                <w:sz w:val="20"/>
                <w:szCs w:val="20"/>
              </w:rPr>
              <w:t>Efficiency: Was the project implemented efficiently, in-line with international and national norms and standards?</w:t>
            </w:r>
          </w:p>
        </w:tc>
      </w:tr>
      <w:tr w:rsidR="008430AC" w:rsidRPr="00D6638C" w14:paraId="2B703450" w14:textId="77777777" w:rsidTr="009436EF">
        <w:tc>
          <w:tcPr>
            <w:tcW w:w="199" w:type="dxa"/>
            <w:tcBorders>
              <w:top w:val="nil"/>
              <w:left w:val="nil"/>
              <w:bottom w:val="nil"/>
              <w:right w:val="nil"/>
            </w:tcBorders>
            <w:shd w:val="pct12" w:color="auto" w:fill="FFFFFF"/>
          </w:tcPr>
          <w:p w14:paraId="45762430"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60572857"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Was adaptive management used or needed to ensure efficient resource use?</w:t>
            </w:r>
          </w:p>
        </w:tc>
        <w:tc>
          <w:tcPr>
            <w:tcW w:w="2552" w:type="dxa"/>
          </w:tcPr>
          <w:p w14:paraId="0AB388D2"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24949364"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72E73885"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6D7C95B3" w14:textId="77777777" w:rsidTr="009436EF">
        <w:tc>
          <w:tcPr>
            <w:tcW w:w="199" w:type="dxa"/>
            <w:tcBorders>
              <w:top w:val="nil"/>
              <w:left w:val="nil"/>
              <w:bottom w:val="nil"/>
              <w:right w:val="nil"/>
            </w:tcBorders>
            <w:shd w:val="pct12" w:color="auto" w:fill="FFFFFF"/>
          </w:tcPr>
          <w:p w14:paraId="0A93AD6B"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5E7098DE"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Were the accounting and financial systems in place adequate for Project management and producing accurate and timely financial information?</w:t>
            </w:r>
          </w:p>
        </w:tc>
        <w:tc>
          <w:tcPr>
            <w:tcW w:w="2552" w:type="dxa"/>
            <w:tcBorders>
              <w:bottom w:val="nil"/>
            </w:tcBorders>
          </w:tcPr>
          <w:p w14:paraId="20A562EE"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03D0F59E"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026B67DF"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44878B1" w14:textId="77777777" w:rsidTr="009436EF">
        <w:tc>
          <w:tcPr>
            <w:tcW w:w="199" w:type="dxa"/>
            <w:tcBorders>
              <w:top w:val="nil"/>
              <w:left w:val="nil"/>
              <w:bottom w:val="nil"/>
              <w:right w:val="nil"/>
            </w:tcBorders>
            <w:shd w:val="pct12" w:color="auto" w:fill="FFFFFF"/>
          </w:tcPr>
          <w:p w14:paraId="5F87DD01"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7A364C32"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Were progress reports produced accurately, timely and respond to reporting requirements including adaptive management changes?</w:t>
            </w:r>
          </w:p>
        </w:tc>
        <w:tc>
          <w:tcPr>
            <w:tcW w:w="2552" w:type="dxa"/>
            <w:tcBorders>
              <w:bottom w:val="nil"/>
            </w:tcBorders>
          </w:tcPr>
          <w:p w14:paraId="10161C65"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3B4BF67B"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6C3B9177"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2EB00DCE" w14:textId="77777777" w:rsidTr="009436EF">
        <w:tc>
          <w:tcPr>
            <w:tcW w:w="199" w:type="dxa"/>
            <w:tcBorders>
              <w:top w:val="nil"/>
              <w:left w:val="nil"/>
              <w:bottom w:val="nil"/>
              <w:right w:val="nil"/>
            </w:tcBorders>
            <w:shd w:val="pct12" w:color="auto" w:fill="FFFFFF"/>
          </w:tcPr>
          <w:p w14:paraId="2B4AFEE3"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7721031C"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Was Project implementation as cost effective as originally proposed (planned vs. actual)?</w:t>
            </w:r>
          </w:p>
        </w:tc>
        <w:tc>
          <w:tcPr>
            <w:tcW w:w="2552" w:type="dxa"/>
            <w:tcBorders>
              <w:bottom w:val="nil"/>
            </w:tcBorders>
          </w:tcPr>
          <w:p w14:paraId="48812F4D"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1F0066A1"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6D6DF72B"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9E95BD1" w14:textId="77777777" w:rsidTr="009436EF">
        <w:tc>
          <w:tcPr>
            <w:tcW w:w="199" w:type="dxa"/>
            <w:tcBorders>
              <w:top w:val="nil"/>
              <w:left w:val="nil"/>
              <w:bottom w:val="nil"/>
              <w:right w:val="nil"/>
            </w:tcBorders>
            <w:shd w:val="pct12" w:color="auto" w:fill="FFFFFF"/>
          </w:tcPr>
          <w:p w14:paraId="330E61F1"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49D026AD"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Was the leveraging of funds (co-financing) happening as planned?</w:t>
            </w:r>
          </w:p>
        </w:tc>
        <w:tc>
          <w:tcPr>
            <w:tcW w:w="2552" w:type="dxa"/>
            <w:tcBorders>
              <w:bottom w:val="nil"/>
            </w:tcBorders>
          </w:tcPr>
          <w:p w14:paraId="5168A9AA"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3741D166"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730B0C72"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4B57D9E" w14:textId="77777777" w:rsidTr="009436EF">
        <w:tc>
          <w:tcPr>
            <w:tcW w:w="199" w:type="dxa"/>
            <w:tcBorders>
              <w:top w:val="nil"/>
              <w:left w:val="nil"/>
              <w:bottom w:val="nil"/>
              <w:right w:val="nil"/>
            </w:tcBorders>
            <w:shd w:val="pct12" w:color="auto" w:fill="FFFFFF"/>
          </w:tcPr>
          <w:p w14:paraId="587411B4"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77D809BE"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Were the findings, lessons learned and recommendations shared among Project stakeholders, UNDP and GEF Staff and other relevant organizations for ongoing Project adjustment and improvement?</w:t>
            </w:r>
          </w:p>
        </w:tc>
        <w:tc>
          <w:tcPr>
            <w:tcW w:w="2552" w:type="dxa"/>
            <w:tcBorders>
              <w:bottom w:val="nil"/>
            </w:tcBorders>
          </w:tcPr>
          <w:p w14:paraId="35FAB8AF"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6E8BD262"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0512FE61"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68E3FA4" w14:textId="77777777" w:rsidTr="009436EF">
        <w:tc>
          <w:tcPr>
            <w:tcW w:w="199" w:type="dxa"/>
            <w:tcBorders>
              <w:top w:val="nil"/>
              <w:left w:val="nil"/>
              <w:bottom w:val="nil"/>
              <w:right w:val="nil"/>
            </w:tcBorders>
            <w:shd w:val="pct12" w:color="auto" w:fill="FFFFFF"/>
          </w:tcPr>
          <w:p w14:paraId="01A100F3"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18AE28FF"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Did the Project mainstream gender considerations into its implementation?</w:t>
            </w:r>
          </w:p>
        </w:tc>
        <w:tc>
          <w:tcPr>
            <w:tcW w:w="2552" w:type="dxa"/>
            <w:tcBorders>
              <w:bottom w:val="nil"/>
            </w:tcBorders>
          </w:tcPr>
          <w:p w14:paraId="6C677363"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57C27D82"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5B55D30B"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28452645" w14:textId="77777777" w:rsidTr="009436EF">
        <w:tc>
          <w:tcPr>
            <w:tcW w:w="199" w:type="dxa"/>
            <w:tcBorders>
              <w:top w:val="nil"/>
              <w:left w:val="nil"/>
              <w:bottom w:val="nil"/>
              <w:right w:val="nil"/>
            </w:tcBorders>
            <w:shd w:val="pct12" w:color="auto" w:fill="FFFFFF"/>
          </w:tcPr>
          <w:p w14:paraId="1A2C269C"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2AD1F2B5"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Which partnerships/linkages were facilitated? Can be considered sustainable?</w:t>
            </w:r>
          </w:p>
        </w:tc>
        <w:tc>
          <w:tcPr>
            <w:tcW w:w="2552" w:type="dxa"/>
            <w:tcBorders>
              <w:bottom w:val="nil"/>
            </w:tcBorders>
          </w:tcPr>
          <w:p w14:paraId="5358E0E5"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13B8948D"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2B279328"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74DF952F" w14:textId="77777777" w:rsidTr="009436EF">
        <w:tc>
          <w:tcPr>
            <w:tcW w:w="199" w:type="dxa"/>
            <w:tcBorders>
              <w:top w:val="nil"/>
              <w:left w:val="nil"/>
              <w:bottom w:val="nil"/>
              <w:right w:val="nil"/>
            </w:tcBorders>
            <w:shd w:val="pct12" w:color="auto" w:fill="FFFFFF"/>
          </w:tcPr>
          <w:p w14:paraId="7FD9FC81"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nil"/>
            </w:tcBorders>
          </w:tcPr>
          <w:p w14:paraId="68B8E017" w14:textId="77777777" w:rsidR="008430AC" w:rsidRPr="00D6638C" w:rsidRDefault="008430AC" w:rsidP="00DC1947">
            <w:pPr>
              <w:widowControl/>
              <w:numPr>
                <w:ilvl w:val="0"/>
                <w:numId w:val="46"/>
              </w:numPr>
              <w:tabs>
                <w:tab w:val="left" w:pos="227"/>
              </w:tabs>
              <w:rPr>
                <w:rFonts w:ascii="Calibri" w:hAnsi="Calibri" w:cs="Calibri"/>
                <w:sz w:val="20"/>
                <w:szCs w:val="20"/>
              </w:rPr>
            </w:pPr>
            <w:r>
              <w:rPr>
                <w:rFonts w:cstheme="minorHAnsi"/>
                <w:sz w:val="20"/>
                <w:szCs w:val="20"/>
                <w:lang w:val="en-CA" w:eastAsia="ru-RU"/>
              </w:rPr>
              <w:t xml:space="preserve">   Did the Project take into account local capacity in design and implementation of the Project?</w:t>
            </w:r>
          </w:p>
        </w:tc>
        <w:tc>
          <w:tcPr>
            <w:tcW w:w="2552" w:type="dxa"/>
            <w:tcBorders>
              <w:bottom w:val="nil"/>
            </w:tcBorders>
          </w:tcPr>
          <w:p w14:paraId="1779BCAE"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nil"/>
            </w:tcBorders>
          </w:tcPr>
          <w:p w14:paraId="34482F63"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nil"/>
              <w:right w:val="single" w:sz="6" w:space="0" w:color="auto"/>
            </w:tcBorders>
          </w:tcPr>
          <w:p w14:paraId="504EAA14"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675296C9" w14:textId="77777777" w:rsidTr="009436EF">
        <w:trPr>
          <w:trHeight w:val="141"/>
        </w:trPr>
        <w:tc>
          <w:tcPr>
            <w:tcW w:w="2268" w:type="dxa"/>
            <w:gridSpan w:val="6"/>
            <w:tcBorders>
              <w:top w:val="nil"/>
              <w:left w:val="single" w:sz="6" w:space="0" w:color="auto"/>
              <w:bottom w:val="nil"/>
              <w:right w:val="single" w:sz="6" w:space="0" w:color="auto"/>
            </w:tcBorders>
            <w:shd w:val="pct12" w:color="auto" w:fill="000000" w:themeFill="text1"/>
          </w:tcPr>
          <w:p w14:paraId="406B16B3" w14:textId="77777777" w:rsidR="008430AC" w:rsidRPr="00310398" w:rsidRDefault="008430AC" w:rsidP="009436EF">
            <w:pPr>
              <w:numPr>
                <w:ilvl w:val="12"/>
                <w:numId w:val="0"/>
              </w:numPr>
              <w:overflowPunct w:val="0"/>
              <w:spacing w:line="180" w:lineRule="exact"/>
              <w:ind w:left="72" w:right="72"/>
              <w:textAlignment w:val="baseline"/>
              <w:rPr>
                <w:rFonts w:cstheme="minorHAnsi"/>
                <w:iCs/>
                <w:sz w:val="20"/>
                <w:szCs w:val="20"/>
              </w:rPr>
            </w:pPr>
            <w:r w:rsidRPr="00310398">
              <w:rPr>
                <w:rFonts w:cstheme="minorHAnsi"/>
                <w:sz w:val="20"/>
                <w:szCs w:val="20"/>
              </w:rPr>
              <w:t xml:space="preserve"> Sustainability: To what extent are there financial, institutional, social-economic, and/or environmental risks to sustaining long-term project results?</w:t>
            </w:r>
          </w:p>
        </w:tc>
      </w:tr>
      <w:tr w:rsidR="008430AC" w:rsidRPr="00D6638C" w14:paraId="4156EE88" w14:textId="77777777" w:rsidTr="009436EF">
        <w:tc>
          <w:tcPr>
            <w:tcW w:w="199" w:type="dxa"/>
            <w:tcBorders>
              <w:top w:val="nil"/>
              <w:left w:val="nil"/>
              <w:bottom w:val="nil"/>
              <w:right w:val="nil"/>
            </w:tcBorders>
            <w:shd w:val="pct12" w:color="auto" w:fill="FFFFFF"/>
          </w:tcPr>
          <w:p w14:paraId="666F7AFA"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5DCDC07B"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Are sustainability issues adequately integrated in Project design?</w:t>
            </w:r>
          </w:p>
        </w:tc>
        <w:tc>
          <w:tcPr>
            <w:tcW w:w="2552" w:type="dxa"/>
          </w:tcPr>
          <w:p w14:paraId="395E0B98"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67EFA90C"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70352199"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133A7A66" w14:textId="77777777" w:rsidTr="009436EF">
        <w:tc>
          <w:tcPr>
            <w:tcW w:w="199" w:type="dxa"/>
            <w:tcBorders>
              <w:top w:val="nil"/>
              <w:left w:val="nil"/>
              <w:bottom w:val="nil"/>
              <w:right w:val="nil"/>
            </w:tcBorders>
            <w:shd w:val="pct12" w:color="auto" w:fill="FFFFFF"/>
          </w:tcPr>
          <w:p w14:paraId="3F09AC4D"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7123D817"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Did the Project adequately address financial and economic sustainability issues?</w:t>
            </w:r>
          </w:p>
        </w:tc>
        <w:tc>
          <w:tcPr>
            <w:tcW w:w="2552" w:type="dxa"/>
          </w:tcPr>
          <w:p w14:paraId="0725ED8F"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55173C86"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7779B5A5"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06C9FF7" w14:textId="77777777" w:rsidTr="009436EF">
        <w:tc>
          <w:tcPr>
            <w:tcW w:w="199" w:type="dxa"/>
            <w:tcBorders>
              <w:top w:val="nil"/>
              <w:left w:val="nil"/>
              <w:bottom w:val="nil"/>
              <w:right w:val="nil"/>
            </w:tcBorders>
            <w:shd w:val="pct12" w:color="auto" w:fill="FFFFFF"/>
          </w:tcPr>
          <w:p w14:paraId="45764D7B"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66874AE3" w14:textId="77777777" w:rsidR="008430AC" w:rsidRPr="00E962FC"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 xml:space="preserve">Is there evidence that Project partners will continue their activities beyond Project support?  </w:t>
            </w:r>
          </w:p>
        </w:tc>
        <w:tc>
          <w:tcPr>
            <w:tcW w:w="2552" w:type="dxa"/>
          </w:tcPr>
          <w:p w14:paraId="6F50D32F"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0AC2A16C"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67B75CB6"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31AFFB4F" w14:textId="77777777" w:rsidTr="009436EF">
        <w:tc>
          <w:tcPr>
            <w:tcW w:w="199" w:type="dxa"/>
            <w:tcBorders>
              <w:top w:val="nil"/>
              <w:left w:val="nil"/>
              <w:bottom w:val="nil"/>
              <w:right w:val="nil"/>
            </w:tcBorders>
            <w:shd w:val="pct12" w:color="auto" w:fill="FFFFFF"/>
          </w:tcPr>
          <w:p w14:paraId="62418525"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069DC20D" w14:textId="77777777" w:rsidR="008430AC" w:rsidRPr="00E962FC"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Are laws, policies and frameworks being addressed through the Project, in order to address sustainability of key initiatives and reforms?</w:t>
            </w:r>
          </w:p>
        </w:tc>
        <w:tc>
          <w:tcPr>
            <w:tcW w:w="2552" w:type="dxa"/>
          </w:tcPr>
          <w:p w14:paraId="6D2A10FC"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01DA9075"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38E48430"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10A61A46" w14:textId="77777777" w:rsidTr="009436EF">
        <w:tc>
          <w:tcPr>
            <w:tcW w:w="199" w:type="dxa"/>
            <w:tcBorders>
              <w:top w:val="nil"/>
              <w:left w:val="nil"/>
              <w:bottom w:val="nil"/>
              <w:right w:val="nil"/>
            </w:tcBorders>
            <w:shd w:val="pct12" w:color="auto" w:fill="FFFFFF"/>
          </w:tcPr>
          <w:p w14:paraId="4748D652"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5052F2B6" w14:textId="77777777" w:rsidR="008430AC" w:rsidRPr="00E962FC"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 xml:space="preserve">Is the capacity in place at the national and local levels adequate to ensure sustainability of the results achieved to date? </w:t>
            </w:r>
          </w:p>
        </w:tc>
        <w:tc>
          <w:tcPr>
            <w:tcW w:w="2552" w:type="dxa"/>
          </w:tcPr>
          <w:p w14:paraId="193611AD"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4A50E05B"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1BBBD9FA"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7323CE24" w14:textId="77777777" w:rsidTr="009436EF">
        <w:tc>
          <w:tcPr>
            <w:tcW w:w="199" w:type="dxa"/>
            <w:tcBorders>
              <w:top w:val="nil"/>
              <w:left w:val="nil"/>
              <w:bottom w:val="nil"/>
              <w:right w:val="nil"/>
            </w:tcBorders>
            <w:shd w:val="pct12" w:color="auto" w:fill="FFFFFF"/>
          </w:tcPr>
          <w:p w14:paraId="4F4AA9B9"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7E5E042E" w14:textId="77777777" w:rsidR="008430AC" w:rsidRPr="00E962FC"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 xml:space="preserve">Are Project activities and results being replicated elsewhere and/or scaled up? </w:t>
            </w:r>
          </w:p>
        </w:tc>
        <w:tc>
          <w:tcPr>
            <w:tcW w:w="2552" w:type="dxa"/>
          </w:tcPr>
          <w:p w14:paraId="77D36114"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03402C96"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4FFB34C2"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2AF487D3" w14:textId="77777777" w:rsidTr="009436EF">
        <w:tc>
          <w:tcPr>
            <w:tcW w:w="199" w:type="dxa"/>
            <w:tcBorders>
              <w:top w:val="nil"/>
              <w:left w:val="nil"/>
              <w:bottom w:val="nil"/>
              <w:right w:val="nil"/>
            </w:tcBorders>
            <w:shd w:val="pct12" w:color="auto" w:fill="FFFFFF"/>
          </w:tcPr>
          <w:p w14:paraId="3FA83FDA"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34A662F1" w14:textId="77777777" w:rsidR="008430AC" w:rsidRPr="00D6638C" w:rsidRDefault="008430AC" w:rsidP="00DC1947">
            <w:pPr>
              <w:widowControl/>
              <w:numPr>
                <w:ilvl w:val="0"/>
                <w:numId w:val="46"/>
              </w:numPr>
              <w:tabs>
                <w:tab w:val="left" w:pos="227"/>
              </w:tabs>
              <w:rPr>
                <w:rFonts w:ascii="Calibri" w:hAnsi="Calibri" w:cs="Calibri"/>
                <w:sz w:val="20"/>
                <w:szCs w:val="20"/>
              </w:rPr>
            </w:pPr>
            <w:r>
              <w:rPr>
                <w:rFonts w:cstheme="minorHAnsi"/>
                <w:sz w:val="20"/>
                <w:szCs w:val="20"/>
                <w:lang w:val="en-CA" w:eastAsia="ru-RU"/>
              </w:rPr>
              <w:t>What are the main challenges that may hinder sustainability of results?</w:t>
            </w:r>
          </w:p>
        </w:tc>
        <w:tc>
          <w:tcPr>
            <w:tcW w:w="2552" w:type="dxa"/>
          </w:tcPr>
          <w:p w14:paraId="6E2E7BBC"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084DC061"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29D9FE10"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F10C6D4" w14:textId="77777777" w:rsidTr="009436EF">
        <w:trPr>
          <w:trHeight w:val="141"/>
        </w:trPr>
        <w:tc>
          <w:tcPr>
            <w:tcW w:w="2268" w:type="dxa"/>
            <w:gridSpan w:val="6"/>
            <w:tcBorders>
              <w:top w:val="nil"/>
              <w:left w:val="single" w:sz="6" w:space="0" w:color="auto"/>
              <w:bottom w:val="nil"/>
              <w:right w:val="single" w:sz="6" w:space="0" w:color="auto"/>
            </w:tcBorders>
            <w:shd w:val="pct12" w:color="auto" w:fill="000000" w:themeFill="text1"/>
          </w:tcPr>
          <w:p w14:paraId="020B8598" w14:textId="77777777" w:rsidR="008430AC" w:rsidRPr="00310398" w:rsidRDefault="008430AC" w:rsidP="009436EF">
            <w:pPr>
              <w:numPr>
                <w:ilvl w:val="12"/>
                <w:numId w:val="0"/>
              </w:numPr>
              <w:overflowPunct w:val="0"/>
              <w:spacing w:line="180" w:lineRule="exact"/>
              <w:ind w:left="72" w:right="72"/>
              <w:textAlignment w:val="baseline"/>
              <w:rPr>
                <w:rFonts w:cstheme="minorHAnsi"/>
                <w:b/>
                <w:iCs/>
                <w:sz w:val="20"/>
                <w:szCs w:val="20"/>
              </w:rPr>
            </w:pPr>
            <w:r w:rsidRPr="00310398">
              <w:rPr>
                <w:rFonts w:cstheme="minorHAnsi"/>
                <w:b/>
                <w:iCs/>
                <w:sz w:val="20"/>
                <w:szCs w:val="20"/>
              </w:rPr>
              <w:t xml:space="preserve">Impact: Are there indications that the project has contributed to, or enabled progress toward, reduced environmental stress and/or improved ecological status?  </w:t>
            </w:r>
          </w:p>
        </w:tc>
      </w:tr>
      <w:tr w:rsidR="008430AC" w:rsidRPr="00D6638C" w14:paraId="280F08DF" w14:textId="77777777" w:rsidTr="009436EF">
        <w:tc>
          <w:tcPr>
            <w:tcW w:w="199" w:type="dxa"/>
            <w:tcBorders>
              <w:top w:val="nil"/>
              <w:left w:val="nil"/>
              <w:bottom w:val="nil"/>
              <w:right w:val="nil"/>
            </w:tcBorders>
            <w:shd w:val="pct12" w:color="auto" w:fill="FFFFFF"/>
          </w:tcPr>
          <w:p w14:paraId="11A865BF"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045419BF" w14:textId="77777777" w:rsidR="008430AC" w:rsidRPr="00523AD8" w:rsidRDefault="008430AC" w:rsidP="00DC1947">
            <w:pPr>
              <w:widowControl/>
              <w:numPr>
                <w:ilvl w:val="0"/>
                <w:numId w:val="46"/>
              </w:numPr>
              <w:autoSpaceDE/>
              <w:autoSpaceDN/>
              <w:adjustRightInd/>
              <w:rPr>
                <w:rFonts w:cstheme="minorHAnsi"/>
                <w:sz w:val="20"/>
                <w:szCs w:val="20"/>
                <w:lang w:val="en-GB" w:eastAsia="ru-RU"/>
              </w:rPr>
            </w:pPr>
            <w:r>
              <w:rPr>
                <w:rFonts w:cstheme="minorHAnsi"/>
                <w:sz w:val="20"/>
                <w:szCs w:val="20"/>
                <w:lang w:eastAsia="ru-RU"/>
              </w:rPr>
              <w:t>Will the project achieve its long-term goal to improve the coverage and management effectiveness of protected area system in Moldova?</w:t>
            </w:r>
          </w:p>
        </w:tc>
        <w:tc>
          <w:tcPr>
            <w:tcW w:w="2552" w:type="dxa"/>
          </w:tcPr>
          <w:p w14:paraId="296C6132"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3DD98678"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5D08721F"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5F8D2D6C" w14:textId="77777777" w:rsidTr="009436EF">
        <w:tc>
          <w:tcPr>
            <w:tcW w:w="199" w:type="dxa"/>
            <w:tcBorders>
              <w:top w:val="nil"/>
              <w:left w:val="nil"/>
              <w:bottom w:val="nil"/>
              <w:right w:val="nil"/>
            </w:tcBorders>
            <w:shd w:val="pct12" w:color="auto" w:fill="FFFFFF"/>
          </w:tcPr>
          <w:p w14:paraId="63D42548"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5CA725ED" w14:textId="77777777" w:rsidR="008430AC" w:rsidRPr="00DE27B4" w:rsidRDefault="008430AC" w:rsidP="00DC1947">
            <w:pPr>
              <w:widowControl/>
              <w:numPr>
                <w:ilvl w:val="0"/>
                <w:numId w:val="46"/>
              </w:numPr>
              <w:autoSpaceDE/>
              <w:autoSpaceDN/>
              <w:adjustRightInd/>
              <w:rPr>
                <w:rFonts w:cstheme="minorHAnsi"/>
                <w:sz w:val="20"/>
                <w:szCs w:val="20"/>
                <w:lang w:eastAsia="ru-RU"/>
              </w:rPr>
            </w:pPr>
            <w:r>
              <w:rPr>
                <w:rFonts w:cstheme="minorHAnsi"/>
                <w:sz w:val="20"/>
                <w:szCs w:val="20"/>
                <w:lang w:eastAsia="ru-RU"/>
              </w:rPr>
              <w:t>What is the level of sensitization and awareness about the protected area management approach?</w:t>
            </w:r>
          </w:p>
        </w:tc>
        <w:tc>
          <w:tcPr>
            <w:tcW w:w="2552" w:type="dxa"/>
          </w:tcPr>
          <w:p w14:paraId="1366EF15"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6EEEC760"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5963AA68"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47FF0820" w14:textId="77777777" w:rsidTr="009436EF">
        <w:tc>
          <w:tcPr>
            <w:tcW w:w="199" w:type="dxa"/>
            <w:tcBorders>
              <w:top w:val="nil"/>
              <w:left w:val="nil"/>
              <w:bottom w:val="nil"/>
              <w:right w:val="nil"/>
            </w:tcBorders>
            <w:shd w:val="pct12" w:color="auto" w:fill="FFFFFF"/>
          </w:tcPr>
          <w:p w14:paraId="461479AD"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1A8CBBD7" w14:textId="77777777" w:rsidR="008430AC" w:rsidRPr="00DE27B4" w:rsidRDefault="008430AC" w:rsidP="00DC1947">
            <w:pPr>
              <w:widowControl/>
              <w:numPr>
                <w:ilvl w:val="0"/>
                <w:numId w:val="46"/>
              </w:numPr>
              <w:autoSpaceDE/>
              <w:autoSpaceDN/>
              <w:adjustRightInd/>
              <w:rPr>
                <w:rFonts w:cstheme="minorHAnsi"/>
                <w:sz w:val="20"/>
                <w:szCs w:val="20"/>
                <w:lang w:eastAsia="ru-RU"/>
              </w:rPr>
            </w:pPr>
            <w:r>
              <w:rPr>
                <w:rFonts w:cstheme="minorHAnsi"/>
                <w:sz w:val="20"/>
                <w:szCs w:val="20"/>
                <w:lang w:eastAsia="ru-RU"/>
              </w:rPr>
              <w:t>What is the impact of the demonstrated approach in private, public and/or at individual levels?</w:t>
            </w:r>
          </w:p>
        </w:tc>
        <w:tc>
          <w:tcPr>
            <w:tcW w:w="2552" w:type="dxa"/>
          </w:tcPr>
          <w:p w14:paraId="240EE05A"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69C1ADD7"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46370671"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656B0809" w14:textId="77777777" w:rsidTr="009436EF">
        <w:tc>
          <w:tcPr>
            <w:tcW w:w="199" w:type="dxa"/>
            <w:tcBorders>
              <w:top w:val="nil"/>
              <w:left w:val="nil"/>
              <w:bottom w:val="nil"/>
              <w:right w:val="nil"/>
            </w:tcBorders>
            <w:shd w:val="pct12" w:color="auto" w:fill="FFFFFF"/>
          </w:tcPr>
          <w:p w14:paraId="1DE77CC2"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54A9DCBE" w14:textId="77777777" w:rsidR="008430AC" w:rsidRPr="00DE27B4" w:rsidRDefault="008430AC" w:rsidP="00DC1947">
            <w:pPr>
              <w:widowControl/>
              <w:numPr>
                <w:ilvl w:val="0"/>
                <w:numId w:val="46"/>
              </w:numPr>
              <w:autoSpaceDE/>
              <w:autoSpaceDN/>
              <w:adjustRightInd/>
              <w:rPr>
                <w:rFonts w:cstheme="minorHAnsi"/>
                <w:sz w:val="20"/>
                <w:szCs w:val="20"/>
                <w:lang w:eastAsia="ru-RU"/>
              </w:rPr>
            </w:pPr>
            <w:r>
              <w:rPr>
                <w:rFonts w:cstheme="minorHAnsi"/>
                <w:sz w:val="20"/>
                <w:szCs w:val="20"/>
                <w:lang w:eastAsia="ru-RU"/>
              </w:rPr>
              <w:t>Were cross-cutting issues identified and reflected during the project implementation?</w:t>
            </w:r>
          </w:p>
        </w:tc>
        <w:tc>
          <w:tcPr>
            <w:tcW w:w="2552" w:type="dxa"/>
          </w:tcPr>
          <w:p w14:paraId="13863CB1"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1FD319B6"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008E1291"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6077CC41" w14:textId="77777777" w:rsidTr="009436EF">
        <w:tc>
          <w:tcPr>
            <w:tcW w:w="199" w:type="dxa"/>
            <w:tcBorders>
              <w:top w:val="nil"/>
              <w:left w:val="nil"/>
              <w:bottom w:val="nil"/>
              <w:right w:val="nil"/>
            </w:tcBorders>
            <w:shd w:val="pct12" w:color="auto" w:fill="FFFFFF"/>
          </w:tcPr>
          <w:p w14:paraId="5620266C"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tcBorders>
          </w:tcPr>
          <w:p w14:paraId="2A6EEAC8" w14:textId="77777777" w:rsidR="008430AC" w:rsidRPr="00523AD8" w:rsidRDefault="008430AC" w:rsidP="00DC1947">
            <w:pPr>
              <w:widowControl/>
              <w:numPr>
                <w:ilvl w:val="0"/>
                <w:numId w:val="46"/>
              </w:numPr>
              <w:autoSpaceDE/>
              <w:autoSpaceDN/>
              <w:adjustRightInd/>
              <w:rPr>
                <w:rFonts w:cstheme="minorHAnsi"/>
                <w:sz w:val="20"/>
                <w:szCs w:val="20"/>
                <w:lang w:val="en-CA" w:eastAsia="ru-RU"/>
              </w:rPr>
            </w:pPr>
            <w:r>
              <w:rPr>
                <w:rFonts w:cstheme="minorHAnsi"/>
                <w:sz w:val="20"/>
                <w:szCs w:val="20"/>
                <w:lang w:val="en-CA" w:eastAsia="ru-RU"/>
              </w:rPr>
              <w:t>How could the Project build on its apparent successes and learn from its weaknesses in order to enhance the potential for impact of ongoing and future initiatives?</w:t>
            </w:r>
          </w:p>
        </w:tc>
        <w:tc>
          <w:tcPr>
            <w:tcW w:w="2552" w:type="dxa"/>
          </w:tcPr>
          <w:p w14:paraId="7C31C38F"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Pr>
          <w:p w14:paraId="1C283B0A"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right w:val="single" w:sz="6" w:space="0" w:color="auto"/>
            </w:tcBorders>
          </w:tcPr>
          <w:p w14:paraId="4E6DAC4C"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r w:rsidR="008430AC" w:rsidRPr="00D6638C" w14:paraId="0848FB40" w14:textId="77777777" w:rsidTr="009436EF">
        <w:tc>
          <w:tcPr>
            <w:tcW w:w="199" w:type="dxa"/>
            <w:tcBorders>
              <w:top w:val="nil"/>
              <w:left w:val="nil"/>
              <w:bottom w:val="nil"/>
              <w:right w:val="nil"/>
            </w:tcBorders>
            <w:shd w:val="pct12" w:color="auto" w:fill="FFFFFF"/>
          </w:tcPr>
          <w:p w14:paraId="6EE3C1FC" w14:textId="77777777" w:rsidR="008430AC" w:rsidRPr="00D6638C" w:rsidRDefault="008430AC" w:rsidP="009436EF">
            <w:pPr>
              <w:numPr>
                <w:ilvl w:val="12"/>
                <w:numId w:val="0"/>
              </w:numPr>
              <w:overflowPunct w:val="0"/>
              <w:ind w:left="74" w:right="74"/>
              <w:textAlignment w:val="baseline"/>
              <w:rPr>
                <w:rFonts w:ascii="Calibri" w:hAnsi="Calibri" w:cs="Calibri"/>
                <w:sz w:val="20"/>
                <w:szCs w:val="20"/>
              </w:rPr>
            </w:pPr>
          </w:p>
        </w:tc>
        <w:tc>
          <w:tcPr>
            <w:tcW w:w="6158" w:type="dxa"/>
            <w:tcBorders>
              <w:left w:val="nil"/>
              <w:bottom w:val="single" w:sz="6" w:space="0" w:color="auto"/>
            </w:tcBorders>
          </w:tcPr>
          <w:p w14:paraId="3295E1B9"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single" w:sz="6" w:space="0" w:color="auto"/>
            </w:tcBorders>
          </w:tcPr>
          <w:p w14:paraId="3B0155BE"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552" w:type="dxa"/>
            <w:tcBorders>
              <w:bottom w:val="single" w:sz="6" w:space="0" w:color="auto"/>
            </w:tcBorders>
          </w:tcPr>
          <w:p w14:paraId="3D432434" w14:textId="77777777" w:rsidR="008430AC" w:rsidRPr="00D6638C" w:rsidRDefault="008430AC" w:rsidP="00DC1947">
            <w:pPr>
              <w:widowControl/>
              <w:numPr>
                <w:ilvl w:val="0"/>
                <w:numId w:val="46"/>
              </w:numPr>
              <w:tabs>
                <w:tab w:val="left" w:pos="227"/>
              </w:tabs>
              <w:rPr>
                <w:rFonts w:ascii="Calibri" w:hAnsi="Calibri" w:cs="Calibri"/>
                <w:sz w:val="20"/>
                <w:szCs w:val="20"/>
              </w:rPr>
            </w:pPr>
          </w:p>
        </w:tc>
        <w:tc>
          <w:tcPr>
            <w:tcW w:w="2268" w:type="dxa"/>
            <w:gridSpan w:val="2"/>
            <w:tcBorders>
              <w:bottom w:val="single" w:sz="6" w:space="0" w:color="auto"/>
              <w:right w:val="single" w:sz="6" w:space="0" w:color="auto"/>
            </w:tcBorders>
          </w:tcPr>
          <w:p w14:paraId="53D0B1FC" w14:textId="77777777" w:rsidR="008430AC" w:rsidRPr="00D6638C" w:rsidRDefault="008430AC" w:rsidP="00DC1947">
            <w:pPr>
              <w:widowControl/>
              <w:numPr>
                <w:ilvl w:val="0"/>
                <w:numId w:val="46"/>
              </w:numPr>
              <w:tabs>
                <w:tab w:val="left" w:pos="227"/>
              </w:tabs>
              <w:rPr>
                <w:rFonts w:ascii="Calibri" w:hAnsi="Calibri" w:cs="Calibri"/>
                <w:sz w:val="20"/>
                <w:szCs w:val="20"/>
              </w:rPr>
            </w:pPr>
          </w:p>
        </w:tc>
      </w:tr>
    </w:tbl>
    <w:p w14:paraId="72DB6C89" w14:textId="77777777" w:rsidR="008430AC" w:rsidRPr="00D6638C" w:rsidRDefault="008430AC" w:rsidP="008430AC">
      <w:pPr>
        <w:spacing w:before="200"/>
        <w:rPr>
          <w:rFonts w:ascii="Calibri" w:hAnsi="Calibri"/>
          <w:sz w:val="20"/>
          <w:szCs w:val="20"/>
        </w:rPr>
        <w:sectPr w:rsidR="008430AC" w:rsidRPr="00D6638C" w:rsidSect="008430AC">
          <w:pgSz w:w="15840" w:h="12240" w:orient="landscape"/>
          <w:pgMar w:top="1440" w:right="900" w:bottom="1440" w:left="1440" w:header="708" w:footer="708" w:gutter="0"/>
          <w:cols w:space="708"/>
          <w:docGrid w:linePitch="360"/>
        </w:sectPr>
      </w:pPr>
    </w:p>
    <w:p w14:paraId="66DFBD00" w14:textId="3E2EE8E9" w:rsidR="008430AC" w:rsidRDefault="009436EF" w:rsidP="008430AC">
      <w:pPr>
        <w:pStyle w:val="Heading31"/>
      </w:pPr>
      <w:bookmarkStart w:id="137" w:name="_TOR_Annex_D:"/>
      <w:bookmarkStart w:id="138" w:name="_Toc321341565"/>
      <w:bookmarkEnd w:id="137"/>
      <w:r>
        <w:lastRenderedPageBreak/>
        <w:t>TOR-</w:t>
      </w:r>
      <w:r w:rsidR="008430AC" w:rsidRPr="00D6638C">
        <w:t>Annex D: Rating</w:t>
      </w:r>
      <w:r w:rsidR="008430AC">
        <w:t xml:space="preserve"> Scales</w:t>
      </w:r>
      <w:bookmarkEnd w:id="138"/>
    </w:p>
    <w:p w14:paraId="3062A54F" w14:textId="77777777" w:rsidR="008430AC" w:rsidRDefault="008430AC" w:rsidP="008430AC">
      <w:pPr>
        <w:pStyle w:val="Normalbullet0"/>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939"/>
        <w:gridCol w:w="3941"/>
        <w:gridCol w:w="1923"/>
      </w:tblGrid>
      <w:tr w:rsidR="008430AC" w:rsidRPr="00D6638C" w14:paraId="1D873303" w14:textId="77777777" w:rsidTr="008430AC">
        <w:trPr>
          <w:trHeight w:val="548"/>
        </w:trPr>
        <w:tc>
          <w:tcPr>
            <w:tcW w:w="2009" w:type="pct"/>
            <w:shd w:val="clear" w:color="auto" w:fill="auto"/>
            <w:hideMark/>
          </w:tcPr>
          <w:p w14:paraId="536C8849" w14:textId="77777777" w:rsidR="008430AC" w:rsidRPr="00D6638C" w:rsidRDefault="008430AC" w:rsidP="008430AC">
            <w:pPr>
              <w:rPr>
                <w:rFonts w:ascii="Calibri" w:eastAsia="Calibri" w:hAnsi="Calibri"/>
                <w:b/>
                <w:i/>
                <w:sz w:val="20"/>
                <w:szCs w:val="20"/>
              </w:rPr>
            </w:pPr>
            <w:r w:rsidRPr="00D6638C">
              <w:rPr>
                <w:rFonts w:ascii="Calibri" w:hAnsi="Calibri"/>
                <w:b/>
                <w:i/>
                <w:sz w:val="20"/>
                <w:szCs w:val="20"/>
              </w:rPr>
              <w:t>Ratings for Outcomes, Effectiveness, Efficiency, M&amp;E, I&amp;E Execution</w:t>
            </w:r>
          </w:p>
        </w:tc>
        <w:tc>
          <w:tcPr>
            <w:tcW w:w="2010" w:type="pct"/>
            <w:shd w:val="clear" w:color="auto" w:fill="auto"/>
          </w:tcPr>
          <w:p w14:paraId="05B54864" w14:textId="77777777" w:rsidR="008430AC" w:rsidRPr="00D6638C" w:rsidRDefault="008430AC" w:rsidP="008430AC">
            <w:pPr>
              <w:rPr>
                <w:rFonts w:ascii="Calibri" w:eastAsia="Calibri" w:hAnsi="Calibri"/>
                <w:b/>
                <w:i/>
                <w:sz w:val="20"/>
                <w:szCs w:val="20"/>
              </w:rPr>
            </w:pPr>
            <w:r w:rsidRPr="00D6638C">
              <w:rPr>
                <w:rFonts w:ascii="Calibri" w:hAnsi="Calibri"/>
                <w:b/>
                <w:i/>
                <w:sz w:val="20"/>
                <w:szCs w:val="20"/>
              </w:rPr>
              <w:t xml:space="preserve">Sustainability ratings: </w:t>
            </w:r>
          </w:p>
          <w:p w14:paraId="16A6DF13" w14:textId="77777777" w:rsidR="008430AC" w:rsidRPr="00D6638C" w:rsidRDefault="008430AC" w:rsidP="008430AC">
            <w:pPr>
              <w:rPr>
                <w:rFonts w:ascii="Calibri" w:hAnsi="Calibri"/>
                <w:b/>
                <w:i/>
                <w:sz w:val="20"/>
                <w:szCs w:val="20"/>
              </w:rPr>
            </w:pPr>
          </w:p>
        </w:tc>
        <w:tc>
          <w:tcPr>
            <w:tcW w:w="981" w:type="pct"/>
            <w:shd w:val="clear" w:color="auto" w:fill="auto"/>
          </w:tcPr>
          <w:p w14:paraId="1AC89EF7" w14:textId="77777777" w:rsidR="008430AC" w:rsidRPr="00D6638C" w:rsidRDefault="008430AC" w:rsidP="008430AC">
            <w:pPr>
              <w:rPr>
                <w:rFonts w:ascii="Calibri" w:hAnsi="Calibri"/>
                <w:b/>
                <w:i/>
                <w:sz w:val="20"/>
                <w:szCs w:val="20"/>
              </w:rPr>
            </w:pPr>
            <w:r w:rsidRPr="00D6638C">
              <w:rPr>
                <w:rFonts w:ascii="Calibri" w:hAnsi="Calibri"/>
                <w:b/>
                <w:i/>
                <w:sz w:val="20"/>
                <w:szCs w:val="20"/>
              </w:rPr>
              <w:t>Relevance ratings</w:t>
            </w:r>
          </w:p>
        </w:tc>
      </w:tr>
      <w:tr w:rsidR="008430AC" w:rsidRPr="00D6638C" w14:paraId="7EB28183" w14:textId="77777777" w:rsidTr="008430AC">
        <w:trPr>
          <w:trHeight w:val="269"/>
        </w:trPr>
        <w:tc>
          <w:tcPr>
            <w:tcW w:w="2009" w:type="pct"/>
            <w:vMerge w:val="restart"/>
            <w:shd w:val="clear" w:color="auto" w:fill="auto"/>
            <w:hideMark/>
          </w:tcPr>
          <w:p w14:paraId="66BCC64A" w14:textId="77777777" w:rsidR="008430AC" w:rsidRPr="00D6638C" w:rsidRDefault="008430AC" w:rsidP="008430AC">
            <w:pPr>
              <w:ind w:left="162"/>
              <w:rPr>
                <w:rFonts w:ascii="Calibri" w:hAnsi="Calibri"/>
                <w:sz w:val="20"/>
                <w:szCs w:val="20"/>
              </w:rPr>
            </w:pPr>
            <w:r w:rsidRPr="00D6638C">
              <w:rPr>
                <w:rFonts w:ascii="Calibri" w:hAnsi="Calibri"/>
                <w:sz w:val="20"/>
                <w:szCs w:val="20"/>
              </w:rPr>
              <w:t xml:space="preserve">6: Highly Satisfactory (HS): no shortcomings </w:t>
            </w:r>
          </w:p>
          <w:p w14:paraId="730FFAAB" w14:textId="77777777" w:rsidR="008430AC" w:rsidRPr="00D6638C" w:rsidRDefault="008430AC" w:rsidP="008430AC">
            <w:pPr>
              <w:ind w:left="162"/>
              <w:rPr>
                <w:rFonts w:ascii="Calibri" w:hAnsi="Calibri"/>
                <w:sz w:val="20"/>
                <w:szCs w:val="20"/>
              </w:rPr>
            </w:pPr>
            <w:r w:rsidRPr="00D6638C">
              <w:rPr>
                <w:rFonts w:ascii="Calibri" w:hAnsi="Calibri"/>
                <w:sz w:val="20"/>
                <w:szCs w:val="20"/>
              </w:rPr>
              <w:t>5: Satisfactory (S): minor shortcomings</w:t>
            </w:r>
          </w:p>
          <w:p w14:paraId="471060A4" w14:textId="77777777" w:rsidR="008430AC" w:rsidRPr="00D6638C" w:rsidRDefault="008430AC" w:rsidP="008430AC">
            <w:pPr>
              <w:ind w:left="162"/>
              <w:rPr>
                <w:rFonts w:ascii="Calibri" w:hAnsi="Calibri"/>
                <w:sz w:val="20"/>
                <w:szCs w:val="20"/>
              </w:rPr>
            </w:pPr>
            <w:r w:rsidRPr="00D6638C">
              <w:rPr>
                <w:rFonts w:ascii="Calibri" w:hAnsi="Calibri"/>
                <w:sz w:val="20"/>
                <w:szCs w:val="20"/>
              </w:rPr>
              <w:t>4: Moderately Satisfactory (MS)</w:t>
            </w:r>
          </w:p>
          <w:p w14:paraId="5A584A6B" w14:textId="77777777" w:rsidR="008430AC" w:rsidRPr="00D6638C" w:rsidRDefault="008430AC" w:rsidP="008430AC">
            <w:pPr>
              <w:ind w:left="162"/>
              <w:rPr>
                <w:rFonts w:ascii="Calibri" w:hAnsi="Calibri"/>
                <w:sz w:val="20"/>
                <w:szCs w:val="20"/>
              </w:rPr>
            </w:pPr>
            <w:r w:rsidRPr="00D6638C">
              <w:rPr>
                <w:rFonts w:ascii="Calibri" w:hAnsi="Calibri"/>
                <w:sz w:val="20"/>
                <w:szCs w:val="20"/>
              </w:rPr>
              <w:t>3. Moderately Unsatisfactory (MU): significant  shortcomings</w:t>
            </w:r>
          </w:p>
          <w:p w14:paraId="082BD8B8" w14:textId="77777777" w:rsidR="008430AC" w:rsidRPr="00D6638C" w:rsidRDefault="008430AC" w:rsidP="008430AC">
            <w:pPr>
              <w:ind w:left="162"/>
              <w:rPr>
                <w:rFonts w:ascii="Calibri" w:hAnsi="Calibri"/>
                <w:sz w:val="20"/>
                <w:szCs w:val="20"/>
              </w:rPr>
            </w:pPr>
            <w:r w:rsidRPr="00D6638C">
              <w:rPr>
                <w:rFonts w:ascii="Calibri" w:hAnsi="Calibri"/>
                <w:sz w:val="20"/>
                <w:szCs w:val="20"/>
              </w:rPr>
              <w:t>2. Unsatisfactory (U): major problems</w:t>
            </w:r>
          </w:p>
          <w:p w14:paraId="1525C943" w14:textId="77777777" w:rsidR="008430AC" w:rsidRPr="00D6638C" w:rsidRDefault="008430AC" w:rsidP="008430AC">
            <w:pPr>
              <w:ind w:left="162"/>
              <w:rPr>
                <w:rFonts w:ascii="Calibri" w:hAnsi="Calibri"/>
                <w:sz w:val="20"/>
                <w:szCs w:val="20"/>
              </w:rPr>
            </w:pPr>
            <w:r w:rsidRPr="00D6638C">
              <w:rPr>
                <w:rFonts w:ascii="Calibri" w:hAnsi="Calibri"/>
                <w:sz w:val="20"/>
                <w:szCs w:val="20"/>
              </w:rPr>
              <w:t>1. Highly Unsatisfactory (HU): severe problems</w:t>
            </w:r>
          </w:p>
          <w:p w14:paraId="65A6CE94" w14:textId="77777777" w:rsidR="008430AC" w:rsidRPr="00D6638C" w:rsidRDefault="008430AC" w:rsidP="008430AC">
            <w:pPr>
              <w:rPr>
                <w:rFonts w:ascii="Calibri" w:hAnsi="Calibri"/>
                <w:sz w:val="20"/>
                <w:szCs w:val="20"/>
              </w:rPr>
            </w:pPr>
          </w:p>
        </w:tc>
        <w:tc>
          <w:tcPr>
            <w:tcW w:w="2010" w:type="pct"/>
            <w:tcBorders>
              <w:bottom w:val="nil"/>
            </w:tcBorders>
            <w:shd w:val="clear" w:color="auto" w:fill="auto"/>
          </w:tcPr>
          <w:p w14:paraId="4B4FE94B" w14:textId="77777777" w:rsidR="008430AC" w:rsidRPr="00D6638C" w:rsidRDefault="008430AC" w:rsidP="008430AC">
            <w:pPr>
              <w:rPr>
                <w:rFonts w:ascii="Calibri" w:hAnsi="Calibri"/>
                <w:sz w:val="20"/>
                <w:szCs w:val="20"/>
              </w:rPr>
            </w:pPr>
            <w:r w:rsidRPr="00D6638C">
              <w:rPr>
                <w:rFonts w:ascii="Calibri" w:hAnsi="Calibri"/>
                <w:sz w:val="20"/>
                <w:szCs w:val="20"/>
              </w:rPr>
              <w:t>4. Likely (L): negligible risks to sustainability</w:t>
            </w:r>
          </w:p>
        </w:tc>
        <w:tc>
          <w:tcPr>
            <w:tcW w:w="981" w:type="pct"/>
            <w:tcBorders>
              <w:bottom w:val="nil"/>
            </w:tcBorders>
            <w:shd w:val="clear" w:color="auto" w:fill="auto"/>
          </w:tcPr>
          <w:p w14:paraId="53B5C0CE" w14:textId="77777777" w:rsidR="008430AC" w:rsidRPr="00D6638C" w:rsidRDefault="008430AC" w:rsidP="008430AC">
            <w:pPr>
              <w:rPr>
                <w:rFonts w:ascii="Calibri" w:hAnsi="Calibri"/>
                <w:sz w:val="20"/>
                <w:szCs w:val="20"/>
              </w:rPr>
            </w:pPr>
            <w:r w:rsidRPr="00D6638C">
              <w:rPr>
                <w:rFonts w:ascii="Calibri" w:hAnsi="Calibri"/>
                <w:sz w:val="20"/>
                <w:szCs w:val="20"/>
              </w:rPr>
              <w:t>2. Relevant (R)</w:t>
            </w:r>
          </w:p>
        </w:tc>
      </w:tr>
      <w:tr w:rsidR="008430AC" w:rsidRPr="00D6638C" w14:paraId="10D9B47B" w14:textId="77777777" w:rsidTr="008430AC">
        <w:trPr>
          <w:trHeight w:val="251"/>
        </w:trPr>
        <w:tc>
          <w:tcPr>
            <w:tcW w:w="2009" w:type="pct"/>
            <w:vMerge/>
            <w:shd w:val="clear" w:color="auto" w:fill="auto"/>
            <w:hideMark/>
          </w:tcPr>
          <w:p w14:paraId="211F8743" w14:textId="77777777" w:rsidR="008430AC" w:rsidRPr="00D6638C" w:rsidRDefault="008430AC" w:rsidP="008430AC">
            <w:pPr>
              <w:spacing w:before="200"/>
              <w:rPr>
                <w:rFonts w:ascii="Calibri" w:hAnsi="Calibri"/>
                <w:sz w:val="20"/>
                <w:szCs w:val="20"/>
              </w:rPr>
            </w:pPr>
          </w:p>
        </w:tc>
        <w:tc>
          <w:tcPr>
            <w:tcW w:w="2010" w:type="pct"/>
            <w:tcBorders>
              <w:top w:val="nil"/>
              <w:bottom w:val="nil"/>
            </w:tcBorders>
            <w:shd w:val="clear" w:color="auto" w:fill="auto"/>
          </w:tcPr>
          <w:p w14:paraId="5194D4CE" w14:textId="77777777" w:rsidR="008430AC" w:rsidRPr="00D6638C" w:rsidRDefault="008430AC" w:rsidP="008430AC">
            <w:pPr>
              <w:rPr>
                <w:rFonts w:ascii="Calibri" w:hAnsi="Calibri"/>
                <w:sz w:val="20"/>
                <w:szCs w:val="20"/>
              </w:rPr>
            </w:pPr>
            <w:r w:rsidRPr="00D6638C">
              <w:rPr>
                <w:rFonts w:ascii="Calibri" w:hAnsi="Calibri"/>
                <w:sz w:val="20"/>
                <w:szCs w:val="20"/>
              </w:rPr>
              <w:t>3. Moderately Likely (ML):moderate risks</w:t>
            </w:r>
          </w:p>
        </w:tc>
        <w:tc>
          <w:tcPr>
            <w:tcW w:w="981" w:type="pct"/>
            <w:tcBorders>
              <w:top w:val="nil"/>
              <w:bottom w:val="nil"/>
            </w:tcBorders>
            <w:shd w:val="clear" w:color="auto" w:fill="auto"/>
          </w:tcPr>
          <w:p w14:paraId="55B4B6E8" w14:textId="77777777" w:rsidR="008430AC" w:rsidRPr="00D6638C" w:rsidRDefault="008430AC" w:rsidP="008430AC">
            <w:pPr>
              <w:rPr>
                <w:rFonts w:ascii="Calibri" w:hAnsi="Calibri"/>
                <w:sz w:val="20"/>
                <w:szCs w:val="20"/>
              </w:rPr>
            </w:pPr>
            <w:r w:rsidRPr="00D6638C">
              <w:rPr>
                <w:rFonts w:ascii="Calibri" w:hAnsi="Calibri"/>
                <w:sz w:val="20"/>
                <w:szCs w:val="20"/>
              </w:rPr>
              <w:t>1.. Not relevant (NR)</w:t>
            </w:r>
          </w:p>
        </w:tc>
      </w:tr>
      <w:tr w:rsidR="008430AC" w:rsidRPr="00D6638C" w14:paraId="00C3F6D8" w14:textId="77777777" w:rsidTr="008430AC">
        <w:tc>
          <w:tcPr>
            <w:tcW w:w="2009" w:type="pct"/>
            <w:vMerge/>
            <w:tcBorders>
              <w:bottom w:val="single" w:sz="4" w:space="0" w:color="auto"/>
            </w:tcBorders>
            <w:shd w:val="clear" w:color="auto" w:fill="auto"/>
            <w:hideMark/>
          </w:tcPr>
          <w:p w14:paraId="0AED9021" w14:textId="77777777" w:rsidR="008430AC" w:rsidRPr="00D6638C" w:rsidRDefault="008430AC" w:rsidP="008430AC">
            <w:pPr>
              <w:spacing w:before="200"/>
              <w:rPr>
                <w:rFonts w:ascii="Calibri" w:hAnsi="Calibri"/>
                <w:sz w:val="20"/>
                <w:szCs w:val="20"/>
              </w:rPr>
            </w:pPr>
          </w:p>
        </w:tc>
        <w:tc>
          <w:tcPr>
            <w:tcW w:w="2010" w:type="pct"/>
            <w:tcBorders>
              <w:top w:val="nil"/>
              <w:bottom w:val="single" w:sz="4" w:space="0" w:color="auto"/>
            </w:tcBorders>
            <w:shd w:val="clear" w:color="auto" w:fill="auto"/>
          </w:tcPr>
          <w:p w14:paraId="56BEF35D" w14:textId="77777777" w:rsidR="008430AC" w:rsidRPr="00D6638C" w:rsidRDefault="008430AC" w:rsidP="008430AC">
            <w:pPr>
              <w:rPr>
                <w:rFonts w:ascii="Calibri" w:hAnsi="Calibri"/>
                <w:sz w:val="20"/>
                <w:szCs w:val="20"/>
              </w:rPr>
            </w:pPr>
            <w:r w:rsidRPr="00D6638C">
              <w:rPr>
                <w:rFonts w:ascii="Calibri" w:hAnsi="Calibri"/>
                <w:sz w:val="20"/>
                <w:szCs w:val="20"/>
              </w:rPr>
              <w:t>2. Moderately Unlikely (MU): significant risks</w:t>
            </w:r>
          </w:p>
          <w:p w14:paraId="768B2B85" w14:textId="77777777" w:rsidR="008430AC" w:rsidRPr="00D6638C" w:rsidRDefault="008430AC" w:rsidP="008430AC">
            <w:pPr>
              <w:rPr>
                <w:rFonts w:ascii="Calibri" w:hAnsi="Calibri"/>
                <w:sz w:val="20"/>
                <w:szCs w:val="20"/>
              </w:rPr>
            </w:pPr>
            <w:r w:rsidRPr="00D6638C">
              <w:rPr>
                <w:rFonts w:ascii="Calibri" w:hAnsi="Calibri"/>
                <w:sz w:val="20"/>
                <w:szCs w:val="20"/>
              </w:rPr>
              <w:t>1. Unlikely (U): severe risks</w:t>
            </w:r>
          </w:p>
        </w:tc>
        <w:tc>
          <w:tcPr>
            <w:tcW w:w="981" w:type="pct"/>
            <w:tcBorders>
              <w:top w:val="nil"/>
              <w:bottom w:val="single" w:sz="4" w:space="0" w:color="auto"/>
            </w:tcBorders>
            <w:shd w:val="clear" w:color="auto" w:fill="auto"/>
          </w:tcPr>
          <w:p w14:paraId="54118D5E" w14:textId="77777777" w:rsidR="008430AC" w:rsidRPr="00D6638C" w:rsidRDefault="008430AC" w:rsidP="008430AC">
            <w:pPr>
              <w:rPr>
                <w:rFonts w:ascii="Calibri" w:hAnsi="Calibri"/>
                <w:sz w:val="20"/>
                <w:szCs w:val="20"/>
              </w:rPr>
            </w:pPr>
          </w:p>
          <w:p w14:paraId="40693952" w14:textId="77777777" w:rsidR="008430AC" w:rsidRPr="00D6638C" w:rsidRDefault="008430AC" w:rsidP="008430AC">
            <w:pPr>
              <w:rPr>
                <w:rFonts w:ascii="Calibri" w:hAnsi="Calibri"/>
                <w:b/>
                <w:i/>
                <w:sz w:val="20"/>
                <w:szCs w:val="20"/>
              </w:rPr>
            </w:pPr>
            <w:r w:rsidRPr="00D6638C">
              <w:rPr>
                <w:rFonts w:ascii="Calibri" w:hAnsi="Calibri"/>
                <w:b/>
                <w:i/>
                <w:sz w:val="20"/>
                <w:szCs w:val="20"/>
              </w:rPr>
              <w:t>Impact Ratings:</w:t>
            </w:r>
          </w:p>
          <w:p w14:paraId="1FC8E764" w14:textId="77777777" w:rsidR="008430AC" w:rsidRPr="00D6638C" w:rsidRDefault="008430AC" w:rsidP="008430AC">
            <w:pPr>
              <w:rPr>
                <w:rFonts w:ascii="Calibri" w:hAnsi="Calibri"/>
                <w:sz w:val="20"/>
                <w:szCs w:val="20"/>
              </w:rPr>
            </w:pPr>
            <w:r w:rsidRPr="00D6638C">
              <w:rPr>
                <w:rFonts w:ascii="Calibri" w:hAnsi="Calibri"/>
                <w:sz w:val="20"/>
                <w:szCs w:val="20"/>
              </w:rPr>
              <w:t>3. Significant (S)</w:t>
            </w:r>
          </w:p>
          <w:p w14:paraId="7961B0AE" w14:textId="77777777" w:rsidR="008430AC" w:rsidRPr="00D6638C" w:rsidRDefault="008430AC" w:rsidP="008430AC">
            <w:pPr>
              <w:rPr>
                <w:rFonts w:ascii="Calibri" w:hAnsi="Calibri"/>
                <w:sz w:val="20"/>
                <w:szCs w:val="20"/>
              </w:rPr>
            </w:pPr>
            <w:r w:rsidRPr="00D6638C">
              <w:rPr>
                <w:rFonts w:ascii="Calibri" w:hAnsi="Calibri"/>
                <w:sz w:val="20"/>
                <w:szCs w:val="20"/>
              </w:rPr>
              <w:t>2. Minimal (M)</w:t>
            </w:r>
          </w:p>
          <w:p w14:paraId="33C3FCBF" w14:textId="77777777" w:rsidR="008430AC" w:rsidRPr="00D6638C" w:rsidRDefault="008430AC" w:rsidP="008430AC">
            <w:pPr>
              <w:rPr>
                <w:rFonts w:ascii="Calibri" w:hAnsi="Calibri"/>
                <w:sz w:val="20"/>
                <w:szCs w:val="20"/>
              </w:rPr>
            </w:pPr>
            <w:r w:rsidRPr="00D6638C">
              <w:rPr>
                <w:rFonts w:ascii="Calibri" w:hAnsi="Calibri"/>
                <w:sz w:val="20"/>
                <w:szCs w:val="20"/>
              </w:rPr>
              <w:t>1. Negligible (N)</w:t>
            </w:r>
          </w:p>
        </w:tc>
      </w:tr>
      <w:tr w:rsidR="008430AC" w:rsidRPr="00D6638C" w14:paraId="5BD2EE3B" w14:textId="77777777" w:rsidTr="008430AC">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E16C92" w14:textId="77777777" w:rsidR="008430AC" w:rsidRPr="00D6638C" w:rsidRDefault="008430AC" w:rsidP="008430AC">
            <w:pPr>
              <w:rPr>
                <w:rFonts w:ascii="Calibri" w:hAnsi="Calibri"/>
                <w:i/>
                <w:sz w:val="20"/>
                <w:szCs w:val="20"/>
              </w:rPr>
            </w:pPr>
            <w:r w:rsidRPr="00D6638C">
              <w:rPr>
                <w:rFonts w:ascii="Calibri" w:hAnsi="Calibri"/>
                <w:i/>
                <w:sz w:val="20"/>
                <w:szCs w:val="20"/>
              </w:rPr>
              <w:t>Additional ratings where relevant:</w:t>
            </w:r>
          </w:p>
          <w:p w14:paraId="7B0F0E67" w14:textId="77777777" w:rsidR="008430AC" w:rsidRPr="00D6638C" w:rsidRDefault="008430AC" w:rsidP="008430AC">
            <w:pPr>
              <w:rPr>
                <w:rFonts w:ascii="Calibri" w:hAnsi="Calibri" w:cs="Calibri"/>
                <w:sz w:val="20"/>
                <w:szCs w:val="20"/>
              </w:rPr>
            </w:pPr>
            <w:r w:rsidRPr="00D6638C">
              <w:rPr>
                <w:rFonts w:ascii="Calibri" w:hAnsi="Calibri" w:cs="Calibri"/>
                <w:sz w:val="20"/>
                <w:szCs w:val="20"/>
              </w:rPr>
              <w:t xml:space="preserve">Not Applicable (N/A) </w:t>
            </w:r>
          </w:p>
          <w:p w14:paraId="0BA88A6B" w14:textId="77777777" w:rsidR="008430AC" w:rsidRPr="00D6638C" w:rsidRDefault="008430AC" w:rsidP="008430AC">
            <w:pPr>
              <w:rPr>
                <w:rFonts w:ascii="Calibri" w:hAnsi="Calibri"/>
                <w:sz w:val="20"/>
                <w:szCs w:val="20"/>
              </w:rPr>
            </w:pPr>
            <w:r w:rsidRPr="00D6638C">
              <w:rPr>
                <w:rFonts w:ascii="Calibri" w:hAnsi="Calibri" w:cs="Calibri"/>
                <w:sz w:val="20"/>
                <w:szCs w:val="20"/>
              </w:rPr>
              <w:t>Unable to Assess (U/A</w:t>
            </w:r>
          </w:p>
        </w:tc>
      </w:tr>
    </w:tbl>
    <w:p w14:paraId="460A3296" w14:textId="28AA1ACC" w:rsidR="008430AC" w:rsidRPr="00D6638C" w:rsidRDefault="008430AC" w:rsidP="008430AC">
      <w:pPr>
        <w:pStyle w:val="Heading31"/>
      </w:pPr>
      <w:r w:rsidRPr="00D6638C">
        <w:br w:type="page"/>
      </w:r>
      <w:bookmarkStart w:id="139" w:name="_Toc299133056"/>
      <w:bookmarkStart w:id="140" w:name="_Toc321341566"/>
      <w:r w:rsidR="009436EF">
        <w:lastRenderedPageBreak/>
        <w:t>TOR-</w:t>
      </w:r>
      <w:r w:rsidRPr="00D6638C">
        <w:t xml:space="preserve">Annex E: Evaluation Consultant Code of Conduct </w:t>
      </w:r>
      <w:r>
        <w:t xml:space="preserve">and </w:t>
      </w:r>
      <w:r w:rsidRPr="00D6638C">
        <w:t>Agreement Form</w:t>
      </w:r>
      <w:bookmarkEnd w:id="134"/>
      <w:bookmarkEnd w:id="135"/>
      <w:bookmarkEnd w:id="136"/>
      <w:bookmarkEnd w:id="139"/>
      <w:bookmarkEnd w:id="140"/>
    </w:p>
    <w:p w14:paraId="10438694" w14:textId="77777777" w:rsidR="008430AC" w:rsidRDefault="008430AC" w:rsidP="008430AC">
      <w:pPr>
        <w:rPr>
          <w:rFonts w:ascii="Myriad-Bold" w:hAnsi="Myriad-Bold" w:cs="Myriad-Bold"/>
          <w:b/>
          <w:bCs/>
          <w:color w:val="000000"/>
          <w:lang w:val="en-GB"/>
        </w:rPr>
      </w:pPr>
    </w:p>
    <w:p w14:paraId="098E8654" w14:textId="77777777" w:rsidR="008430AC" w:rsidRPr="009436EF" w:rsidRDefault="008430AC" w:rsidP="008430AC">
      <w:pPr>
        <w:rPr>
          <w:rFonts w:cstheme="minorHAnsi"/>
          <w:b/>
          <w:bCs/>
          <w:color w:val="000000"/>
          <w:sz w:val="22"/>
          <w:szCs w:val="22"/>
          <w:lang w:val="en-GB"/>
        </w:rPr>
      </w:pPr>
      <w:r w:rsidRPr="009436EF">
        <w:rPr>
          <w:rFonts w:cstheme="minorHAnsi"/>
          <w:b/>
          <w:bCs/>
          <w:color w:val="000000"/>
          <w:sz w:val="22"/>
          <w:szCs w:val="22"/>
          <w:lang w:val="en-GB"/>
        </w:rPr>
        <w:t>Evaluators:</w:t>
      </w:r>
    </w:p>
    <w:p w14:paraId="3BC3FE96" w14:textId="77777777" w:rsidR="008430AC" w:rsidRPr="009436EF" w:rsidRDefault="008430AC" w:rsidP="00DC1947">
      <w:pPr>
        <w:pStyle w:val="ListParagraph"/>
        <w:widowControl/>
        <w:numPr>
          <w:ilvl w:val="0"/>
          <w:numId w:val="49"/>
        </w:numPr>
        <w:autoSpaceDE/>
        <w:autoSpaceDN/>
        <w:adjustRightInd/>
        <w:spacing w:before="200" w:after="200" w:line="276" w:lineRule="auto"/>
        <w:rPr>
          <w:rFonts w:eastAsia="ACaslon-Regular"/>
          <w:sz w:val="22"/>
          <w:szCs w:val="22"/>
          <w:lang w:val="en-GB"/>
        </w:rPr>
      </w:pPr>
      <w:r w:rsidRPr="009436EF">
        <w:rPr>
          <w:rFonts w:eastAsia="ACaslon-Regular"/>
          <w:sz w:val="22"/>
          <w:szCs w:val="22"/>
          <w:lang w:val="en-GB"/>
        </w:rPr>
        <w:t xml:space="preserve">Must present information that is complete and fair in its assessment of strengths and weaknesses so that decisions or actions taken are well founded.  </w:t>
      </w:r>
    </w:p>
    <w:p w14:paraId="690A9190" w14:textId="77777777" w:rsidR="008430AC" w:rsidRPr="009436EF" w:rsidRDefault="008430AC" w:rsidP="00DC1947">
      <w:pPr>
        <w:pStyle w:val="ListParagraph"/>
        <w:widowControl/>
        <w:numPr>
          <w:ilvl w:val="0"/>
          <w:numId w:val="49"/>
        </w:numPr>
        <w:autoSpaceDE/>
        <w:autoSpaceDN/>
        <w:adjustRightInd/>
        <w:spacing w:before="200" w:after="200" w:line="276" w:lineRule="auto"/>
        <w:rPr>
          <w:rFonts w:eastAsia="ACaslon-Regular"/>
          <w:sz w:val="22"/>
          <w:szCs w:val="22"/>
          <w:lang w:val="en-GB"/>
        </w:rPr>
      </w:pPr>
      <w:r w:rsidRPr="009436EF">
        <w:rPr>
          <w:rFonts w:eastAsia="ACaslon-Regular"/>
          <w:sz w:val="22"/>
          <w:szCs w:val="22"/>
          <w:lang w:val="en-GB"/>
        </w:rPr>
        <w:t xml:space="preserve">Must disclose the full set of evaluation findings along with information on their limitations and have this accessible to all affected by the evaluation with expressed legal rights to receive results. </w:t>
      </w:r>
    </w:p>
    <w:p w14:paraId="557F2FAE" w14:textId="77777777" w:rsidR="008430AC" w:rsidRPr="009436EF" w:rsidRDefault="008430AC" w:rsidP="00DC1947">
      <w:pPr>
        <w:pStyle w:val="ListParagraph"/>
        <w:widowControl/>
        <w:numPr>
          <w:ilvl w:val="0"/>
          <w:numId w:val="49"/>
        </w:numPr>
        <w:autoSpaceDE/>
        <w:autoSpaceDN/>
        <w:adjustRightInd/>
        <w:spacing w:before="200" w:after="200" w:line="276" w:lineRule="auto"/>
        <w:rPr>
          <w:rFonts w:eastAsia="ACaslon-Regular"/>
          <w:sz w:val="22"/>
          <w:szCs w:val="22"/>
          <w:lang w:val="en-GB"/>
        </w:rPr>
      </w:pPr>
      <w:r w:rsidRPr="009436EF">
        <w:rPr>
          <w:rFonts w:eastAsia="ACaslon-Regular"/>
          <w:sz w:val="22"/>
          <w:szCs w:val="22"/>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0B551568" w14:textId="77777777" w:rsidR="008430AC" w:rsidRPr="009436EF" w:rsidRDefault="008430AC" w:rsidP="00DC1947">
      <w:pPr>
        <w:pStyle w:val="ListParagraph"/>
        <w:widowControl/>
        <w:numPr>
          <w:ilvl w:val="0"/>
          <w:numId w:val="49"/>
        </w:numPr>
        <w:autoSpaceDE/>
        <w:autoSpaceDN/>
        <w:adjustRightInd/>
        <w:spacing w:before="200" w:after="200" w:line="276" w:lineRule="auto"/>
        <w:rPr>
          <w:rFonts w:eastAsia="ACaslon-Regular"/>
          <w:sz w:val="22"/>
          <w:szCs w:val="22"/>
          <w:lang w:val="en-GB"/>
        </w:rPr>
      </w:pPr>
      <w:r w:rsidRPr="009436EF">
        <w:rPr>
          <w:rFonts w:eastAsia="ACaslon-Regular"/>
          <w:sz w:val="22"/>
          <w:szCs w:val="22"/>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A22FF89" w14:textId="77777777" w:rsidR="008430AC" w:rsidRPr="009436EF" w:rsidRDefault="008430AC" w:rsidP="00DC1947">
      <w:pPr>
        <w:pStyle w:val="ListParagraph"/>
        <w:widowControl/>
        <w:numPr>
          <w:ilvl w:val="0"/>
          <w:numId w:val="49"/>
        </w:numPr>
        <w:autoSpaceDE/>
        <w:autoSpaceDN/>
        <w:adjustRightInd/>
        <w:spacing w:before="200" w:after="200" w:line="276" w:lineRule="auto"/>
        <w:rPr>
          <w:rFonts w:eastAsia="ACaslon-Regular"/>
          <w:sz w:val="22"/>
          <w:szCs w:val="22"/>
          <w:lang w:val="en-GB"/>
        </w:rPr>
      </w:pPr>
      <w:r w:rsidRPr="009436EF">
        <w:rPr>
          <w:rFonts w:eastAsia="ACaslon-Regular"/>
          <w:sz w:val="22"/>
          <w:szCs w:val="22"/>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0BB212EC" w14:textId="77777777" w:rsidR="008430AC" w:rsidRPr="009436EF" w:rsidRDefault="008430AC" w:rsidP="00DC1947">
      <w:pPr>
        <w:pStyle w:val="ListParagraph"/>
        <w:widowControl/>
        <w:numPr>
          <w:ilvl w:val="0"/>
          <w:numId w:val="49"/>
        </w:numPr>
        <w:autoSpaceDE/>
        <w:autoSpaceDN/>
        <w:adjustRightInd/>
        <w:spacing w:before="200" w:after="200" w:line="276" w:lineRule="auto"/>
        <w:rPr>
          <w:rFonts w:eastAsia="ACaslon-Regular"/>
          <w:sz w:val="22"/>
          <w:szCs w:val="22"/>
          <w:lang w:val="en-GB"/>
        </w:rPr>
      </w:pPr>
      <w:r w:rsidRPr="009436EF">
        <w:rPr>
          <w:rFonts w:eastAsia="ACaslon-Regular"/>
          <w:sz w:val="22"/>
          <w:szCs w:val="22"/>
          <w:lang w:val="en-GB"/>
        </w:rPr>
        <w:t xml:space="preserve">Are responsible for their performance and their product(s). They are responsible for the clear, accurate and fair written and/or oral presentation of study imitations, findings and recommendations. </w:t>
      </w:r>
    </w:p>
    <w:p w14:paraId="498CADA4" w14:textId="77777777" w:rsidR="008430AC" w:rsidRPr="009436EF" w:rsidRDefault="008430AC" w:rsidP="00DC1947">
      <w:pPr>
        <w:pStyle w:val="ListParagraph"/>
        <w:widowControl/>
        <w:numPr>
          <w:ilvl w:val="0"/>
          <w:numId w:val="49"/>
        </w:numPr>
        <w:autoSpaceDE/>
        <w:autoSpaceDN/>
        <w:adjustRightInd/>
        <w:spacing w:before="200" w:after="200" w:line="276" w:lineRule="auto"/>
        <w:rPr>
          <w:sz w:val="22"/>
          <w:szCs w:val="22"/>
        </w:rPr>
      </w:pPr>
      <w:r w:rsidRPr="009436EF">
        <w:rPr>
          <w:rFonts w:eastAsia="ACaslon-Regular"/>
          <w:sz w:val="22"/>
          <w:szCs w:val="22"/>
          <w:lang w:val="en-GB"/>
        </w:rPr>
        <w:t>Should reflect sound accounting procedures and be prudent in using the resources of the evaluation.</w:t>
      </w:r>
    </w:p>
    <w:p w14:paraId="34EE587A"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jc w:val="center"/>
        <w:rPr>
          <w:rFonts w:ascii="Calibri" w:hAnsi="Calibri" w:cs="Calibri"/>
          <w:color w:val="000000"/>
          <w:sz w:val="22"/>
          <w:szCs w:val="22"/>
        </w:rPr>
      </w:pPr>
      <w:r w:rsidRPr="009436EF">
        <w:rPr>
          <w:rFonts w:ascii="Calibri" w:hAnsi="Calibri" w:cs="Calibri"/>
          <w:b/>
          <w:bCs/>
          <w:color w:val="000000"/>
          <w:sz w:val="22"/>
          <w:szCs w:val="22"/>
        </w:rPr>
        <w:t>Evaluation Consultant Agreement Form</w:t>
      </w:r>
      <w:r w:rsidRPr="009436EF">
        <w:rPr>
          <w:rFonts w:ascii="Calibri" w:eastAsia="Calibri" w:hAnsi="Calibri" w:cs="Calibri"/>
          <w:b/>
          <w:bCs/>
          <w:color w:val="000000"/>
          <w:sz w:val="22"/>
          <w:szCs w:val="22"/>
          <w:vertAlign w:val="superscript"/>
        </w:rPr>
        <w:footnoteReference w:id="11"/>
      </w:r>
    </w:p>
    <w:p w14:paraId="36C50960"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rPr>
          <w:rFonts w:ascii="Calibri" w:hAnsi="Calibri" w:cs="Calibri"/>
          <w:color w:val="000000"/>
          <w:sz w:val="22"/>
          <w:szCs w:val="22"/>
        </w:rPr>
      </w:pPr>
      <w:r w:rsidRPr="009436EF">
        <w:rPr>
          <w:rFonts w:ascii="Calibri" w:hAnsi="Calibri" w:cs="Calibri"/>
          <w:b/>
          <w:bCs/>
          <w:color w:val="000000"/>
          <w:sz w:val="22"/>
          <w:szCs w:val="22"/>
        </w:rPr>
        <w:lastRenderedPageBreak/>
        <w:t xml:space="preserve">Agreement to abide by the Code of Conduct for Evaluation in the UN System </w:t>
      </w:r>
    </w:p>
    <w:p w14:paraId="40058589"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rPr>
          <w:rFonts w:ascii="Calibri" w:hAnsi="Calibri" w:cs="Calibri"/>
          <w:color w:val="000000"/>
          <w:sz w:val="22"/>
          <w:szCs w:val="22"/>
        </w:rPr>
      </w:pPr>
      <w:r w:rsidRPr="009436EF">
        <w:rPr>
          <w:rFonts w:ascii="Calibri" w:hAnsi="Calibri" w:cs="Calibri"/>
          <w:b/>
          <w:bCs/>
          <w:color w:val="000000"/>
          <w:sz w:val="22"/>
          <w:szCs w:val="22"/>
        </w:rPr>
        <w:t xml:space="preserve">Name of Consultant: </w:t>
      </w:r>
      <w:r w:rsidRPr="009436EF">
        <w:rPr>
          <w:rFonts w:ascii="Calibri" w:hAnsi="Calibri" w:cs="Calibri"/>
          <w:color w:val="000000"/>
          <w:sz w:val="22"/>
          <w:szCs w:val="22"/>
        </w:rPr>
        <w:t>__</w:t>
      </w:r>
      <w:r w:rsidRPr="009436EF">
        <w:rPr>
          <w:rFonts w:ascii="Calibri" w:hAnsi="Calibri" w:cs="Calibri"/>
          <w:color w:val="000000"/>
          <w:sz w:val="22"/>
          <w:szCs w:val="22"/>
          <w:u w:val="single"/>
        </w:rPr>
        <w:fldChar w:fldCharType="begin">
          <w:ffData>
            <w:name w:val="Text2"/>
            <w:enabled/>
            <w:calcOnExit w:val="0"/>
            <w:textInput/>
          </w:ffData>
        </w:fldChar>
      </w:r>
      <w:r w:rsidRPr="009436EF">
        <w:rPr>
          <w:rFonts w:ascii="Calibri" w:hAnsi="Calibri" w:cs="Calibri"/>
          <w:color w:val="000000"/>
          <w:sz w:val="22"/>
          <w:szCs w:val="22"/>
          <w:u w:val="single"/>
        </w:rPr>
        <w:instrText xml:space="preserve"> FORMTEXT </w:instrText>
      </w:r>
      <w:r w:rsidRPr="009436EF">
        <w:rPr>
          <w:rFonts w:ascii="Calibri" w:hAnsi="Calibri" w:cs="Calibri"/>
          <w:color w:val="000000"/>
          <w:sz w:val="22"/>
          <w:szCs w:val="22"/>
          <w:u w:val="single"/>
        </w:rPr>
      </w:r>
      <w:r w:rsidRPr="009436EF">
        <w:rPr>
          <w:rFonts w:ascii="Calibri" w:hAnsi="Calibri" w:cs="Calibri"/>
          <w:color w:val="000000"/>
          <w:sz w:val="22"/>
          <w:szCs w:val="22"/>
          <w:u w:val="single"/>
        </w:rPr>
        <w:fldChar w:fldCharType="separate"/>
      </w:r>
      <w:r w:rsidRPr="009436EF">
        <w:rPr>
          <w:rFonts w:ascii="Calibri" w:hAnsi="Calibri" w:cs="Calibri"/>
          <w:noProof/>
          <w:color w:val="000000"/>
          <w:sz w:val="22"/>
          <w:szCs w:val="22"/>
          <w:u w:val="single"/>
        </w:rPr>
        <w:t> </w:t>
      </w:r>
      <w:r w:rsidRPr="009436EF">
        <w:rPr>
          <w:rFonts w:ascii="Calibri" w:hAnsi="Calibri" w:cs="Calibri"/>
          <w:noProof/>
          <w:color w:val="000000"/>
          <w:sz w:val="22"/>
          <w:szCs w:val="22"/>
          <w:u w:val="single"/>
        </w:rPr>
        <w:t> </w:t>
      </w:r>
      <w:r w:rsidRPr="009436EF">
        <w:rPr>
          <w:rFonts w:ascii="Calibri" w:hAnsi="Calibri" w:cs="Calibri"/>
          <w:noProof/>
          <w:color w:val="000000"/>
          <w:sz w:val="22"/>
          <w:szCs w:val="22"/>
          <w:u w:val="single"/>
        </w:rPr>
        <w:t> </w:t>
      </w:r>
      <w:r w:rsidRPr="009436EF">
        <w:rPr>
          <w:rFonts w:ascii="Calibri" w:hAnsi="Calibri" w:cs="Calibri"/>
          <w:noProof/>
          <w:color w:val="000000"/>
          <w:sz w:val="22"/>
          <w:szCs w:val="22"/>
          <w:u w:val="single"/>
        </w:rPr>
        <w:t> </w:t>
      </w:r>
      <w:r w:rsidRPr="009436EF">
        <w:rPr>
          <w:rFonts w:ascii="Calibri" w:hAnsi="Calibri" w:cs="Calibri"/>
          <w:noProof/>
          <w:color w:val="000000"/>
          <w:sz w:val="22"/>
          <w:szCs w:val="22"/>
          <w:u w:val="single"/>
        </w:rPr>
        <w:t> </w:t>
      </w:r>
      <w:r w:rsidRPr="009436EF">
        <w:rPr>
          <w:rFonts w:ascii="Calibri" w:hAnsi="Calibri" w:cs="Calibri"/>
          <w:color w:val="000000"/>
          <w:sz w:val="22"/>
          <w:szCs w:val="22"/>
          <w:u w:val="single"/>
        </w:rPr>
        <w:fldChar w:fldCharType="end"/>
      </w:r>
      <w:r w:rsidRPr="009436EF">
        <w:rPr>
          <w:rFonts w:ascii="Calibri" w:hAnsi="Calibri" w:cs="Calibri"/>
          <w:color w:val="000000"/>
          <w:sz w:val="22"/>
          <w:szCs w:val="22"/>
        </w:rPr>
        <w:t xml:space="preserve">_________________________________________________ </w:t>
      </w:r>
    </w:p>
    <w:p w14:paraId="2EE0B48F"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rPr>
          <w:rFonts w:ascii="Calibri" w:hAnsi="Calibri" w:cs="Calibri"/>
          <w:color w:val="000000"/>
          <w:sz w:val="22"/>
          <w:szCs w:val="22"/>
        </w:rPr>
      </w:pPr>
      <w:r w:rsidRPr="009436EF">
        <w:rPr>
          <w:rFonts w:ascii="Calibri" w:hAnsi="Calibri" w:cs="Calibri"/>
          <w:b/>
          <w:bCs/>
          <w:color w:val="000000"/>
          <w:sz w:val="22"/>
          <w:szCs w:val="22"/>
        </w:rPr>
        <w:t xml:space="preserve">Name of Consultancy Organization </w:t>
      </w:r>
      <w:r w:rsidRPr="009436EF">
        <w:rPr>
          <w:rFonts w:ascii="Calibri" w:hAnsi="Calibri" w:cs="Calibri"/>
          <w:color w:val="000000"/>
          <w:sz w:val="22"/>
          <w:szCs w:val="22"/>
        </w:rPr>
        <w:t>(where relevant)</w:t>
      </w:r>
      <w:r w:rsidRPr="009436EF">
        <w:rPr>
          <w:rFonts w:ascii="Calibri" w:hAnsi="Calibri" w:cs="Calibri"/>
          <w:b/>
          <w:bCs/>
          <w:color w:val="000000"/>
          <w:sz w:val="22"/>
          <w:szCs w:val="22"/>
        </w:rPr>
        <w:t xml:space="preserve">: </w:t>
      </w:r>
      <w:r w:rsidRPr="009436EF">
        <w:rPr>
          <w:rFonts w:ascii="Calibri" w:hAnsi="Calibri" w:cs="Calibri"/>
          <w:color w:val="000000"/>
          <w:sz w:val="22"/>
          <w:szCs w:val="22"/>
        </w:rPr>
        <w:t xml:space="preserve">________________________ </w:t>
      </w:r>
    </w:p>
    <w:p w14:paraId="7D7B98FA"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rPr>
          <w:rFonts w:ascii="Calibri" w:hAnsi="Calibri" w:cs="Calibri"/>
          <w:color w:val="000000"/>
          <w:sz w:val="22"/>
          <w:szCs w:val="22"/>
        </w:rPr>
      </w:pPr>
      <w:r w:rsidRPr="009436EF">
        <w:rPr>
          <w:rFonts w:ascii="Calibri" w:hAnsi="Calibri" w:cs="Calibri"/>
          <w:b/>
          <w:bCs/>
          <w:color w:val="000000"/>
          <w:sz w:val="22"/>
          <w:szCs w:val="22"/>
        </w:rPr>
        <w:t xml:space="preserve">I confirm that I have received and understood and will abide by the United Nations Code of Conduct for Evaluation. </w:t>
      </w:r>
    </w:p>
    <w:p w14:paraId="09A8B685"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rPr>
          <w:rFonts w:ascii="Calibri" w:hAnsi="Calibri" w:cs="Calibri"/>
          <w:color w:val="000000"/>
          <w:sz w:val="22"/>
          <w:szCs w:val="22"/>
        </w:rPr>
      </w:pPr>
      <w:r w:rsidRPr="009436EF">
        <w:rPr>
          <w:rFonts w:ascii="Calibri" w:hAnsi="Calibri" w:cs="Calibri"/>
          <w:color w:val="000000"/>
          <w:sz w:val="22"/>
          <w:szCs w:val="22"/>
        </w:rPr>
        <w:t xml:space="preserve">Signed at </w:t>
      </w:r>
      <w:r w:rsidRPr="009436EF">
        <w:rPr>
          <w:rFonts w:ascii="Calibri" w:hAnsi="Calibri" w:cs="Calibri"/>
          <w:i/>
          <w:color w:val="000000"/>
          <w:sz w:val="22"/>
          <w:szCs w:val="22"/>
          <w:highlight w:val="lightGray"/>
        </w:rPr>
        <w:t>place</w:t>
      </w:r>
      <w:r w:rsidRPr="009436EF">
        <w:rPr>
          <w:rFonts w:ascii="Calibri" w:hAnsi="Calibri" w:cs="Calibri"/>
          <w:i/>
          <w:color w:val="000000"/>
          <w:sz w:val="22"/>
          <w:szCs w:val="22"/>
        </w:rPr>
        <w:t xml:space="preserve"> </w:t>
      </w:r>
      <w:r w:rsidRPr="009436EF">
        <w:rPr>
          <w:rFonts w:ascii="Calibri" w:hAnsi="Calibri" w:cs="Calibri"/>
          <w:color w:val="000000"/>
          <w:sz w:val="22"/>
          <w:szCs w:val="22"/>
        </w:rPr>
        <w:t xml:space="preserve">on </w:t>
      </w:r>
      <w:r w:rsidRPr="009436EF">
        <w:rPr>
          <w:rFonts w:ascii="Calibri" w:hAnsi="Calibri" w:cs="Calibri"/>
          <w:i/>
          <w:color w:val="000000"/>
          <w:sz w:val="22"/>
          <w:szCs w:val="22"/>
          <w:highlight w:val="lightGray"/>
        </w:rPr>
        <w:t>date</w:t>
      </w:r>
    </w:p>
    <w:p w14:paraId="286EBDFF" w14:textId="77777777" w:rsidR="008430AC" w:rsidRPr="009436EF" w:rsidRDefault="008430AC" w:rsidP="008430AC">
      <w:pPr>
        <w:pBdr>
          <w:top w:val="single" w:sz="4" w:space="1" w:color="auto"/>
          <w:left w:val="single" w:sz="4" w:space="4" w:color="auto"/>
          <w:bottom w:val="single" w:sz="4" w:space="1" w:color="auto"/>
          <w:right w:val="single" w:sz="4" w:space="4" w:color="auto"/>
        </w:pBdr>
        <w:spacing w:before="200"/>
        <w:rPr>
          <w:rFonts w:ascii="HIDDJN+TimesNewRoman,Bold" w:hAnsi="HIDDJN+TimesNewRoman,Bold" w:cs="HIDDJN+TimesNewRoman,Bold"/>
          <w:color w:val="000000"/>
          <w:sz w:val="22"/>
          <w:szCs w:val="22"/>
        </w:rPr>
      </w:pPr>
      <w:r w:rsidRPr="009436EF">
        <w:rPr>
          <w:rFonts w:ascii="Calibri" w:hAnsi="Calibri" w:cs="Calibri"/>
          <w:color w:val="000000"/>
          <w:sz w:val="22"/>
          <w:szCs w:val="22"/>
        </w:rPr>
        <w:t>Signature</w:t>
      </w:r>
      <w:r w:rsidRPr="009436EF">
        <w:rPr>
          <w:rFonts w:ascii="HIDDJN+TimesNewRoman,Bold" w:hAnsi="HIDDJN+TimesNewRoman,Bold" w:cs="HIDDJN+TimesNewRoman,Bold"/>
          <w:color w:val="000000"/>
          <w:sz w:val="22"/>
          <w:szCs w:val="22"/>
        </w:rPr>
        <w:t>: ________________________________________</w:t>
      </w:r>
    </w:p>
    <w:p w14:paraId="3B7BA386" w14:textId="793623E5" w:rsidR="008430AC" w:rsidRPr="00D6638C" w:rsidRDefault="008430AC" w:rsidP="008430AC">
      <w:pPr>
        <w:pStyle w:val="Heading31"/>
      </w:pPr>
      <w:r w:rsidRPr="00D6638C">
        <w:rPr>
          <w:sz w:val="20"/>
          <w:szCs w:val="20"/>
        </w:rPr>
        <w:br w:type="page"/>
      </w:r>
      <w:bookmarkStart w:id="141" w:name="_TOR_Annex_F:"/>
      <w:bookmarkStart w:id="142" w:name="_Toc299122847"/>
      <w:bookmarkStart w:id="143" w:name="_Toc299122869"/>
      <w:bookmarkStart w:id="144" w:name="_Toc299126633"/>
      <w:bookmarkStart w:id="145" w:name="_Toc299133057"/>
      <w:bookmarkStart w:id="146" w:name="_Toc321341567"/>
      <w:bookmarkEnd w:id="141"/>
      <w:r w:rsidR="009436EF">
        <w:rPr>
          <w:sz w:val="20"/>
          <w:szCs w:val="20"/>
        </w:rPr>
        <w:lastRenderedPageBreak/>
        <w:t>TOR-</w:t>
      </w:r>
      <w:r w:rsidRPr="00D6638C">
        <w:t>Annex F: Evaluation Report Outline</w:t>
      </w:r>
      <w:bookmarkEnd w:id="142"/>
      <w:bookmarkEnd w:id="143"/>
      <w:bookmarkEnd w:id="144"/>
      <w:bookmarkEnd w:id="145"/>
      <w:r w:rsidRPr="00D6638C">
        <w:rPr>
          <w:vertAlign w:val="superscript"/>
        </w:rPr>
        <w:footnoteReference w:id="12"/>
      </w:r>
      <w:bookmarkEnd w:id="146"/>
    </w:p>
    <w:tbl>
      <w:tblPr>
        <w:tblW w:w="0" w:type="auto"/>
        <w:tblInd w:w="108" w:type="dxa"/>
        <w:tblLook w:val="04A0" w:firstRow="1" w:lastRow="0" w:firstColumn="1" w:lastColumn="0" w:noHBand="0" w:noVBand="1"/>
      </w:tblPr>
      <w:tblGrid>
        <w:gridCol w:w="985"/>
        <w:gridCol w:w="8483"/>
      </w:tblGrid>
      <w:tr w:rsidR="008430AC" w:rsidRPr="00D6638C" w14:paraId="282BD9D7" w14:textId="77777777" w:rsidTr="008430AC">
        <w:tc>
          <w:tcPr>
            <w:tcW w:w="985" w:type="dxa"/>
          </w:tcPr>
          <w:p w14:paraId="113D14E3" w14:textId="77777777" w:rsidR="008430AC" w:rsidRPr="00D6638C" w:rsidRDefault="008430AC" w:rsidP="008430AC">
            <w:pPr>
              <w:rPr>
                <w:rFonts w:ascii="Calibri" w:hAnsi="Calibri"/>
                <w:b/>
                <w:bCs/>
                <w:sz w:val="20"/>
              </w:rPr>
            </w:pPr>
            <w:r w:rsidRPr="00D6638C">
              <w:rPr>
                <w:rFonts w:ascii="Calibri" w:hAnsi="Calibri"/>
                <w:b/>
                <w:bCs/>
                <w:sz w:val="20"/>
              </w:rPr>
              <w:t>i.</w:t>
            </w:r>
          </w:p>
        </w:tc>
        <w:tc>
          <w:tcPr>
            <w:tcW w:w="8483" w:type="dxa"/>
          </w:tcPr>
          <w:p w14:paraId="6F570DB2" w14:textId="77777777" w:rsidR="008430AC" w:rsidRPr="00D6638C" w:rsidRDefault="008430AC" w:rsidP="008430AC">
            <w:pPr>
              <w:rPr>
                <w:rFonts w:ascii="Calibri" w:hAnsi="Calibri"/>
                <w:sz w:val="20"/>
                <w:szCs w:val="20"/>
              </w:rPr>
            </w:pPr>
            <w:r w:rsidRPr="00D6638C">
              <w:rPr>
                <w:rFonts w:ascii="Calibri" w:hAnsi="Calibri"/>
                <w:sz w:val="20"/>
                <w:szCs w:val="20"/>
              </w:rPr>
              <w:t>Opening page:</w:t>
            </w:r>
          </w:p>
          <w:p w14:paraId="79B55F92"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Title of  UNDP supported GEF financed project </w:t>
            </w:r>
          </w:p>
          <w:p w14:paraId="3E205242"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UNDP and GEF project ID#s.  </w:t>
            </w:r>
          </w:p>
          <w:p w14:paraId="79008F4E"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Evaluation time frame and date of evaluation report</w:t>
            </w:r>
          </w:p>
          <w:p w14:paraId="2586A1AB"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Region and countries included in the project</w:t>
            </w:r>
          </w:p>
          <w:p w14:paraId="38F4DA30"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GEF Operational Program/Strategic Program</w:t>
            </w:r>
          </w:p>
          <w:p w14:paraId="24633EB4"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Implementing Partner and other project partners</w:t>
            </w:r>
          </w:p>
          <w:p w14:paraId="0E693C03"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Evaluation team members </w:t>
            </w:r>
          </w:p>
          <w:p w14:paraId="762FF08A"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Acknowledgements</w:t>
            </w:r>
          </w:p>
        </w:tc>
      </w:tr>
      <w:tr w:rsidR="008430AC" w:rsidRPr="00D6638C" w14:paraId="06DA7D6F" w14:textId="77777777" w:rsidTr="008430AC">
        <w:tc>
          <w:tcPr>
            <w:tcW w:w="985" w:type="dxa"/>
          </w:tcPr>
          <w:p w14:paraId="3550E2C0" w14:textId="77777777" w:rsidR="008430AC" w:rsidRPr="00D6638C" w:rsidRDefault="008430AC" w:rsidP="008430AC">
            <w:pPr>
              <w:rPr>
                <w:rFonts w:ascii="Calibri" w:hAnsi="Calibri"/>
                <w:b/>
                <w:bCs/>
                <w:sz w:val="20"/>
              </w:rPr>
            </w:pPr>
            <w:r w:rsidRPr="00D6638C">
              <w:rPr>
                <w:rFonts w:ascii="Calibri" w:hAnsi="Calibri"/>
                <w:b/>
                <w:bCs/>
                <w:sz w:val="20"/>
              </w:rPr>
              <w:t>ii.</w:t>
            </w:r>
          </w:p>
        </w:tc>
        <w:tc>
          <w:tcPr>
            <w:tcW w:w="8483" w:type="dxa"/>
          </w:tcPr>
          <w:p w14:paraId="7B17AAD3" w14:textId="77777777" w:rsidR="008430AC" w:rsidRPr="00D6638C" w:rsidRDefault="008430AC" w:rsidP="008430AC">
            <w:pPr>
              <w:rPr>
                <w:rFonts w:ascii="Calibri" w:hAnsi="Calibri"/>
                <w:sz w:val="20"/>
                <w:szCs w:val="20"/>
              </w:rPr>
            </w:pPr>
            <w:r w:rsidRPr="00D6638C">
              <w:rPr>
                <w:rFonts w:ascii="Calibri" w:hAnsi="Calibri"/>
                <w:sz w:val="20"/>
                <w:szCs w:val="20"/>
              </w:rPr>
              <w:t>Executive Summary</w:t>
            </w:r>
          </w:p>
          <w:p w14:paraId="56016101"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Project Summary Table</w:t>
            </w:r>
          </w:p>
          <w:p w14:paraId="0DF3430D"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Project Description (brief)</w:t>
            </w:r>
          </w:p>
          <w:p w14:paraId="485FFB7A"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Evaluation Rating Table</w:t>
            </w:r>
          </w:p>
          <w:p w14:paraId="253F422D"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Summary of conclusions, recommendations and lessons</w:t>
            </w:r>
          </w:p>
        </w:tc>
      </w:tr>
      <w:tr w:rsidR="008430AC" w:rsidRPr="00D6638C" w14:paraId="5B8DEEAC" w14:textId="77777777" w:rsidTr="008430AC">
        <w:tc>
          <w:tcPr>
            <w:tcW w:w="985" w:type="dxa"/>
          </w:tcPr>
          <w:p w14:paraId="070AD0F0" w14:textId="77777777" w:rsidR="008430AC" w:rsidRPr="00D6638C" w:rsidRDefault="008430AC" w:rsidP="008430AC">
            <w:pPr>
              <w:rPr>
                <w:rFonts w:ascii="Calibri" w:hAnsi="Calibri"/>
                <w:b/>
                <w:bCs/>
                <w:sz w:val="20"/>
              </w:rPr>
            </w:pPr>
            <w:r w:rsidRPr="00D6638C">
              <w:rPr>
                <w:rFonts w:ascii="Calibri" w:hAnsi="Calibri"/>
                <w:b/>
                <w:bCs/>
                <w:sz w:val="20"/>
              </w:rPr>
              <w:t>iii.</w:t>
            </w:r>
          </w:p>
        </w:tc>
        <w:tc>
          <w:tcPr>
            <w:tcW w:w="8483" w:type="dxa"/>
          </w:tcPr>
          <w:p w14:paraId="44FE30D9" w14:textId="77777777" w:rsidR="008430AC" w:rsidRPr="00D6638C" w:rsidRDefault="008430AC" w:rsidP="008430AC">
            <w:pPr>
              <w:rPr>
                <w:rFonts w:ascii="Calibri" w:hAnsi="Calibri"/>
                <w:sz w:val="20"/>
                <w:szCs w:val="20"/>
              </w:rPr>
            </w:pPr>
            <w:r w:rsidRPr="00D6638C">
              <w:rPr>
                <w:rFonts w:ascii="Calibri" w:hAnsi="Calibri"/>
                <w:sz w:val="20"/>
                <w:szCs w:val="20"/>
              </w:rPr>
              <w:t>Acronyms and Abbreviations</w:t>
            </w:r>
          </w:p>
          <w:p w14:paraId="66A4CE5F" w14:textId="77777777" w:rsidR="008430AC" w:rsidRPr="00D6638C" w:rsidRDefault="008430AC" w:rsidP="008430AC">
            <w:pPr>
              <w:rPr>
                <w:rFonts w:ascii="Calibri" w:hAnsi="Calibri"/>
                <w:bCs/>
                <w:sz w:val="20"/>
              </w:rPr>
            </w:pPr>
            <w:r w:rsidRPr="00D6638C">
              <w:rPr>
                <w:rFonts w:ascii="Calibri" w:hAnsi="Calibri"/>
                <w:sz w:val="20"/>
                <w:szCs w:val="20"/>
              </w:rPr>
              <w:t>(See: UNDP Editorial Manual</w:t>
            </w:r>
            <w:r w:rsidRPr="00D6638C">
              <w:rPr>
                <w:rFonts w:ascii="Calibri" w:hAnsi="Calibri" w:cs="Calibri"/>
                <w:bCs/>
                <w:sz w:val="20"/>
                <w:szCs w:val="20"/>
                <w:vertAlign w:val="superscript"/>
              </w:rPr>
              <w:footnoteReference w:id="13"/>
            </w:r>
            <w:r w:rsidRPr="00D6638C">
              <w:rPr>
                <w:rFonts w:ascii="Calibri" w:hAnsi="Calibri"/>
                <w:sz w:val="20"/>
                <w:szCs w:val="20"/>
              </w:rPr>
              <w:t>)</w:t>
            </w:r>
          </w:p>
        </w:tc>
      </w:tr>
      <w:tr w:rsidR="008430AC" w:rsidRPr="00D6638C" w14:paraId="4546CBA9" w14:textId="77777777" w:rsidTr="008430AC">
        <w:tc>
          <w:tcPr>
            <w:tcW w:w="985" w:type="dxa"/>
          </w:tcPr>
          <w:p w14:paraId="6F0A265B" w14:textId="77777777" w:rsidR="008430AC" w:rsidRPr="00D6638C" w:rsidRDefault="008430AC" w:rsidP="008430AC">
            <w:pPr>
              <w:rPr>
                <w:rFonts w:ascii="Calibri" w:hAnsi="Calibri"/>
                <w:b/>
                <w:bCs/>
                <w:sz w:val="20"/>
              </w:rPr>
            </w:pPr>
            <w:r w:rsidRPr="00D6638C">
              <w:rPr>
                <w:rFonts w:ascii="Calibri" w:hAnsi="Calibri"/>
                <w:b/>
                <w:bCs/>
                <w:sz w:val="20"/>
              </w:rPr>
              <w:t>1.</w:t>
            </w:r>
          </w:p>
        </w:tc>
        <w:tc>
          <w:tcPr>
            <w:tcW w:w="8483" w:type="dxa"/>
          </w:tcPr>
          <w:p w14:paraId="736E6425" w14:textId="77777777" w:rsidR="008430AC" w:rsidRPr="00D6638C" w:rsidRDefault="008430AC" w:rsidP="008430AC">
            <w:pPr>
              <w:rPr>
                <w:rFonts w:ascii="Calibri" w:hAnsi="Calibri"/>
                <w:sz w:val="20"/>
                <w:szCs w:val="20"/>
              </w:rPr>
            </w:pPr>
            <w:r w:rsidRPr="00D6638C">
              <w:rPr>
                <w:rFonts w:ascii="Calibri" w:hAnsi="Calibri"/>
                <w:sz w:val="20"/>
                <w:szCs w:val="20"/>
              </w:rPr>
              <w:t>Introduction</w:t>
            </w:r>
          </w:p>
          <w:p w14:paraId="6D04DFA4"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 xml:space="preserve">Purpose of the evaluation </w:t>
            </w:r>
          </w:p>
          <w:p w14:paraId="6F048EB0"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 xml:space="preserve">Scope &amp; Methodology </w:t>
            </w:r>
          </w:p>
          <w:p w14:paraId="1CE2D65F"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Structure of the evaluation report</w:t>
            </w:r>
          </w:p>
        </w:tc>
      </w:tr>
      <w:tr w:rsidR="008430AC" w:rsidRPr="00D6638C" w14:paraId="3D8ECD8D" w14:textId="77777777" w:rsidTr="008430AC">
        <w:tc>
          <w:tcPr>
            <w:tcW w:w="985" w:type="dxa"/>
          </w:tcPr>
          <w:p w14:paraId="47FFE15E" w14:textId="77777777" w:rsidR="008430AC" w:rsidRPr="00D6638C" w:rsidRDefault="008430AC" w:rsidP="008430AC">
            <w:pPr>
              <w:rPr>
                <w:rFonts w:ascii="Calibri" w:hAnsi="Calibri"/>
                <w:b/>
                <w:bCs/>
                <w:sz w:val="20"/>
              </w:rPr>
            </w:pPr>
            <w:r w:rsidRPr="00D6638C">
              <w:rPr>
                <w:rFonts w:ascii="Calibri" w:hAnsi="Calibri"/>
                <w:b/>
                <w:bCs/>
                <w:sz w:val="20"/>
              </w:rPr>
              <w:t>2.</w:t>
            </w:r>
          </w:p>
        </w:tc>
        <w:tc>
          <w:tcPr>
            <w:tcW w:w="8483" w:type="dxa"/>
          </w:tcPr>
          <w:p w14:paraId="3E75BE39" w14:textId="77777777" w:rsidR="008430AC" w:rsidRPr="00D6638C" w:rsidRDefault="008430AC" w:rsidP="008430AC">
            <w:pPr>
              <w:rPr>
                <w:rFonts w:ascii="Calibri" w:hAnsi="Calibri"/>
                <w:sz w:val="20"/>
                <w:szCs w:val="20"/>
              </w:rPr>
            </w:pPr>
            <w:r w:rsidRPr="00D6638C">
              <w:rPr>
                <w:rFonts w:ascii="Calibri" w:hAnsi="Calibri"/>
                <w:sz w:val="20"/>
                <w:szCs w:val="20"/>
              </w:rPr>
              <w:t>Project description and development context</w:t>
            </w:r>
          </w:p>
          <w:p w14:paraId="460F59D6" w14:textId="77777777" w:rsidR="008430AC" w:rsidRPr="00D6638C" w:rsidRDefault="008430AC" w:rsidP="00DC1947">
            <w:pPr>
              <w:widowControl/>
              <w:numPr>
                <w:ilvl w:val="0"/>
                <w:numId w:val="48"/>
              </w:numPr>
              <w:autoSpaceDE/>
              <w:autoSpaceDN/>
              <w:adjustRightInd/>
              <w:rPr>
                <w:rFonts w:ascii="Calibri" w:hAnsi="Calibri"/>
                <w:sz w:val="20"/>
                <w:szCs w:val="20"/>
              </w:rPr>
            </w:pPr>
            <w:r w:rsidRPr="00D6638C">
              <w:rPr>
                <w:rFonts w:ascii="Calibri" w:hAnsi="Calibri"/>
                <w:sz w:val="20"/>
                <w:szCs w:val="20"/>
              </w:rPr>
              <w:t>Project start and duration</w:t>
            </w:r>
          </w:p>
          <w:p w14:paraId="55F64B5F" w14:textId="77777777" w:rsidR="008430AC" w:rsidRPr="00D6638C" w:rsidRDefault="008430AC" w:rsidP="00DC1947">
            <w:pPr>
              <w:widowControl/>
              <w:numPr>
                <w:ilvl w:val="0"/>
                <w:numId w:val="48"/>
              </w:numPr>
              <w:autoSpaceDE/>
              <w:autoSpaceDN/>
              <w:adjustRightInd/>
              <w:rPr>
                <w:rFonts w:ascii="Calibri" w:hAnsi="Calibri"/>
                <w:sz w:val="20"/>
                <w:szCs w:val="20"/>
              </w:rPr>
            </w:pPr>
            <w:r w:rsidRPr="00D6638C">
              <w:rPr>
                <w:rFonts w:ascii="Calibri" w:hAnsi="Calibri"/>
                <w:sz w:val="20"/>
                <w:szCs w:val="20"/>
              </w:rPr>
              <w:t>Problems that the project sought  to address</w:t>
            </w:r>
          </w:p>
          <w:p w14:paraId="64B6532D" w14:textId="77777777" w:rsidR="008430AC" w:rsidRPr="00D6638C" w:rsidRDefault="008430AC" w:rsidP="00DC1947">
            <w:pPr>
              <w:widowControl/>
              <w:numPr>
                <w:ilvl w:val="0"/>
                <w:numId w:val="48"/>
              </w:numPr>
              <w:autoSpaceDE/>
              <w:autoSpaceDN/>
              <w:adjustRightInd/>
              <w:rPr>
                <w:rFonts w:ascii="Calibri" w:hAnsi="Calibri"/>
                <w:sz w:val="20"/>
                <w:szCs w:val="20"/>
              </w:rPr>
            </w:pPr>
            <w:r w:rsidRPr="00D6638C">
              <w:rPr>
                <w:rFonts w:ascii="Calibri" w:hAnsi="Calibri"/>
                <w:sz w:val="20"/>
                <w:szCs w:val="20"/>
              </w:rPr>
              <w:t>Immediate and development objectives of the project</w:t>
            </w:r>
          </w:p>
          <w:p w14:paraId="41A1D31E" w14:textId="77777777" w:rsidR="008430AC" w:rsidRPr="00D6638C" w:rsidRDefault="008430AC" w:rsidP="00DC1947">
            <w:pPr>
              <w:widowControl/>
              <w:numPr>
                <w:ilvl w:val="0"/>
                <w:numId w:val="48"/>
              </w:numPr>
              <w:autoSpaceDE/>
              <w:autoSpaceDN/>
              <w:adjustRightInd/>
              <w:rPr>
                <w:rFonts w:ascii="Calibri" w:hAnsi="Calibri"/>
                <w:sz w:val="20"/>
                <w:szCs w:val="20"/>
              </w:rPr>
            </w:pPr>
            <w:r w:rsidRPr="00D6638C">
              <w:rPr>
                <w:rFonts w:ascii="Calibri" w:hAnsi="Calibri"/>
                <w:sz w:val="20"/>
                <w:szCs w:val="20"/>
              </w:rPr>
              <w:t>Baseline Indicators established</w:t>
            </w:r>
          </w:p>
          <w:p w14:paraId="782D03B5" w14:textId="77777777" w:rsidR="008430AC" w:rsidRPr="00D6638C" w:rsidRDefault="008430AC" w:rsidP="00DC1947">
            <w:pPr>
              <w:widowControl/>
              <w:numPr>
                <w:ilvl w:val="0"/>
                <w:numId w:val="48"/>
              </w:numPr>
              <w:autoSpaceDE/>
              <w:autoSpaceDN/>
              <w:adjustRightInd/>
              <w:rPr>
                <w:rFonts w:ascii="Calibri" w:hAnsi="Calibri"/>
                <w:sz w:val="20"/>
                <w:szCs w:val="20"/>
              </w:rPr>
            </w:pPr>
            <w:r w:rsidRPr="00D6638C">
              <w:rPr>
                <w:rFonts w:ascii="Calibri" w:hAnsi="Calibri"/>
                <w:sz w:val="20"/>
                <w:szCs w:val="20"/>
              </w:rPr>
              <w:t>Main stakeholders</w:t>
            </w:r>
          </w:p>
          <w:p w14:paraId="71F4207A" w14:textId="77777777" w:rsidR="008430AC" w:rsidRPr="00D6638C" w:rsidRDefault="008430AC" w:rsidP="00DC1947">
            <w:pPr>
              <w:widowControl/>
              <w:numPr>
                <w:ilvl w:val="0"/>
                <w:numId w:val="48"/>
              </w:numPr>
              <w:autoSpaceDE/>
              <w:autoSpaceDN/>
              <w:adjustRightInd/>
              <w:rPr>
                <w:rFonts w:ascii="Calibri" w:hAnsi="Calibri"/>
                <w:sz w:val="20"/>
                <w:szCs w:val="20"/>
              </w:rPr>
            </w:pPr>
            <w:r w:rsidRPr="00D6638C">
              <w:rPr>
                <w:rFonts w:ascii="Calibri" w:hAnsi="Calibri"/>
                <w:sz w:val="20"/>
                <w:szCs w:val="20"/>
              </w:rPr>
              <w:t>Expected Results</w:t>
            </w:r>
          </w:p>
        </w:tc>
      </w:tr>
      <w:tr w:rsidR="008430AC" w:rsidRPr="00D6638C" w14:paraId="766B8175" w14:textId="77777777" w:rsidTr="008430AC">
        <w:tc>
          <w:tcPr>
            <w:tcW w:w="985" w:type="dxa"/>
          </w:tcPr>
          <w:p w14:paraId="2A705CFC" w14:textId="77777777" w:rsidR="008430AC" w:rsidRPr="00D6638C" w:rsidRDefault="008430AC" w:rsidP="008430AC">
            <w:pPr>
              <w:rPr>
                <w:rFonts w:ascii="Calibri" w:hAnsi="Calibri"/>
                <w:b/>
                <w:bCs/>
                <w:sz w:val="20"/>
              </w:rPr>
            </w:pPr>
            <w:r w:rsidRPr="00D6638C">
              <w:rPr>
                <w:rFonts w:ascii="Calibri" w:hAnsi="Calibri"/>
                <w:b/>
                <w:bCs/>
                <w:sz w:val="20"/>
              </w:rPr>
              <w:t>3.</w:t>
            </w:r>
          </w:p>
        </w:tc>
        <w:tc>
          <w:tcPr>
            <w:tcW w:w="8483" w:type="dxa"/>
          </w:tcPr>
          <w:p w14:paraId="33AC0351" w14:textId="77777777" w:rsidR="008430AC" w:rsidRPr="00D6638C" w:rsidRDefault="008430AC" w:rsidP="008430AC">
            <w:pPr>
              <w:rPr>
                <w:rFonts w:ascii="Calibri" w:hAnsi="Calibri"/>
                <w:sz w:val="20"/>
                <w:szCs w:val="20"/>
              </w:rPr>
            </w:pPr>
            <w:r w:rsidRPr="00D6638C">
              <w:rPr>
                <w:rFonts w:ascii="Calibri" w:hAnsi="Calibri"/>
                <w:sz w:val="20"/>
                <w:szCs w:val="20"/>
              </w:rPr>
              <w:t xml:space="preserve">Findings </w:t>
            </w:r>
          </w:p>
          <w:p w14:paraId="6908171C" w14:textId="77777777" w:rsidR="008430AC" w:rsidRPr="00D6638C" w:rsidRDefault="008430AC" w:rsidP="008430AC">
            <w:pPr>
              <w:rPr>
                <w:rFonts w:ascii="Calibri" w:hAnsi="Calibri"/>
                <w:sz w:val="20"/>
              </w:rPr>
            </w:pPr>
            <w:r w:rsidRPr="00D6638C">
              <w:rPr>
                <w:rFonts w:ascii="Calibri" w:hAnsi="Calibri"/>
                <w:sz w:val="20"/>
                <w:szCs w:val="20"/>
              </w:rPr>
              <w:t>(In addition to a descriptive assessment, all criteria marked with (*) must be rated</w:t>
            </w:r>
            <w:r w:rsidRPr="00D6638C">
              <w:rPr>
                <w:rFonts w:ascii="Calibri" w:hAnsi="Calibri" w:cs="Calibri"/>
                <w:sz w:val="20"/>
                <w:szCs w:val="20"/>
                <w:vertAlign w:val="superscript"/>
              </w:rPr>
              <w:footnoteReference w:id="14"/>
            </w:r>
            <w:r w:rsidRPr="00D6638C">
              <w:rPr>
                <w:rFonts w:ascii="Calibri" w:hAnsi="Calibri"/>
                <w:sz w:val="20"/>
                <w:szCs w:val="20"/>
              </w:rPr>
              <w:t xml:space="preserve">) </w:t>
            </w:r>
          </w:p>
        </w:tc>
      </w:tr>
      <w:tr w:rsidR="008430AC" w:rsidRPr="00D6638C" w14:paraId="45DA9868" w14:textId="77777777" w:rsidTr="008430AC">
        <w:tc>
          <w:tcPr>
            <w:tcW w:w="985" w:type="dxa"/>
          </w:tcPr>
          <w:p w14:paraId="1552621D" w14:textId="77777777" w:rsidR="008430AC" w:rsidRPr="00D6638C" w:rsidRDefault="008430AC" w:rsidP="008430AC">
            <w:pPr>
              <w:rPr>
                <w:rFonts w:ascii="Calibri" w:hAnsi="Calibri"/>
                <w:b/>
                <w:bCs/>
                <w:sz w:val="20"/>
              </w:rPr>
            </w:pPr>
            <w:r w:rsidRPr="00D6638C">
              <w:rPr>
                <w:rFonts w:ascii="Calibri" w:hAnsi="Calibri"/>
                <w:b/>
                <w:bCs/>
                <w:sz w:val="20"/>
              </w:rPr>
              <w:t>3.1</w:t>
            </w:r>
          </w:p>
        </w:tc>
        <w:tc>
          <w:tcPr>
            <w:tcW w:w="8483" w:type="dxa"/>
          </w:tcPr>
          <w:p w14:paraId="148AA8B6" w14:textId="77777777" w:rsidR="008430AC" w:rsidRPr="00D6638C" w:rsidRDefault="008430AC" w:rsidP="008430AC">
            <w:pPr>
              <w:rPr>
                <w:rFonts w:ascii="Calibri" w:hAnsi="Calibri"/>
                <w:sz w:val="20"/>
                <w:szCs w:val="20"/>
              </w:rPr>
            </w:pPr>
            <w:r w:rsidRPr="00D6638C">
              <w:rPr>
                <w:rFonts w:ascii="Calibri" w:hAnsi="Calibri"/>
                <w:sz w:val="20"/>
                <w:szCs w:val="20"/>
              </w:rPr>
              <w:t>Project Design / Formulation</w:t>
            </w:r>
          </w:p>
          <w:p w14:paraId="26770E1C"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Analysis of LFA/Results Framework (Project logic /strategy; Indicators)</w:t>
            </w:r>
          </w:p>
          <w:p w14:paraId="4065004B"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Assumptions and Risks</w:t>
            </w:r>
          </w:p>
          <w:p w14:paraId="7DC918F4"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Lessons from other relevant projects (e.g., same focal area) incorporated into project design </w:t>
            </w:r>
          </w:p>
          <w:p w14:paraId="26CF556F"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Planned stakeholder participation </w:t>
            </w:r>
          </w:p>
          <w:p w14:paraId="7B0D427C"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Replication approach </w:t>
            </w:r>
          </w:p>
          <w:p w14:paraId="46BC93F8"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UNDP comparative advantage</w:t>
            </w:r>
          </w:p>
          <w:p w14:paraId="4B8573EC"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Linkages between project and other interventions within the sector</w:t>
            </w:r>
          </w:p>
          <w:p w14:paraId="59BD14FA"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Management arrangements</w:t>
            </w:r>
          </w:p>
        </w:tc>
      </w:tr>
      <w:tr w:rsidR="008430AC" w:rsidRPr="00D6638C" w14:paraId="1122F320" w14:textId="77777777" w:rsidTr="008430AC">
        <w:tc>
          <w:tcPr>
            <w:tcW w:w="985" w:type="dxa"/>
          </w:tcPr>
          <w:p w14:paraId="6E15A299" w14:textId="77777777" w:rsidR="008430AC" w:rsidRPr="00D6638C" w:rsidRDefault="008430AC" w:rsidP="008430AC">
            <w:pPr>
              <w:rPr>
                <w:rFonts w:ascii="Calibri" w:hAnsi="Calibri"/>
                <w:b/>
                <w:bCs/>
                <w:sz w:val="20"/>
              </w:rPr>
            </w:pPr>
            <w:r w:rsidRPr="00D6638C">
              <w:rPr>
                <w:rFonts w:ascii="Calibri" w:hAnsi="Calibri"/>
                <w:b/>
                <w:bCs/>
                <w:sz w:val="20"/>
              </w:rPr>
              <w:t>3.2</w:t>
            </w:r>
          </w:p>
        </w:tc>
        <w:tc>
          <w:tcPr>
            <w:tcW w:w="8483" w:type="dxa"/>
          </w:tcPr>
          <w:p w14:paraId="4F0BB919" w14:textId="77777777" w:rsidR="008430AC" w:rsidRPr="00D6638C" w:rsidRDefault="008430AC" w:rsidP="008430AC">
            <w:pPr>
              <w:rPr>
                <w:rFonts w:ascii="Calibri" w:hAnsi="Calibri"/>
                <w:sz w:val="20"/>
                <w:szCs w:val="20"/>
              </w:rPr>
            </w:pPr>
            <w:r w:rsidRPr="00D6638C">
              <w:rPr>
                <w:rFonts w:ascii="Calibri" w:hAnsi="Calibri"/>
                <w:sz w:val="20"/>
                <w:szCs w:val="20"/>
              </w:rPr>
              <w:t xml:space="preserve">Project </w:t>
            </w:r>
            <w:r w:rsidRPr="00D6638C">
              <w:rPr>
                <w:rFonts w:ascii="Calibri" w:hAnsi="Calibri"/>
                <w:sz w:val="20"/>
                <w:szCs w:val="20"/>
                <w:lang w:val="en-GB"/>
              </w:rPr>
              <w:t>Implementation</w:t>
            </w:r>
          </w:p>
          <w:p w14:paraId="0FC8D51E"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Adaptive management (changes to the project design and project outputs during implementation)</w:t>
            </w:r>
          </w:p>
          <w:p w14:paraId="26A49BFE"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Partnership arrangements (with relevant stakeholders involved in the country/region)</w:t>
            </w:r>
          </w:p>
          <w:p w14:paraId="14012CAD"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Feedback from M&amp;E activities used for adaptive management</w:t>
            </w:r>
          </w:p>
          <w:p w14:paraId="0C1BB4AE" w14:textId="77777777" w:rsidR="008430AC" w:rsidRPr="00D6638C" w:rsidRDefault="008430AC" w:rsidP="00DC1947">
            <w:pPr>
              <w:widowControl/>
              <w:numPr>
                <w:ilvl w:val="0"/>
                <w:numId w:val="47"/>
              </w:numPr>
              <w:autoSpaceDE/>
              <w:autoSpaceDN/>
              <w:adjustRightInd/>
              <w:rPr>
                <w:rFonts w:ascii="Calibri" w:hAnsi="Calibri"/>
                <w:bCs/>
                <w:sz w:val="20"/>
                <w:szCs w:val="20"/>
              </w:rPr>
            </w:pPr>
            <w:r w:rsidRPr="00D6638C">
              <w:rPr>
                <w:rFonts w:ascii="Calibri" w:hAnsi="Calibri"/>
                <w:sz w:val="20"/>
                <w:szCs w:val="20"/>
              </w:rPr>
              <w:t xml:space="preserve">Project Finance:  </w:t>
            </w:r>
          </w:p>
          <w:p w14:paraId="1DEF23CC" w14:textId="77777777" w:rsidR="008430AC" w:rsidRPr="00D6638C" w:rsidRDefault="008430AC" w:rsidP="00DC1947">
            <w:pPr>
              <w:widowControl/>
              <w:numPr>
                <w:ilvl w:val="0"/>
                <w:numId w:val="47"/>
              </w:numPr>
              <w:autoSpaceDE/>
              <w:autoSpaceDN/>
              <w:adjustRightInd/>
              <w:rPr>
                <w:rFonts w:ascii="Calibri" w:hAnsi="Calibri"/>
                <w:bCs/>
                <w:sz w:val="20"/>
                <w:szCs w:val="20"/>
              </w:rPr>
            </w:pPr>
            <w:r w:rsidRPr="00D6638C">
              <w:rPr>
                <w:rFonts w:ascii="Calibri" w:hAnsi="Calibri"/>
                <w:sz w:val="20"/>
                <w:szCs w:val="20"/>
              </w:rPr>
              <w:t>Monitoring and evaluation: design at entry and implementation (*)</w:t>
            </w:r>
          </w:p>
          <w:p w14:paraId="7A3CFF81" w14:textId="77777777" w:rsidR="008430AC" w:rsidRPr="00D6638C" w:rsidRDefault="008430AC" w:rsidP="00DC1947">
            <w:pPr>
              <w:widowControl/>
              <w:numPr>
                <w:ilvl w:val="0"/>
                <w:numId w:val="47"/>
              </w:numPr>
              <w:autoSpaceDE/>
              <w:autoSpaceDN/>
              <w:adjustRightInd/>
              <w:rPr>
                <w:rFonts w:ascii="Calibri" w:hAnsi="Calibri"/>
                <w:b/>
                <w:bCs/>
                <w:sz w:val="20"/>
                <w:szCs w:val="20"/>
              </w:rPr>
            </w:pPr>
            <w:r w:rsidRPr="00D6638C">
              <w:rPr>
                <w:rFonts w:ascii="Calibri" w:hAnsi="Calibri"/>
                <w:sz w:val="20"/>
                <w:szCs w:val="20"/>
              </w:rPr>
              <w:t>UNDP and Implementing Partner implementation / execution (*) coordination, and operational issues</w:t>
            </w:r>
          </w:p>
        </w:tc>
      </w:tr>
      <w:tr w:rsidR="008430AC" w:rsidRPr="00D6638C" w14:paraId="0F2FC6A0" w14:textId="77777777" w:rsidTr="008430AC">
        <w:trPr>
          <w:trHeight w:val="74"/>
        </w:trPr>
        <w:tc>
          <w:tcPr>
            <w:tcW w:w="985" w:type="dxa"/>
          </w:tcPr>
          <w:p w14:paraId="04D5BE76" w14:textId="77777777" w:rsidR="008430AC" w:rsidRPr="00D6638C" w:rsidRDefault="008430AC" w:rsidP="008430AC">
            <w:pPr>
              <w:rPr>
                <w:rFonts w:ascii="Calibri" w:hAnsi="Calibri"/>
                <w:b/>
                <w:bCs/>
                <w:sz w:val="20"/>
              </w:rPr>
            </w:pPr>
            <w:r w:rsidRPr="00D6638C">
              <w:rPr>
                <w:rFonts w:ascii="Calibri" w:hAnsi="Calibri"/>
                <w:b/>
                <w:bCs/>
                <w:sz w:val="20"/>
              </w:rPr>
              <w:t>3.3</w:t>
            </w:r>
          </w:p>
        </w:tc>
        <w:tc>
          <w:tcPr>
            <w:tcW w:w="8483" w:type="dxa"/>
          </w:tcPr>
          <w:p w14:paraId="16F87250" w14:textId="77777777" w:rsidR="008430AC" w:rsidRPr="00D6638C" w:rsidRDefault="008430AC" w:rsidP="008430AC">
            <w:pPr>
              <w:rPr>
                <w:rFonts w:ascii="Calibri" w:hAnsi="Calibri"/>
                <w:sz w:val="20"/>
                <w:szCs w:val="20"/>
              </w:rPr>
            </w:pPr>
            <w:r w:rsidRPr="00D6638C">
              <w:rPr>
                <w:rFonts w:ascii="Calibri" w:hAnsi="Calibri"/>
                <w:sz w:val="20"/>
                <w:szCs w:val="20"/>
              </w:rPr>
              <w:t xml:space="preserve">Project </w:t>
            </w:r>
            <w:r w:rsidRPr="00D6638C">
              <w:rPr>
                <w:rFonts w:ascii="Calibri" w:hAnsi="Calibri"/>
                <w:sz w:val="20"/>
                <w:szCs w:val="20"/>
                <w:lang w:val="en-GB"/>
              </w:rPr>
              <w:t>Results</w:t>
            </w:r>
          </w:p>
          <w:p w14:paraId="54461870" w14:textId="77777777" w:rsidR="008430AC" w:rsidRPr="00D6638C" w:rsidRDefault="008430AC" w:rsidP="00DC1947">
            <w:pPr>
              <w:widowControl/>
              <w:numPr>
                <w:ilvl w:val="0"/>
                <w:numId w:val="47"/>
              </w:numPr>
              <w:autoSpaceDE/>
              <w:autoSpaceDN/>
              <w:adjustRightInd/>
              <w:rPr>
                <w:rFonts w:ascii="Calibri" w:hAnsi="Calibri"/>
                <w:bCs/>
                <w:sz w:val="20"/>
                <w:szCs w:val="20"/>
              </w:rPr>
            </w:pPr>
            <w:r w:rsidRPr="00D6638C">
              <w:rPr>
                <w:rFonts w:ascii="Calibri" w:hAnsi="Calibri"/>
                <w:sz w:val="20"/>
                <w:szCs w:val="20"/>
              </w:rPr>
              <w:t>Overall results (attainment of objectives) (*)</w:t>
            </w:r>
          </w:p>
          <w:p w14:paraId="2024756E" w14:textId="77777777" w:rsidR="008430AC" w:rsidRPr="00D6638C" w:rsidRDefault="008430AC" w:rsidP="00DC1947">
            <w:pPr>
              <w:widowControl/>
              <w:numPr>
                <w:ilvl w:val="0"/>
                <w:numId w:val="47"/>
              </w:numPr>
              <w:autoSpaceDE/>
              <w:autoSpaceDN/>
              <w:adjustRightInd/>
              <w:rPr>
                <w:rFonts w:ascii="Calibri" w:hAnsi="Calibri"/>
                <w:bCs/>
                <w:sz w:val="20"/>
                <w:szCs w:val="20"/>
              </w:rPr>
            </w:pPr>
            <w:r w:rsidRPr="00D6638C">
              <w:rPr>
                <w:rFonts w:ascii="Calibri" w:hAnsi="Calibri"/>
                <w:sz w:val="20"/>
                <w:szCs w:val="20"/>
              </w:rPr>
              <w:t>Relevance(*)</w:t>
            </w:r>
          </w:p>
          <w:p w14:paraId="31B9B04A" w14:textId="77777777" w:rsidR="008430AC" w:rsidRPr="00D6638C" w:rsidRDefault="008430AC" w:rsidP="00DC1947">
            <w:pPr>
              <w:widowControl/>
              <w:numPr>
                <w:ilvl w:val="0"/>
                <w:numId w:val="47"/>
              </w:numPr>
              <w:autoSpaceDE/>
              <w:autoSpaceDN/>
              <w:adjustRightInd/>
              <w:rPr>
                <w:rFonts w:ascii="Calibri" w:hAnsi="Calibri"/>
                <w:bCs/>
                <w:sz w:val="20"/>
                <w:szCs w:val="20"/>
              </w:rPr>
            </w:pPr>
            <w:r w:rsidRPr="00D6638C">
              <w:rPr>
                <w:rFonts w:ascii="Calibri" w:hAnsi="Calibri"/>
                <w:sz w:val="20"/>
                <w:szCs w:val="20"/>
              </w:rPr>
              <w:t>Effectiveness &amp; Efficiency (*)</w:t>
            </w:r>
          </w:p>
          <w:p w14:paraId="3BACCA9E"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Country ownership </w:t>
            </w:r>
          </w:p>
          <w:p w14:paraId="6EE5F107"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Mainstreaming</w:t>
            </w:r>
          </w:p>
          <w:p w14:paraId="065C8D63" w14:textId="77777777" w:rsidR="008430AC" w:rsidRPr="00D6638C" w:rsidRDefault="008430AC" w:rsidP="00DC1947">
            <w:pPr>
              <w:widowControl/>
              <w:numPr>
                <w:ilvl w:val="0"/>
                <w:numId w:val="47"/>
              </w:numPr>
              <w:autoSpaceDE/>
              <w:autoSpaceDN/>
              <w:adjustRightInd/>
              <w:rPr>
                <w:rFonts w:ascii="Calibri" w:hAnsi="Calibri"/>
                <w:bCs/>
                <w:sz w:val="20"/>
                <w:szCs w:val="20"/>
              </w:rPr>
            </w:pPr>
            <w:r w:rsidRPr="00D6638C">
              <w:rPr>
                <w:rFonts w:ascii="Calibri" w:hAnsi="Calibri"/>
                <w:sz w:val="20"/>
                <w:szCs w:val="20"/>
              </w:rPr>
              <w:t xml:space="preserve">Sustainability (*) </w:t>
            </w:r>
          </w:p>
          <w:p w14:paraId="27A8BB8D"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Impact </w:t>
            </w:r>
          </w:p>
        </w:tc>
      </w:tr>
      <w:tr w:rsidR="008430AC" w:rsidRPr="00D6638C" w14:paraId="4A22D017" w14:textId="77777777" w:rsidTr="008430AC">
        <w:tc>
          <w:tcPr>
            <w:tcW w:w="985" w:type="dxa"/>
          </w:tcPr>
          <w:p w14:paraId="36E396A8" w14:textId="77777777" w:rsidR="008430AC" w:rsidRPr="00D6638C" w:rsidRDefault="008430AC" w:rsidP="008430AC">
            <w:pPr>
              <w:rPr>
                <w:rFonts w:ascii="Calibri" w:hAnsi="Calibri"/>
                <w:b/>
                <w:bCs/>
                <w:sz w:val="20"/>
              </w:rPr>
            </w:pPr>
            <w:r w:rsidRPr="00D6638C">
              <w:rPr>
                <w:rFonts w:ascii="Calibri" w:hAnsi="Calibri"/>
                <w:b/>
                <w:bCs/>
                <w:sz w:val="20"/>
              </w:rPr>
              <w:t xml:space="preserve">4. </w:t>
            </w:r>
          </w:p>
        </w:tc>
        <w:tc>
          <w:tcPr>
            <w:tcW w:w="8483" w:type="dxa"/>
          </w:tcPr>
          <w:p w14:paraId="54177D27" w14:textId="77777777" w:rsidR="008430AC" w:rsidRPr="00D6638C" w:rsidRDefault="008430AC" w:rsidP="008430AC">
            <w:pPr>
              <w:rPr>
                <w:rFonts w:ascii="Calibri" w:hAnsi="Calibri"/>
                <w:sz w:val="20"/>
                <w:szCs w:val="20"/>
              </w:rPr>
            </w:pPr>
            <w:r w:rsidRPr="00D6638C">
              <w:rPr>
                <w:rFonts w:ascii="Calibri" w:hAnsi="Calibri"/>
                <w:sz w:val="20"/>
                <w:szCs w:val="20"/>
              </w:rPr>
              <w:t>Conclusions, Recommendations &amp; Lessons</w:t>
            </w:r>
          </w:p>
          <w:p w14:paraId="24291E02"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Corrective actions for the design, implementation, monitoring and evaluation of the project</w:t>
            </w:r>
          </w:p>
          <w:p w14:paraId="5870E839"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Actions to follow up or reinforce initial benefits from the project</w:t>
            </w:r>
          </w:p>
          <w:p w14:paraId="7E89C711"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Proposals for future directions underlining main objectives</w:t>
            </w:r>
          </w:p>
          <w:p w14:paraId="06A6DAC1"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Best and worst practices in addressing issues relating to relevance, performance and success</w:t>
            </w:r>
          </w:p>
        </w:tc>
      </w:tr>
      <w:tr w:rsidR="008430AC" w:rsidRPr="00D6638C" w14:paraId="5B10B96F" w14:textId="77777777" w:rsidTr="008430AC">
        <w:tc>
          <w:tcPr>
            <w:tcW w:w="985" w:type="dxa"/>
          </w:tcPr>
          <w:p w14:paraId="3495E21D" w14:textId="77777777" w:rsidR="008430AC" w:rsidRPr="00D6638C" w:rsidRDefault="008430AC" w:rsidP="008430AC">
            <w:pPr>
              <w:rPr>
                <w:rFonts w:ascii="Calibri" w:hAnsi="Calibri"/>
                <w:b/>
                <w:bCs/>
                <w:sz w:val="20"/>
              </w:rPr>
            </w:pPr>
            <w:r w:rsidRPr="00D6638C">
              <w:rPr>
                <w:rFonts w:ascii="Calibri" w:hAnsi="Calibri"/>
                <w:b/>
                <w:bCs/>
                <w:sz w:val="20"/>
              </w:rPr>
              <w:t xml:space="preserve">5. </w:t>
            </w:r>
          </w:p>
        </w:tc>
        <w:tc>
          <w:tcPr>
            <w:tcW w:w="8483" w:type="dxa"/>
          </w:tcPr>
          <w:p w14:paraId="7510519E" w14:textId="77777777" w:rsidR="008430AC" w:rsidRPr="00D6638C" w:rsidRDefault="008430AC" w:rsidP="008430AC">
            <w:pPr>
              <w:rPr>
                <w:rFonts w:ascii="Calibri" w:hAnsi="Calibri"/>
                <w:sz w:val="20"/>
                <w:szCs w:val="20"/>
              </w:rPr>
            </w:pPr>
            <w:r w:rsidRPr="00D6638C">
              <w:rPr>
                <w:rFonts w:ascii="Calibri" w:hAnsi="Calibri"/>
                <w:sz w:val="20"/>
                <w:szCs w:val="20"/>
              </w:rPr>
              <w:t>Annexes</w:t>
            </w:r>
          </w:p>
          <w:p w14:paraId="0E18077F"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ToR</w:t>
            </w:r>
          </w:p>
          <w:p w14:paraId="4AE45898"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Itinerary</w:t>
            </w:r>
          </w:p>
          <w:p w14:paraId="3527A7AB"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List of persons interviewed</w:t>
            </w:r>
          </w:p>
          <w:p w14:paraId="4D582CE7"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Summary of field visits</w:t>
            </w:r>
          </w:p>
          <w:p w14:paraId="4ABF7555"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List of documents reviewed</w:t>
            </w:r>
          </w:p>
          <w:p w14:paraId="2E05086F"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Evaluation Question Matrix</w:t>
            </w:r>
          </w:p>
          <w:p w14:paraId="122159E7" w14:textId="77777777" w:rsidR="008430AC" w:rsidRPr="00D6638C" w:rsidRDefault="008430AC" w:rsidP="00DC1947">
            <w:pPr>
              <w:widowControl/>
              <w:numPr>
                <w:ilvl w:val="0"/>
                <w:numId w:val="47"/>
              </w:numPr>
              <w:autoSpaceDE/>
              <w:autoSpaceDN/>
              <w:adjustRightInd/>
              <w:rPr>
                <w:rFonts w:ascii="Calibri" w:hAnsi="Calibri"/>
                <w:b/>
                <w:sz w:val="20"/>
                <w:szCs w:val="20"/>
              </w:rPr>
            </w:pPr>
            <w:r w:rsidRPr="00D6638C">
              <w:rPr>
                <w:rFonts w:ascii="Calibri" w:hAnsi="Calibri"/>
                <w:sz w:val="20"/>
                <w:szCs w:val="20"/>
              </w:rPr>
              <w:t>Questionnaire used and summary of results</w:t>
            </w:r>
          </w:p>
          <w:p w14:paraId="2482A2A6" w14:textId="77777777" w:rsidR="008430AC" w:rsidRPr="00D6638C" w:rsidRDefault="008430AC" w:rsidP="00DC1947">
            <w:pPr>
              <w:widowControl/>
              <w:numPr>
                <w:ilvl w:val="0"/>
                <w:numId w:val="47"/>
              </w:numPr>
              <w:autoSpaceDE/>
              <w:autoSpaceDN/>
              <w:adjustRightInd/>
              <w:rPr>
                <w:rFonts w:ascii="Calibri" w:hAnsi="Calibri"/>
                <w:sz w:val="20"/>
                <w:szCs w:val="20"/>
              </w:rPr>
            </w:pPr>
            <w:r w:rsidRPr="00D6638C">
              <w:rPr>
                <w:rFonts w:ascii="Calibri" w:hAnsi="Calibri"/>
                <w:sz w:val="20"/>
                <w:szCs w:val="20"/>
              </w:rPr>
              <w:t xml:space="preserve">Evaluation Consultant Agreement Form  </w:t>
            </w:r>
          </w:p>
          <w:p w14:paraId="42A688D4" w14:textId="77777777" w:rsidR="008430AC" w:rsidRPr="00D6638C" w:rsidRDefault="008430AC" w:rsidP="008430AC">
            <w:pPr>
              <w:rPr>
                <w:rFonts w:ascii="Calibri" w:hAnsi="Calibri"/>
                <w:sz w:val="20"/>
                <w:szCs w:val="20"/>
              </w:rPr>
            </w:pPr>
          </w:p>
          <w:p w14:paraId="09DC14A5" w14:textId="77777777" w:rsidR="008430AC" w:rsidRPr="00D6638C" w:rsidRDefault="008430AC" w:rsidP="008430AC">
            <w:pPr>
              <w:rPr>
                <w:rFonts w:ascii="Calibri" w:hAnsi="Calibri"/>
                <w:sz w:val="20"/>
                <w:szCs w:val="20"/>
              </w:rPr>
            </w:pPr>
          </w:p>
        </w:tc>
      </w:tr>
    </w:tbl>
    <w:p w14:paraId="2BA6B9B5" w14:textId="77777777" w:rsidR="008430AC" w:rsidRPr="00D6638C" w:rsidRDefault="008430AC" w:rsidP="008430AC">
      <w:pPr>
        <w:spacing w:before="200"/>
        <w:rPr>
          <w:rFonts w:ascii="Calibri" w:hAnsi="Calibri"/>
          <w:sz w:val="20"/>
          <w:szCs w:val="20"/>
        </w:rPr>
      </w:pPr>
      <w:bookmarkStart w:id="147" w:name="_TOR_Annex_G:"/>
      <w:bookmarkStart w:id="148" w:name="_Toc299133058"/>
      <w:bookmarkStart w:id="149" w:name="_Toc299122848"/>
      <w:bookmarkStart w:id="150" w:name="_Toc299122870"/>
      <w:bookmarkStart w:id="151" w:name="_Toc299126634"/>
      <w:bookmarkEnd w:id="147"/>
    </w:p>
    <w:p w14:paraId="362F1B30" w14:textId="77777777" w:rsidR="008430AC" w:rsidRPr="00D6638C" w:rsidRDefault="008430AC" w:rsidP="008430AC">
      <w:pPr>
        <w:spacing w:before="200"/>
        <w:rPr>
          <w:rFonts w:ascii="Calibri" w:hAnsi="Calibri"/>
          <w:color w:val="243F60"/>
          <w:spacing w:val="15"/>
        </w:rPr>
      </w:pPr>
      <w:r w:rsidRPr="00D6638C">
        <w:rPr>
          <w:rFonts w:ascii="Calibri" w:hAnsi="Calibri"/>
          <w:sz w:val="20"/>
          <w:szCs w:val="20"/>
        </w:rPr>
        <w:br w:type="page"/>
      </w:r>
    </w:p>
    <w:p w14:paraId="4832D063" w14:textId="205C8826" w:rsidR="008430AC" w:rsidRPr="00F05366" w:rsidRDefault="009436EF" w:rsidP="008430AC">
      <w:pPr>
        <w:pStyle w:val="Heading31"/>
      </w:pPr>
      <w:bookmarkStart w:id="152" w:name="_TOR_Annex_G:_1"/>
      <w:bookmarkStart w:id="153" w:name="_Toc321341568"/>
      <w:bookmarkEnd w:id="152"/>
      <w:r>
        <w:lastRenderedPageBreak/>
        <w:t>TOR-</w:t>
      </w:r>
      <w:r w:rsidR="00DE6048">
        <w:t>A</w:t>
      </w:r>
      <w:r w:rsidR="008430AC" w:rsidRPr="00F05366">
        <w:t>nnex G: Evaluation Report Clearance Form</w:t>
      </w:r>
      <w:bookmarkEnd w:id="148"/>
      <w:bookmarkEnd w:id="153"/>
    </w:p>
    <w:p w14:paraId="60713889" w14:textId="75739DDC" w:rsidR="008430AC" w:rsidRPr="00D6638C" w:rsidRDefault="004E41F0" w:rsidP="008430AC">
      <w:pPr>
        <w:spacing w:before="200"/>
        <w:rPr>
          <w:rFonts w:ascii="Calibri" w:hAnsi="Calibri"/>
          <w:i/>
          <w:sz w:val="20"/>
          <w:szCs w:val="20"/>
        </w:rPr>
      </w:pPr>
      <w:r>
        <w:rPr>
          <w:rFonts w:ascii="Calibri" w:hAnsi="Calibri"/>
          <w:noProof/>
          <w:sz w:val="20"/>
          <w:szCs w:val="20"/>
        </w:rPr>
        <mc:AlternateContent>
          <mc:Choice Requires="wps">
            <w:drawing>
              <wp:anchor distT="0" distB="0" distL="114300" distR="114300" simplePos="0" relativeHeight="251742208" behindDoc="0" locked="0" layoutInCell="1" allowOverlap="1" wp14:anchorId="44BF4711" wp14:editId="636A05F6">
                <wp:simplePos x="0" y="0"/>
                <wp:positionH relativeFrom="column">
                  <wp:posOffset>-99060</wp:posOffset>
                </wp:positionH>
                <wp:positionV relativeFrom="paragraph">
                  <wp:posOffset>381000</wp:posOffset>
                </wp:positionV>
                <wp:extent cx="5835015" cy="2028825"/>
                <wp:effectExtent l="0" t="0" r="1333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028825"/>
                        </a:xfrm>
                        <a:prstGeom prst="rect">
                          <a:avLst/>
                        </a:prstGeom>
                        <a:solidFill>
                          <a:srgbClr val="FFFFFF"/>
                        </a:solidFill>
                        <a:ln w="9525">
                          <a:solidFill>
                            <a:srgbClr val="000000"/>
                          </a:solidFill>
                          <a:miter lim="800000"/>
                          <a:headEnd/>
                          <a:tailEnd/>
                        </a:ln>
                      </wps:spPr>
                      <wps:txbx>
                        <w:txbxContent>
                          <w:p w14:paraId="6243C50E" w14:textId="77777777" w:rsidR="00B10766" w:rsidRPr="009436EF" w:rsidRDefault="00B10766" w:rsidP="008430AC">
                            <w:pPr>
                              <w:rPr>
                                <w:rFonts w:eastAsia="Batang"/>
                                <w:sz w:val="22"/>
                                <w:szCs w:val="22"/>
                              </w:rPr>
                            </w:pPr>
                            <w:r w:rsidRPr="009436EF">
                              <w:rPr>
                                <w:rFonts w:eastAsia="Batang"/>
                                <w:sz w:val="22"/>
                                <w:szCs w:val="22"/>
                              </w:rPr>
                              <w:t>Evaluation Report Reviewed and Cleared by</w:t>
                            </w:r>
                          </w:p>
                          <w:p w14:paraId="5CEBA019" w14:textId="77777777" w:rsidR="00B10766" w:rsidRPr="009436EF" w:rsidRDefault="00B10766" w:rsidP="008430AC">
                            <w:pPr>
                              <w:rPr>
                                <w:sz w:val="22"/>
                                <w:szCs w:val="22"/>
                              </w:rPr>
                            </w:pPr>
                            <w:r w:rsidRPr="009436EF">
                              <w:rPr>
                                <w:sz w:val="22"/>
                                <w:szCs w:val="22"/>
                              </w:rPr>
                              <w:t>UNDP Country Office</w:t>
                            </w:r>
                          </w:p>
                          <w:p w14:paraId="5669BC24" w14:textId="77777777" w:rsidR="00B10766" w:rsidRPr="009436EF" w:rsidRDefault="00B10766" w:rsidP="008430AC">
                            <w:pPr>
                              <w:rPr>
                                <w:sz w:val="22"/>
                                <w:szCs w:val="22"/>
                              </w:rPr>
                            </w:pPr>
                            <w:r w:rsidRPr="009436EF">
                              <w:rPr>
                                <w:sz w:val="22"/>
                                <w:szCs w:val="22"/>
                              </w:rPr>
                              <w:t>Name:  ___________________________________________________</w:t>
                            </w:r>
                          </w:p>
                          <w:p w14:paraId="68CEB1DA" w14:textId="77777777" w:rsidR="00B10766" w:rsidRDefault="00B10766" w:rsidP="008430AC">
                            <w:pPr>
                              <w:rPr>
                                <w:sz w:val="22"/>
                                <w:szCs w:val="22"/>
                              </w:rPr>
                            </w:pPr>
                          </w:p>
                          <w:p w14:paraId="5C89F519" w14:textId="77777777" w:rsidR="00B10766" w:rsidRDefault="00B10766" w:rsidP="008430AC">
                            <w:pPr>
                              <w:rPr>
                                <w:sz w:val="22"/>
                                <w:szCs w:val="22"/>
                              </w:rPr>
                            </w:pPr>
                          </w:p>
                          <w:p w14:paraId="3163A1D9" w14:textId="77777777" w:rsidR="00B10766" w:rsidRPr="009436EF" w:rsidRDefault="00B10766" w:rsidP="008430AC">
                            <w:pPr>
                              <w:rPr>
                                <w:sz w:val="22"/>
                                <w:szCs w:val="22"/>
                              </w:rPr>
                            </w:pPr>
                            <w:r w:rsidRPr="009436EF">
                              <w:rPr>
                                <w:sz w:val="22"/>
                                <w:szCs w:val="22"/>
                              </w:rPr>
                              <w:t>Signature: ______________________________       Date: _________________________________</w:t>
                            </w:r>
                          </w:p>
                          <w:p w14:paraId="4248F566" w14:textId="77777777" w:rsidR="00B10766" w:rsidRDefault="00B10766" w:rsidP="008430AC">
                            <w:pPr>
                              <w:rPr>
                                <w:sz w:val="22"/>
                                <w:szCs w:val="22"/>
                              </w:rPr>
                            </w:pPr>
                          </w:p>
                          <w:p w14:paraId="5644C378" w14:textId="77777777" w:rsidR="00B10766" w:rsidRPr="009436EF" w:rsidRDefault="00B10766" w:rsidP="008430AC">
                            <w:pPr>
                              <w:rPr>
                                <w:sz w:val="22"/>
                                <w:szCs w:val="22"/>
                              </w:rPr>
                            </w:pPr>
                            <w:r w:rsidRPr="009436EF">
                              <w:rPr>
                                <w:sz w:val="22"/>
                                <w:szCs w:val="22"/>
                              </w:rPr>
                              <w:t>UNDP GEF RTA</w:t>
                            </w:r>
                          </w:p>
                          <w:p w14:paraId="270BB0EE" w14:textId="57295C81" w:rsidR="00B10766" w:rsidRPr="009436EF" w:rsidRDefault="00B10766" w:rsidP="008430AC">
                            <w:pPr>
                              <w:rPr>
                                <w:sz w:val="22"/>
                                <w:szCs w:val="22"/>
                              </w:rPr>
                            </w:pPr>
                            <w:r w:rsidRPr="009436EF">
                              <w:rPr>
                                <w:sz w:val="22"/>
                                <w:szCs w:val="22"/>
                              </w:rPr>
                              <w:t>Name:  ___________________________________________________</w:t>
                            </w:r>
                          </w:p>
                          <w:p w14:paraId="03FB34E8" w14:textId="77777777" w:rsidR="00B10766" w:rsidRDefault="00B10766" w:rsidP="008430AC">
                            <w:pPr>
                              <w:rPr>
                                <w:sz w:val="22"/>
                                <w:szCs w:val="22"/>
                              </w:rPr>
                            </w:pPr>
                          </w:p>
                          <w:p w14:paraId="338CB86B" w14:textId="77777777" w:rsidR="00B10766" w:rsidRDefault="00B10766" w:rsidP="008430AC">
                            <w:pPr>
                              <w:rPr>
                                <w:sz w:val="22"/>
                                <w:szCs w:val="22"/>
                              </w:rPr>
                            </w:pPr>
                          </w:p>
                          <w:p w14:paraId="068F683E" w14:textId="77777777" w:rsidR="00B10766" w:rsidRPr="009436EF" w:rsidRDefault="00B10766" w:rsidP="008430AC">
                            <w:pPr>
                              <w:rPr>
                                <w:sz w:val="22"/>
                                <w:szCs w:val="22"/>
                              </w:rPr>
                            </w:pPr>
                            <w:r w:rsidRPr="009436EF">
                              <w:rPr>
                                <w:sz w:val="22"/>
                                <w:szCs w:val="22"/>
                              </w:rPr>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BF4711" id="_x0000_t202" coordsize="21600,21600" o:spt="202" path="m,l,21600r21600,l21600,xe">
                <v:stroke joinstyle="miter"/>
                <v:path gradientshapeok="t" o:connecttype="rect"/>
              </v:shapetype>
              <v:shape id="Text Box 11" o:spid="_x0000_s1026" type="#_x0000_t202" style="position:absolute;margin-left:-7.8pt;margin-top:30pt;width:459.45pt;height:159.7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">
                <v:textbox style="mso-fit-shape-to-text:t">
                  <w:txbxContent>
                    <w:p w14:paraId="6243C50E" w14:textId="77777777" w:rsidR="00B10766" w:rsidRPr="009436EF" w:rsidRDefault="00B10766" w:rsidP="008430AC">
                      <w:pPr>
                        <w:rPr>
                          <w:rFonts w:eastAsia="Batang"/>
                          <w:sz w:val="22"/>
                          <w:szCs w:val="22"/>
                        </w:rPr>
                      </w:pPr>
                      <w:r w:rsidRPr="009436EF">
                        <w:rPr>
                          <w:rFonts w:eastAsia="Batang"/>
                          <w:sz w:val="22"/>
                          <w:szCs w:val="22"/>
                        </w:rPr>
                        <w:t>Evaluation Report Reviewed and Cleared by</w:t>
                      </w:r>
                    </w:p>
                    <w:p w14:paraId="5CEBA019" w14:textId="77777777" w:rsidR="00B10766" w:rsidRPr="009436EF" w:rsidRDefault="00B10766" w:rsidP="008430AC">
                      <w:pPr>
                        <w:rPr>
                          <w:sz w:val="22"/>
                          <w:szCs w:val="22"/>
                        </w:rPr>
                      </w:pPr>
                      <w:r w:rsidRPr="009436EF">
                        <w:rPr>
                          <w:sz w:val="22"/>
                          <w:szCs w:val="22"/>
                        </w:rPr>
                        <w:t>UNDP Country Office</w:t>
                      </w:r>
                    </w:p>
                    <w:p w14:paraId="5669BC24" w14:textId="77777777" w:rsidR="00B10766" w:rsidRPr="009436EF" w:rsidRDefault="00B10766" w:rsidP="008430AC">
                      <w:pPr>
                        <w:rPr>
                          <w:sz w:val="22"/>
                          <w:szCs w:val="22"/>
                        </w:rPr>
                      </w:pPr>
                      <w:r w:rsidRPr="009436EF">
                        <w:rPr>
                          <w:sz w:val="22"/>
                          <w:szCs w:val="22"/>
                        </w:rPr>
                        <w:t>Name:  ___________________________________________________</w:t>
                      </w:r>
                    </w:p>
                    <w:p w14:paraId="68CEB1DA" w14:textId="77777777" w:rsidR="00B10766" w:rsidRDefault="00B10766" w:rsidP="008430AC">
                      <w:pPr>
                        <w:rPr>
                          <w:sz w:val="22"/>
                          <w:szCs w:val="22"/>
                        </w:rPr>
                      </w:pPr>
                    </w:p>
                    <w:p w14:paraId="5C89F519" w14:textId="77777777" w:rsidR="00B10766" w:rsidRDefault="00B10766" w:rsidP="008430AC">
                      <w:pPr>
                        <w:rPr>
                          <w:sz w:val="22"/>
                          <w:szCs w:val="22"/>
                        </w:rPr>
                      </w:pPr>
                    </w:p>
                    <w:p w14:paraId="3163A1D9" w14:textId="77777777" w:rsidR="00B10766" w:rsidRPr="009436EF" w:rsidRDefault="00B10766" w:rsidP="008430AC">
                      <w:pPr>
                        <w:rPr>
                          <w:sz w:val="22"/>
                          <w:szCs w:val="22"/>
                        </w:rPr>
                      </w:pPr>
                      <w:r w:rsidRPr="009436EF">
                        <w:rPr>
                          <w:sz w:val="22"/>
                          <w:szCs w:val="22"/>
                        </w:rPr>
                        <w:t>Signature: ______________________________       Date: _________________________________</w:t>
                      </w:r>
                    </w:p>
                    <w:p w14:paraId="4248F566" w14:textId="77777777" w:rsidR="00B10766" w:rsidRDefault="00B10766" w:rsidP="008430AC">
                      <w:pPr>
                        <w:rPr>
                          <w:sz w:val="22"/>
                          <w:szCs w:val="22"/>
                        </w:rPr>
                      </w:pPr>
                    </w:p>
                    <w:p w14:paraId="5644C378" w14:textId="77777777" w:rsidR="00B10766" w:rsidRPr="009436EF" w:rsidRDefault="00B10766" w:rsidP="008430AC">
                      <w:pPr>
                        <w:rPr>
                          <w:sz w:val="22"/>
                          <w:szCs w:val="22"/>
                        </w:rPr>
                      </w:pPr>
                      <w:r w:rsidRPr="009436EF">
                        <w:rPr>
                          <w:sz w:val="22"/>
                          <w:szCs w:val="22"/>
                        </w:rPr>
                        <w:t>UNDP GEF RTA</w:t>
                      </w:r>
                    </w:p>
                    <w:p w14:paraId="270BB0EE" w14:textId="57295C81" w:rsidR="00B10766" w:rsidRPr="009436EF" w:rsidRDefault="00B10766" w:rsidP="008430AC">
                      <w:pPr>
                        <w:rPr>
                          <w:sz w:val="22"/>
                          <w:szCs w:val="22"/>
                        </w:rPr>
                      </w:pPr>
                      <w:r w:rsidRPr="009436EF">
                        <w:rPr>
                          <w:sz w:val="22"/>
                          <w:szCs w:val="22"/>
                        </w:rPr>
                        <w:t>Name:  ___________________________________________________</w:t>
                      </w:r>
                    </w:p>
                    <w:p w14:paraId="03FB34E8" w14:textId="77777777" w:rsidR="00B10766" w:rsidRDefault="00B10766" w:rsidP="008430AC">
                      <w:pPr>
                        <w:rPr>
                          <w:sz w:val="22"/>
                          <w:szCs w:val="22"/>
                        </w:rPr>
                      </w:pPr>
                    </w:p>
                    <w:p w14:paraId="338CB86B" w14:textId="77777777" w:rsidR="00B10766" w:rsidRDefault="00B10766" w:rsidP="008430AC">
                      <w:pPr>
                        <w:rPr>
                          <w:sz w:val="22"/>
                          <w:szCs w:val="22"/>
                        </w:rPr>
                      </w:pPr>
                    </w:p>
                    <w:p w14:paraId="068F683E" w14:textId="77777777" w:rsidR="00B10766" w:rsidRPr="009436EF" w:rsidRDefault="00B10766" w:rsidP="008430AC">
                      <w:pPr>
                        <w:rPr>
                          <w:sz w:val="22"/>
                          <w:szCs w:val="22"/>
                        </w:rPr>
                      </w:pPr>
                      <w:r w:rsidRPr="009436EF">
                        <w:rPr>
                          <w:sz w:val="22"/>
                          <w:szCs w:val="22"/>
                        </w:rPr>
                        <w:t>Signature: ______________________________       Date: _________________________________</w:t>
                      </w:r>
                    </w:p>
                  </w:txbxContent>
                </v:textbox>
              </v:shape>
            </w:pict>
          </mc:Fallback>
        </mc:AlternateContent>
      </w:r>
      <w:r w:rsidR="008430AC" w:rsidRPr="00D6638C">
        <w:rPr>
          <w:rFonts w:ascii="Calibri" w:hAnsi="Calibri"/>
          <w:i/>
          <w:sz w:val="20"/>
          <w:szCs w:val="20"/>
          <w:highlight w:val="lightGray"/>
        </w:rPr>
        <w:t>(to be completed by CO and UNDP GEF Technical Adviser based in the region and included in the final document)</w:t>
      </w:r>
      <w:bookmarkEnd w:id="149"/>
      <w:bookmarkEnd w:id="150"/>
      <w:bookmarkEnd w:id="151"/>
    </w:p>
    <w:p w14:paraId="7292C00D" w14:textId="77777777" w:rsidR="008430AC" w:rsidRPr="00D6638C" w:rsidRDefault="008430AC" w:rsidP="008430AC">
      <w:pPr>
        <w:spacing w:before="200"/>
        <w:rPr>
          <w:rFonts w:ascii="Calibri" w:hAnsi="Calibri"/>
          <w:i/>
          <w:sz w:val="20"/>
          <w:szCs w:val="20"/>
        </w:rPr>
      </w:pPr>
    </w:p>
    <w:p w14:paraId="02DE9C3A" w14:textId="77777777" w:rsidR="008430AC" w:rsidRPr="00D6638C" w:rsidRDefault="008430AC" w:rsidP="008430AC">
      <w:pPr>
        <w:spacing w:before="200"/>
        <w:rPr>
          <w:rFonts w:ascii="Calibri" w:hAnsi="Calibri"/>
          <w:i/>
          <w:sz w:val="20"/>
          <w:szCs w:val="20"/>
        </w:rPr>
      </w:pPr>
    </w:p>
    <w:p w14:paraId="311C06F5" w14:textId="77777777" w:rsidR="008430AC" w:rsidRPr="00D6638C" w:rsidRDefault="008430AC" w:rsidP="008430AC">
      <w:pPr>
        <w:spacing w:before="200"/>
        <w:rPr>
          <w:rFonts w:ascii="Calibri" w:hAnsi="Calibri"/>
          <w:i/>
          <w:sz w:val="20"/>
          <w:szCs w:val="20"/>
        </w:rPr>
      </w:pPr>
    </w:p>
    <w:p w14:paraId="1B43AD17" w14:textId="77777777" w:rsidR="008430AC" w:rsidRPr="00D6638C" w:rsidRDefault="008430AC" w:rsidP="008430AC">
      <w:pPr>
        <w:spacing w:before="200"/>
        <w:rPr>
          <w:rFonts w:ascii="Calibri" w:hAnsi="Calibri"/>
          <w:sz w:val="20"/>
          <w:szCs w:val="20"/>
        </w:rPr>
      </w:pPr>
    </w:p>
    <w:p w14:paraId="0E540BCC" w14:textId="77777777" w:rsidR="008430AC" w:rsidRPr="00D6638C" w:rsidRDefault="008430AC" w:rsidP="008430AC">
      <w:pPr>
        <w:spacing w:before="200"/>
        <w:rPr>
          <w:rFonts w:ascii="Calibri" w:hAnsi="Calibri"/>
          <w:sz w:val="20"/>
          <w:szCs w:val="20"/>
        </w:rPr>
      </w:pPr>
    </w:p>
    <w:p w14:paraId="49554CAD" w14:textId="77777777" w:rsidR="008430AC" w:rsidRPr="00D6638C" w:rsidRDefault="008430AC" w:rsidP="008430AC">
      <w:pPr>
        <w:spacing w:before="200"/>
        <w:rPr>
          <w:rFonts w:ascii="Calibri" w:hAnsi="Calibri"/>
          <w:sz w:val="20"/>
          <w:szCs w:val="20"/>
        </w:rPr>
      </w:pPr>
    </w:p>
    <w:p w14:paraId="686B7232" w14:textId="77777777" w:rsidR="008430AC" w:rsidRPr="00D6638C" w:rsidRDefault="008430AC" w:rsidP="008430AC">
      <w:pPr>
        <w:spacing w:before="200"/>
        <w:rPr>
          <w:rFonts w:ascii="Calibri" w:hAnsi="Calibri"/>
          <w:sz w:val="20"/>
          <w:szCs w:val="20"/>
        </w:rPr>
      </w:pPr>
    </w:p>
    <w:p w14:paraId="7D08D0D6" w14:textId="77777777" w:rsidR="008430AC" w:rsidRPr="00D6638C" w:rsidRDefault="008430AC" w:rsidP="008430AC">
      <w:pPr>
        <w:spacing w:before="200"/>
        <w:rPr>
          <w:rFonts w:ascii="Calibri" w:hAnsi="Calibri"/>
          <w:sz w:val="20"/>
          <w:szCs w:val="20"/>
        </w:rPr>
      </w:pPr>
    </w:p>
    <w:p w14:paraId="5640986D" w14:textId="77777777" w:rsidR="008430AC" w:rsidRPr="00D6638C" w:rsidRDefault="008430AC" w:rsidP="008430AC">
      <w:pPr>
        <w:spacing w:before="200"/>
        <w:rPr>
          <w:rFonts w:ascii="Calibri" w:hAnsi="Calibri"/>
          <w:sz w:val="20"/>
          <w:szCs w:val="20"/>
        </w:rPr>
      </w:pPr>
    </w:p>
    <w:p w14:paraId="07248304" w14:textId="77777777" w:rsidR="008430AC" w:rsidRPr="00D6638C" w:rsidRDefault="008430AC" w:rsidP="008430AC">
      <w:pPr>
        <w:spacing w:before="200"/>
        <w:rPr>
          <w:rFonts w:ascii="Calibri" w:hAnsi="Calibri"/>
          <w:sz w:val="20"/>
          <w:szCs w:val="20"/>
        </w:rPr>
      </w:pPr>
    </w:p>
    <w:p w14:paraId="1EC2D5C5" w14:textId="77777777" w:rsidR="008430AC" w:rsidRPr="00D6638C" w:rsidRDefault="008430AC" w:rsidP="008430AC">
      <w:pPr>
        <w:spacing w:before="200"/>
        <w:rPr>
          <w:rFonts w:ascii="Calibri" w:hAnsi="Calibri"/>
          <w:sz w:val="20"/>
          <w:szCs w:val="20"/>
        </w:rPr>
      </w:pPr>
    </w:p>
    <w:p w14:paraId="338FAB94" w14:textId="77777777" w:rsidR="008430AC" w:rsidRPr="00D6638C" w:rsidRDefault="008430AC" w:rsidP="008430AC">
      <w:pPr>
        <w:spacing w:before="200"/>
        <w:rPr>
          <w:rFonts w:ascii="Calibri" w:hAnsi="Calibri"/>
          <w:sz w:val="20"/>
          <w:szCs w:val="20"/>
        </w:rPr>
      </w:pPr>
    </w:p>
    <w:p w14:paraId="29B60B68" w14:textId="77777777" w:rsidR="008430AC" w:rsidRPr="00D6638C" w:rsidRDefault="008430AC" w:rsidP="008430AC">
      <w:pPr>
        <w:spacing w:before="200"/>
        <w:rPr>
          <w:rFonts w:ascii="Calibri" w:hAnsi="Calibri"/>
          <w:sz w:val="20"/>
          <w:szCs w:val="20"/>
        </w:rPr>
      </w:pPr>
    </w:p>
    <w:p w14:paraId="47E068ED" w14:textId="77777777" w:rsidR="008430AC" w:rsidRPr="00D6638C" w:rsidRDefault="008430AC" w:rsidP="008430AC">
      <w:pPr>
        <w:spacing w:before="200"/>
        <w:rPr>
          <w:rFonts w:ascii="Calibri" w:hAnsi="Calibri"/>
          <w:sz w:val="20"/>
          <w:szCs w:val="20"/>
        </w:rPr>
      </w:pPr>
    </w:p>
    <w:p w14:paraId="07262544" w14:textId="77777777" w:rsidR="008430AC" w:rsidRDefault="008430AC" w:rsidP="008430AC">
      <w:pPr>
        <w:spacing w:before="200"/>
      </w:pPr>
      <w:bookmarkStart w:id="154" w:name="_Annex_3._Sample"/>
      <w:bookmarkEnd w:id="154"/>
    </w:p>
    <w:p w14:paraId="07458F0F" w14:textId="77777777" w:rsidR="00F20FB9" w:rsidRDefault="00F20FB9" w:rsidP="00F20FB9">
      <w:pPr>
        <w:rPr>
          <w:sz w:val="22"/>
          <w:szCs w:val="22"/>
        </w:rPr>
      </w:pPr>
    </w:p>
    <w:p w14:paraId="128DE674" w14:textId="77777777" w:rsidR="00F20FB9" w:rsidRDefault="00F20FB9" w:rsidP="00F20FB9">
      <w:pPr>
        <w:rPr>
          <w:sz w:val="22"/>
          <w:szCs w:val="22"/>
        </w:rPr>
      </w:pPr>
    </w:p>
    <w:p w14:paraId="68CEA5DD" w14:textId="77777777" w:rsidR="00F20FB9" w:rsidRPr="00F20FB9" w:rsidRDefault="00F20FB9" w:rsidP="00F20FB9">
      <w:pPr>
        <w:rPr>
          <w:sz w:val="22"/>
          <w:szCs w:val="22"/>
        </w:rPr>
      </w:pPr>
    </w:p>
    <w:p w14:paraId="5ABDF230" w14:textId="77777777" w:rsidR="00D56633" w:rsidRDefault="00D56633">
      <w:pPr>
        <w:widowControl/>
        <w:autoSpaceDE/>
        <w:autoSpaceDN/>
        <w:adjustRightInd/>
        <w:rPr>
          <w:spacing w:val="-2"/>
          <w:sz w:val="22"/>
          <w:szCs w:val="20"/>
        </w:rPr>
      </w:pPr>
      <w:r>
        <w:rPr>
          <w:spacing w:val="-2"/>
        </w:rPr>
        <w:br w:type="page"/>
      </w:r>
    </w:p>
    <w:p w14:paraId="440112A6" w14:textId="77777777" w:rsidR="00D56633" w:rsidRDefault="00D56633" w:rsidP="00D56633">
      <w:pPr>
        <w:pStyle w:val="Heading1"/>
        <w:spacing w:before="120" w:after="120"/>
        <w:rPr>
          <w:sz w:val="24"/>
          <w:szCs w:val="24"/>
        </w:rPr>
      </w:pPr>
      <w:bookmarkStart w:id="155" w:name="_Toc308103270"/>
      <w:r w:rsidRPr="00FB6D4E">
        <w:rPr>
          <w:sz w:val="24"/>
          <w:szCs w:val="24"/>
        </w:rPr>
        <w:lastRenderedPageBreak/>
        <w:t xml:space="preserve">Annex </w:t>
      </w:r>
      <w:r>
        <w:rPr>
          <w:sz w:val="24"/>
          <w:szCs w:val="24"/>
        </w:rPr>
        <w:t>2</w:t>
      </w:r>
      <w:r w:rsidRPr="00FB6D4E">
        <w:rPr>
          <w:sz w:val="24"/>
          <w:szCs w:val="24"/>
        </w:rPr>
        <w:t xml:space="preserve">:  </w:t>
      </w:r>
      <w:r w:rsidRPr="00B47E75">
        <w:rPr>
          <w:sz w:val="24"/>
          <w:szCs w:val="24"/>
        </w:rPr>
        <w:t>Evaluation Consultant Code of Conduct and Agreement Form</w:t>
      </w:r>
      <w:bookmarkEnd w:id="155"/>
    </w:p>
    <w:p w14:paraId="783543C4" w14:textId="77777777" w:rsidR="00D56633" w:rsidRDefault="00D56633" w:rsidP="00D56633">
      <w:pPr>
        <w:rPr>
          <w:b/>
          <w:i/>
          <w:sz w:val="22"/>
          <w:szCs w:val="22"/>
          <w:lang w:val="en-CA"/>
        </w:rPr>
      </w:pPr>
    </w:p>
    <w:p w14:paraId="2E75B1C3" w14:textId="77777777" w:rsidR="00D56633" w:rsidRPr="00EB06D3" w:rsidRDefault="00D56633" w:rsidP="00D56633">
      <w:pPr>
        <w:rPr>
          <w:b/>
          <w:i/>
          <w:sz w:val="22"/>
          <w:szCs w:val="22"/>
          <w:lang w:val="en-CA"/>
        </w:rPr>
      </w:pPr>
      <w:r w:rsidRPr="00EB06D3">
        <w:rPr>
          <w:b/>
          <w:i/>
          <w:sz w:val="22"/>
          <w:szCs w:val="22"/>
          <w:lang w:val="en-CA"/>
        </w:rPr>
        <w:t>Evaluators:</w:t>
      </w:r>
    </w:p>
    <w:p w14:paraId="74314D8B" w14:textId="77777777" w:rsidR="00D56633" w:rsidRPr="00EB06D3" w:rsidRDefault="00D56633" w:rsidP="00D56633">
      <w:pPr>
        <w:rPr>
          <w:sz w:val="22"/>
          <w:szCs w:val="22"/>
          <w:lang w:val="en-CA"/>
        </w:rPr>
      </w:pPr>
    </w:p>
    <w:p w14:paraId="2278C72F" w14:textId="77777777" w:rsidR="00D56633" w:rsidRPr="00EB06D3" w:rsidRDefault="00D56633" w:rsidP="00DC1947">
      <w:pPr>
        <w:pStyle w:val="ListParagraph"/>
        <w:numPr>
          <w:ilvl w:val="0"/>
          <w:numId w:val="36"/>
        </w:numPr>
        <w:rPr>
          <w:sz w:val="22"/>
          <w:szCs w:val="22"/>
          <w:lang w:val="en-CA"/>
        </w:rPr>
      </w:pPr>
      <w:r w:rsidRPr="00EB06D3">
        <w:rPr>
          <w:sz w:val="22"/>
          <w:szCs w:val="22"/>
          <w:lang w:val="en-CA"/>
        </w:rPr>
        <w:t>Must present information that is complete and fair in its assessment of strengths and weaknesses so that decisions or actions taken are well founded.</w:t>
      </w:r>
    </w:p>
    <w:p w14:paraId="0E7E08F4" w14:textId="77777777" w:rsidR="00D56633" w:rsidRPr="00EB06D3" w:rsidRDefault="00D56633" w:rsidP="00DC1947">
      <w:pPr>
        <w:pStyle w:val="ListParagraph"/>
        <w:numPr>
          <w:ilvl w:val="0"/>
          <w:numId w:val="36"/>
        </w:numPr>
        <w:rPr>
          <w:sz w:val="22"/>
          <w:szCs w:val="22"/>
          <w:lang w:val="en-CA"/>
        </w:rPr>
      </w:pPr>
      <w:r w:rsidRPr="00EB06D3">
        <w:rPr>
          <w:sz w:val="22"/>
          <w:szCs w:val="22"/>
          <w:lang w:val="en-CA"/>
        </w:rPr>
        <w:t>Must disclose the full set of evaluation findings along with information on their limitations and have this accessible to all affected by the evaluation with expressed legal rights to receive results.</w:t>
      </w:r>
    </w:p>
    <w:p w14:paraId="142A38EF" w14:textId="77777777" w:rsidR="00D56633" w:rsidRPr="00EB06D3" w:rsidRDefault="00D56633" w:rsidP="00DC1947">
      <w:pPr>
        <w:pStyle w:val="ListParagraph"/>
        <w:numPr>
          <w:ilvl w:val="0"/>
          <w:numId w:val="36"/>
        </w:numPr>
        <w:rPr>
          <w:sz w:val="22"/>
          <w:szCs w:val="22"/>
          <w:lang w:val="en-CA"/>
        </w:rPr>
      </w:pPr>
      <w:r w:rsidRPr="00EB06D3">
        <w:rPr>
          <w:sz w:val="22"/>
          <w:szCs w:val="22"/>
          <w:lang w:val="en-CA"/>
        </w:rPr>
        <w:t>Should protect the anonymity and confidentiality of individual informants. They should provide maximum notice, minimize dema</w:t>
      </w:r>
      <w:r>
        <w:rPr>
          <w:sz w:val="22"/>
          <w:szCs w:val="22"/>
          <w:lang w:val="en-CA"/>
        </w:rPr>
        <w:t>nds on time, and respect people’</w:t>
      </w:r>
      <w:r w:rsidRPr="00EB06D3">
        <w:rPr>
          <w:sz w:val="22"/>
          <w:szCs w:val="22"/>
          <w:lang w:val="en-CA"/>
        </w:rPr>
        <w:t>s right not to engage. Evaluators must respect people</w:t>
      </w:r>
      <w:r>
        <w:rPr>
          <w:sz w:val="22"/>
          <w:szCs w:val="22"/>
          <w:lang w:val="en-CA"/>
        </w:rPr>
        <w:t>’</w:t>
      </w:r>
      <w:r w:rsidRPr="00EB06D3">
        <w:rPr>
          <w:sz w:val="22"/>
          <w:szCs w:val="22"/>
          <w:lang w:val="en-CA"/>
        </w:rPr>
        <w:t>s right to provide information in confidence, and must ensure that sensitive information cannot be traced to its source. Evaluators are not expected to evaluate individuals, and must balance an evaluation of management functions with this general principle.</w:t>
      </w:r>
    </w:p>
    <w:p w14:paraId="32D6D675" w14:textId="77777777" w:rsidR="00D56633" w:rsidRPr="00EB06D3" w:rsidRDefault="00D56633" w:rsidP="00DC1947">
      <w:pPr>
        <w:pStyle w:val="ListParagraph"/>
        <w:numPr>
          <w:ilvl w:val="0"/>
          <w:numId w:val="36"/>
        </w:numPr>
        <w:rPr>
          <w:sz w:val="22"/>
          <w:szCs w:val="22"/>
          <w:lang w:val="en-CA"/>
        </w:rPr>
      </w:pPr>
      <w:r w:rsidRPr="00EB06D3">
        <w:rPr>
          <w:sz w:val="22"/>
          <w:szCs w:val="22"/>
          <w:lang w:val="en-CA"/>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76EE11BB" w14:textId="77777777" w:rsidR="00D56633" w:rsidRPr="00EB06D3" w:rsidRDefault="00D56633" w:rsidP="00DC1947">
      <w:pPr>
        <w:pStyle w:val="ListParagraph"/>
        <w:numPr>
          <w:ilvl w:val="0"/>
          <w:numId w:val="36"/>
        </w:numPr>
        <w:rPr>
          <w:sz w:val="22"/>
          <w:szCs w:val="22"/>
          <w:lang w:val="en-CA"/>
        </w:rPr>
      </w:pPr>
      <w:r w:rsidRPr="00EB06D3">
        <w:rPr>
          <w:sz w:val="22"/>
          <w:szCs w:val="22"/>
          <w:lang w:val="en-CA"/>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262B1ADC" w14:textId="3B80DAD9" w:rsidR="00D56633" w:rsidRPr="00EB06D3" w:rsidRDefault="00D56633" w:rsidP="00DC1947">
      <w:pPr>
        <w:pStyle w:val="ListParagraph"/>
        <w:numPr>
          <w:ilvl w:val="0"/>
          <w:numId w:val="36"/>
        </w:numPr>
        <w:rPr>
          <w:sz w:val="22"/>
          <w:szCs w:val="22"/>
          <w:lang w:val="en-CA"/>
        </w:rPr>
      </w:pPr>
      <w:r w:rsidRPr="00EB06D3">
        <w:rPr>
          <w:sz w:val="22"/>
          <w:szCs w:val="22"/>
          <w:lang w:val="en-CA"/>
        </w:rPr>
        <w:t>Are responsible for their performance and their product(s). They are responsible for the clear, accurate and fair written and/or oral presentation of study imitations, findings and recommendations.</w:t>
      </w:r>
    </w:p>
    <w:p w14:paraId="5EB2415D" w14:textId="77777777" w:rsidR="00D56633" w:rsidRPr="00EB06D3" w:rsidRDefault="00D56633" w:rsidP="00DC1947">
      <w:pPr>
        <w:pStyle w:val="ListParagraph"/>
        <w:numPr>
          <w:ilvl w:val="0"/>
          <w:numId w:val="36"/>
        </w:numPr>
        <w:rPr>
          <w:sz w:val="22"/>
          <w:szCs w:val="22"/>
          <w:lang w:val="en-CA"/>
        </w:rPr>
      </w:pPr>
      <w:r w:rsidRPr="00EB06D3">
        <w:rPr>
          <w:sz w:val="22"/>
          <w:szCs w:val="22"/>
          <w:lang w:val="en-CA"/>
        </w:rPr>
        <w:t>Should reflect sound accounting procedures and be prudent in using the resources of the evaluation.</w:t>
      </w:r>
    </w:p>
    <w:p w14:paraId="778265A6" w14:textId="77777777" w:rsidR="00D56633" w:rsidRDefault="00D56633" w:rsidP="00D56633">
      <w:pPr>
        <w:rPr>
          <w:sz w:val="22"/>
          <w:szCs w:val="22"/>
          <w:lang w:val="en-CA"/>
        </w:rPr>
      </w:pPr>
    </w:p>
    <w:tbl>
      <w:tblPr>
        <w:tblStyle w:val="TableGrid"/>
        <w:tblW w:w="0" w:type="auto"/>
        <w:tblLook w:val="04A0" w:firstRow="1" w:lastRow="0" w:firstColumn="1" w:lastColumn="0" w:noHBand="0" w:noVBand="1"/>
      </w:tblPr>
      <w:tblGrid>
        <w:gridCol w:w="9848"/>
      </w:tblGrid>
      <w:tr w:rsidR="00D56633" w14:paraId="4CD69EFB" w14:textId="77777777" w:rsidTr="00D55160">
        <w:tc>
          <w:tcPr>
            <w:tcW w:w="9848" w:type="dxa"/>
          </w:tcPr>
          <w:p w14:paraId="60827B7A" w14:textId="77777777" w:rsidR="00D56633" w:rsidRPr="0072544F" w:rsidRDefault="00D56633" w:rsidP="00D55160">
            <w:pPr>
              <w:rPr>
                <w:b/>
                <w:i/>
                <w:sz w:val="22"/>
                <w:szCs w:val="22"/>
                <w:lang w:val="en-CA"/>
              </w:rPr>
            </w:pPr>
            <w:r w:rsidRPr="0072544F">
              <w:rPr>
                <w:b/>
                <w:i/>
                <w:sz w:val="22"/>
                <w:szCs w:val="22"/>
                <w:lang w:val="en-CA"/>
              </w:rPr>
              <w:t>Evaluation Consultant Agreement Form</w:t>
            </w:r>
          </w:p>
          <w:p w14:paraId="08C7E000" w14:textId="77777777" w:rsidR="00D56633" w:rsidRPr="00EB06D3" w:rsidRDefault="00D56633" w:rsidP="00D55160">
            <w:pPr>
              <w:rPr>
                <w:sz w:val="22"/>
                <w:szCs w:val="22"/>
                <w:lang w:val="en-CA"/>
              </w:rPr>
            </w:pPr>
          </w:p>
          <w:p w14:paraId="76E909F5" w14:textId="77777777" w:rsidR="00D56633" w:rsidRPr="00EB06D3" w:rsidRDefault="00D56633" w:rsidP="00D55160">
            <w:pPr>
              <w:rPr>
                <w:sz w:val="22"/>
                <w:szCs w:val="22"/>
                <w:lang w:val="en-CA"/>
              </w:rPr>
            </w:pPr>
            <w:r w:rsidRPr="00EB06D3">
              <w:rPr>
                <w:sz w:val="22"/>
                <w:szCs w:val="22"/>
                <w:lang w:val="en-CA"/>
              </w:rPr>
              <w:t>Agreement to abide by the Code of Conduct for Evaluation in the UN System</w:t>
            </w:r>
          </w:p>
          <w:p w14:paraId="652FF16A" w14:textId="77777777" w:rsidR="00D56633" w:rsidRDefault="00D56633" w:rsidP="00D55160">
            <w:pPr>
              <w:rPr>
                <w:sz w:val="22"/>
                <w:szCs w:val="22"/>
                <w:lang w:val="en-CA"/>
              </w:rPr>
            </w:pPr>
          </w:p>
          <w:p w14:paraId="7B4D619F" w14:textId="77777777" w:rsidR="00D56633" w:rsidRPr="006877F6" w:rsidRDefault="00D56633" w:rsidP="00D55160">
            <w:pPr>
              <w:rPr>
                <w:b/>
                <w:i/>
                <w:sz w:val="22"/>
                <w:szCs w:val="22"/>
                <w:lang w:val="en-CA"/>
              </w:rPr>
            </w:pPr>
            <w:r>
              <w:rPr>
                <w:sz w:val="22"/>
                <w:szCs w:val="22"/>
                <w:lang w:val="en-CA"/>
              </w:rPr>
              <w:t xml:space="preserve">Name of Consultant:  </w:t>
            </w:r>
            <w:r w:rsidRPr="006877F6">
              <w:rPr>
                <w:b/>
                <w:i/>
                <w:sz w:val="22"/>
                <w:szCs w:val="22"/>
                <w:lang w:val="en-CA"/>
              </w:rPr>
              <w:t>Jean-Joseph Bellamy, International Evaluator</w:t>
            </w:r>
          </w:p>
          <w:p w14:paraId="62A7031A" w14:textId="77777777" w:rsidR="00D56633" w:rsidRDefault="00D56633" w:rsidP="00D55160">
            <w:pPr>
              <w:rPr>
                <w:sz w:val="22"/>
                <w:szCs w:val="22"/>
                <w:lang w:val="en-CA"/>
              </w:rPr>
            </w:pPr>
          </w:p>
          <w:p w14:paraId="3C2EDD7A" w14:textId="77777777" w:rsidR="00D56633" w:rsidRPr="006877F6" w:rsidRDefault="00D56633" w:rsidP="00D55160">
            <w:pPr>
              <w:rPr>
                <w:b/>
                <w:i/>
                <w:sz w:val="22"/>
                <w:szCs w:val="22"/>
                <w:lang w:val="en-CA"/>
              </w:rPr>
            </w:pPr>
            <w:r>
              <w:rPr>
                <w:sz w:val="22"/>
                <w:szCs w:val="22"/>
                <w:lang w:val="en-CA"/>
              </w:rPr>
              <w:t xml:space="preserve">Name of Consultant:  </w:t>
            </w:r>
            <w:r w:rsidRPr="00477623">
              <w:rPr>
                <w:b/>
                <w:i/>
                <w:sz w:val="22"/>
                <w:szCs w:val="22"/>
                <w:lang w:val="en-CA"/>
              </w:rPr>
              <w:t xml:space="preserve">Dr. </w:t>
            </w:r>
            <w:r w:rsidR="00DF7E0B">
              <w:rPr>
                <w:b/>
                <w:i/>
                <w:sz w:val="22"/>
                <w:szCs w:val="22"/>
                <w:lang w:val="en-CA"/>
              </w:rPr>
              <w:t>Victor Cotruta</w:t>
            </w:r>
            <w:r w:rsidRPr="00477623">
              <w:rPr>
                <w:b/>
                <w:i/>
                <w:sz w:val="22"/>
                <w:szCs w:val="22"/>
                <w:lang w:val="en-CA"/>
              </w:rPr>
              <w:t xml:space="preserve">, </w:t>
            </w:r>
            <w:r>
              <w:rPr>
                <w:b/>
                <w:i/>
                <w:sz w:val="22"/>
                <w:szCs w:val="22"/>
                <w:lang w:val="en-CA"/>
              </w:rPr>
              <w:t>National</w:t>
            </w:r>
            <w:r w:rsidRPr="006877F6">
              <w:rPr>
                <w:b/>
                <w:i/>
                <w:sz w:val="22"/>
                <w:szCs w:val="22"/>
                <w:lang w:val="en-CA"/>
              </w:rPr>
              <w:t xml:space="preserve"> Evaluator</w:t>
            </w:r>
          </w:p>
          <w:p w14:paraId="6CF373C6" w14:textId="77777777" w:rsidR="00D56633" w:rsidRDefault="00D56633" w:rsidP="00D55160">
            <w:pPr>
              <w:rPr>
                <w:sz w:val="22"/>
                <w:szCs w:val="22"/>
                <w:lang w:val="en-CA"/>
              </w:rPr>
            </w:pPr>
          </w:p>
          <w:p w14:paraId="52AD66B1" w14:textId="77777777" w:rsidR="00D56633" w:rsidRDefault="00D56633" w:rsidP="00D55160">
            <w:pPr>
              <w:rPr>
                <w:sz w:val="22"/>
                <w:szCs w:val="22"/>
                <w:lang w:val="en-CA"/>
              </w:rPr>
            </w:pPr>
            <w:r>
              <w:rPr>
                <w:sz w:val="22"/>
                <w:szCs w:val="22"/>
                <w:lang w:val="en-CA"/>
              </w:rPr>
              <w:t>We confirm that we</w:t>
            </w:r>
            <w:r w:rsidRPr="00EB06D3">
              <w:rPr>
                <w:sz w:val="22"/>
                <w:szCs w:val="22"/>
                <w:lang w:val="en-CA"/>
              </w:rPr>
              <w:t xml:space="preserve"> have received and understood and will abide by the United Nations Code of Conduct for Evaluation. </w:t>
            </w:r>
          </w:p>
          <w:p w14:paraId="61498691" w14:textId="77777777" w:rsidR="00D56633" w:rsidRDefault="00D56633" w:rsidP="00D55160">
            <w:pPr>
              <w:rPr>
                <w:sz w:val="22"/>
                <w:szCs w:val="22"/>
                <w:lang w:val="en-CA"/>
              </w:rPr>
            </w:pPr>
          </w:p>
          <w:p w14:paraId="5CBC4297" w14:textId="19E2FFCB" w:rsidR="00D56633" w:rsidRPr="00EB06D3" w:rsidRDefault="00D56633" w:rsidP="00D55160">
            <w:pPr>
              <w:rPr>
                <w:sz w:val="22"/>
                <w:szCs w:val="22"/>
                <w:lang w:val="en-CA"/>
              </w:rPr>
            </w:pPr>
            <w:r w:rsidRPr="00EB06D3">
              <w:rPr>
                <w:sz w:val="22"/>
                <w:szCs w:val="22"/>
                <w:lang w:val="en-CA"/>
              </w:rPr>
              <w:t xml:space="preserve">Signed at </w:t>
            </w:r>
            <w:r>
              <w:rPr>
                <w:sz w:val="22"/>
                <w:szCs w:val="22"/>
                <w:lang w:val="en-CA"/>
              </w:rPr>
              <w:t xml:space="preserve">Ottawa </w:t>
            </w:r>
            <w:r w:rsidRPr="00EB06D3">
              <w:rPr>
                <w:sz w:val="22"/>
                <w:szCs w:val="22"/>
                <w:lang w:val="en-CA"/>
              </w:rPr>
              <w:t xml:space="preserve">on </w:t>
            </w:r>
            <w:r w:rsidR="00C13A18">
              <w:rPr>
                <w:sz w:val="22"/>
                <w:szCs w:val="22"/>
                <w:lang w:val="en-CA"/>
              </w:rPr>
              <w:t>August 14</w:t>
            </w:r>
            <w:r>
              <w:rPr>
                <w:sz w:val="22"/>
                <w:szCs w:val="22"/>
                <w:lang w:val="en-CA"/>
              </w:rPr>
              <w:t>, 2015</w:t>
            </w:r>
            <w:r>
              <w:rPr>
                <w:sz w:val="22"/>
                <w:szCs w:val="22"/>
                <w:lang w:val="en-CA"/>
              </w:rPr>
              <w:tab/>
            </w:r>
            <w:r>
              <w:rPr>
                <w:sz w:val="22"/>
                <w:szCs w:val="22"/>
                <w:lang w:val="en-CA"/>
              </w:rPr>
              <w:tab/>
            </w:r>
            <w:r w:rsidRPr="00EB06D3">
              <w:rPr>
                <w:sz w:val="22"/>
                <w:szCs w:val="22"/>
                <w:lang w:val="en-CA"/>
              </w:rPr>
              <w:t xml:space="preserve">Signed at </w:t>
            </w:r>
            <w:r w:rsidR="00F20FB9">
              <w:rPr>
                <w:sz w:val="22"/>
                <w:szCs w:val="22"/>
                <w:lang w:val="en-CA"/>
              </w:rPr>
              <w:t>Chisinau</w:t>
            </w:r>
            <w:r>
              <w:rPr>
                <w:sz w:val="22"/>
                <w:szCs w:val="22"/>
                <w:lang w:val="en-CA"/>
              </w:rPr>
              <w:t xml:space="preserve"> </w:t>
            </w:r>
            <w:r w:rsidRPr="00EB06D3">
              <w:rPr>
                <w:sz w:val="22"/>
                <w:szCs w:val="22"/>
                <w:lang w:val="en-CA"/>
              </w:rPr>
              <w:t xml:space="preserve">on </w:t>
            </w:r>
            <w:r w:rsidR="00C13A18">
              <w:rPr>
                <w:sz w:val="22"/>
                <w:szCs w:val="22"/>
                <w:lang w:val="en-CA"/>
              </w:rPr>
              <w:t>August 14</w:t>
            </w:r>
            <w:r>
              <w:rPr>
                <w:sz w:val="22"/>
                <w:szCs w:val="22"/>
                <w:lang w:val="en-CA"/>
              </w:rPr>
              <w:t>, 2015</w:t>
            </w:r>
          </w:p>
          <w:p w14:paraId="3D53737F" w14:textId="5F0C98FA" w:rsidR="00D56633" w:rsidRPr="00EB06D3" w:rsidRDefault="00D56633" w:rsidP="00D55160">
            <w:pPr>
              <w:rPr>
                <w:sz w:val="22"/>
                <w:szCs w:val="22"/>
                <w:lang w:val="en-CA"/>
              </w:rPr>
            </w:pPr>
          </w:p>
          <w:p w14:paraId="4582A468" w14:textId="77777777" w:rsidR="00D56633" w:rsidRDefault="00D56633" w:rsidP="00D55160">
            <w:pPr>
              <w:rPr>
                <w:sz w:val="22"/>
                <w:szCs w:val="22"/>
                <w:lang w:val="en-CA"/>
              </w:rPr>
            </w:pPr>
            <w:r>
              <w:rPr>
                <w:noProof/>
              </w:rPr>
              <w:drawing>
                <wp:anchor distT="0" distB="0" distL="114300" distR="114300" simplePos="0" relativeHeight="251724800" behindDoc="0" locked="0" layoutInCell="1" allowOverlap="1" wp14:anchorId="5DC12FC3" wp14:editId="57523770">
                  <wp:simplePos x="0" y="0"/>
                  <wp:positionH relativeFrom="column">
                    <wp:posOffset>609600</wp:posOffset>
                  </wp:positionH>
                  <wp:positionV relativeFrom="paragraph">
                    <wp:posOffset>4445</wp:posOffset>
                  </wp:positionV>
                  <wp:extent cx="1853565" cy="71628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JJB2.jpg"/>
                          <pic:cNvPicPr/>
                        </pic:nvPicPr>
                        <pic:blipFill>
                          <a:blip r:embed="rId30" cstate="email">
                            <a:extLst>
                              <a:ext uri="{28A0092B-C50C-407E-A947-70E740481C1C}">
                                <a14:useLocalDpi xmlns:a14="http://schemas.microsoft.com/office/drawing/2010/main"/>
                              </a:ext>
                            </a:extLst>
                          </a:blip>
                          <a:stretch>
                            <a:fillRect/>
                          </a:stretch>
                        </pic:blipFill>
                        <pic:spPr>
                          <a:xfrm>
                            <a:off x="0" y="0"/>
                            <a:ext cx="1853565" cy="716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FE9F862" w14:textId="20A35C23" w:rsidR="00D56633" w:rsidRDefault="00D56633" w:rsidP="00D55160">
            <w:pPr>
              <w:rPr>
                <w:sz w:val="22"/>
                <w:szCs w:val="22"/>
                <w:lang w:val="en-CA"/>
              </w:rPr>
            </w:pPr>
          </w:p>
          <w:p w14:paraId="0DEA8FD6" w14:textId="77777777" w:rsidR="00D56633" w:rsidRPr="00EB06D3" w:rsidRDefault="00D56633" w:rsidP="00D55160">
            <w:pPr>
              <w:rPr>
                <w:sz w:val="22"/>
                <w:szCs w:val="22"/>
                <w:lang w:val="en-CA"/>
              </w:rPr>
            </w:pPr>
          </w:p>
          <w:p w14:paraId="7A9CBC1C" w14:textId="77777777" w:rsidR="00D56633" w:rsidRPr="00EB06D3" w:rsidRDefault="00D56633" w:rsidP="00D55160">
            <w:pPr>
              <w:rPr>
                <w:sz w:val="22"/>
                <w:szCs w:val="22"/>
                <w:lang w:val="en-CA"/>
              </w:rPr>
            </w:pPr>
          </w:p>
          <w:p w14:paraId="69E9874A" w14:textId="4A063D1F" w:rsidR="00D56633" w:rsidRPr="00D03AFB" w:rsidRDefault="00D56633" w:rsidP="00D55160">
            <w:pPr>
              <w:rPr>
                <w:sz w:val="22"/>
                <w:szCs w:val="22"/>
                <w:lang w:val="en-CA"/>
              </w:rPr>
            </w:pPr>
            <w:r w:rsidRPr="00EB06D3">
              <w:rPr>
                <w:sz w:val="22"/>
                <w:szCs w:val="22"/>
                <w:lang w:val="en-CA"/>
              </w:rPr>
              <w:lastRenderedPageBreak/>
              <w:t>Signature: _</w:t>
            </w:r>
            <w:r>
              <w:rPr>
                <w:sz w:val="22"/>
                <w:szCs w:val="22"/>
                <w:lang w:val="en-CA"/>
              </w:rPr>
              <w:t xml:space="preserve">________________________                    </w:t>
            </w:r>
            <w:r w:rsidRPr="00EB06D3">
              <w:rPr>
                <w:sz w:val="22"/>
                <w:szCs w:val="22"/>
                <w:lang w:val="en-CA"/>
              </w:rPr>
              <w:t>_____</w:t>
            </w:r>
            <w:r>
              <w:rPr>
                <w:sz w:val="22"/>
                <w:szCs w:val="22"/>
                <w:lang w:val="en-CA"/>
              </w:rPr>
              <w:t>_________________________</w:t>
            </w:r>
            <w:r w:rsidRPr="00EB06D3">
              <w:rPr>
                <w:sz w:val="22"/>
                <w:szCs w:val="22"/>
                <w:lang w:val="en-CA"/>
              </w:rPr>
              <w:t>__</w:t>
            </w:r>
          </w:p>
          <w:p w14:paraId="3EF80B4F" w14:textId="6C63991D" w:rsidR="00D56633" w:rsidRDefault="00C13A18" w:rsidP="00D55160">
            <w:pPr>
              <w:rPr>
                <w:sz w:val="22"/>
                <w:szCs w:val="22"/>
                <w:lang w:val="en-CA"/>
              </w:rPr>
            </w:pPr>
            <w:r>
              <w:rPr>
                <w:noProof/>
              </w:rPr>
              <w:drawing>
                <wp:anchor distT="0" distB="0" distL="114300" distR="114300" simplePos="0" relativeHeight="251736064" behindDoc="0" locked="0" layoutInCell="1" allowOverlap="1" wp14:anchorId="54BCCB95" wp14:editId="3B03B9BF">
                  <wp:simplePos x="0" y="0"/>
                  <wp:positionH relativeFrom="column">
                    <wp:posOffset>3362325</wp:posOffset>
                  </wp:positionH>
                  <wp:positionV relativeFrom="paragraph">
                    <wp:posOffset>-886460</wp:posOffset>
                  </wp:positionV>
                  <wp:extent cx="1219200" cy="733425"/>
                  <wp:effectExtent l="0" t="0" r="0" b="3175"/>
                  <wp:wrapTight wrapText="bothSides">
                    <wp:wrapPolygon edited="0">
                      <wp:start x="0" y="0"/>
                      <wp:lineTo x="0" y="20945"/>
                      <wp:lineTo x="21150" y="20945"/>
                      <wp:lineTo x="21150" y="0"/>
                      <wp:lineTo x="0" y="0"/>
                    </wp:wrapPolygon>
                  </wp:wrapTight>
                  <wp:docPr id="4" name="Picture 4" descr="signatureCotru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Cotruta-1"/>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2192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9DCF62" w14:textId="77777777" w:rsidR="00D56633" w:rsidRDefault="00D56633" w:rsidP="00D56633">
      <w:pPr>
        <w:rPr>
          <w:sz w:val="20"/>
          <w:szCs w:val="20"/>
        </w:rPr>
      </w:pPr>
    </w:p>
    <w:p w14:paraId="2129D864" w14:textId="77777777" w:rsidR="00DF2143" w:rsidRDefault="00DF2143" w:rsidP="00733106">
      <w:pPr>
        <w:pStyle w:val="BodyText"/>
        <w:spacing w:before="72" w:line="276" w:lineRule="auto"/>
        <w:ind w:right="1084"/>
        <w:rPr>
          <w:rFonts w:ascii="Times New Roman" w:hAnsi="Times New Roman"/>
          <w:spacing w:val="-2"/>
          <w:lang w:val="en-US"/>
        </w:rPr>
      </w:pPr>
    </w:p>
    <w:p w14:paraId="5D5F3C7C" w14:textId="77777777" w:rsidR="00852B17" w:rsidRPr="00FB6D4E" w:rsidRDefault="00852B17" w:rsidP="00852B17">
      <w:pPr>
        <w:rPr>
          <w:sz w:val="20"/>
          <w:szCs w:val="20"/>
        </w:rPr>
      </w:pPr>
    </w:p>
    <w:p w14:paraId="29A037D1" w14:textId="77777777" w:rsidR="00852B17" w:rsidRPr="005D59CA" w:rsidRDefault="00852B17">
      <w:pPr>
        <w:spacing w:line="269" w:lineRule="exact"/>
        <w:jc w:val="both"/>
        <w:sectPr w:rsidR="00852B17" w:rsidRPr="005D59CA">
          <w:pgSz w:w="12240" w:h="15840"/>
          <w:pgMar w:top="1380" w:right="1220" w:bottom="1140" w:left="1340" w:header="0" w:footer="953" w:gutter="0"/>
          <w:cols w:space="720"/>
        </w:sectPr>
      </w:pPr>
    </w:p>
    <w:p w14:paraId="028A0D71" w14:textId="77777777" w:rsidR="00A52B28" w:rsidRPr="00FB6D4E" w:rsidRDefault="00D56633" w:rsidP="00A52B28">
      <w:pPr>
        <w:pStyle w:val="Heading1"/>
        <w:spacing w:before="120" w:after="120"/>
        <w:rPr>
          <w:sz w:val="24"/>
          <w:szCs w:val="24"/>
        </w:rPr>
      </w:pPr>
      <w:bookmarkStart w:id="156" w:name="_bookmark0"/>
      <w:bookmarkStart w:id="157" w:name="_TOR_Annex_A:"/>
      <w:bookmarkStart w:id="158" w:name="_Toc308103271"/>
      <w:bookmarkEnd w:id="156"/>
      <w:bookmarkEnd w:id="157"/>
      <w:r>
        <w:rPr>
          <w:sz w:val="24"/>
          <w:szCs w:val="24"/>
        </w:rPr>
        <w:lastRenderedPageBreak/>
        <w:t>Annex 3</w:t>
      </w:r>
      <w:r w:rsidR="002831E0" w:rsidRPr="00FB6D4E">
        <w:rPr>
          <w:sz w:val="24"/>
          <w:szCs w:val="24"/>
        </w:rPr>
        <w:t>:  Evaluation Matrix</w:t>
      </w:r>
      <w:bookmarkEnd w:id="158"/>
    </w:p>
    <w:p w14:paraId="05326A97" w14:textId="77777777" w:rsidR="00A52B28" w:rsidRDefault="002831E0" w:rsidP="00A52B28">
      <w:pPr>
        <w:rPr>
          <w:sz w:val="22"/>
          <w:szCs w:val="22"/>
        </w:rPr>
      </w:pPr>
      <w:r w:rsidRPr="00FB6D4E">
        <w:rPr>
          <w:sz w:val="22"/>
          <w:szCs w:val="22"/>
        </w:rPr>
        <w:t>The evaluation matrix below served as a general guide for the evaluation.  It provided directions for the evaluation; particularly for the collect</w:t>
      </w:r>
      <w:r w:rsidR="003A21BE">
        <w:rPr>
          <w:sz w:val="22"/>
          <w:szCs w:val="22"/>
        </w:rPr>
        <w:t>ion</w:t>
      </w:r>
      <w:r w:rsidRPr="00FB6D4E">
        <w:rPr>
          <w:sz w:val="22"/>
          <w:szCs w:val="22"/>
        </w:rPr>
        <w:t xml:space="preserve"> of relevant data. It was used as a basis for interviewing people and reviewing project documents. It also provided a basis for structuring the evaluation report as a whole.</w:t>
      </w:r>
    </w:p>
    <w:p w14:paraId="75286341" w14:textId="77777777" w:rsidR="0006597C" w:rsidRPr="00FB6D4E" w:rsidRDefault="0006597C" w:rsidP="00A52B28">
      <w:pPr>
        <w:rPr>
          <w:sz w:val="22"/>
          <w:szCs w:val="22"/>
        </w:rPr>
      </w:pPr>
    </w:p>
    <w:tbl>
      <w:tblPr>
        <w:tblW w:w="0" w:type="auto"/>
        <w:tblInd w:w="57"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638"/>
        <w:gridCol w:w="4820"/>
        <w:gridCol w:w="3799"/>
        <w:gridCol w:w="2128"/>
        <w:gridCol w:w="2128"/>
      </w:tblGrid>
      <w:tr w:rsidR="0006597C" w14:paraId="4F787952" w14:textId="77777777" w:rsidTr="00F46705">
        <w:trPr>
          <w:tblHeader/>
        </w:trPr>
        <w:tc>
          <w:tcPr>
            <w:tcW w:w="1638" w:type="dxa"/>
            <w:tcBorders>
              <w:top w:val="single" w:sz="6" w:space="0" w:color="auto"/>
              <w:left w:val="single" w:sz="6" w:space="0" w:color="auto"/>
              <w:bottom w:val="single" w:sz="6" w:space="0" w:color="auto"/>
            </w:tcBorders>
            <w:shd w:val="clear" w:color="auto" w:fill="C0C0C0"/>
            <w:vAlign w:val="center"/>
          </w:tcPr>
          <w:p w14:paraId="4F1F1436" w14:textId="77777777" w:rsidR="0006597C" w:rsidRPr="00295F20" w:rsidRDefault="0006597C" w:rsidP="00954A31">
            <w:pPr>
              <w:jc w:val="center"/>
              <w:rPr>
                <w:rFonts w:ascii="Garamond" w:hAnsi="Garamond"/>
                <w:b/>
                <w:sz w:val="22"/>
                <w:szCs w:val="22"/>
              </w:rPr>
            </w:pPr>
            <w:r w:rsidRPr="00295F20">
              <w:rPr>
                <w:rFonts w:ascii="Garamond" w:hAnsi="Garamond"/>
                <w:b/>
                <w:sz w:val="22"/>
                <w:szCs w:val="22"/>
              </w:rPr>
              <w:t>Evaluated component</w:t>
            </w:r>
          </w:p>
        </w:tc>
        <w:tc>
          <w:tcPr>
            <w:tcW w:w="4820" w:type="dxa"/>
            <w:tcBorders>
              <w:top w:val="single" w:sz="6" w:space="0" w:color="auto"/>
              <w:bottom w:val="single" w:sz="6" w:space="0" w:color="auto"/>
            </w:tcBorders>
            <w:shd w:val="clear" w:color="auto" w:fill="C0C0C0"/>
            <w:vAlign w:val="center"/>
          </w:tcPr>
          <w:p w14:paraId="76574A35" w14:textId="77777777" w:rsidR="0006597C" w:rsidRPr="00295F20" w:rsidRDefault="0006597C" w:rsidP="00954A31">
            <w:pPr>
              <w:jc w:val="center"/>
              <w:rPr>
                <w:rFonts w:ascii="Garamond" w:hAnsi="Garamond"/>
                <w:b/>
                <w:sz w:val="22"/>
                <w:szCs w:val="22"/>
              </w:rPr>
            </w:pPr>
            <w:r w:rsidRPr="00295F20">
              <w:rPr>
                <w:rFonts w:ascii="Garamond" w:hAnsi="Garamond"/>
                <w:b/>
                <w:sz w:val="22"/>
                <w:szCs w:val="22"/>
              </w:rPr>
              <w:t>Sub-Question</w:t>
            </w:r>
          </w:p>
        </w:tc>
        <w:tc>
          <w:tcPr>
            <w:tcW w:w="3799" w:type="dxa"/>
            <w:tcBorders>
              <w:top w:val="single" w:sz="6" w:space="0" w:color="auto"/>
              <w:bottom w:val="single" w:sz="6" w:space="0" w:color="auto"/>
            </w:tcBorders>
            <w:shd w:val="clear" w:color="auto" w:fill="C0C0C0"/>
            <w:vAlign w:val="center"/>
          </w:tcPr>
          <w:p w14:paraId="0DC6D75B" w14:textId="77777777" w:rsidR="0006597C" w:rsidRPr="00295F20" w:rsidRDefault="0006597C" w:rsidP="00954A31">
            <w:pPr>
              <w:jc w:val="center"/>
              <w:rPr>
                <w:rFonts w:ascii="Garamond" w:hAnsi="Garamond"/>
                <w:b/>
                <w:sz w:val="22"/>
                <w:szCs w:val="22"/>
              </w:rPr>
            </w:pPr>
            <w:r w:rsidRPr="00295F20">
              <w:rPr>
                <w:rFonts w:ascii="Garamond" w:hAnsi="Garamond"/>
                <w:b/>
                <w:sz w:val="22"/>
                <w:szCs w:val="22"/>
              </w:rPr>
              <w:t>Indicators</w:t>
            </w:r>
          </w:p>
        </w:tc>
        <w:tc>
          <w:tcPr>
            <w:tcW w:w="2128" w:type="dxa"/>
            <w:tcBorders>
              <w:top w:val="single" w:sz="6" w:space="0" w:color="auto"/>
              <w:bottom w:val="single" w:sz="6" w:space="0" w:color="auto"/>
            </w:tcBorders>
            <w:shd w:val="clear" w:color="auto" w:fill="C0C0C0"/>
            <w:vAlign w:val="center"/>
          </w:tcPr>
          <w:p w14:paraId="20407A87" w14:textId="77777777" w:rsidR="0006597C" w:rsidRPr="00295F20" w:rsidRDefault="0006597C" w:rsidP="00954A31">
            <w:pPr>
              <w:jc w:val="center"/>
              <w:rPr>
                <w:rFonts w:ascii="Garamond" w:hAnsi="Garamond"/>
                <w:b/>
                <w:sz w:val="22"/>
                <w:szCs w:val="22"/>
              </w:rPr>
            </w:pPr>
            <w:r w:rsidRPr="00295F20">
              <w:rPr>
                <w:rFonts w:ascii="Garamond" w:hAnsi="Garamond"/>
                <w:b/>
                <w:sz w:val="22"/>
                <w:szCs w:val="22"/>
              </w:rPr>
              <w:t>Sources</w:t>
            </w:r>
          </w:p>
        </w:tc>
        <w:tc>
          <w:tcPr>
            <w:tcW w:w="2128" w:type="dxa"/>
            <w:tcBorders>
              <w:top w:val="single" w:sz="6" w:space="0" w:color="auto"/>
              <w:bottom w:val="single" w:sz="6" w:space="0" w:color="auto"/>
              <w:right w:val="single" w:sz="6" w:space="0" w:color="auto"/>
            </w:tcBorders>
            <w:shd w:val="clear" w:color="auto" w:fill="C0C0C0"/>
            <w:vAlign w:val="center"/>
          </w:tcPr>
          <w:p w14:paraId="64A956EC" w14:textId="77777777" w:rsidR="0006597C" w:rsidRPr="00295F20" w:rsidRDefault="0006597C" w:rsidP="00954A31">
            <w:pPr>
              <w:jc w:val="center"/>
              <w:rPr>
                <w:rFonts w:ascii="Garamond" w:hAnsi="Garamond"/>
                <w:b/>
                <w:sz w:val="22"/>
                <w:szCs w:val="22"/>
              </w:rPr>
            </w:pPr>
            <w:r w:rsidRPr="00295F20">
              <w:rPr>
                <w:rFonts w:ascii="Garamond" w:hAnsi="Garamond"/>
                <w:b/>
                <w:sz w:val="22"/>
                <w:szCs w:val="22"/>
              </w:rPr>
              <w:t>Data Collection Method</w:t>
            </w:r>
          </w:p>
        </w:tc>
      </w:tr>
      <w:tr w:rsidR="0006597C" w14:paraId="4BA412D3" w14:textId="77777777" w:rsidTr="00F46705">
        <w:tc>
          <w:tcPr>
            <w:tcW w:w="3799" w:type="dxa"/>
            <w:gridSpan w:val="5"/>
            <w:tcBorders>
              <w:left w:val="single" w:sz="6" w:space="0" w:color="auto"/>
              <w:right w:val="single" w:sz="6" w:space="0" w:color="auto"/>
            </w:tcBorders>
            <w:shd w:val="pct12" w:color="auto" w:fill="FFFFFF"/>
          </w:tcPr>
          <w:p w14:paraId="5BD3139B" w14:textId="77777777" w:rsidR="0006597C" w:rsidRPr="00EF5E73" w:rsidRDefault="0006597C" w:rsidP="00954A31">
            <w:pPr>
              <w:numPr>
                <w:ilvl w:val="12"/>
                <w:numId w:val="0"/>
              </w:numPr>
              <w:rPr>
                <w:rFonts w:ascii="Garamond" w:hAnsi="Garamond" w:cs="Arial"/>
                <w:b/>
                <w:i/>
                <w:iCs/>
              </w:rPr>
            </w:pPr>
            <w:r w:rsidRPr="00EF5E73">
              <w:rPr>
                <w:rFonts w:ascii="Garamond" w:hAnsi="Garamond" w:cs="Arial"/>
                <w:b/>
                <w:i/>
                <w:iCs/>
              </w:rPr>
              <w:t>Evaluation criteria: Relevance</w:t>
            </w:r>
            <w:r w:rsidRPr="00EF5E73">
              <w:rPr>
                <w:rFonts w:ascii="Garamond" w:hAnsi="Garamond" w:cs="Arial"/>
                <w:i/>
                <w:iCs/>
              </w:rPr>
              <w:t xml:space="preserve"> - How does the project relate to the main objectives of the </w:t>
            </w:r>
            <w:r>
              <w:rPr>
                <w:rFonts w:ascii="Garamond" w:hAnsi="Garamond" w:cs="Arial"/>
                <w:i/>
                <w:iCs/>
              </w:rPr>
              <w:t xml:space="preserve">GEF, UNDP </w:t>
            </w:r>
            <w:r w:rsidRPr="00EF5E73">
              <w:rPr>
                <w:rFonts w:ascii="Garamond" w:hAnsi="Garamond" w:cs="Arial"/>
                <w:i/>
                <w:iCs/>
              </w:rPr>
              <w:t xml:space="preserve">and </w:t>
            </w:r>
            <w:r>
              <w:rPr>
                <w:rFonts w:ascii="Garamond" w:hAnsi="Garamond" w:cs="Arial"/>
                <w:i/>
                <w:iCs/>
              </w:rPr>
              <w:t>of Moldova’s environmental and development priorities</w:t>
            </w:r>
            <w:r w:rsidRPr="00EF5E73">
              <w:rPr>
                <w:rFonts w:ascii="Garamond" w:hAnsi="Garamond" w:cs="Arial"/>
                <w:i/>
                <w:iCs/>
              </w:rPr>
              <w:t>?</w:t>
            </w:r>
          </w:p>
        </w:tc>
      </w:tr>
      <w:tr w:rsidR="0006597C" w14:paraId="573C40BA" w14:textId="77777777" w:rsidTr="00F46705">
        <w:tc>
          <w:tcPr>
            <w:tcW w:w="1638" w:type="dxa"/>
            <w:tcBorders>
              <w:top w:val="single" w:sz="4" w:space="0" w:color="auto"/>
              <w:left w:val="single" w:sz="4" w:space="0" w:color="auto"/>
              <w:bottom w:val="single" w:sz="4" w:space="0" w:color="auto"/>
              <w:right w:val="single" w:sz="4" w:space="0" w:color="auto"/>
            </w:tcBorders>
            <w:shd w:val="pct12" w:color="auto" w:fill="FFFFFF"/>
          </w:tcPr>
          <w:p w14:paraId="7073099B" w14:textId="77777777" w:rsidR="0006597C" w:rsidRPr="008B7C5C" w:rsidRDefault="0006597C" w:rsidP="00954A31">
            <w:pPr>
              <w:pStyle w:val="Tableau-Texte"/>
              <w:numPr>
                <w:ilvl w:val="12"/>
                <w:numId w:val="0"/>
              </w:numPr>
              <w:spacing w:before="0" w:after="0" w:line="240" w:lineRule="auto"/>
              <w:ind w:left="74" w:right="74"/>
              <w:rPr>
                <w:rFonts w:ascii="Garamond" w:hAnsi="Garamond"/>
                <w:i/>
                <w:sz w:val="24"/>
                <w:lang w:val="en-US"/>
              </w:rPr>
            </w:pPr>
            <w:r w:rsidRPr="008B7C5C">
              <w:rPr>
                <w:rFonts w:ascii="Garamond" w:hAnsi="Garamond" w:cs="Arial"/>
                <w:i/>
                <w:sz w:val="24"/>
                <w:lang w:val="en-US"/>
              </w:rPr>
              <w:t>Is the Project relevant to</w:t>
            </w:r>
            <w:r w:rsidRPr="008B7C5C">
              <w:rPr>
                <w:rFonts w:ascii="Garamond" w:hAnsi="Garamond" w:cs="Arial"/>
                <w:i/>
                <w:sz w:val="24"/>
                <w:lang w:val="en-CA"/>
              </w:rPr>
              <w:t xml:space="preserve"> </w:t>
            </w:r>
            <w:r>
              <w:rPr>
                <w:rFonts w:ascii="Garamond" w:hAnsi="Garamond" w:cs="Arial"/>
                <w:i/>
                <w:sz w:val="24"/>
                <w:lang w:val="en-CA"/>
              </w:rPr>
              <w:t>GEF</w:t>
            </w:r>
            <w:r w:rsidRPr="008B7C5C">
              <w:rPr>
                <w:rFonts w:ascii="Garamond" w:hAnsi="Garamond" w:cs="Arial"/>
                <w:i/>
                <w:sz w:val="24"/>
                <w:lang w:val="en-CA"/>
              </w:rPr>
              <w:t xml:space="preserve"> objectives?</w:t>
            </w:r>
          </w:p>
        </w:tc>
        <w:tc>
          <w:tcPr>
            <w:tcW w:w="4820" w:type="dxa"/>
            <w:tcBorders>
              <w:left w:val="single" w:sz="4" w:space="0" w:color="auto"/>
            </w:tcBorders>
          </w:tcPr>
          <w:p w14:paraId="0844812A"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 xml:space="preserve">How did the Project support the related strategic priorities of </w:t>
            </w:r>
            <w:r>
              <w:rPr>
                <w:rFonts w:ascii="Garamond" w:hAnsi="Garamond" w:cs="Arial"/>
                <w:sz w:val="16"/>
              </w:rPr>
              <w:t>the GEF</w:t>
            </w:r>
            <w:r w:rsidRPr="008B7C5C">
              <w:rPr>
                <w:rFonts w:ascii="Garamond" w:hAnsi="Garamond" w:cs="Arial"/>
                <w:sz w:val="16"/>
              </w:rPr>
              <w:t xml:space="preserve">? </w:t>
            </w:r>
          </w:p>
          <w:p w14:paraId="471BD37E" w14:textId="77777777" w:rsidR="0006597C" w:rsidRPr="005A4B5E" w:rsidRDefault="0006597C" w:rsidP="00DC1947">
            <w:pPr>
              <w:widowControl/>
              <w:numPr>
                <w:ilvl w:val="0"/>
                <w:numId w:val="27"/>
              </w:numPr>
              <w:tabs>
                <w:tab w:val="clear" w:pos="643"/>
                <w:tab w:val="left" w:pos="227"/>
              </w:tabs>
              <w:ind w:left="226" w:hanging="226"/>
              <w:rPr>
                <w:rFonts w:ascii="Garamond" w:hAnsi="Garamond" w:cs="Arial"/>
                <w:sz w:val="16"/>
              </w:rPr>
            </w:pPr>
            <w:r w:rsidRPr="00E16836">
              <w:rPr>
                <w:rFonts w:ascii="Garamond" w:hAnsi="Garamond" w:cs="Arial"/>
                <w:sz w:val="16"/>
              </w:rPr>
              <w:t>Were GEF criteria for Project identification adequate in view of actual needs?</w:t>
            </w:r>
          </w:p>
        </w:tc>
        <w:tc>
          <w:tcPr>
            <w:tcW w:w="3799" w:type="dxa"/>
          </w:tcPr>
          <w:p w14:paraId="118D5B33"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 xml:space="preserve">Level of coherence between project objectives and those of the </w:t>
            </w:r>
            <w:r>
              <w:rPr>
                <w:rFonts w:ascii="Garamond" w:hAnsi="Garamond" w:cs="Arial"/>
                <w:sz w:val="16"/>
              </w:rPr>
              <w:t>GEF</w:t>
            </w:r>
          </w:p>
          <w:p w14:paraId="76F05F82"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E16836">
              <w:rPr>
                <w:rFonts w:ascii="Garamond" w:hAnsi="Garamond" w:cs="Arial"/>
                <w:sz w:val="16"/>
              </w:rPr>
              <w:t>Extent to which the project is actually implemented in line with incremental cost argument</w:t>
            </w:r>
          </w:p>
        </w:tc>
        <w:tc>
          <w:tcPr>
            <w:tcW w:w="2128" w:type="dxa"/>
          </w:tcPr>
          <w:p w14:paraId="7E8CEFF7"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Project documents</w:t>
            </w:r>
          </w:p>
          <w:p w14:paraId="7FDECCBD"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GEF</w:t>
            </w:r>
            <w:r w:rsidRPr="0058742D">
              <w:rPr>
                <w:rFonts w:ascii="Garamond" w:hAnsi="Garamond" w:cs="Arial"/>
                <w:sz w:val="16"/>
              </w:rPr>
              <w:t xml:space="preserve"> policies</w:t>
            </w:r>
            <w:r>
              <w:rPr>
                <w:rFonts w:ascii="Garamond" w:hAnsi="Garamond" w:cs="Arial"/>
                <w:sz w:val="16"/>
              </w:rPr>
              <w:t xml:space="preserve">, </w:t>
            </w:r>
            <w:r w:rsidRPr="0058742D">
              <w:rPr>
                <w:rFonts w:ascii="Garamond" w:hAnsi="Garamond" w:cs="Arial"/>
                <w:sz w:val="16"/>
              </w:rPr>
              <w:t>strategies</w:t>
            </w:r>
            <w:r>
              <w:rPr>
                <w:rFonts w:ascii="Garamond" w:hAnsi="Garamond" w:cs="Arial"/>
                <w:sz w:val="16"/>
              </w:rPr>
              <w:t xml:space="preserve"> and objectives</w:t>
            </w:r>
          </w:p>
          <w:p w14:paraId="21617229"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GEF</w:t>
            </w:r>
            <w:r w:rsidRPr="0058742D">
              <w:rPr>
                <w:rFonts w:ascii="Garamond" w:hAnsi="Garamond" w:cs="Arial"/>
                <w:sz w:val="16"/>
              </w:rPr>
              <w:t xml:space="preserve"> web site</w:t>
            </w:r>
          </w:p>
        </w:tc>
        <w:tc>
          <w:tcPr>
            <w:tcW w:w="2128" w:type="dxa"/>
            <w:tcBorders>
              <w:right w:val="single" w:sz="6" w:space="0" w:color="auto"/>
            </w:tcBorders>
          </w:tcPr>
          <w:p w14:paraId="32656058"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Documents analyses</w:t>
            </w:r>
          </w:p>
          <w:p w14:paraId="762DD473"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Interviews with government officials and other partners</w:t>
            </w:r>
          </w:p>
        </w:tc>
      </w:tr>
      <w:tr w:rsidR="0006597C" w14:paraId="02DE7043" w14:textId="77777777" w:rsidTr="00F46705">
        <w:tc>
          <w:tcPr>
            <w:tcW w:w="1638" w:type="dxa"/>
            <w:tcBorders>
              <w:top w:val="single" w:sz="4" w:space="0" w:color="auto"/>
              <w:left w:val="single" w:sz="4" w:space="0" w:color="auto"/>
              <w:bottom w:val="single" w:sz="4" w:space="0" w:color="auto"/>
              <w:right w:val="single" w:sz="4" w:space="0" w:color="auto"/>
            </w:tcBorders>
            <w:shd w:val="pct12" w:color="auto" w:fill="FFFFFF"/>
          </w:tcPr>
          <w:p w14:paraId="3D8C10A3" w14:textId="77777777" w:rsidR="0006597C" w:rsidRPr="008B7C5C" w:rsidRDefault="0006597C" w:rsidP="00954A31">
            <w:pPr>
              <w:pStyle w:val="Tableau-Texte"/>
              <w:numPr>
                <w:ilvl w:val="12"/>
                <w:numId w:val="0"/>
              </w:numPr>
              <w:spacing w:before="0" w:after="0" w:line="240" w:lineRule="auto"/>
              <w:ind w:left="74" w:right="74"/>
              <w:rPr>
                <w:rFonts w:ascii="Garamond" w:hAnsi="Garamond"/>
                <w:i/>
                <w:sz w:val="24"/>
                <w:lang w:val="en-US"/>
              </w:rPr>
            </w:pPr>
            <w:r w:rsidRPr="008B7C5C">
              <w:rPr>
                <w:rFonts w:ascii="Garamond" w:hAnsi="Garamond" w:cs="Arial"/>
                <w:i/>
                <w:sz w:val="24"/>
                <w:lang w:val="en-US"/>
              </w:rPr>
              <w:t xml:space="preserve">Is the Project relevant to UNDP </w:t>
            </w:r>
            <w:r w:rsidRPr="008B7C5C">
              <w:rPr>
                <w:rFonts w:ascii="Garamond" w:hAnsi="Garamond" w:cs="Arial"/>
                <w:i/>
                <w:sz w:val="24"/>
                <w:lang w:val="en-CA"/>
              </w:rPr>
              <w:t>objectives?</w:t>
            </w:r>
          </w:p>
        </w:tc>
        <w:tc>
          <w:tcPr>
            <w:tcW w:w="4820" w:type="dxa"/>
            <w:tcBorders>
              <w:left w:val="single" w:sz="4" w:space="0" w:color="auto"/>
            </w:tcBorders>
          </w:tcPr>
          <w:p w14:paraId="41671ABA"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How did the project support the objectives of UNDP in this sector?</w:t>
            </w:r>
          </w:p>
        </w:tc>
        <w:tc>
          <w:tcPr>
            <w:tcW w:w="3799" w:type="dxa"/>
          </w:tcPr>
          <w:p w14:paraId="2B791F6C"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 xml:space="preserve">Existence of a clear relationship between project objectives and country programme objectives of UNDP </w:t>
            </w:r>
          </w:p>
        </w:tc>
        <w:tc>
          <w:tcPr>
            <w:tcW w:w="2128" w:type="dxa"/>
          </w:tcPr>
          <w:p w14:paraId="60B74182"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Project documents</w:t>
            </w:r>
          </w:p>
          <w:p w14:paraId="7158F8CE"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UNDP strategies and programme</w:t>
            </w:r>
          </w:p>
        </w:tc>
        <w:tc>
          <w:tcPr>
            <w:tcW w:w="2128" w:type="dxa"/>
            <w:tcBorders>
              <w:right w:val="single" w:sz="6" w:space="0" w:color="auto"/>
            </w:tcBorders>
          </w:tcPr>
          <w:p w14:paraId="7D4DFC34"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Documents analyses</w:t>
            </w:r>
          </w:p>
          <w:p w14:paraId="33D16362"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Interviews with government officials and other partners</w:t>
            </w:r>
          </w:p>
        </w:tc>
      </w:tr>
      <w:tr w:rsidR="0006597C" w14:paraId="060AB18F" w14:textId="77777777" w:rsidTr="00F46705">
        <w:tc>
          <w:tcPr>
            <w:tcW w:w="1638" w:type="dxa"/>
            <w:tcBorders>
              <w:top w:val="single" w:sz="6" w:space="0" w:color="auto"/>
              <w:left w:val="single" w:sz="4" w:space="0" w:color="auto"/>
              <w:bottom w:val="single" w:sz="4" w:space="0" w:color="auto"/>
              <w:right w:val="single" w:sz="4" w:space="0" w:color="auto"/>
            </w:tcBorders>
            <w:shd w:val="pct12" w:color="auto" w:fill="FFFFFF"/>
          </w:tcPr>
          <w:p w14:paraId="2A855CA9" w14:textId="77777777" w:rsidR="0006597C" w:rsidRPr="008B7C5C" w:rsidRDefault="0006597C" w:rsidP="00954A31">
            <w:pPr>
              <w:pStyle w:val="Tableau-Texte"/>
              <w:numPr>
                <w:ilvl w:val="12"/>
                <w:numId w:val="0"/>
              </w:numPr>
              <w:spacing w:before="0" w:after="0" w:line="240" w:lineRule="auto"/>
              <w:ind w:left="74" w:right="74"/>
              <w:rPr>
                <w:rFonts w:ascii="Garamond" w:hAnsi="Garamond"/>
                <w:i/>
                <w:sz w:val="24"/>
                <w:lang w:val="en-US"/>
              </w:rPr>
            </w:pPr>
            <w:r w:rsidRPr="008B7C5C">
              <w:rPr>
                <w:rFonts w:ascii="Garamond" w:hAnsi="Garamond" w:cs="Arial"/>
                <w:i/>
                <w:sz w:val="24"/>
                <w:lang w:val="en-US"/>
              </w:rPr>
              <w:t xml:space="preserve">Is the Project relevant to </w:t>
            </w:r>
            <w:r>
              <w:rPr>
                <w:rFonts w:ascii="Garamond" w:hAnsi="Garamond" w:cs="Arial"/>
                <w:i/>
                <w:sz w:val="24"/>
                <w:lang w:val="en-US"/>
              </w:rPr>
              <w:t>Moldova’s</w:t>
            </w:r>
            <w:r w:rsidRPr="008B7C5C">
              <w:rPr>
                <w:rFonts w:ascii="Garamond" w:hAnsi="Garamond" w:cs="Arial"/>
                <w:i/>
                <w:sz w:val="24"/>
                <w:lang w:val="en-US"/>
              </w:rPr>
              <w:t xml:space="preserve"> </w:t>
            </w:r>
            <w:r>
              <w:rPr>
                <w:rFonts w:ascii="Garamond" w:hAnsi="Garamond" w:cs="Arial"/>
                <w:i/>
                <w:sz w:val="24"/>
                <w:lang w:val="en-US"/>
              </w:rPr>
              <w:t xml:space="preserve">environment and </w:t>
            </w:r>
            <w:r w:rsidRPr="008B7C5C">
              <w:rPr>
                <w:rFonts w:ascii="Garamond" w:hAnsi="Garamond" w:cs="Arial"/>
                <w:i/>
                <w:sz w:val="24"/>
                <w:lang w:val="en-CA"/>
              </w:rPr>
              <w:t>development objectives?</w:t>
            </w:r>
          </w:p>
        </w:tc>
        <w:tc>
          <w:tcPr>
            <w:tcW w:w="4820" w:type="dxa"/>
            <w:tcBorders>
              <w:left w:val="single" w:sz="4" w:space="0" w:color="auto"/>
            </w:tcBorders>
          </w:tcPr>
          <w:p w14:paraId="59407A37"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 xml:space="preserve">How did the Project support the development objectives of </w:t>
            </w:r>
            <w:r>
              <w:rPr>
                <w:rFonts w:ascii="Garamond" w:hAnsi="Garamond" w:cs="Arial"/>
                <w:sz w:val="16"/>
              </w:rPr>
              <w:t>Moldova</w:t>
            </w:r>
            <w:r w:rsidRPr="008B7C5C">
              <w:rPr>
                <w:rFonts w:ascii="Garamond" w:hAnsi="Garamond" w:cs="Arial"/>
                <w:sz w:val="16"/>
              </w:rPr>
              <w:t>?</w:t>
            </w:r>
          </w:p>
          <w:p w14:paraId="199D7104"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How country-driven was the Project?</w:t>
            </w:r>
          </w:p>
          <w:p w14:paraId="4805628C"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 xml:space="preserve">Did the Project adequately take into account national realities, both in terms of institutional framework and programming, in its design and its implementation? </w:t>
            </w:r>
          </w:p>
          <w:p w14:paraId="11A26243"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To what extent were national partners involved in the design of the Project?</w:t>
            </w:r>
          </w:p>
        </w:tc>
        <w:tc>
          <w:tcPr>
            <w:tcW w:w="3799" w:type="dxa"/>
          </w:tcPr>
          <w:p w14:paraId="1DA0702B"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Degree to which the project support national environmental and development objectives</w:t>
            </w:r>
          </w:p>
          <w:p w14:paraId="2EFBF491"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Degree of coherence between the project and nationals priorities, policies and strategies</w:t>
            </w:r>
          </w:p>
          <w:p w14:paraId="12E23B71"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Appreciation from national stakeholders with respect to adequacy of project design and implementation to national realities and existing capacities?</w:t>
            </w:r>
          </w:p>
          <w:p w14:paraId="0C0F0C96"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 xml:space="preserve"> Level of involvement of Government officials and other partners into the project </w:t>
            </w:r>
          </w:p>
          <w:p w14:paraId="38628240"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Coherence between needs expressed by national stakeholders and UNDP-</w:t>
            </w:r>
            <w:r>
              <w:rPr>
                <w:rFonts w:ascii="Garamond" w:hAnsi="Garamond" w:cs="Arial"/>
                <w:sz w:val="16"/>
              </w:rPr>
              <w:t>GEF</w:t>
            </w:r>
            <w:r w:rsidRPr="00D44FE7">
              <w:rPr>
                <w:rFonts w:ascii="Garamond" w:hAnsi="Garamond" w:cs="Arial"/>
                <w:sz w:val="16"/>
              </w:rPr>
              <w:t xml:space="preserve"> criteria</w:t>
            </w:r>
          </w:p>
        </w:tc>
        <w:tc>
          <w:tcPr>
            <w:tcW w:w="2128" w:type="dxa"/>
          </w:tcPr>
          <w:p w14:paraId="362BAE16"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Project documents</w:t>
            </w:r>
          </w:p>
          <w:p w14:paraId="44C25DDB"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National policies, strategies and programmes</w:t>
            </w:r>
          </w:p>
          <w:p w14:paraId="6F97688E"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Key government officials and other partners</w:t>
            </w:r>
          </w:p>
        </w:tc>
        <w:tc>
          <w:tcPr>
            <w:tcW w:w="2128" w:type="dxa"/>
            <w:tcBorders>
              <w:right w:val="single" w:sz="6" w:space="0" w:color="auto"/>
            </w:tcBorders>
          </w:tcPr>
          <w:p w14:paraId="1E93132A"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 xml:space="preserve">Documents analyses </w:t>
            </w:r>
          </w:p>
          <w:p w14:paraId="0B52E43D" w14:textId="77777777" w:rsidR="0006597C" w:rsidRPr="00D44FE7" w:rsidRDefault="0006597C" w:rsidP="00DC1947">
            <w:pPr>
              <w:widowControl/>
              <w:numPr>
                <w:ilvl w:val="0"/>
                <w:numId w:val="27"/>
              </w:numPr>
              <w:tabs>
                <w:tab w:val="clear" w:pos="643"/>
                <w:tab w:val="left" w:pos="227"/>
              </w:tabs>
              <w:ind w:left="226" w:hanging="226"/>
              <w:rPr>
                <w:rFonts w:ascii="Garamond" w:hAnsi="Garamond" w:cs="Arial"/>
                <w:sz w:val="16"/>
              </w:rPr>
            </w:pPr>
            <w:r w:rsidRPr="00D44FE7">
              <w:rPr>
                <w:rFonts w:ascii="Garamond" w:hAnsi="Garamond" w:cs="Arial"/>
                <w:sz w:val="16"/>
              </w:rPr>
              <w:t>Interviews with government officials and other partners</w:t>
            </w:r>
          </w:p>
        </w:tc>
      </w:tr>
      <w:tr w:rsidR="0006597C" w14:paraId="4DFF6C57" w14:textId="77777777" w:rsidTr="00F46705">
        <w:tc>
          <w:tcPr>
            <w:tcW w:w="1638" w:type="dxa"/>
            <w:tcBorders>
              <w:top w:val="single" w:sz="6" w:space="0" w:color="auto"/>
              <w:left w:val="single" w:sz="6" w:space="0" w:color="auto"/>
              <w:bottom w:val="single" w:sz="4" w:space="0" w:color="auto"/>
            </w:tcBorders>
            <w:shd w:val="pct12" w:color="auto" w:fill="FFFFFF"/>
          </w:tcPr>
          <w:p w14:paraId="634A73AB" w14:textId="77777777" w:rsidR="0006597C" w:rsidRPr="008B7C5C" w:rsidRDefault="0006597C" w:rsidP="00954A31">
            <w:pPr>
              <w:pStyle w:val="Tableau-Texte"/>
              <w:numPr>
                <w:ilvl w:val="12"/>
                <w:numId w:val="0"/>
              </w:numPr>
              <w:spacing w:before="0" w:after="0" w:line="240" w:lineRule="auto"/>
              <w:ind w:left="74" w:right="74"/>
              <w:rPr>
                <w:rFonts w:ascii="Garamond" w:hAnsi="Garamond" w:cs="Arial"/>
                <w:i/>
                <w:sz w:val="24"/>
                <w:lang w:val="en-US"/>
              </w:rPr>
            </w:pPr>
            <w:r w:rsidRPr="008B7C5C">
              <w:rPr>
                <w:rFonts w:ascii="Garamond" w:hAnsi="Garamond" w:cs="Arial"/>
                <w:i/>
                <w:sz w:val="24"/>
                <w:lang w:val="en-US"/>
              </w:rPr>
              <w:t>Does the Project address the needs of target beneficiaries?</w:t>
            </w:r>
          </w:p>
        </w:tc>
        <w:tc>
          <w:tcPr>
            <w:tcW w:w="4820" w:type="dxa"/>
          </w:tcPr>
          <w:p w14:paraId="3A445438"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How did the project support the needs of target beneficiaries?</w:t>
            </w:r>
          </w:p>
          <w:p w14:paraId="6A5FADCD"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Was the implementation of the project been inclusive of all relevant Stakeholders?</w:t>
            </w:r>
          </w:p>
          <w:p w14:paraId="739B79EB"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Were local beneficiaries and stakeholders adequately involved in project formulation and implementation?</w:t>
            </w:r>
          </w:p>
        </w:tc>
        <w:tc>
          <w:tcPr>
            <w:tcW w:w="3799" w:type="dxa"/>
          </w:tcPr>
          <w:p w14:paraId="2EA13484"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Strength of the link between project expected results and the needs of target beneficiaries</w:t>
            </w:r>
          </w:p>
          <w:p w14:paraId="79688770"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Degree of involvement and inclusiveness of beneficiaries and stakeholders in project design and implementation</w:t>
            </w:r>
          </w:p>
        </w:tc>
        <w:tc>
          <w:tcPr>
            <w:tcW w:w="2128" w:type="dxa"/>
          </w:tcPr>
          <w:p w14:paraId="3A20CB93"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Beneficiaries and stakeholders</w:t>
            </w:r>
          </w:p>
          <w:p w14:paraId="172E91DC"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Needs assessment studies</w:t>
            </w:r>
          </w:p>
          <w:p w14:paraId="709E5506"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Project documents</w:t>
            </w:r>
          </w:p>
        </w:tc>
        <w:tc>
          <w:tcPr>
            <w:tcW w:w="2128" w:type="dxa"/>
            <w:tcBorders>
              <w:right w:val="single" w:sz="6" w:space="0" w:color="auto"/>
            </w:tcBorders>
          </w:tcPr>
          <w:p w14:paraId="0530B88D"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Document analysis</w:t>
            </w:r>
          </w:p>
          <w:p w14:paraId="3924A5F5"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Interviews with beneficiaries and stakeholders</w:t>
            </w:r>
          </w:p>
        </w:tc>
      </w:tr>
      <w:tr w:rsidR="0006597C" w14:paraId="714AEF9B" w14:textId="77777777" w:rsidTr="00F46705">
        <w:tc>
          <w:tcPr>
            <w:tcW w:w="1638" w:type="dxa"/>
            <w:tcBorders>
              <w:top w:val="single" w:sz="6" w:space="0" w:color="auto"/>
              <w:left w:val="single" w:sz="6" w:space="0" w:color="auto"/>
              <w:bottom w:val="single" w:sz="4" w:space="0" w:color="auto"/>
            </w:tcBorders>
            <w:shd w:val="pct12" w:color="auto" w:fill="FFFFFF"/>
          </w:tcPr>
          <w:p w14:paraId="5AEC1241" w14:textId="77777777" w:rsidR="0006597C" w:rsidRPr="008B7C5C" w:rsidRDefault="0006597C" w:rsidP="00954A31">
            <w:pPr>
              <w:pStyle w:val="Tableau-Texte"/>
              <w:numPr>
                <w:ilvl w:val="12"/>
                <w:numId w:val="0"/>
              </w:numPr>
              <w:spacing w:before="0" w:after="0" w:line="240" w:lineRule="auto"/>
              <w:ind w:left="74" w:right="74"/>
              <w:rPr>
                <w:rFonts w:ascii="Garamond" w:hAnsi="Garamond" w:cs="Arial"/>
                <w:i/>
                <w:sz w:val="24"/>
                <w:lang w:val="en-US"/>
              </w:rPr>
            </w:pPr>
            <w:r w:rsidRPr="008B7C5C">
              <w:rPr>
                <w:rFonts w:ascii="Garamond" w:hAnsi="Garamond" w:cs="Arial"/>
                <w:i/>
                <w:sz w:val="24"/>
                <w:lang w:val="en-US"/>
              </w:rPr>
              <w:t>Is the Project internally coherent in its design?</w:t>
            </w:r>
          </w:p>
        </w:tc>
        <w:tc>
          <w:tcPr>
            <w:tcW w:w="4820" w:type="dxa"/>
          </w:tcPr>
          <w:p w14:paraId="2D8540D9"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Was the project sourced through a demand-driven approach?</w:t>
            </w:r>
          </w:p>
          <w:p w14:paraId="6C159A9F"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sidRPr="008B7C5C">
              <w:rPr>
                <w:rFonts w:ascii="Garamond" w:hAnsi="Garamond" w:cs="Arial"/>
                <w:sz w:val="16"/>
              </w:rPr>
              <w:t>Is there a direct and strong link between project ex</w:t>
            </w:r>
            <w:r>
              <w:rPr>
                <w:rFonts w:ascii="Garamond" w:hAnsi="Garamond" w:cs="Arial"/>
                <w:sz w:val="16"/>
              </w:rPr>
              <w:t>pected results (Result and Resources Framework) and the project design (in terms of p</w:t>
            </w:r>
            <w:r w:rsidRPr="008B7C5C">
              <w:rPr>
                <w:rFonts w:ascii="Garamond" w:hAnsi="Garamond" w:cs="Arial"/>
                <w:sz w:val="16"/>
              </w:rPr>
              <w:t>roject components, choice of partners, structure, delivery mechanism, scope, budget, use of resources etc.)?</w:t>
            </w:r>
          </w:p>
          <w:p w14:paraId="13D9C525" w14:textId="77777777" w:rsidR="0006597C" w:rsidRPr="008B7C5C"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Is the length of the p</w:t>
            </w:r>
            <w:r w:rsidRPr="008B7C5C">
              <w:rPr>
                <w:rFonts w:ascii="Garamond" w:hAnsi="Garamond" w:cs="Arial"/>
                <w:sz w:val="16"/>
              </w:rPr>
              <w:t>roject conducive to achieve project outcomes?</w:t>
            </w:r>
          </w:p>
        </w:tc>
        <w:tc>
          <w:tcPr>
            <w:tcW w:w="3799" w:type="dxa"/>
          </w:tcPr>
          <w:p w14:paraId="246CC7D4" w14:textId="77777777" w:rsidR="0006597C" w:rsidRPr="00FC4454" w:rsidRDefault="0006597C" w:rsidP="00DC1947">
            <w:pPr>
              <w:widowControl/>
              <w:numPr>
                <w:ilvl w:val="0"/>
                <w:numId w:val="29"/>
              </w:numPr>
              <w:tabs>
                <w:tab w:val="clear" w:pos="643"/>
                <w:tab w:val="left" w:pos="227"/>
              </w:tabs>
              <w:ind w:left="227" w:hanging="227"/>
              <w:rPr>
                <w:rFonts w:ascii="Garamond" w:hAnsi="Garamond" w:cs="Arial"/>
                <w:sz w:val="16"/>
              </w:rPr>
            </w:pPr>
            <w:r w:rsidRPr="00FC4454">
              <w:rPr>
                <w:rFonts w:ascii="Garamond" w:hAnsi="Garamond" w:cs="Arial"/>
                <w:sz w:val="16"/>
              </w:rPr>
              <w:t xml:space="preserve">Level of coherence between project expected results and project design internal logic </w:t>
            </w:r>
          </w:p>
          <w:p w14:paraId="7C3ACA02" w14:textId="77777777" w:rsidR="0006597C" w:rsidRPr="00FC4454" w:rsidRDefault="0006597C" w:rsidP="00DC1947">
            <w:pPr>
              <w:widowControl/>
              <w:numPr>
                <w:ilvl w:val="0"/>
                <w:numId w:val="29"/>
              </w:numPr>
              <w:tabs>
                <w:tab w:val="clear" w:pos="643"/>
                <w:tab w:val="left" w:pos="227"/>
              </w:tabs>
              <w:ind w:left="227" w:hanging="227"/>
              <w:rPr>
                <w:rFonts w:ascii="Garamond" w:hAnsi="Garamond" w:cs="Arial"/>
                <w:sz w:val="16"/>
              </w:rPr>
            </w:pPr>
            <w:r w:rsidRPr="00FC4454">
              <w:rPr>
                <w:rFonts w:ascii="Garamond" w:hAnsi="Garamond" w:cs="Arial"/>
                <w:sz w:val="16"/>
              </w:rPr>
              <w:t>Level of coherence between project design and project implementation approach</w:t>
            </w:r>
          </w:p>
        </w:tc>
        <w:tc>
          <w:tcPr>
            <w:tcW w:w="2128" w:type="dxa"/>
          </w:tcPr>
          <w:p w14:paraId="76649F31" w14:textId="77777777" w:rsidR="0006597C" w:rsidRPr="00FC4454" w:rsidRDefault="0006597C" w:rsidP="00DC1947">
            <w:pPr>
              <w:widowControl/>
              <w:numPr>
                <w:ilvl w:val="0"/>
                <w:numId w:val="29"/>
              </w:numPr>
              <w:tabs>
                <w:tab w:val="clear" w:pos="643"/>
                <w:tab w:val="left" w:pos="227"/>
              </w:tabs>
              <w:ind w:left="227" w:hanging="227"/>
              <w:rPr>
                <w:rFonts w:ascii="Garamond" w:hAnsi="Garamond" w:cs="Arial"/>
                <w:sz w:val="16"/>
              </w:rPr>
            </w:pPr>
            <w:r w:rsidRPr="00FC4454">
              <w:rPr>
                <w:rFonts w:ascii="Garamond" w:hAnsi="Garamond" w:cs="Arial"/>
                <w:sz w:val="16"/>
              </w:rPr>
              <w:t>Program and project documents</w:t>
            </w:r>
          </w:p>
          <w:p w14:paraId="0D3C0D5F" w14:textId="77777777" w:rsidR="0006597C" w:rsidRPr="00FC4454" w:rsidRDefault="0006597C" w:rsidP="00DC1947">
            <w:pPr>
              <w:widowControl/>
              <w:numPr>
                <w:ilvl w:val="0"/>
                <w:numId w:val="29"/>
              </w:numPr>
              <w:tabs>
                <w:tab w:val="clear" w:pos="643"/>
                <w:tab w:val="left" w:pos="227"/>
              </w:tabs>
              <w:ind w:left="227" w:hanging="227"/>
              <w:rPr>
                <w:rFonts w:ascii="Garamond" w:hAnsi="Garamond" w:cs="Arial"/>
                <w:sz w:val="16"/>
              </w:rPr>
            </w:pPr>
            <w:r w:rsidRPr="00FC4454">
              <w:rPr>
                <w:rFonts w:ascii="Garamond" w:hAnsi="Garamond" w:cs="Arial"/>
                <w:sz w:val="16"/>
              </w:rPr>
              <w:t>Key project stakeholders</w:t>
            </w:r>
          </w:p>
        </w:tc>
        <w:tc>
          <w:tcPr>
            <w:tcW w:w="2128" w:type="dxa"/>
            <w:tcBorders>
              <w:right w:val="single" w:sz="6" w:space="0" w:color="auto"/>
            </w:tcBorders>
          </w:tcPr>
          <w:p w14:paraId="53D99EA5" w14:textId="77777777" w:rsidR="0006597C" w:rsidRPr="00FC4454" w:rsidRDefault="0006597C" w:rsidP="00DC1947">
            <w:pPr>
              <w:widowControl/>
              <w:numPr>
                <w:ilvl w:val="0"/>
                <w:numId w:val="29"/>
              </w:numPr>
              <w:tabs>
                <w:tab w:val="clear" w:pos="643"/>
                <w:tab w:val="left" w:pos="227"/>
              </w:tabs>
              <w:ind w:left="227" w:hanging="227"/>
              <w:rPr>
                <w:rFonts w:ascii="Garamond" w:hAnsi="Garamond" w:cs="Arial"/>
                <w:sz w:val="16"/>
              </w:rPr>
            </w:pPr>
            <w:r w:rsidRPr="00FC4454">
              <w:rPr>
                <w:rFonts w:ascii="Garamond" w:hAnsi="Garamond" w:cs="Arial"/>
                <w:sz w:val="16"/>
              </w:rPr>
              <w:t>Document analysis</w:t>
            </w:r>
          </w:p>
          <w:p w14:paraId="5EA8156D" w14:textId="77777777" w:rsidR="0006597C" w:rsidRPr="00FC4454" w:rsidRDefault="0006597C" w:rsidP="00DC1947">
            <w:pPr>
              <w:widowControl/>
              <w:numPr>
                <w:ilvl w:val="0"/>
                <w:numId w:val="29"/>
              </w:numPr>
              <w:tabs>
                <w:tab w:val="clear" w:pos="643"/>
                <w:tab w:val="left" w:pos="227"/>
              </w:tabs>
              <w:ind w:left="227" w:hanging="227"/>
              <w:rPr>
                <w:rFonts w:ascii="Garamond" w:hAnsi="Garamond" w:cs="Arial"/>
                <w:sz w:val="16"/>
              </w:rPr>
            </w:pPr>
            <w:r w:rsidRPr="00FC4454">
              <w:rPr>
                <w:rFonts w:ascii="Garamond" w:hAnsi="Garamond" w:cs="Arial"/>
                <w:sz w:val="16"/>
              </w:rPr>
              <w:t>Key Interviews</w:t>
            </w:r>
          </w:p>
        </w:tc>
      </w:tr>
      <w:tr w:rsidR="0006597C" w14:paraId="0BB5CBBB" w14:textId="77777777" w:rsidTr="00F46705">
        <w:tc>
          <w:tcPr>
            <w:tcW w:w="1638" w:type="dxa"/>
            <w:tcBorders>
              <w:top w:val="single" w:sz="4" w:space="0" w:color="auto"/>
              <w:left w:val="single" w:sz="4" w:space="0" w:color="auto"/>
              <w:bottom w:val="single" w:sz="4" w:space="0" w:color="auto"/>
              <w:right w:val="single" w:sz="4" w:space="0" w:color="auto"/>
            </w:tcBorders>
            <w:shd w:val="pct12" w:color="auto" w:fill="FFFFFF"/>
          </w:tcPr>
          <w:p w14:paraId="62D6F48F" w14:textId="77777777" w:rsidR="0006597C" w:rsidRPr="008B7C5C" w:rsidRDefault="0006597C" w:rsidP="00954A31">
            <w:pPr>
              <w:pStyle w:val="Tableau-Texte"/>
              <w:numPr>
                <w:ilvl w:val="12"/>
                <w:numId w:val="0"/>
              </w:numPr>
              <w:spacing w:before="0" w:after="0" w:line="240" w:lineRule="auto"/>
              <w:ind w:left="74" w:right="74"/>
              <w:rPr>
                <w:rFonts w:ascii="Garamond" w:hAnsi="Garamond"/>
                <w:i/>
                <w:sz w:val="24"/>
                <w:lang w:val="en-US"/>
              </w:rPr>
            </w:pPr>
            <w:r w:rsidRPr="008B7C5C">
              <w:rPr>
                <w:rFonts w:ascii="Garamond" w:hAnsi="Garamond"/>
                <w:i/>
                <w:sz w:val="24"/>
                <w:lang w:val="en-US"/>
              </w:rPr>
              <w:t>How is the Project relevant in light of other donors?</w:t>
            </w:r>
          </w:p>
        </w:tc>
        <w:tc>
          <w:tcPr>
            <w:tcW w:w="4820" w:type="dxa"/>
            <w:tcBorders>
              <w:left w:val="single" w:sz="4" w:space="0" w:color="auto"/>
            </w:tcBorders>
          </w:tcPr>
          <w:p w14:paraId="6B70F77A"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 xml:space="preserve">With regards to </w:t>
            </w:r>
            <w:r>
              <w:rPr>
                <w:rFonts w:ascii="Garamond" w:hAnsi="Garamond" w:cs="Arial"/>
                <w:sz w:val="16"/>
              </w:rPr>
              <w:t>Moldova</w:t>
            </w:r>
            <w:r w:rsidRPr="0058742D">
              <w:rPr>
                <w:rFonts w:ascii="Garamond" w:hAnsi="Garamond" w:cs="Arial"/>
                <w:sz w:val="16"/>
              </w:rPr>
              <w:t>, does the project remain relevant in terms of areas of focus and targeting of key activities?</w:t>
            </w:r>
          </w:p>
          <w:p w14:paraId="67D2E1E1"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 xml:space="preserve">How do </w:t>
            </w:r>
            <w:r>
              <w:rPr>
                <w:rFonts w:ascii="Garamond" w:hAnsi="Garamond" w:cs="Arial"/>
                <w:sz w:val="16"/>
              </w:rPr>
              <w:t>GEF</w:t>
            </w:r>
            <w:r w:rsidRPr="0058742D">
              <w:rPr>
                <w:rFonts w:ascii="Garamond" w:hAnsi="Garamond" w:cs="Arial"/>
                <w:sz w:val="16"/>
              </w:rPr>
              <w:t xml:space="preserve"> funds help to fill gaps (or give additional stimulus) that are crucial but are not covered by other donors?</w:t>
            </w:r>
          </w:p>
        </w:tc>
        <w:tc>
          <w:tcPr>
            <w:tcW w:w="3799" w:type="dxa"/>
          </w:tcPr>
          <w:p w14:paraId="20305792"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 xml:space="preserve">Degree to which the project was coherent and complementary to other donor programming in </w:t>
            </w:r>
            <w:r>
              <w:rPr>
                <w:rFonts w:ascii="Garamond" w:hAnsi="Garamond" w:cs="Arial"/>
                <w:sz w:val="16"/>
              </w:rPr>
              <w:t>Moldova</w:t>
            </w:r>
            <w:r w:rsidRPr="00FC4454">
              <w:rPr>
                <w:rFonts w:ascii="Garamond" w:hAnsi="Garamond" w:cs="Arial"/>
                <w:sz w:val="16"/>
              </w:rPr>
              <w:t xml:space="preserve"> </w:t>
            </w:r>
          </w:p>
          <w:p w14:paraId="799C45EA"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Garamond"/>
                <w:sz w:val="16"/>
              </w:rPr>
              <w:t>List of programs and funds in which future developments, ideas and partnerships of the project a</w:t>
            </w:r>
            <w:r w:rsidRPr="00FC4454">
              <w:rPr>
                <w:rFonts w:ascii="Garamond" w:hAnsi="Garamond" w:cs="Arial"/>
                <w:sz w:val="16"/>
              </w:rPr>
              <w:t>re eligible</w:t>
            </w:r>
          </w:p>
        </w:tc>
        <w:tc>
          <w:tcPr>
            <w:tcW w:w="2128" w:type="dxa"/>
          </w:tcPr>
          <w:p w14:paraId="7B3325F4"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Other Donors’ policies and programming documents</w:t>
            </w:r>
          </w:p>
          <w:p w14:paraId="7443FCE5"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Other Donor representatives</w:t>
            </w:r>
          </w:p>
          <w:p w14:paraId="6F49D5C0"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Project documents</w:t>
            </w:r>
          </w:p>
        </w:tc>
        <w:tc>
          <w:tcPr>
            <w:tcW w:w="2128" w:type="dxa"/>
            <w:tcBorders>
              <w:right w:val="single" w:sz="6" w:space="0" w:color="auto"/>
            </w:tcBorders>
          </w:tcPr>
          <w:p w14:paraId="7E9A0AA0"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Documents analyses</w:t>
            </w:r>
          </w:p>
          <w:p w14:paraId="7696A145" w14:textId="77777777" w:rsidR="0006597C" w:rsidRPr="00FC4454" w:rsidRDefault="0006597C" w:rsidP="00DC1947">
            <w:pPr>
              <w:widowControl/>
              <w:numPr>
                <w:ilvl w:val="0"/>
                <w:numId w:val="27"/>
              </w:numPr>
              <w:tabs>
                <w:tab w:val="clear" w:pos="643"/>
                <w:tab w:val="left" w:pos="227"/>
              </w:tabs>
              <w:ind w:left="226" w:hanging="226"/>
              <w:rPr>
                <w:rFonts w:ascii="Garamond" w:hAnsi="Garamond" w:cs="Arial"/>
                <w:sz w:val="16"/>
              </w:rPr>
            </w:pPr>
            <w:r w:rsidRPr="00FC4454">
              <w:rPr>
                <w:rFonts w:ascii="Garamond" w:hAnsi="Garamond" w:cs="Arial"/>
                <w:sz w:val="16"/>
              </w:rPr>
              <w:t>Interviews with other Donors</w:t>
            </w:r>
          </w:p>
        </w:tc>
      </w:tr>
      <w:tr w:rsidR="0006597C" w14:paraId="29F5A0FD" w14:textId="77777777" w:rsidTr="00F46705">
        <w:tc>
          <w:tcPr>
            <w:tcW w:w="1638" w:type="dxa"/>
            <w:tcBorders>
              <w:top w:val="single" w:sz="4" w:space="0" w:color="auto"/>
              <w:left w:val="single" w:sz="6" w:space="0" w:color="auto"/>
              <w:bottom w:val="single" w:sz="6" w:space="0" w:color="auto"/>
            </w:tcBorders>
            <w:shd w:val="pct12" w:color="auto" w:fill="FFFFFF"/>
          </w:tcPr>
          <w:p w14:paraId="58557B8E" w14:textId="77777777" w:rsidR="0006597C" w:rsidRPr="008B7C5C" w:rsidRDefault="0006597C" w:rsidP="00954A31">
            <w:pPr>
              <w:pStyle w:val="Tableau-Texte"/>
              <w:numPr>
                <w:ilvl w:val="12"/>
                <w:numId w:val="0"/>
              </w:numPr>
              <w:spacing w:before="0" w:after="0" w:line="240" w:lineRule="auto"/>
              <w:ind w:left="74" w:right="74"/>
              <w:rPr>
                <w:rFonts w:ascii="Garamond" w:hAnsi="Garamond"/>
                <w:i/>
                <w:sz w:val="24"/>
                <w:lang w:val="en-US"/>
              </w:rPr>
            </w:pPr>
            <w:r w:rsidRPr="008B7C5C">
              <w:rPr>
                <w:rFonts w:ascii="Garamond" w:hAnsi="Garamond"/>
                <w:b/>
                <w:bCs/>
                <w:iCs/>
                <w:sz w:val="24"/>
                <w:lang w:val="en-US"/>
              </w:rPr>
              <w:t>Future directions for similar Projects</w:t>
            </w:r>
          </w:p>
        </w:tc>
        <w:tc>
          <w:tcPr>
            <w:tcW w:w="4820" w:type="dxa"/>
          </w:tcPr>
          <w:p w14:paraId="6271E062"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What lessons have been learnt and what changes could have been made to the project in order to strengthen the alignment between the project and the Partners’ priorities and areas of focus?</w:t>
            </w:r>
          </w:p>
          <w:p w14:paraId="45B9FBB9"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How could the project better target and address priorities and development challenges of targeted beneficiaries?</w:t>
            </w:r>
          </w:p>
        </w:tc>
        <w:tc>
          <w:tcPr>
            <w:tcW w:w="3799" w:type="dxa"/>
          </w:tcPr>
          <w:p w14:paraId="0AFAC62C" w14:textId="77777777" w:rsidR="0006597C" w:rsidRPr="00957B36" w:rsidRDefault="0006597C" w:rsidP="00954A31">
            <w:pPr>
              <w:widowControl/>
              <w:tabs>
                <w:tab w:val="left" w:pos="227"/>
              </w:tabs>
              <w:rPr>
                <w:rFonts w:ascii="Garamond" w:hAnsi="Garamond" w:cs="Arial"/>
                <w:sz w:val="16"/>
                <w:highlight w:val="yellow"/>
              </w:rPr>
            </w:pPr>
          </w:p>
        </w:tc>
        <w:tc>
          <w:tcPr>
            <w:tcW w:w="2128" w:type="dxa"/>
          </w:tcPr>
          <w:p w14:paraId="519130EB"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Data collected throughout evaluation</w:t>
            </w:r>
          </w:p>
        </w:tc>
        <w:tc>
          <w:tcPr>
            <w:tcW w:w="2128" w:type="dxa"/>
            <w:tcBorders>
              <w:right w:val="single" w:sz="6" w:space="0" w:color="auto"/>
            </w:tcBorders>
          </w:tcPr>
          <w:p w14:paraId="4A0E8448"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Data analysis</w:t>
            </w:r>
          </w:p>
        </w:tc>
      </w:tr>
      <w:tr w:rsidR="0006597C" w14:paraId="2C22C9F8" w14:textId="77777777" w:rsidTr="00F46705">
        <w:tc>
          <w:tcPr>
            <w:tcW w:w="3799" w:type="dxa"/>
            <w:gridSpan w:val="5"/>
            <w:tcBorders>
              <w:top w:val="nil"/>
              <w:left w:val="single" w:sz="6" w:space="0" w:color="auto"/>
              <w:bottom w:val="nil"/>
              <w:right w:val="single" w:sz="6" w:space="0" w:color="auto"/>
            </w:tcBorders>
            <w:shd w:val="pct12" w:color="auto" w:fill="FFFFFF"/>
          </w:tcPr>
          <w:p w14:paraId="4F2DD3CA" w14:textId="77777777" w:rsidR="0006597C" w:rsidRPr="00EF5E73" w:rsidRDefault="0006597C" w:rsidP="00954A31">
            <w:pPr>
              <w:numPr>
                <w:ilvl w:val="12"/>
                <w:numId w:val="0"/>
              </w:numPr>
              <w:jc w:val="both"/>
              <w:rPr>
                <w:rFonts w:ascii="Garamond" w:hAnsi="Garamond"/>
                <w:b/>
              </w:rPr>
            </w:pPr>
            <w:r w:rsidRPr="00EF5E73">
              <w:rPr>
                <w:rFonts w:ascii="Garamond" w:hAnsi="Garamond" w:cs="Arial"/>
                <w:b/>
                <w:i/>
                <w:iCs/>
              </w:rPr>
              <w:t xml:space="preserve">Evaluation criteria: </w:t>
            </w:r>
            <w:r w:rsidRPr="00EF5E73">
              <w:rPr>
                <w:rFonts w:ascii="Garamond" w:hAnsi="Garamond" w:cs="Arial"/>
                <w:b/>
                <w:bCs/>
                <w:i/>
                <w:iCs/>
              </w:rPr>
              <w:t xml:space="preserve">Effectiveness </w:t>
            </w:r>
            <w:r w:rsidRPr="00EF5E73">
              <w:rPr>
                <w:rFonts w:ascii="Garamond" w:hAnsi="Garamond" w:cs="Arial"/>
                <w:i/>
                <w:iCs/>
              </w:rPr>
              <w:t>– To what extent have the expected outcomes and objectives of the project been achieved?</w:t>
            </w:r>
          </w:p>
        </w:tc>
      </w:tr>
      <w:tr w:rsidR="0006597C" w14:paraId="506F352B" w14:textId="77777777" w:rsidTr="00F46705">
        <w:tc>
          <w:tcPr>
            <w:tcW w:w="1638" w:type="dxa"/>
            <w:tcBorders>
              <w:top w:val="single" w:sz="6" w:space="0" w:color="auto"/>
              <w:left w:val="single" w:sz="6" w:space="0" w:color="auto"/>
              <w:bottom w:val="single" w:sz="6" w:space="0" w:color="auto"/>
            </w:tcBorders>
            <w:shd w:val="pct12" w:color="auto" w:fill="FFFFFF"/>
          </w:tcPr>
          <w:p w14:paraId="4DAB03E9" w14:textId="77777777" w:rsidR="0006597C" w:rsidRPr="0058742D" w:rsidRDefault="0006597C" w:rsidP="00954A31">
            <w:pPr>
              <w:pStyle w:val="Tableau-Texte"/>
              <w:spacing w:before="0" w:after="0" w:line="240" w:lineRule="auto"/>
              <w:ind w:left="0" w:right="74"/>
              <w:rPr>
                <w:rFonts w:ascii="Garamond" w:hAnsi="Garamond"/>
                <w:b/>
                <w:bCs/>
                <w:i/>
                <w:sz w:val="24"/>
                <w:u w:val="single"/>
                <w:lang w:val="en-US"/>
              </w:rPr>
            </w:pPr>
            <w:r w:rsidRPr="0058742D">
              <w:rPr>
                <w:rFonts w:ascii="Garamond" w:hAnsi="Garamond"/>
                <w:i/>
                <w:sz w:val="24"/>
                <w:lang w:val="en-US"/>
              </w:rPr>
              <w:t>How is the Project effective in achieving its expected outcomes?</w:t>
            </w:r>
          </w:p>
        </w:tc>
        <w:tc>
          <w:tcPr>
            <w:tcW w:w="4820" w:type="dxa"/>
          </w:tcPr>
          <w:p w14:paraId="34C1F329" w14:textId="77777777" w:rsidR="0006597C" w:rsidRPr="0058742D" w:rsidRDefault="0006597C" w:rsidP="00DC1947">
            <w:pPr>
              <w:widowControl/>
              <w:numPr>
                <w:ilvl w:val="0"/>
                <w:numId w:val="27"/>
              </w:numPr>
              <w:tabs>
                <w:tab w:val="clear" w:pos="643"/>
                <w:tab w:val="left" w:pos="227"/>
              </w:tabs>
              <w:ind w:left="226" w:hanging="226"/>
              <w:rPr>
                <w:rFonts w:ascii="Garamond" w:hAnsi="Garamond" w:cs="Arial"/>
                <w:sz w:val="16"/>
              </w:rPr>
            </w:pPr>
            <w:r w:rsidRPr="0058742D">
              <w:rPr>
                <w:rFonts w:ascii="Garamond" w:hAnsi="Garamond" w:cs="Arial"/>
                <w:sz w:val="16"/>
              </w:rPr>
              <w:t>Is the project being effective in achieving its expected outcomes?</w:t>
            </w:r>
          </w:p>
          <w:p w14:paraId="0F9A4CDB" w14:textId="77777777" w:rsidR="0006597C" w:rsidRPr="00F112B2" w:rsidRDefault="0006597C" w:rsidP="00DC1947">
            <w:pPr>
              <w:pStyle w:val="Tableau-"/>
              <w:numPr>
                <w:ilvl w:val="1"/>
                <w:numId w:val="28"/>
              </w:numPr>
              <w:tabs>
                <w:tab w:val="clear" w:pos="1440"/>
                <w:tab w:val="left" w:pos="368"/>
              </w:tabs>
              <w:ind w:left="368" w:right="74" w:hanging="141"/>
              <w:rPr>
                <w:rFonts w:ascii="Garamond" w:hAnsi="Garamond" w:cs="Arial"/>
                <w:sz w:val="16"/>
                <w:szCs w:val="24"/>
                <w:lang w:val="en-US"/>
              </w:rPr>
            </w:pPr>
            <w:r w:rsidRPr="00F112B2">
              <w:rPr>
                <w:rFonts w:ascii="Garamond" w:hAnsi="Garamond" w:cs="Arial"/>
                <w:sz w:val="16"/>
                <w:szCs w:val="24"/>
                <w:lang w:val="en-US"/>
              </w:rPr>
              <w:t xml:space="preserve">Reform of environmentally harmful subsidies, green subsidies, as well as environmental charges within the agricultural and energy sectors.  </w:t>
            </w:r>
          </w:p>
          <w:p w14:paraId="2D8322AF" w14:textId="77777777" w:rsidR="0006597C" w:rsidRPr="00F112B2" w:rsidRDefault="0006597C" w:rsidP="00DC1947">
            <w:pPr>
              <w:pStyle w:val="Tableau-"/>
              <w:numPr>
                <w:ilvl w:val="1"/>
                <w:numId w:val="28"/>
              </w:numPr>
              <w:tabs>
                <w:tab w:val="clear" w:pos="1440"/>
                <w:tab w:val="left" w:pos="368"/>
              </w:tabs>
              <w:ind w:left="368" w:right="74" w:hanging="141"/>
              <w:rPr>
                <w:rFonts w:ascii="Garamond" w:hAnsi="Garamond" w:cs="Arial"/>
                <w:sz w:val="16"/>
                <w:szCs w:val="24"/>
                <w:lang w:val="en-US"/>
              </w:rPr>
            </w:pPr>
            <w:r w:rsidRPr="00F112B2">
              <w:rPr>
                <w:rFonts w:ascii="Garamond" w:hAnsi="Garamond" w:cs="Arial"/>
                <w:sz w:val="16"/>
                <w:szCs w:val="24"/>
                <w:lang w:val="en-US"/>
              </w:rPr>
              <w:t xml:space="preserve">Capacity development for EFR to build consensus among concerned stakeholders.  </w:t>
            </w:r>
          </w:p>
          <w:p w14:paraId="1AD66519" w14:textId="77777777" w:rsidR="0006597C" w:rsidRPr="00F112B2" w:rsidRDefault="0006597C" w:rsidP="00DC1947">
            <w:pPr>
              <w:pStyle w:val="Tableau-"/>
              <w:numPr>
                <w:ilvl w:val="1"/>
                <w:numId w:val="28"/>
              </w:numPr>
              <w:tabs>
                <w:tab w:val="clear" w:pos="1440"/>
                <w:tab w:val="left" w:pos="368"/>
              </w:tabs>
              <w:ind w:left="368" w:right="74" w:hanging="141"/>
              <w:rPr>
                <w:rFonts w:ascii="Garamond" w:hAnsi="Garamond" w:cs="Arial"/>
                <w:sz w:val="16"/>
                <w:szCs w:val="24"/>
                <w:lang w:val="en-US"/>
              </w:rPr>
            </w:pPr>
            <w:r w:rsidRPr="00F112B2">
              <w:rPr>
                <w:rFonts w:ascii="Garamond" w:hAnsi="Garamond" w:cs="Arial"/>
                <w:sz w:val="16"/>
                <w:szCs w:val="24"/>
                <w:lang w:val="en-US"/>
              </w:rPr>
              <w:t>Integration of EFR in local and central planning processes</w:t>
            </w:r>
          </w:p>
        </w:tc>
        <w:tc>
          <w:tcPr>
            <w:tcW w:w="3799" w:type="dxa"/>
          </w:tcPr>
          <w:p w14:paraId="2DF13B89" w14:textId="77777777" w:rsidR="0006597C" w:rsidRPr="00504FE6" w:rsidRDefault="0006597C" w:rsidP="00DC1947">
            <w:pPr>
              <w:widowControl/>
              <w:numPr>
                <w:ilvl w:val="0"/>
                <w:numId w:val="27"/>
              </w:numPr>
              <w:tabs>
                <w:tab w:val="clear" w:pos="643"/>
                <w:tab w:val="left" w:pos="227"/>
              </w:tabs>
              <w:ind w:left="226" w:hanging="226"/>
              <w:rPr>
                <w:rFonts w:ascii="Garamond" w:hAnsi="Garamond" w:cs="Arial"/>
                <w:sz w:val="16"/>
              </w:rPr>
            </w:pPr>
            <w:r w:rsidRPr="00504FE6">
              <w:rPr>
                <w:rFonts w:ascii="Garamond" w:hAnsi="Garamond" w:cs="Arial"/>
                <w:sz w:val="16"/>
              </w:rPr>
              <w:t>New methodologies, skills and knowledge</w:t>
            </w:r>
          </w:p>
          <w:p w14:paraId="1A85CD3D" w14:textId="77777777" w:rsidR="0006597C" w:rsidRPr="00504FE6" w:rsidRDefault="0006597C" w:rsidP="00DC1947">
            <w:pPr>
              <w:widowControl/>
              <w:numPr>
                <w:ilvl w:val="0"/>
                <w:numId w:val="27"/>
              </w:numPr>
              <w:tabs>
                <w:tab w:val="clear" w:pos="643"/>
                <w:tab w:val="left" w:pos="227"/>
              </w:tabs>
              <w:ind w:left="226" w:hanging="226"/>
              <w:rPr>
                <w:rFonts w:ascii="Garamond" w:hAnsi="Garamond" w:cs="Arial"/>
                <w:sz w:val="16"/>
              </w:rPr>
            </w:pPr>
            <w:r w:rsidRPr="00504FE6">
              <w:rPr>
                <w:rFonts w:ascii="Garamond" w:hAnsi="Garamond" w:cs="Arial"/>
                <w:sz w:val="16"/>
              </w:rPr>
              <w:t>Change in capacity for information management: knowledge acquisition and sharing; effective data gathering, methods and procedures for reporting.</w:t>
            </w:r>
          </w:p>
          <w:p w14:paraId="1A1F682B" w14:textId="77777777" w:rsidR="0006597C" w:rsidRPr="00504FE6" w:rsidRDefault="0006597C" w:rsidP="00DC1947">
            <w:pPr>
              <w:widowControl/>
              <w:numPr>
                <w:ilvl w:val="0"/>
                <w:numId w:val="27"/>
              </w:numPr>
              <w:tabs>
                <w:tab w:val="clear" w:pos="643"/>
                <w:tab w:val="left" w:pos="227"/>
              </w:tabs>
              <w:ind w:left="226" w:hanging="226"/>
              <w:rPr>
                <w:rFonts w:ascii="Garamond" w:hAnsi="Garamond" w:cs="Arial"/>
                <w:sz w:val="16"/>
              </w:rPr>
            </w:pPr>
            <w:r w:rsidRPr="00504FE6">
              <w:rPr>
                <w:rFonts w:ascii="Garamond" w:hAnsi="Garamond" w:cs="Arial"/>
                <w:sz w:val="16"/>
              </w:rPr>
              <w:t>Change in capacity for awareness raising</w:t>
            </w:r>
          </w:p>
          <w:p w14:paraId="41EBE647"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Stakeholder involvement and government awareness</w:t>
            </w:r>
          </w:p>
          <w:p w14:paraId="11EE1587"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Change in local stakeholder behavior</w:t>
            </w:r>
          </w:p>
          <w:p w14:paraId="75BC8673" w14:textId="77777777" w:rsidR="0006597C" w:rsidRPr="00504FE6" w:rsidRDefault="0006597C" w:rsidP="00DC1947">
            <w:pPr>
              <w:widowControl/>
              <w:numPr>
                <w:ilvl w:val="0"/>
                <w:numId w:val="27"/>
              </w:numPr>
              <w:tabs>
                <w:tab w:val="clear" w:pos="643"/>
                <w:tab w:val="left" w:pos="227"/>
              </w:tabs>
              <w:ind w:left="226" w:hanging="226"/>
              <w:rPr>
                <w:rFonts w:ascii="Garamond" w:hAnsi="Garamond" w:cs="Arial"/>
                <w:sz w:val="16"/>
              </w:rPr>
            </w:pPr>
            <w:r w:rsidRPr="00504FE6">
              <w:rPr>
                <w:rFonts w:ascii="Garamond" w:hAnsi="Garamond" w:cs="Arial"/>
                <w:sz w:val="16"/>
              </w:rPr>
              <w:t xml:space="preserve">Change in capacity in policy making and planning </w:t>
            </w:r>
            <w:r>
              <w:rPr>
                <w:rFonts w:ascii="Garamond" w:hAnsi="Garamond" w:cs="Arial"/>
                <w:sz w:val="16"/>
              </w:rPr>
              <w:t xml:space="preserve">related </w:t>
            </w:r>
            <w:r w:rsidRPr="00504FE6">
              <w:rPr>
                <w:rFonts w:ascii="Garamond" w:hAnsi="Garamond" w:cs="Arial"/>
                <w:sz w:val="16"/>
              </w:rPr>
              <w:t xml:space="preserve">to </w:t>
            </w:r>
            <w:r w:rsidRPr="00F112B2">
              <w:rPr>
                <w:rFonts w:ascii="Garamond" w:hAnsi="Garamond" w:cs="Arial"/>
                <w:sz w:val="16"/>
              </w:rPr>
              <w:t>environmentally harmful subsidies, green subsidies, as well as environmental charges within the agricultural and energy sectors</w:t>
            </w:r>
            <w:r w:rsidRPr="00504FE6">
              <w:rPr>
                <w:rFonts w:ascii="Garamond" w:hAnsi="Garamond" w:cs="Arial"/>
                <w:sz w:val="16"/>
              </w:rPr>
              <w:t>:</w:t>
            </w:r>
          </w:p>
          <w:p w14:paraId="5C7EE2A3"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Policy reform</w:t>
            </w:r>
          </w:p>
          <w:p w14:paraId="0AC9609C"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Legislation/regulation change</w:t>
            </w:r>
          </w:p>
          <w:p w14:paraId="6A8BE888"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Development of national and local strategies and plans</w:t>
            </w:r>
          </w:p>
          <w:p w14:paraId="14649B86" w14:textId="77777777" w:rsidR="0006597C" w:rsidRPr="00504FE6" w:rsidRDefault="0006597C" w:rsidP="00DC1947">
            <w:pPr>
              <w:widowControl/>
              <w:numPr>
                <w:ilvl w:val="0"/>
                <w:numId w:val="27"/>
              </w:numPr>
              <w:tabs>
                <w:tab w:val="clear" w:pos="643"/>
                <w:tab w:val="left" w:pos="227"/>
              </w:tabs>
              <w:ind w:left="226" w:hanging="226"/>
              <w:rPr>
                <w:rFonts w:ascii="Garamond" w:hAnsi="Garamond" w:cs="Arial"/>
                <w:sz w:val="16"/>
              </w:rPr>
            </w:pPr>
            <w:r w:rsidRPr="00504FE6">
              <w:rPr>
                <w:rFonts w:ascii="Garamond" w:hAnsi="Garamond" w:cs="Arial"/>
                <w:sz w:val="16"/>
              </w:rPr>
              <w:t>Change in capacity in implementation and enforcement</w:t>
            </w:r>
          </w:p>
          <w:p w14:paraId="72AF2FA7"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Design and implementation of risk assessments</w:t>
            </w:r>
          </w:p>
          <w:p w14:paraId="45C420EA"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Implementation of national and local strategies and action plans through adequate institutional frameworks and their maintenance</w:t>
            </w:r>
          </w:p>
          <w:p w14:paraId="102F859B"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Monitoring, evaluation and promotion of pilots</w:t>
            </w:r>
          </w:p>
          <w:p w14:paraId="0A25418F" w14:textId="77777777" w:rsidR="0006597C" w:rsidRPr="00504FE6" w:rsidRDefault="0006597C" w:rsidP="00DC1947">
            <w:pPr>
              <w:widowControl/>
              <w:numPr>
                <w:ilvl w:val="0"/>
                <w:numId w:val="27"/>
              </w:numPr>
              <w:tabs>
                <w:tab w:val="clear" w:pos="643"/>
                <w:tab w:val="left" w:pos="227"/>
              </w:tabs>
              <w:ind w:left="226" w:hanging="226"/>
              <w:rPr>
                <w:rFonts w:ascii="Garamond" w:hAnsi="Garamond" w:cs="Arial"/>
                <w:sz w:val="16"/>
              </w:rPr>
            </w:pPr>
            <w:r w:rsidRPr="00504FE6">
              <w:rPr>
                <w:rFonts w:ascii="Garamond" w:hAnsi="Garamond" w:cs="Arial"/>
                <w:sz w:val="16"/>
              </w:rPr>
              <w:t xml:space="preserve">Change in capacity in mobilizing resources </w:t>
            </w:r>
          </w:p>
          <w:p w14:paraId="5250D1E8"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Leverage of resources</w:t>
            </w:r>
          </w:p>
          <w:p w14:paraId="01918BA6"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Human resources</w:t>
            </w:r>
          </w:p>
          <w:p w14:paraId="47A71507"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504FE6">
              <w:rPr>
                <w:rFonts w:ascii="Garamond" w:hAnsi="Garamond" w:cs="Arial"/>
                <w:sz w:val="16"/>
                <w:szCs w:val="24"/>
                <w:lang w:val="en-US"/>
              </w:rPr>
              <w:t xml:space="preserve">Appropriate practices </w:t>
            </w:r>
          </w:p>
          <w:p w14:paraId="6FDE9072" w14:textId="77777777" w:rsidR="0006597C" w:rsidRPr="00504FE6" w:rsidRDefault="0006597C" w:rsidP="00DC1947">
            <w:pPr>
              <w:pStyle w:val="Tableau-"/>
              <w:numPr>
                <w:ilvl w:val="1"/>
                <w:numId w:val="28"/>
              </w:numPr>
              <w:tabs>
                <w:tab w:val="clear" w:pos="108"/>
                <w:tab w:val="clear" w:pos="1440"/>
                <w:tab w:val="left" w:pos="368"/>
              </w:tabs>
              <w:spacing w:before="0" w:after="0"/>
              <w:ind w:left="368" w:right="74" w:hanging="141"/>
              <w:rPr>
                <w:rFonts w:cs="Arial"/>
              </w:rPr>
            </w:pPr>
            <w:r w:rsidRPr="00504FE6">
              <w:rPr>
                <w:rFonts w:ascii="Garamond" w:hAnsi="Garamond" w:cs="Arial"/>
                <w:sz w:val="16"/>
                <w:szCs w:val="24"/>
                <w:lang w:val="en-US"/>
              </w:rPr>
              <w:t>Mobilization of advisory services</w:t>
            </w:r>
          </w:p>
        </w:tc>
        <w:tc>
          <w:tcPr>
            <w:tcW w:w="2128" w:type="dxa"/>
          </w:tcPr>
          <w:p w14:paraId="48586817"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Project documents</w:t>
            </w:r>
          </w:p>
          <w:p w14:paraId="029E0BCE"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Key stakeholders including UNDP, Project Team, Representatives of Gov. and other Partners</w:t>
            </w:r>
          </w:p>
          <w:p w14:paraId="0437A253"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Research findings</w:t>
            </w:r>
          </w:p>
        </w:tc>
        <w:tc>
          <w:tcPr>
            <w:tcW w:w="2128" w:type="dxa"/>
            <w:tcBorders>
              <w:right w:val="single" w:sz="6" w:space="0" w:color="auto"/>
            </w:tcBorders>
          </w:tcPr>
          <w:p w14:paraId="655AFE61"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Documents analysis</w:t>
            </w:r>
          </w:p>
          <w:p w14:paraId="6EDDB0DC"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 xml:space="preserve">Meetings with main Project Partners </w:t>
            </w:r>
          </w:p>
          <w:p w14:paraId="49D6CC7A"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Interviews with project beneficiaries</w:t>
            </w:r>
          </w:p>
        </w:tc>
      </w:tr>
      <w:tr w:rsidR="0006597C" w14:paraId="048F58BF" w14:textId="77777777" w:rsidTr="00F46705">
        <w:tc>
          <w:tcPr>
            <w:tcW w:w="1638" w:type="dxa"/>
            <w:tcBorders>
              <w:top w:val="single" w:sz="6" w:space="0" w:color="auto"/>
              <w:left w:val="single" w:sz="6" w:space="0" w:color="auto"/>
              <w:bottom w:val="single" w:sz="6" w:space="0" w:color="auto"/>
            </w:tcBorders>
            <w:shd w:val="pct12" w:color="auto" w:fill="FFFFFF"/>
          </w:tcPr>
          <w:p w14:paraId="55578C16" w14:textId="77777777" w:rsidR="0006597C" w:rsidRPr="00B210DE" w:rsidRDefault="0006597C" w:rsidP="00954A31">
            <w:pPr>
              <w:pStyle w:val="Tableau-Texte"/>
              <w:numPr>
                <w:ilvl w:val="12"/>
                <w:numId w:val="0"/>
              </w:numPr>
              <w:spacing w:before="0" w:after="0" w:line="240" w:lineRule="auto"/>
              <w:ind w:left="74" w:right="74"/>
              <w:rPr>
                <w:rFonts w:ascii="Garamond" w:hAnsi="Garamond"/>
                <w:i/>
                <w:sz w:val="24"/>
                <w:lang w:val="en-US"/>
              </w:rPr>
            </w:pPr>
            <w:r w:rsidRPr="00B210DE">
              <w:rPr>
                <w:rFonts w:ascii="Garamond" w:hAnsi="Garamond"/>
                <w:i/>
                <w:sz w:val="24"/>
                <w:lang w:val="en-US"/>
              </w:rPr>
              <w:t>How is risk and risk mitigation being managed?</w:t>
            </w:r>
          </w:p>
        </w:tc>
        <w:tc>
          <w:tcPr>
            <w:tcW w:w="4820" w:type="dxa"/>
          </w:tcPr>
          <w:p w14:paraId="1AA5FD30"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How well were risks and assumptions being managed?</w:t>
            </w:r>
          </w:p>
          <w:p w14:paraId="6CEEE211"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What was the quality of risk mitigation strategies developed? Were these sufficient?</w:t>
            </w:r>
          </w:p>
          <w:p w14:paraId="236398E5"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Garamond"/>
                <w:sz w:val="16"/>
              </w:rPr>
              <w:t>Were there clear strategies for risk mitigation related with long-term sustainability of the project?</w:t>
            </w:r>
          </w:p>
        </w:tc>
        <w:tc>
          <w:tcPr>
            <w:tcW w:w="3799" w:type="dxa"/>
          </w:tcPr>
          <w:p w14:paraId="3EED4044"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Completeness of risk identification and assumptions during project planning</w:t>
            </w:r>
          </w:p>
          <w:p w14:paraId="2EC73796"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 xml:space="preserve">Quality of existing information systems in place to identify </w:t>
            </w:r>
            <w:r>
              <w:rPr>
                <w:rFonts w:ascii="Garamond" w:hAnsi="Garamond" w:cs="Arial"/>
                <w:sz w:val="16"/>
              </w:rPr>
              <w:t>emerging risks and other issues</w:t>
            </w:r>
          </w:p>
          <w:p w14:paraId="2BAC48E4"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Quality of risk mitigations strategies developed and followed</w:t>
            </w:r>
          </w:p>
        </w:tc>
        <w:tc>
          <w:tcPr>
            <w:tcW w:w="2128" w:type="dxa"/>
          </w:tcPr>
          <w:p w14:paraId="0B750CAD"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Project documents and evaluations</w:t>
            </w:r>
          </w:p>
          <w:p w14:paraId="24740504"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UNDP, Project Staff and Project Partners</w:t>
            </w:r>
          </w:p>
        </w:tc>
        <w:tc>
          <w:tcPr>
            <w:tcW w:w="2128" w:type="dxa"/>
            <w:tcBorders>
              <w:right w:val="single" w:sz="6" w:space="0" w:color="auto"/>
            </w:tcBorders>
          </w:tcPr>
          <w:p w14:paraId="11F13ED3"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Document analysis</w:t>
            </w:r>
          </w:p>
          <w:p w14:paraId="6F03EC5B"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Interviews</w:t>
            </w:r>
          </w:p>
        </w:tc>
      </w:tr>
      <w:tr w:rsidR="0006597C" w14:paraId="384F1D27" w14:textId="77777777" w:rsidTr="00F46705">
        <w:tc>
          <w:tcPr>
            <w:tcW w:w="1638" w:type="dxa"/>
            <w:tcBorders>
              <w:top w:val="single" w:sz="6" w:space="0" w:color="auto"/>
              <w:left w:val="single" w:sz="6" w:space="0" w:color="auto"/>
              <w:bottom w:val="single" w:sz="6" w:space="0" w:color="auto"/>
            </w:tcBorders>
            <w:shd w:val="pct12" w:color="auto" w:fill="FFFFFF"/>
          </w:tcPr>
          <w:p w14:paraId="0A4C4A44" w14:textId="77777777" w:rsidR="0006597C" w:rsidRPr="00B210DE" w:rsidRDefault="0006597C" w:rsidP="00954A31">
            <w:pPr>
              <w:pStyle w:val="Tableau-Texte"/>
              <w:numPr>
                <w:ilvl w:val="12"/>
                <w:numId w:val="0"/>
              </w:numPr>
              <w:spacing w:before="0" w:after="0" w:line="240" w:lineRule="auto"/>
              <w:ind w:left="74" w:right="74"/>
              <w:rPr>
                <w:rFonts w:ascii="Garamond" w:hAnsi="Garamond"/>
                <w:b/>
                <w:bCs/>
                <w:iCs/>
                <w:sz w:val="24"/>
                <w:lang w:val="en-US"/>
              </w:rPr>
            </w:pPr>
            <w:r w:rsidRPr="00B210DE">
              <w:rPr>
                <w:rFonts w:ascii="Garamond" w:hAnsi="Garamond"/>
                <w:b/>
                <w:bCs/>
                <w:iCs/>
                <w:sz w:val="24"/>
                <w:lang w:val="en-US"/>
              </w:rPr>
              <w:t>Future directions for similar Projects</w:t>
            </w:r>
          </w:p>
        </w:tc>
        <w:tc>
          <w:tcPr>
            <w:tcW w:w="4820" w:type="dxa"/>
          </w:tcPr>
          <w:p w14:paraId="2BC9D2FE"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What lessons have been learnt for the project to achieve its outcomes?</w:t>
            </w:r>
          </w:p>
          <w:p w14:paraId="78B02E44"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What changes could have been made (if any) to the formulation of the project in order to improve the achievement of project’s expected results?</w:t>
            </w:r>
          </w:p>
          <w:p w14:paraId="19EBD84C"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How could the project be more effective in achieving its results?</w:t>
            </w:r>
          </w:p>
        </w:tc>
        <w:tc>
          <w:tcPr>
            <w:tcW w:w="3799" w:type="dxa"/>
          </w:tcPr>
          <w:p w14:paraId="07D59D2D" w14:textId="77777777" w:rsidR="0006597C" w:rsidRPr="00B210DE" w:rsidRDefault="0006597C" w:rsidP="00954A31">
            <w:pPr>
              <w:pStyle w:val="Tableau-"/>
              <w:tabs>
                <w:tab w:val="left" w:pos="227"/>
              </w:tabs>
              <w:ind w:left="0" w:firstLine="0"/>
              <w:rPr>
                <w:rFonts w:ascii="Garamond" w:hAnsi="Garamond" w:cs="Arial"/>
                <w:sz w:val="16"/>
                <w:szCs w:val="24"/>
                <w:lang w:val="en-US"/>
              </w:rPr>
            </w:pPr>
          </w:p>
        </w:tc>
        <w:tc>
          <w:tcPr>
            <w:tcW w:w="2128" w:type="dxa"/>
          </w:tcPr>
          <w:p w14:paraId="28FB785A"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Data collected throughout evaluation</w:t>
            </w:r>
          </w:p>
        </w:tc>
        <w:tc>
          <w:tcPr>
            <w:tcW w:w="2128" w:type="dxa"/>
            <w:tcBorders>
              <w:right w:val="single" w:sz="6" w:space="0" w:color="auto"/>
            </w:tcBorders>
          </w:tcPr>
          <w:p w14:paraId="5244E697" w14:textId="77777777" w:rsidR="0006597C" w:rsidRPr="00B210DE" w:rsidRDefault="0006597C" w:rsidP="00DC1947">
            <w:pPr>
              <w:widowControl/>
              <w:numPr>
                <w:ilvl w:val="0"/>
                <w:numId w:val="27"/>
              </w:numPr>
              <w:tabs>
                <w:tab w:val="clear" w:pos="643"/>
                <w:tab w:val="left" w:pos="227"/>
              </w:tabs>
              <w:ind w:left="226" w:hanging="226"/>
              <w:rPr>
                <w:rFonts w:ascii="Garamond" w:hAnsi="Garamond" w:cs="Arial"/>
                <w:sz w:val="16"/>
              </w:rPr>
            </w:pPr>
            <w:r w:rsidRPr="00B210DE">
              <w:rPr>
                <w:rFonts w:ascii="Garamond" w:hAnsi="Garamond" w:cs="Arial"/>
                <w:sz w:val="16"/>
              </w:rPr>
              <w:t>Data analysis</w:t>
            </w:r>
          </w:p>
        </w:tc>
      </w:tr>
      <w:tr w:rsidR="0006597C" w14:paraId="7532B6C8" w14:textId="77777777" w:rsidTr="00F46705">
        <w:trPr>
          <w:trHeight w:val="475"/>
        </w:trPr>
        <w:tc>
          <w:tcPr>
            <w:tcW w:w="3799" w:type="dxa"/>
            <w:gridSpan w:val="5"/>
            <w:tcBorders>
              <w:top w:val="nil"/>
              <w:left w:val="single" w:sz="6" w:space="0" w:color="auto"/>
              <w:bottom w:val="nil"/>
              <w:right w:val="single" w:sz="6" w:space="0" w:color="auto"/>
            </w:tcBorders>
            <w:shd w:val="pct12" w:color="auto" w:fill="FFFFFF"/>
            <w:vAlign w:val="center"/>
          </w:tcPr>
          <w:p w14:paraId="4E1E2308" w14:textId="77777777" w:rsidR="0006597C" w:rsidRPr="00EF5E73" w:rsidRDefault="0006597C" w:rsidP="00954A31">
            <w:pPr>
              <w:numPr>
                <w:ilvl w:val="12"/>
                <w:numId w:val="0"/>
              </w:numPr>
              <w:rPr>
                <w:rFonts w:ascii="Garamond" w:hAnsi="Garamond"/>
                <w:i/>
              </w:rPr>
            </w:pPr>
            <w:r w:rsidRPr="00EF5E73">
              <w:rPr>
                <w:rFonts w:ascii="Garamond" w:hAnsi="Garamond"/>
                <w:b/>
              </w:rPr>
              <w:t xml:space="preserve">Evaluation criteria: </w:t>
            </w:r>
            <w:r w:rsidRPr="00EF5E73">
              <w:rPr>
                <w:rFonts w:ascii="Garamond" w:hAnsi="Garamond"/>
                <w:b/>
                <w:i/>
              </w:rPr>
              <w:t>Efficiency</w:t>
            </w:r>
            <w:r w:rsidRPr="00EF5E73">
              <w:rPr>
                <w:rFonts w:ascii="Garamond" w:hAnsi="Garamond"/>
                <w:i/>
              </w:rPr>
              <w:t xml:space="preserve"> - Was the project implemented efficiently, in-line with international and national norms and standards?</w:t>
            </w:r>
          </w:p>
        </w:tc>
      </w:tr>
      <w:tr w:rsidR="0006597C" w:rsidRPr="003830FD" w14:paraId="191CDED6" w14:textId="77777777" w:rsidTr="00F46705">
        <w:tc>
          <w:tcPr>
            <w:tcW w:w="1638" w:type="dxa"/>
            <w:tcBorders>
              <w:top w:val="single" w:sz="6" w:space="0" w:color="auto"/>
              <w:left w:val="single" w:sz="6" w:space="0" w:color="auto"/>
              <w:bottom w:val="single" w:sz="6" w:space="0" w:color="auto"/>
            </w:tcBorders>
            <w:shd w:val="pct12" w:color="auto" w:fill="FFFFFF"/>
          </w:tcPr>
          <w:p w14:paraId="359AFE6F" w14:textId="77777777" w:rsidR="0006597C" w:rsidRPr="00B210DE" w:rsidRDefault="0006597C" w:rsidP="00954A31">
            <w:pPr>
              <w:pStyle w:val="Tableau-Texte"/>
              <w:numPr>
                <w:ilvl w:val="12"/>
                <w:numId w:val="0"/>
              </w:numPr>
              <w:spacing w:before="0" w:after="0" w:line="240" w:lineRule="auto"/>
              <w:ind w:left="74" w:right="74"/>
              <w:rPr>
                <w:rFonts w:ascii="Garamond" w:hAnsi="Garamond"/>
                <w:i/>
                <w:sz w:val="24"/>
                <w:lang w:val="en-US"/>
              </w:rPr>
            </w:pPr>
            <w:r w:rsidRPr="00B210DE">
              <w:rPr>
                <w:rFonts w:ascii="Garamond" w:hAnsi="Garamond"/>
                <w:i/>
                <w:sz w:val="24"/>
                <w:lang w:val="en-US"/>
              </w:rPr>
              <w:t>Is Project support channeled in an efficient way?</w:t>
            </w:r>
          </w:p>
        </w:tc>
        <w:tc>
          <w:tcPr>
            <w:tcW w:w="4820" w:type="dxa"/>
          </w:tcPr>
          <w:p w14:paraId="161FB1D5"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Was adaptive management used or needed to ensure efficient resource use?</w:t>
            </w:r>
          </w:p>
          <w:p w14:paraId="58F5F31F"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 xml:space="preserve">Did the project </w:t>
            </w:r>
            <w:r w:rsidRPr="00C80A0E">
              <w:rPr>
                <w:rFonts w:ascii="Garamond" w:hAnsi="Garamond" w:cs="Arial"/>
                <w:i/>
                <w:sz w:val="16"/>
              </w:rPr>
              <w:t>Result and Resources Framework</w:t>
            </w:r>
            <w:r w:rsidRPr="00C80A0E">
              <w:rPr>
                <w:rFonts w:ascii="Garamond" w:hAnsi="Garamond" w:cs="Arial"/>
                <w:sz w:val="16"/>
              </w:rPr>
              <w:t xml:space="preserve"> and work plans and any changes made to them use as management tools during implementation?</w:t>
            </w:r>
          </w:p>
          <w:p w14:paraId="6E7CD5AF"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Were the accounting and financial systems in place adequate for project management and producing accurate and timely financial information?</w:t>
            </w:r>
          </w:p>
          <w:p w14:paraId="461E8A38"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Were progress reports produced accurately, timely and responded to reporting requirements including adaptive management changes?</w:t>
            </w:r>
          </w:p>
          <w:p w14:paraId="1CA952B3"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Was project implementation as cost effective as originally proposed (planned vs. actual)</w:t>
            </w:r>
          </w:p>
          <w:p w14:paraId="26D65407"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Was the leveraging of funds (co-financing) happened as planned?</w:t>
            </w:r>
          </w:p>
          <w:p w14:paraId="07625076"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lastRenderedPageBreak/>
              <w:t>Were financial resources utilized efficiently? Could financial resources have been used more efficiently?</w:t>
            </w:r>
          </w:p>
          <w:p w14:paraId="61B57005"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How was RBM used during project implementation?</w:t>
            </w:r>
          </w:p>
          <w:p w14:paraId="08974FA7" w14:textId="77777777" w:rsidR="0006597C" w:rsidRPr="00372EDF"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Did</w:t>
            </w:r>
            <w:r w:rsidRPr="00372EDF">
              <w:rPr>
                <w:rFonts w:ascii="Garamond" w:hAnsi="Garamond" w:cs="Arial"/>
                <w:sz w:val="16"/>
              </w:rPr>
              <w:t xml:space="preserve"> the government provide continuous strategic directions to the project's formulation and implementation?</w:t>
            </w:r>
          </w:p>
          <w:p w14:paraId="2FD7795C"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372EDF">
              <w:rPr>
                <w:rFonts w:ascii="Garamond" w:hAnsi="Garamond" w:cs="Arial"/>
                <w:sz w:val="16"/>
              </w:rPr>
              <w:t>Have the</w:t>
            </w:r>
            <w:r>
              <w:rPr>
                <w:rFonts w:ascii="Garamond" w:hAnsi="Garamond" w:cs="Arial"/>
                <w:sz w:val="16"/>
              </w:rPr>
              <w:t>se</w:t>
            </w:r>
            <w:r w:rsidRPr="00372EDF">
              <w:rPr>
                <w:rFonts w:ascii="Garamond" w:hAnsi="Garamond" w:cs="Arial"/>
                <w:sz w:val="16"/>
              </w:rPr>
              <w:t xml:space="preserve"> directions provided by the government guided the activities and outcomes of the project?</w:t>
            </w:r>
          </w:p>
          <w:p w14:paraId="78578108"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Were there an institutionalized or informal feedback or dissemination mechanisms to ensure that findings, lessons learned and recommendations pertaining to project formulation and implementation effectiveness were shared among project stakeholders, UNDP staff and other relevant organizations for ongoing project adjustment and improvement?</w:t>
            </w:r>
          </w:p>
          <w:p w14:paraId="4FFDFC1A"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Did the project mainstream gender considerations into its implementation?</w:t>
            </w:r>
          </w:p>
        </w:tc>
        <w:tc>
          <w:tcPr>
            <w:tcW w:w="3799" w:type="dxa"/>
          </w:tcPr>
          <w:p w14:paraId="5DBD565F"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lastRenderedPageBreak/>
              <w:t>Availability and quality of financial and progress reports</w:t>
            </w:r>
          </w:p>
          <w:p w14:paraId="43A76E0D"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Timeliness and adequacy of reporting provided</w:t>
            </w:r>
          </w:p>
          <w:p w14:paraId="0935C603"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Level of discrepancy between planned and utilized financial expenditures</w:t>
            </w:r>
          </w:p>
          <w:p w14:paraId="6EFA1A08"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Planned vs. actual funds leveraged</w:t>
            </w:r>
          </w:p>
          <w:p w14:paraId="0BC5A6E9"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 xml:space="preserve">Cost in view of results achieved compared to costs of similar projects from other organizations </w:t>
            </w:r>
          </w:p>
          <w:p w14:paraId="38A0F1D1"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Adequacy of project choices in view of existing context, infrastructure and cost</w:t>
            </w:r>
          </w:p>
          <w:p w14:paraId="1169A91C"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Quality of RBM reporting (progress reporting, monitoring and evaluation)</w:t>
            </w:r>
          </w:p>
          <w:p w14:paraId="1D8943E8"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lastRenderedPageBreak/>
              <w:t>Occurrence of change in project formulation/ implementation approach (i.e. restructuring) when needed to improve project efficiency</w:t>
            </w:r>
          </w:p>
          <w:p w14:paraId="35FEDF9E"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Existence, quality and use of M&amp;E, feedback and dissemination mechanism to share findings, lessons learned and recommendation on effectiveness of project design.</w:t>
            </w:r>
          </w:p>
          <w:p w14:paraId="0DD57D0E"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Cost associated with delivery mechanism and management structure compare to alternatives</w:t>
            </w:r>
          </w:p>
          <w:p w14:paraId="522B2E98" w14:textId="77777777" w:rsidR="0006597C" w:rsidRPr="00C80A0E" w:rsidRDefault="0006597C" w:rsidP="00DC1947">
            <w:pPr>
              <w:widowControl/>
              <w:numPr>
                <w:ilvl w:val="0"/>
                <w:numId w:val="27"/>
              </w:numPr>
              <w:tabs>
                <w:tab w:val="clear" w:pos="643"/>
                <w:tab w:val="left" w:pos="227"/>
              </w:tabs>
              <w:ind w:left="226" w:hanging="226"/>
              <w:rPr>
                <w:rFonts w:ascii="Garamond" w:hAnsi="Garamond" w:cs="Arial"/>
                <w:sz w:val="16"/>
              </w:rPr>
            </w:pPr>
            <w:r w:rsidRPr="00C80A0E">
              <w:rPr>
                <w:rFonts w:ascii="Garamond" w:hAnsi="Garamond" w:cs="Arial"/>
                <w:sz w:val="16"/>
              </w:rPr>
              <w:t>Gender disaggregated data in project documents</w:t>
            </w:r>
          </w:p>
        </w:tc>
        <w:tc>
          <w:tcPr>
            <w:tcW w:w="2128" w:type="dxa"/>
          </w:tcPr>
          <w:p w14:paraId="5DA75303"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lastRenderedPageBreak/>
              <w:t>Project documents and evaluations</w:t>
            </w:r>
          </w:p>
          <w:p w14:paraId="7728731A"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UNDP, Representatives of Gov. and Project Staff</w:t>
            </w:r>
          </w:p>
          <w:p w14:paraId="65D4A48E"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Beneficiaries and Project partners</w:t>
            </w:r>
          </w:p>
        </w:tc>
        <w:tc>
          <w:tcPr>
            <w:tcW w:w="2128" w:type="dxa"/>
            <w:tcBorders>
              <w:right w:val="single" w:sz="6" w:space="0" w:color="auto"/>
            </w:tcBorders>
          </w:tcPr>
          <w:p w14:paraId="29B9BC05"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Document analysis</w:t>
            </w:r>
          </w:p>
          <w:p w14:paraId="556EDCE3"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Key Interviews</w:t>
            </w:r>
          </w:p>
        </w:tc>
      </w:tr>
      <w:tr w:rsidR="0006597C" w14:paraId="0A6A644E" w14:textId="77777777" w:rsidTr="00F46705">
        <w:tc>
          <w:tcPr>
            <w:tcW w:w="1638" w:type="dxa"/>
            <w:tcBorders>
              <w:top w:val="single" w:sz="6" w:space="0" w:color="auto"/>
              <w:left w:val="single" w:sz="6" w:space="0" w:color="auto"/>
              <w:bottom w:val="single" w:sz="6" w:space="0" w:color="auto"/>
            </w:tcBorders>
            <w:shd w:val="pct12" w:color="auto" w:fill="FFFFFF"/>
          </w:tcPr>
          <w:p w14:paraId="039D8094" w14:textId="77777777" w:rsidR="0006597C" w:rsidRPr="001F67E0" w:rsidRDefault="0006597C" w:rsidP="00954A31">
            <w:pPr>
              <w:pStyle w:val="Tableau-Texte"/>
              <w:numPr>
                <w:ilvl w:val="12"/>
                <w:numId w:val="0"/>
              </w:numPr>
              <w:spacing w:before="0" w:after="0" w:line="240" w:lineRule="auto"/>
              <w:ind w:left="74" w:right="74"/>
              <w:rPr>
                <w:rFonts w:ascii="Garamond" w:hAnsi="Garamond"/>
                <w:i/>
                <w:sz w:val="24"/>
                <w:lang w:val="en-US"/>
              </w:rPr>
            </w:pPr>
            <w:r w:rsidRPr="001F67E0">
              <w:rPr>
                <w:rFonts w:ascii="Garamond" w:hAnsi="Garamond"/>
                <w:i/>
                <w:sz w:val="24"/>
                <w:lang w:val="en-US"/>
              </w:rPr>
              <w:lastRenderedPageBreak/>
              <w:t>How efficient are partnership arrangements for the Project?</w:t>
            </w:r>
          </w:p>
        </w:tc>
        <w:tc>
          <w:tcPr>
            <w:tcW w:w="4820" w:type="dxa"/>
          </w:tcPr>
          <w:p w14:paraId="4C5A5028" w14:textId="77777777" w:rsidR="0006597C" w:rsidRPr="00372EDF"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I</w:t>
            </w:r>
            <w:r w:rsidRPr="00372EDF">
              <w:rPr>
                <w:rFonts w:ascii="Garamond" w:hAnsi="Garamond" w:cs="Arial"/>
                <w:sz w:val="16"/>
              </w:rPr>
              <w:t>s the government engaged?</w:t>
            </w:r>
          </w:p>
          <w:p w14:paraId="3FC1F6AF" w14:textId="77777777" w:rsidR="0006597C" w:rsidRPr="00372EDF" w:rsidRDefault="0006597C" w:rsidP="00DC1947">
            <w:pPr>
              <w:widowControl/>
              <w:numPr>
                <w:ilvl w:val="0"/>
                <w:numId w:val="27"/>
              </w:numPr>
              <w:tabs>
                <w:tab w:val="clear" w:pos="643"/>
                <w:tab w:val="left" w:pos="227"/>
              </w:tabs>
              <w:ind w:left="226" w:hanging="226"/>
              <w:rPr>
                <w:rFonts w:ascii="Garamond" w:hAnsi="Garamond" w:cs="Arial"/>
                <w:sz w:val="16"/>
              </w:rPr>
            </w:pPr>
            <w:r w:rsidRPr="00372EDF">
              <w:rPr>
                <w:rFonts w:ascii="Garamond" w:hAnsi="Garamond" w:cs="Arial"/>
                <w:sz w:val="16"/>
              </w:rPr>
              <w:t>How does the government demonstrate its ownership of the projects?</w:t>
            </w:r>
          </w:p>
          <w:p w14:paraId="0F215D7C"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372EDF">
              <w:rPr>
                <w:rFonts w:ascii="Garamond" w:hAnsi="Garamond" w:cs="Arial"/>
                <w:sz w:val="16"/>
              </w:rPr>
              <w:t>Did the government provide a counter-part to the project?</w:t>
            </w:r>
          </w:p>
          <w:p w14:paraId="0E0C2395"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To what extent partnerships/linkages between institutions/ organizations were encouraged and supported?</w:t>
            </w:r>
          </w:p>
          <w:p w14:paraId="02BDD430"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 xml:space="preserve"> Which partnerships/linkages were facilitated? Which one can be considered sustainable?</w:t>
            </w:r>
          </w:p>
          <w:p w14:paraId="4781ECBC"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What was the level of efficiency of cooperation and collaboration arrangements? (between local actors, UNDP</w:t>
            </w:r>
            <w:r>
              <w:rPr>
                <w:rFonts w:ascii="Garamond" w:hAnsi="Garamond" w:cs="Arial"/>
                <w:sz w:val="16"/>
              </w:rPr>
              <w:t>/GEF</w:t>
            </w:r>
            <w:r w:rsidRPr="006A7EDA">
              <w:rPr>
                <w:rFonts w:ascii="Garamond" w:hAnsi="Garamond" w:cs="Arial"/>
                <w:sz w:val="16"/>
              </w:rPr>
              <w:t xml:space="preserve"> and relevant government entities)</w:t>
            </w:r>
          </w:p>
          <w:p w14:paraId="5E63C416"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Which methods were successful or not and why?</w:t>
            </w:r>
          </w:p>
        </w:tc>
        <w:tc>
          <w:tcPr>
            <w:tcW w:w="3799" w:type="dxa"/>
          </w:tcPr>
          <w:p w14:paraId="34665E07"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 xml:space="preserve">Specific activities conducted to support the development of cooperative arrangements between partners, </w:t>
            </w:r>
          </w:p>
          <w:p w14:paraId="56320ACF"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Examples of supported partnerships</w:t>
            </w:r>
          </w:p>
          <w:p w14:paraId="58D57FFD"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Evidence that particular partnerships/linkages will be sustained</w:t>
            </w:r>
          </w:p>
          <w:p w14:paraId="119BF01E"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Types/quality of partnership cooperation methods utilized</w:t>
            </w:r>
          </w:p>
        </w:tc>
        <w:tc>
          <w:tcPr>
            <w:tcW w:w="2128" w:type="dxa"/>
          </w:tcPr>
          <w:p w14:paraId="26577542"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Project documents and evaluations</w:t>
            </w:r>
          </w:p>
          <w:p w14:paraId="043A2DF6"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Project Partners</w:t>
            </w:r>
          </w:p>
          <w:p w14:paraId="4701E6B2"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Beneficiaries</w:t>
            </w:r>
          </w:p>
        </w:tc>
        <w:tc>
          <w:tcPr>
            <w:tcW w:w="2128" w:type="dxa"/>
            <w:tcBorders>
              <w:right w:val="single" w:sz="6" w:space="0" w:color="auto"/>
            </w:tcBorders>
          </w:tcPr>
          <w:p w14:paraId="2EFC1A93"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Document analysis</w:t>
            </w:r>
          </w:p>
          <w:p w14:paraId="18944010"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Interviews</w:t>
            </w:r>
          </w:p>
        </w:tc>
      </w:tr>
      <w:tr w:rsidR="0006597C" w14:paraId="0B0D33D3" w14:textId="77777777" w:rsidTr="00F46705">
        <w:tc>
          <w:tcPr>
            <w:tcW w:w="1638" w:type="dxa"/>
            <w:tcBorders>
              <w:top w:val="single" w:sz="6" w:space="0" w:color="auto"/>
              <w:left w:val="single" w:sz="6" w:space="0" w:color="auto"/>
              <w:bottom w:val="single" w:sz="6" w:space="0" w:color="auto"/>
            </w:tcBorders>
            <w:shd w:val="pct12" w:color="auto" w:fill="FFFFFF"/>
          </w:tcPr>
          <w:p w14:paraId="2E96CA8C" w14:textId="77777777" w:rsidR="0006597C" w:rsidRPr="001F67E0" w:rsidRDefault="0006597C" w:rsidP="00954A31">
            <w:pPr>
              <w:pStyle w:val="Tableau-Texte"/>
              <w:numPr>
                <w:ilvl w:val="12"/>
                <w:numId w:val="0"/>
              </w:numPr>
              <w:spacing w:before="0" w:after="0" w:line="240" w:lineRule="auto"/>
              <w:ind w:left="74" w:right="74"/>
              <w:rPr>
                <w:rFonts w:ascii="Garamond" w:hAnsi="Garamond"/>
                <w:i/>
                <w:sz w:val="24"/>
                <w:lang w:val="en-US"/>
              </w:rPr>
            </w:pPr>
            <w:r w:rsidRPr="001F67E0">
              <w:rPr>
                <w:rFonts w:ascii="Garamond" w:hAnsi="Garamond"/>
                <w:i/>
                <w:sz w:val="24"/>
                <w:lang w:val="en-US"/>
              </w:rPr>
              <w:t>Does the Project efficiently utilize local capacity in implementation?</w:t>
            </w:r>
          </w:p>
        </w:tc>
        <w:tc>
          <w:tcPr>
            <w:tcW w:w="4820" w:type="dxa"/>
            <w:tcBorders>
              <w:bottom w:val="nil"/>
            </w:tcBorders>
          </w:tcPr>
          <w:p w14:paraId="69E517E7"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Was an appropriate balance struck between utilization of international expertise as well as local capacity?</w:t>
            </w:r>
          </w:p>
          <w:p w14:paraId="14D2D7DB" w14:textId="77777777" w:rsidR="0006597C" w:rsidRPr="00372EDF" w:rsidRDefault="0006597C" w:rsidP="00DC1947">
            <w:pPr>
              <w:widowControl/>
              <w:numPr>
                <w:ilvl w:val="0"/>
                <w:numId w:val="27"/>
              </w:numPr>
              <w:tabs>
                <w:tab w:val="clear" w:pos="643"/>
                <w:tab w:val="left" w:pos="227"/>
              </w:tabs>
              <w:ind w:left="226" w:hanging="226"/>
              <w:rPr>
                <w:rFonts w:ascii="Garamond" w:hAnsi="Garamond" w:cs="Arial"/>
                <w:sz w:val="16"/>
              </w:rPr>
            </w:pPr>
            <w:r w:rsidRPr="00372EDF">
              <w:rPr>
                <w:rFonts w:ascii="Garamond" w:hAnsi="Garamond" w:cs="Arial"/>
                <w:sz w:val="16"/>
              </w:rPr>
              <w:t>Does the project support mutual benefits through sharing of knowledge and experiences, training, technology transfer</w:t>
            </w:r>
            <w:r>
              <w:rPr>
                <w:rFonts w:ascii="Garamond" w:hAnsi="Garamond" w:cs="Arial"/>
                <w:sz w:val="16"/>
              </w:rPr>
              <w:t xml:space="preserve"> among developing countries</w:t>
            </w:r>
            <w:r w:rsidRPr="00372EDF">
              <w:rPr>
                <w:rFonts w:ascii="Garamond" w:hAnsi="Garamond" w:cs="Arial"/>
                <w:sz w:val="16"/>
              </w:rPr>
              <w:t>?</w:t>
            </w:r>
          </w:p>
          <w:p w14:paraId="77AFA55A"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 xml:space="preserve">Did the Project take into account local capacity in formulation and implementation of the project? </w:t>
            </w:r>
          </w:p>
          <w:p w14:paraId="286761C3"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Garamond"/>
                <w:sz w:val="16"/>
              </w:rPr>
              <w:t xml:space="preserve">Was there an effective collaboration with scientific institutions with competence in </w:t>
            </w:r>
            <w:r>
              <w:rPr>
                <w:rFonts w:ascii="Garamond" w:hAnsi="Garamond" w:cs="Garamond"/>
                <w:sz w:val="16"/>
              </w:rPr>
              <w:t>environmental fiscal reform</w:t>
            </w:r>
            <w:r w:rsidRPr="001F67E0">
              <w:rPr>
                <w:rFonts w:ascii="Garamond" w:hAnsi="Garamond" w:cs="Arial"/>
                <w:sz w:val="16"/>
              </w:rPr>
              <w:t>?</w:t>
            </w:r>
          </w:p>
        </w:tc>
        <w:tc>
          <w:tcPr>
            <w:tcW w:w="3799" w:type="dxa"/>
            <w:tcBorders>
              <w:bottom w:val="nil"/>
            </w:tcBorders>
          </w:tcPr>
          <w:p w14:paraId="211E3741"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 xml:space="preserve">Proportion of total expertise utilized taken from </w:t>
            </w:r>
            <w:r>
              <w:rPr>
                <w:rFonts w:ascii="Garamond" w:hAnsi="Garamond" w:cs="Arial"/>
                <w:sz w:val="16"/>
              </w:rPr>
              <w:t>Moldova</w:t>
            </w:r>
          </w:p>
          <w:p w14:paraId="1F3A820C"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Number/quality of analyses done to assess local capacity potential and absorptive capacity</w:t>
            </w:r>
          </w:p>
        </w:tc>
        <w:tc>
          <w:tcPr>
            <w:tcW w:w="2128" w:type="dxa"/>
            <w:tcBorders>
              <w:bottom w:val="nil"/>
            </w:tcBorders>
          </w:tcPr>
          <w:p w14:paraId="229BBA23"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Project documents and evaluations</w:t>
            </w:r>
          </w:p>
          <w:p w14:paraId="4B4097E5"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UNDP, Project Team and Project partners</w:t>
            </w:r>
          </w:p>
          <w:p w14:paraId="08101B77"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Beneficiaries</w:t>
            </w:r>
          </w:p>
        </w:tc>
        <w:tc>
          <w:tcPr>
            <w:tcW w:w="2128" w:type="dxa"/>
            <w:tcBorders>
              <w:bottom w:val="nil"/>
              <w:right w:val="single" w:sz="6" w:space="0" w:color="auto"/>
            </w:tcBorders>
          </w:tcPr>
          <w:p w14:paraId="6CFA4D97"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Document analysis</w:t>
            </w:r>
          </w:p>
          <w:p w14:paraId="597F7DE2"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Interviews</w:t>
            </w:r>
          </w:p>
        </w:tc>
      </w:tr>
      <w:tr w:rsidR="0006597C" w14:paraId="328B8739" w14:textId="77777777" w:rsidTr="00F46705">
        <w:tc>
          <w:tcPr>
            <w:tcW w:w="1638" w:type="dxa"/>
            <w:tcBorders>
              <w:top w:val="single" w:sz="6" w:space="0" w:color="auto"/>
              <w:left w:val="single" w:sz="6" w:space="0" w:color="auto"/>
              <w:bottom w:val="single" w:sz="6" w:space="0" w:color="auto"/>
            </w:tcBorders>
            <w:shd w:val="pct12" w:color="auto" w:fill="FFFFFF"/>
          </w:tcPr>
          <w:p w14:paraId="1489EEA3" w14:textId="77777777" w:rsidR="0006597C" w:rsidRPr="001F67E0" w:rsidRDefault="0006597C" w:rsidP="00954A31">
            <w:pPr>
              <w:pStyle w:val="Tableau-Texte"/>
              <w:numPr>
                <w:ilvl w:val="12"/>
                <w:numId w:val="0"/>
              </w:numPr>
              <w:spacing w:before="0" w:after="0" w:line="240" w:lineRule="auto"/>
              <w:ind w:left="74" w:right="74"/>
              <w:rPr>
                <w:rFonts w:ascii="Garamond" w:hAnsi="Garamond"/>
                <w:b/>
                <w:bCs/>
                <w:iCs/>
                <w:sz w:val="24"/>
                <w:lang w:val="en-US"/>
              </w:rPr>
            </w:pPr>
            <w:r w:rsidRPr="001F67E0">
              <w:rPr>
                <w:rFonts w:ascii="Garamond" w:hAnsi="Garamond"/>
                <w:b/>
                <w:bCs/>
                <w:iCs/>
                <w:sz w:val="24"/>
                <w:lang w:val="en-US"/>
              </w:rPr>
              <w:t>Future directions for similar Projects</w:t>
            </w:r>
          </w:p>
        </w:tc>
        <w:tc>
          <w:tcPr>
            <w:tcW w:w="4820" w:type="dxa"/>
          </w:tcPr>
          <w:p w14:paraId="0A94938C"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What lessons can be learnt from the project on efficiency?</w:t>
            </w:r>
          </w:p>
          <w:p w14:paraId="00ED1B69"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How could the project have more efficiently addressed its key priorities (in terms of management structures and procedures, partnerships arrangements etc.…)?</w:t>
            </w:r>
          </w:p>
          <w:p w14:paraId="23412B71"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What changes could have been made (if any) to the project in order to improve its efficiency?</w:t>
            </w:r>
          </w:p>
        </w:tc>
        <w:tc>
          <w:tcPr>
            <w:tcW w:w="3799" w:type="dxa"/>
          </w:tcPr>
          <w:p w14:paraId="162C4C8C" w14:textId="77777777" w:rsidR="0006597C" w:rsidRPr="001F67E0" w:rsidRDefault="0006597C" w:rsidP="00954A31">
            <w:pPr>
              <w:tabs>
                <w:tab w:val="left" w:pos="227"/>
              </w:tabs>
              <w:rPr>
                <w:rFonts w:ascii="Garamond" w:hAnsi="Garamond" w:cs="Arial"/>
                <w:sz w:val="16"/>
              </w:rPr>
            </w:pPr>
          </w:p>
        </w:tc>
        <w:tc>
          <w:tcPr>
            <w:tcW w:w="2128" w:type="dxa"/>
          </w:tcPr>
          <w:p w14:paraId="3C814235"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Data collected throughout evaluation</w:t>
            </w:r>
          </w:p>
        </w:tc>
        <w:tc>
          <w:tcPr>
            <w:tcW w:w="2128" w:type="dxa"/>
            <w:tcBorders>
              <w:right w:val="single" w:sz="6" w:space="0" w:color="auto"/>
            </w:tcBorders>
          </w:tcPr>
          <w:p w14:paraId="45D5B4F2" w14:textId="77777777" w:rsidR="0006597C" w:rsidRPr="001F67E0" w:rsidRDefault="0006597C" w:rsidP="00DC1947">
            <w:pPr>
              <w:widowControl/>
              <w:numPr>
                <w:ilvl w:val="0"/>
                <w:numId w:val="27"/>
              </w:numPr>
              <w:tabs>
                <w:tab w:val="clear" w:pos="643"/>
                <w:tab w:val="left" w:pos="227"/>
              </w:tabs>
              <w:ind w:left="226" w:hanging="226"/>
              <w:rPr>
                <w:rFonts w:ascii="Garamond" w:hAnsi="Garamond" w:cs="Arial"/>
                <w:sz w:val="16"/>
              </w:rPr>
            </w:pPr>
            <w:r w:rsidRPr="001F67E0">
              <w:rPr>
                <w:rFonts w:ascii="Garamond" w:hAnsi="Garamond" w:cs="Arial"/>
                <w:sz w:val="16"/>
              </w:rPr>
              <w:t>Data analysis</w:t>
            </w:r>
          </w:p>
        </w:tc>
      </w:tr>
      <w:tr w:rsidR="0006597C" w14:paraId="0A3C1C6E" w14:textId="77777777" w:rsidTr="00F46705">
        <w:tc>
          <w:tcPr>
            <w:tcW w:w="3799" w:type="dxa"/>
            <w:gridSpan w:val="5"/>
            <w:tcBorders>
              <w:top w:val="nil"/>
              <w:left w:val="single" w:sz="6" w:space="0" w:color="auto"/>
              <w:bottom w:val="nil"/>
              <w:right w:val="single" w:sz="6" w:space="0" w:color="auto"/>
            </w:tcBorders>
            <w:shd w:val="pct12" w:color="auto" w:fill="FFFFFF"/>
          </w:tcPr>
          <w:p w14:paraId="2DCF7159" w14:textId="77777777" w:rsidR="0006597C" w:rsidRPr="00EF5E73" w:rsidRDefault="0006597C" w:rsidP="00954A31">
            <w:pPr>
              <w:numPr>
                <w:ilvl w:val="12"/>
                <w:numId w:val="0"/>
              </w:numPr>
              <w:jc w:val="both"/>
              <w:rPr>
                <w:rFonts w:ascii="Garamond" w:hAnsi="Garamond"/>
                <w:b/>
              </w:rPr>
            </w:pPr>
            <w:r w:rsidRPr="00021E40">
              <w:rPr>
                <w:rFonts w:ascii="Garamond" w:hAnsi="Garamond"/>
                <w:b/>
              </w:rPr>
              <w:t xml:space="preserve">Evaluation criteria: </w:t>
            </w:r>
            <w:r w:rsidRPr="00021E40">
              <w:rPr>
                <w:rFonts w:ascii="Garamond" w:hAnsi="Garamond"/>
                <w:b/>
                <w:i/>
              </w:rPr>
              <w:t>Impacts</w:t>
            </w:r>
            <w:r w:rsidRPr="00021E40">
              <w:rPr>
                <w:rFonts w:ascii="Garamond" w:hAnsi="Garamond"/>
                <w:i/>
              </w:rPr>
              <w:t xml:space="preserve"> - Are there indications that the project has contributed to, or enabled progress towards reduced environmental stress and/or improved ecological status?</w:t>
            </w:r>
          </w:p>
        </w:tc>
      </w:tr>
      <w:tr w:rsidR="0006597C" w14:paraId="7A8D4263" w14:textId="77777777" w:rsidTr="00F46705">
        <w:tc>
          <w:tcPr>
            <w:tcW w:w="1638" w:type="dxa"/>
            <w:tcBorders>
              <w:top w:val="single" w:sz="6" w:space="0" w:color="auto"/>
              <w:left w:val="single" w:sz="6" w:space="0" w:color="auto"/>
              <w:bottom w:val="single" w:sz="6" w:space="0" w:color="auto"/>
            </w:tcBorders>
            <w:shd w:val="pct12" w:color="auto" w:fill="FFFFFF"/>
          </w:tcPr>
          <w:p w14:paraId="3F1B6B2C" w14:textId="77777777" w:rsidR="0006597C" w:rsidRPr="006A7EDA" w:rsidRDefault="0006597C" w:rsidP="00954A31">
            <w:pPr>
              <w:pStyle w:val="Tableau-Texte"/>
              <w:spacing w:before="0" w:after="0" w:line="240" w:lineRule="auto"/>
              <w:ind w:left="0" w:right="74"/>
              <w:rPr>
                <w:rFonts w:ascii="Garamond" w:hAnsi="Garamond"/>
                <w:b/>
                <w:bCs/>
                <w:i/>
                <w:sz w:val="24"/>
                <w:u w:val="single"/>
                <w:lang w:val="en-US"/>
              </w:rPr>
            </w:pPr>
            <w:r w:rsidRPr="006A7EDA">
              <w:rPr>
                <w:rFonts w:ascii="Garamond" w:hAnsi="Garamond"/>
                <w:i/>
                <w:sz w:val="24"/>
                <w:lang w:val="en-US"/>
              </w:rPr>
              <w:t>How is the Project effective in achieving its long-term objectives?</w:t>
            </w:r>
          </w:p>
        </w:tc>
        <w:tc>
          <w:tcPr>
            <w:tcW w:w="4820" w:type="dxa"/>
          </w:tcPr>
          <w:p w14:paraId="19EB4E34" w14:textId="77777777" w:rsidR="0006597C" w:rsidRPr="001A023E" w:rsidRDefault="0006597C" w:rsidP="00DC1947">
            <w:pPr>
              <w:widowControl/>
              <w:numPr>
                <w:ilvl w:val="0"/>
                <w:numId w:val="27"/>
              </w:numPr>
              <w:tabs>
                <w:tab w:val="clear" w:pos="643"/>
                <w:tab w:val="left" w:pos="227"/>
              </w:tabs>
              <w:ind w:left="226" w:hanging="226"/>
              <w:rPr>
                <w:rFonts w:ascii="Garamond" w:hAnsi="Garamond" w:cs="Arial"/>
                <w:sz w:val="16"/>
              </w:rPr>
            </w:pPr>
            <w:r w:rsidRPr="00697664">
              <w:rPr>
                <w:rFonts w:ascii="Garamond" w:hAnsi="Garamond" w:cs="Arial"/>
                <w:sz w:val="16"/>
              </w:rPr>
              <w:t>Will the project achieve its objective that is to</w:t>
            </w:r>
            <w:r>
              <w:rPr>
                <w:rFonts w:ascii="Garamond" w:hAnsi="Garamond" w:cs="Arial"/>
                <w:sz w:val="16"/>
              </w:rPr>
              <w:t xml:space="preserve"> </w:t>
            </w:r>
            <w:r w:rsidRPr="00F112B2">
              <w:rPr>
                <w:rFonts w:ascii="Garamond" w:hAnsi="Garamond" w:cs="Arial"/>
                <w:sz w:val="16"/>
              </w:rPr>
              <w:t>build capacities for implementing environmental fiscal reforms (EFR) that will produce increased national and global environmental benefits through the adoption of selected subsidies, fees, fines, taxes and other</w:t>
            </w:r>
            <w:r>
              <w:rPr>
                <w:rFonts w:ascii="Garamond" w:hAnsi="Garamond" w:cs="Arial"/>
                <w:sz w:val="16"/>
              </w:rPr>
              <w:t xml:space="preserve"> appropriate fiscal instruments</w:t>
            </w:r>
            <w:r w:rsidRPr="00697664">
              <w:rPr>
                <w:rFonts w:ascii="Garamond" w:hAnsi="Garamond" w:cs="Arial"/>
                <w:sz w:val="16"/>
              </w:rPr>
              <w:t>?</w:t>
            </w:r>
          </w:p>
        </w:tc>
        <w:tc>
          <w:tcPr>
            <w:tcW w:w="3799" w:type="dxa"/>
          </w:tcPr>
          <w:p w14:paraId="7323E4D9" w14:textId="77777777" w:rsidR="0006597C" w:rsidRPr="00F112B2" w:rsidRDefault="0006597C" w:rsidP="00DC1947">
            <w:pPr>
              <w:widowControl/>
              <w:numPr>
                <w:ilvl w:val="0"/>
                <w:numId w:val="27"/>
              </w:numPr>
              <w:tabs>
                <w:tab w:val="clear" w:pos="643"/>
                <w:tab w:val="left" w:pos="227"/>
              </w:tabs>
              <w:ind w:left="226" w:hanging="226"/>
              <w:rPr>
                <w:rFonts w:ascii="Garamond" w:hAnsi="Garamond" w:cs="Arial"/>
                <w:sz w:val="16"/>
              </w:rPr>
            </w:pPr>
            <w:r w:rsidRPr="00F112B2">
              <w:rPr>
                <w:rFonts w:ascii="Garamond" w:hAnsi="Garamond" w:cs="Arial"/>
                <w:sz w:val="16"/>
              </w:rPr>
              <w:t xml:space="preserve">Changes in capacity: </w:t>
            </w:r>
          </w:p>
          <w:p w14:paraId="430F4F5E" w14:textId="77777777" w:rsidR="0006597C" w:rsidRPr="00F112B2"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F112B2">
              <w:rPr>
                <w:rFonts w:ascii="Garamond" w:hAnsi="Garamond" w:cs="Arial"/>
                <w:sz w:val="16"/>
                <w:szCs w:val="24"/>
                <w:lang w:val="en-US"/>
              </w:rPr>
              <w:t>To pool/mobilize resources</w:t>
            </w:r>
          </w:p>
          <w:p w14:paraId="3D64B0C6" w14:textId="77777777" w:rsidR="0006597C" w:rsidRPr="00F112B2"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F112B2">
              <w:rPr>
                <w:rFonts w:ascii="Garamond" w:hAnsi="Garamond" w:cs="Arial"/>
                <w:sz w:val="16"/>
                <w:szCs w:val="24"/>
                <w:lang w:val="en-US"/>
              </w:rPr>
              <w:t>To provide an enabling environment,</w:t>
            </w:r>
          </w:p>
          <w:p w14:paraId="5ADE7DC9" w14:textId="77777777" w:rsidR="0006597C" w:rsidRPr="00F112B2"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F112B2">
              <w:rPr>
                <w:rFonts w:ascii="Garamond" w:hAnsi="Garamond" w:cs="Arial"/>
                <w:sz w:val="16"/>
                <w:szCs w:val="24"/>
                <w:lang w:val="en-US"/>
              </w:rPr>
              <w:t>For implementation of related strategies and programmes through adequate institutional frameworks and their maintenance,</w:t>
            </w:r>
          </w:p>
          <w:p w14:paraId="248C6A67" w14:textId="77777777" w:rsidR="0006597C" w:rsidRPr="00F112B2" w:rsidRDefault="0006597C" w:rsidP="00DC1947">
            <w:pPr>
              <w:widowControl/>
              <w:numPr>
                <w:ilvl w:val="0"/>
                <w:numId w:val="27"/>
              </w:numPr>
              <w:tabs>
                <w:tab w:val="clear" w:pos="643"/>
                <w:tab w:val="left" w:pos="227"/>
              </w:tabs>
              <w:ind w:left="226" w:hanging="226"/>
              <w:rPr>
                <w:rFonts w:ascii="Garamond" w:hAnsi="Garamond" w:cs="Arial"/>
                <w:sz w:val="16"/>
              </w:rPr>
            </w:pPr>
            <w:r w:rsidRPr="00F112B2">
              <w:rPr>
                <w:rFonts w:ascii="Garamond" w:hAnsi="Garamond" w:cs="Arial"/>
                <w:sz w:val="16"/>
              </w:rPr>
              <w:t>Changes in use and implementation of sustainable alternatives</w:t>
            </w:r>
          </w:p>
          <w:p w14:paraId="39DAB7DA" w14:textId="77777777" w:rsidR="0006597C" w:rsidRPr="00F112B2" w:rsidRDefault="0006597C" w:rsidP="00DC1947">
            <w:pPr>
              <w:widowControl/>
              <w:numPr>
                <w:ilvl w:val="0"/>
                <w:numId w:val="27"/>
              </w:numPr>
              <w:tabs>
                <w:tab w:val="clear" w:pos="643"/>
                <w:tab w:val="left" w:pos="227"/>
              </w:tabs>
              <w:ind w:left="226" w:hanging="226"/>
              <w:rPr>
                <w:rFonts w:ascii="Garamond" w:hAnsi="Garamond" w:cs="Arial"/>
                <w:sz w:val="16"/>
              </w:rPr>
            </w:pPr>
            <w:r w:rsidRPr="00F112B2">
              <w:rPr>
                <w:rFonts w:ascii="Garamond" w:hAnsi="Garamond" w:cs="Arial"/>
                <w:sz w:val="16"/>
              </w:rPr>
              <w:t xml:space="preserve">Changes to the quantity and strength of barriers such as change in </w:t>
            </w:r>
          </w:p>
          <w:p w14:paraId="16CBF626" w14:textId="77777777" w:rsidR="0006597C" w:rsidRPr="00F112B2"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F112B2">
              <w:rPr>
                <w:rFonts w:ascii="Garamond" w:hAnsi="Garamond" w:cs="Arial"/>
                <w:sz w:val="16"/>
                <w:szCs w:val="24"/>
                <w:lang w:val="en-US"/>
              </w:rPr>
              <w:t>Environmentally harmful subsidies</w:t>
            </w:r>
          </w:p>
          <w:p w14:paraId="29AEBC04" w14:textId="77777777" w:rsidR="0006597C" w:rsidRPr="00F112B2"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F112B2">
              <w:rPr>
                <w:rFonts w:ascii="Garamond" w:hAnsi="Garamond" w:cs="Arial"/>
                <w:sz w:val="16"/>
                <w:szCs w:val="24"/>
                <w:lang w:val="en-US"/>
              </w:rPr>
              <w:t>Green subsidies</w:t>
            </w:r>
          </w:p>
          <w:p w14:paraId="2F6F9F60" w14:textId="77777777" w:rsidR="0006597C" w:rsidRPr="00F112B2"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F112B2">
              <w:rPr>
                <w:rFonts w:ascii="Garamond" w:hAnsi="Garamond" w:cs="Arial"/>
                <w:sz w:val="16"/>
                <w:szCs w:val="24"/>
                <w:lang w:val="en-US"/>
              </w:rPr>
              <w:t>Environmental charges within the agricultural and energy sectors</w:t>
            </w:r>
          </w:p>
        </w:tc>
        <w:tc>
          <w:tcPr>
            <w:tcW w:w="2128" w:type="dxa"/>
          </w:tcPr>
          <w:p w14:paraId="6841E902"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Project documents</w:t>
            </w:r>
          </w:p>
          <w:p w14:paraId="4394E857"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Key Stakeholders</w:t>
            </w:r>
          </w:p>
          <w:p w14:paraId="42A219B0"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Research findings</w:t>
            </w:r>
          </w:p>
        </w:tc>
        <w:tc>
          <w:tcPr>
            <w:tcW w:w="2128" w:type="dxa"/>
            <w:tcBorders>
              <w:right w:val="single" w:sz="6" w:space="0" w:color="auto"/>
            </w:tcBorders>
          </w:tcPr>
          <w:p w14:paraId="5FC044BC"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Documents analysis</w:t>
            </w:r>
          </w:p>
          <w:p w14:paraId="6E19CB4B"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Meetings with UNDP, Project Team and project Partners</w:t>
            </w:r>
          </w:p>
          <w:p w14:paraId="6E98E4C5"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Interviews with project beneficiaries and other stakeholders</w:t>
            </w:r>
          </w:p>
        </w:tc>
      </w:tr>
      <w:tr w:rsidR="0006597C" w14:paraId="3D8F1584" w14:textId="77777777" w:rsidTr="00F46705">
        <w:tc>
          <w:tcPr>
            <w:tcW w:w="1638" w:type="dxa"/>
            <w:tcBorders>
              <w:top w:val="single" w:sz="6" w:space="0" w:color="auto"/>
              <w:left w:val="single" w:sz="6" w:space="0" w:color="auto"/>
              <w:bottom w:val="single" w:sz="6" w:space="0" w:color="auto"/>
            </w:tcBorders>
            <w:shd w:val="pct12" w:color="auto" w:fill="FFFFFF"/>
          </w:tcPr>
          <w:p w14:paraId="1838D4AA" w14:textId="77777777" w:rsidR="0006597C" w:rsidRPr="006A7EDA" w:rsidRDefault="0006597C" w:rsidP="00954A31">
            <w:pPr>
              <w:pStyle w:val="Tableau-Texte"/>
              <w:numPr>
                <w:ilvl w:val="12"/>
                <w:numId w:val="0"/>
              </w:numPr>
              <w:spacing w:before="0" w:after="0" w:line="240" w:lineRule="auto"/>
              <w:ind w:left="74" w:right="74"/>
              <w:rPr>
                <w:rFonts w:ascii="Garamond" w:hAnsi="Garamond"/>
                <w:i/>
                <w:sz w:val="24"/>
                <w:lang w:val="en-US"/>
              </w:rPr>
            </w:pPr>
            <w:r w:rsidRPr="006A7EDA">
              <w:rPr>
                <w:rFonts w:ascii="Garamond" w:hAnsi="Garamond"/>
                <w:i/>
                <w:sz w:val="24"/>
                <w:lang w:val="en-US"/>
              </w:rPr>
              <w:t>How is the Project impacting the local environment?</w:t>
            </w:r>
          </w:p>
        </w:tc>
        <w:tc>
          <w:tcPr>
            <w:tcW w:w="4820" w:type="dxa"/>
          </w:tcPr>
          <w:p w14:paraId="57434B9B"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What are the impacts or likely impacts of the project on?</w:t>
            </w:r>
          </w:p>
          <w:p w14:paraId="4BB86EF2" w14:textId="77777777" w:rsidR="0006597C" w:rsidRPr="006A7EDA"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6A7EDA">
              <w:rPr>
                <w:rFonts w:ascii="Garamond" w:hAnsi="Garamond" w:cs="Arial"/>
                <w:sz w:val="16"/>
                <w:szCs w:val="24"/>
                <w:lang w:val="en-US"/>
              </w:rPr>
              <w:t xml:space="preserve">local environment; </w:t>
            </w:r>
          </w:p>
          <w:p w14:paraId="7D851A7E" w14:textId="77777777" w:rsidR="0006597C" w:rsidRPr="006A7EDA"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6A7EDA">
              <w:rPr>
                <w:rFonts w:ascii="Garamond" w:hAnsi="Garamond" w:cs="Arial"/>
                <w:sz w:val="16"/>
                <w:szCs w:val="24"/>
                <w:lang w:val="en-US"/>
              </w:rPr>
              <w:t>poverty; and,</w:t>
            </w:r>
          </w:p>
          <w:p w14:paraId="76565925" w14:textId="77777777" w:rsidR="0006597C" w:rsidRPr="006A7EDA" w:rsidRDefault="0006597C" w:rsidP="00DC1947">
            <w:pPr>
              <w:pStyle w:val="Tableau-"/>
              <w:numPr>
                <w:ilvl w:val="1"/>
                <w:numId w:val="28"/>
              </w:numPr>
              <w:tabs>
                <w:tab w:val="clear" w:pos="108"/>
                <w:tab w:val="clear" w:pos="1440"/>
                <w:tab w:val="left" w:pos="368"/>
              </w:tabs>
              <w:spacing w:before="0" w:after="0"/>
              <w:ind w:left="368" w:right="74" w:hanging="141"/>
              <w:rPr>
                <w:rFonts w:ascii="Garamond" w:hAnsi="Garamond" w:cs="Arial"/>
                <w:sz w:val="16"/>
                <w:szCs w:val="24"/>
                <w:lang w:val="en-US"/>
              </w:rPr>
            </w:pPr>
            <w:r w:rsidRPr="006A7EDA">
              <w:rPr>
                <w:rFonts w:ascii="Garamond" w:hAnsi="Garamond" w:cs="Arial"/>
                <w:sz w:val="16"/>
                <w:szCs w:val="24"/>
                <w:lang w:val="en-US"/>
              </w:rPr>
              <w:t>other socio-economic issues.</w:t>
            </w:r>
          </w:p>
        </w:tc>
        <w:tc>
          <w:tcPr>
            <w:tcW w:w="3799" w:type="dxa"/>
          </w:tcPr>
          <w:p w14:paraId="69A6C691"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Provide specific examples of impacts at those three levels, as relevant</w:t>
            </w:r>
          </w:p>
        </w:tc>
        <w:tc>
          <w:tcPr>
            <w:tcW w:w="2128" w:type="dxa"/>
          </w:tcPr>
          <w:p w14:paraId="3E1C98B2"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 xml:space="preserve">Project documents </w:t>
            </w:r>
          </w:p>
          <w:p w14:paraId="6A1AAD58"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Key Stakeholders</w:t>
            </w:r>
          </w:p>
          <w:p w14:paraId="1C78EA27"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Research findings</w:t>
            </w:r>
          </w:p>
        </w:tc>
        <w:tc>
          <w:tcPr>
            <w:tcW w:w="2128" w:type="dxa"/>
            <w:tcBorders>
              <w:right w:val="single" w:sz="6" w:space="0" w:color="auto"/>
            </w:tcBorders>
          </w:tcPr>
          <w:p w14:paraId="65BBA432"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Data analysis</w:t>
            </w:r>
          </w:p>
          <w:p w14:paraId="6A96FDAF"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Interviews with key stakeholders</w:t>
            </w:r>
          </w:p>
        </w:tc>
      </w:tr>
      <w:tr w:rsidR="0006597C" w14:paraId="755FAC3A" w14:textId="77777777" w:rsidTr="00F46705">
        <w:tc>
          <w:tcPr>
            <w:tcW w:w="1638" w:type="dxa"/>
            <w:tcBorders>
              <w:top w:val="single" w:sz="6" w:space="0" w:color="auto"/>
              <w:left w:val="single" w:sz="6" w:space="0" w:color="auto"/>
              <w:bottom w:val="single" w:sz="6" w:space="0" w:color="auto"/>
            </w:tcBorders>
            <w:shd w:val="pct12" w:color="auto" w:fill="FFFFFF"/>
          </w:tcPr>
          <w:p w14:paraId="353934DB" w14:textId="77777777" w:rsidR="0006597C" w:rsidRPr="006A7EDA" w:rsidRDefault="0006597C" w:rsidP="00954A31">
            <w:pPr>
              <w:pStyle w:val="Tableau-Texte"/>
              <w:numPr>
                <w:ilvl w:val="12"/>
                <w:numId w:val="0"/>
              </w:numPr>
              <w:spacing w:before="0" w:after="0" w:line="240" w:lineRule="auto"/>
              <w:ind w:left="74" w:right="74"/>
              <w:rPr>
                <w:rFonts w:ascii="Garamond" w:hAnsi="Garamond"/>
                <w:b/>
                <w:bCs/>
                <w:sz w:val="24"/>
                <w:lang w:val="en-US"/>
              </w:rPr>
            </w:pPr>
            <w:r w:rsidRPr="006A7EDA">
              <w:rPr>
                <w:rFonts w:ascii="Garamond" w:hAnsi="Garamond"/>
                <w:b/>
                <w:bCs/>
                <w:iCs/>
                <w:sz w:val="24"/>
                <w:lang w:val="en-US"/>
              </w:rPr>
              <w:t>Future directions for the Project</w:t>
            </w:r>
          </w:p>
        </w:tc>
        <w:tc>
          <w:tcPr>
            <w:tcW w:w="4820" w:type="dxa"/>
          </w:tcPr>
          <w:p w14:paraId="6EAD8F78"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How could the project build on its successes and learn from its weaknesses in order to enhance the potential for impact of ongoing and future initiatives?</w:t>
            </w:r>
          </w:p>
        </w:tc>
        <w:tc>
          <w:tcPr>
            <w:tcW w:w="3799" w:type="dxa"/>
          </w:tcPr>
          <w:p w14:paraId="1365ED9A" w14:textId="77777777" w:rsidR="0006597C" w:rsidRPr="006A7EDA" w:rsidRDefault="0006597C" w:rsidP="00954A31">
            <w:pPr>
              <w:pStyle w:val="Tableau-"/>
              <w:tabs>
                <w:tab w:val="left" w:pos="227"/>
              </w:tabs>
              <w:ind w:left="0" w:firstLine="0"/>
              <w:rPr>
                <w:rFonts w:ascii="Garamond" w:hAnsi="Garamond" w:cs="Arial"/>
                <w:sz w:val="16"/>
                <w:szCs w:val="24"/>
                <w:lang w:val="en-US"/>
              </w:rPr>
            </w:pPr>
          </w:p>
        </w:tc>
        <w:tc>
          <w:tcPr>
            <w:tcW w:w="2128" w:type="dxa"/>
          </w:tcPr>
          <w:p w14:paraId="4858DBED"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Data collected throughout evaluation</w:t>
            </w:r>
          </w:p>
        </w:tc>
        <w:tc>
          <w:tcPr>
            <w:tcW w:w="2128" w:type="dxa"/>
            <w:tcBorders>
              <w:right w:val="single" w:sz="6" w:space="0" w:color="auto"/>
            </w:tcBorders>
          </w:tcPr>
          <w:p w14:paraId="13F9E8AB"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Data analysis</w:t>
            </w:r>
          </w:p>
        </w:tc>
      </w:tr>
      <w:tr w:rsidR="0006597C" w14:paraId="48FC80BB" w14:textId="77777777" w:rsidTr="00F46705">
        <w:trPr>
          <w:trHeight w:val="363"/>
        </w:trPr>
        <w:tc>
          <w:tcPr>
            <w:tcW w:w="3799" w:type="dxa"/>
            <w:gridSpan w:val="5"/>
            <w:tcBorders>
              <w:top w:val="nil"/>
              <w:left w:val="single" w:sz="6" w:space="0" w:color="auto"/>
              <w:bottom w:val="nil"/>
              <w:right w:val="single" w:sz="6" w:space="0" w:color="auto"/>
            </w:tcBorders>
            <w:shd w:val="pct12" w:color="auto" w:fill="FFFFFF"/>
          </w:tcPr>
          <w:p w14:paraId="725F318A" w14:textId="77777777" w:rsidR="0006597C" w:rsidRPr="00EF5E73" w:rsidRDefault="0006597C" w:rsidP="00954A31">
            <w:pPr>
              <w:pStyle w:val="Tableau-Texte"/>
              <w:numPr>
                <w:ilvl w:val="12"/>
                <w:numId w:val="0"/>
              </w:numPr>
              <w:ind w:left="72"/>
              <w:rPr>
                <w:rFonts w:ascii="Garamond" w:hAnsi="Garamond" w:cs="Arial"/>
                <w:i/>
                <w:iCs/>
                <w:sz w:val="24"/>
                <w:lang w:val="en-US"/>
              </w:rPr>
            </w:pPr>
            <w:r w:rsidRPr="00EF5E73">
              <w:rPr>
                <w:rFonts w:ascii="Garamond" w:hAnsi="Garamond" w:cs="Arial"/>
                <w:b/>
                <w:i/>
                <w:iCs/>
                <w:sz w:val="24"/>
                <w:lang w:val="en-US"/>
              </w:rPr>
              <w:t>Evaluation criteria: Sustainability</w:t>
            </w:r>
            <w:r w:rsidRPr="00EF5E73">
              <w:rPr>
                <w:rFonts w:ascii="Garamond" w:hAnsi="Garamond" w:cs="Arial"/>
                <w:i/>
                <w:iCs/>
                <w:sz w:val="24"/>
                <w:lang w:val="en-US"/>
              </w:rPr>
              <w:t xml:space="preserve"> - To what extent are there financial, institutional, social-economic, and/or environmental risks to sustaining long-term project results?</w:t>
            </w:r>
          </w:p>
        </w:tc>
      </w:tr>
      <w:tr w:rsidR="0006597C" w:rsidRPr="00CE24A0" w14:paraId="14802D73" w14:textId="77777777" w:rsidTr="00F46705">
        <w:tc>
          <w:tcPr>
            <w:tcW w:w="1638" w:type="dxa"/>
            <w:tcBorders>
              <w:top w:val="single" w:sz="6" w:space="0" w:color="auto"/>
              <w:left w:val="single" w:sz="6" w:space="0" w:color="auto"/>
              <w:bottom w:val="single" w:sz="6" w:space="0" w:color="auto"/>
            </w:tcBorders>
            <w:shd w:val="pct12" w:color="auto" w:fill="FFFFFF"/>
          </w:tcPr>
          <w:p w14:paraId="19E35AAE" w14:textId="77777777" w:rsidR="0006597C" w:rsidRPr="006A7EDA" w:rsidRDefault="0006597C" w:rsidP="00954A31">
            <w:pPr>
              <w:pStyle w:val="Tableau-Texte"/>
              <w:numPr>
                <w:ilvl w:val="12"/>
                <w:numId w:val="0"/>
              </w:numPr>
              <w:spacing w:before="0" w:after="0" w:line="240" w:lineRule="auto"/>
              <w:ind w:left="74" w:right="74"/>
              <w:rPr>
                <w:rFonts w:ascii="Garamond" w:hAnsi="Garamond"/>
                <w:i/>
                <w:sz w:val="24"/>
                <w:lang w:val="en-US"/>
              </w:rPr>
            </w:pPr>
            <w:r w:rsidRPr="006A7EDA">
              <w:rPr>
                <w:rFonts w:ascii="Garamond" w:hAnsi="Garamond"/>
                <w:i/>
                <w:sz w:val="24"/>
                <w:lang w:val="en-US"/>
              </w:rPr>
              <w:t>Are sustainability issues adequately integrated in Project design?</w:t>
            </w:r>
          </w:p>
        </w:tc>
        <w:tc>
          <w:tcPr>
            <w:tcW w:w="4820" w:type="dxa"/>
          </w:tcPr>
          <w:p w14:paraId="421A8965"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Were sustainability issues integrated into the formulation and implementation of the project?</w:t>
            </w:r>
          </w:p>
          <w:p w14:paraId="0F15CCC6" w14:textId="77777777" w:rsidR="0006597C" w:rsidRPr="00372EDF" w:rsidRDefault="0006597C" w:rsidP="00DC1947">
            <w:pPr>
              <w:widowControl/>
              <w:numPr>
                <w:ilvl w:val="0"/>
                <w:numId w:val="27"/>
              </w:numPr>
              <w:tabs>
                <w:tab w:val="clear" w:pos="643"/>
                <w:tab w:val="left" w:pos="227"/>
              </w:tabs>
              <w:ind w:left="226" w:hanging="226"/>
              <w:rPr>
                <w:rFonts w:ascii="Garamond" w:hAnsi="Garamond" w:cs="Arial"/>
                <w:sz w:val="16"/>
              </w:rPr>
            </w:pPr>
            <w:r w:rsidRPr="00372EDF">
              <w:rPr>
                <w:rFonts w:ascii="Garamond" w:hAnsi="Garamond" w:cs="Arial"/>
                <w:sz w:val="16"/>
              </w:rPr>
              <w:t>Does the project employ government implementing and/or monitoring systems?</w:t>
            </w:r>
          </w:p>
          <w:p w14:paraId="525D7CAE"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I</w:t>
            </w:r>
            <w:r w:rsidRPr="00372EDF">
              <w:rPr>
                <w:rFonts w:ascii="Garamond" w:hAnsi="Garamond" w:cs="Arial"/>
                <w:sz w:val="16"/>
              </w:rPr>
              <w:t>s the government involved in the sustainability strategy for project outcomes?</w:t>
            </w:r>
          </w:p>
        </w:tc>
        <w:tc>
          <w:tcPr>
            <w:tcW w:w="3799" w:type="dxa"/>
          </w:tcPr>
          <w:p w14:paraId="6784F441"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Evidence/Quality of sustainability strategy</w:t>
            </w:r>
          </w:p>
          <w:p w14:paraId="729B41AB"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Evidence/Quality of steps taken to address sustainability</w:t>
            </w:r>
          </w:p>
          <w:p w14:paraId="49333814"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Pr>
                <w:rFonts w:ascii="Garamond" w:hAnsi="Garamond" w:cs="Arial"/>
                <w:sz w:val="16"/>
              </w:rPr>
              <w:t>Evidence of government involvement in the sustainability of project’s achievements</w:t>
            </w:r>
          </w:p>
        </w:tc>
        <w:tc>
          <w:tcPr>
            <w:tcW w:w="2128" w:type="dxa"/>
          </w:tcPr>
          <w:p w14:paraId="4CFB33F4"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Project documents and evaluations</w:t>
            </w:r>
          </w:p>
          <w:p w14:paraId="5C04E591"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UNDP, project staff and project Partners</w:t>
            </w:r>
          </w:p>
          <w:p w14:paraId="42E7C1EB"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 xml:space="preserve">Beneficiaries </w:t>
            </w:r>
          </w:p>
        </w:tc>
        <w:tc>
          <w:tcPr>
            <w:tcW w:w="2128" w:type="dxa"/>
            <w:tcBorders>
              <w:right w:val="single" w:sz="6" w:space="0" w:color="auto"/>
            </w:tcBorders>
          </w:tcPr>
          <w:p w14:paraId="500730D5"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Document analysis</w:t>
            </w:r>
          </w:p>
          <w:p w14:paraId="3EE93AC3" w14:textId="77777777" w:rsidR="0006597C" w:rsidRPr="006A7EDA" w:rsidRDefault="0006597C" w:rsidP="00DC1947">
            <w:pPr>
              <w:widowControl/>
              <w:numPr>
                <w:ilvl w:val="0"/>
                <w:numId w:val="27"/>
              </w:numPr>
              <w:tabs>
                <w:tab w:val="clear" w:pos="643"/>
                <w:tab w:val="left" w:pos="227"/>
              </w:tabs>
              <w:ind w:left="226" w:hanging="226"/>
              <w:rPr>
                <w:rFonts w:ascii="Garamond" w:hAnsi="Garamond" w:cs="Arial"/>
                <w:sz w:val="16"/>
              </w:rPr>
            </w:pPr>
            <w:r w:rsidRPr="006A7EDA">
              <w:rPr>
                <w:rFonts w:ascii="Garamond" w:hAnsi="Garamond" w:cs="Arial"/>
                <w:sz w:val="16"/>
              </w:rPr>
              <w:t>Interviews</w:t>
            </w:r>
          </w:p>
        </w:tc>
      </w:tr>
      <w:tr w:rsidR="0006597C" w:rsidRPr="00CE24A0" w14:paraId="6A3121E8" w14:textId="77777777" w:rsidTr="00F46705">
        <w:tc>
          <w:tcPr>
            <w:tcW w:w="1638" w:type="dxa"/>
            <w:tcBorders>
              <w:top w:val="single" w:sz="6" w:space="0" w:color="auto"/>
              <w:left w:val="single" w:sz="6" w:space="0" w:color="auto"/>
              <w:bottom w:val="single" w:sz="6" w:space="0" w:color="auto"/>
            </w:tcBorders>
            <w:shd w:val="pct12" w:color="auto" w:fill="FFFFFF"/>
          </w:tcPr>
          <w:p w14:paraId="145C49C1" w14:textId="77777777" w:rsidR="0006597C" w:rsidRPr="00271484" w:rsidRDefault="0006597C" w:rsidP="00954A31">
            <w:pPr>
              <w:pStyle w:val="Tableau-Texte"/>
              <w:numPr>
                <w:ilvl w:val="12"/>
                <w:numId w:val="0"/>
              </w:numPr>
              <w:spacing w:before="0" w:after="0" w:line="240" w:lineRule="auto"/>
              <w:ind w:left="74" w:right="74"/>
              <w:rPr>
                <w:rFonts w:ascii="Garamond" w:hAnsi="Garamond"/>
                <w:i/>
                <w:sz w:val="24"/>
                <w:lang w:val="en-US"/>
              </w:rPr>
            </w:pPr>
            <w:r w:rsidRPr="0053505F">
              <w:rPr>
                <w:rFonts w:ascii="Garamond" w:hAnsi="Garamond"/>
                <w:i/>
                <w:sz w:val="24"/>
                <w:lang w:val="en-US"/>
              </w:rPr>
              <w:t>Did the project adequately address financial and economic sustainability issues</w:t>
            </w:r>
            <w:r>
              <w:rPr>
                <w:rFonts w:ascii="Garamond" w:hAnsi="Garamond"/>
                <w:i/>
                <w:sz w:val="24"/>
                <w:lang w:val="en-US"/>
              </w:rPr>
              <w:t>?</w:t>
            </w:r>
          </w:p>
        </w:tc>
        <w:tc>
          <w:tcPr>
            <w:tcW w:w="4820" w:type="dxa"/>
          </w:tcPr>
          <w:p w14:paraId="338634B3" w14:textId="77777777" w:rsidR="0006597C" w:rsidRPr="001A023E"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Did the project adequately address financial and economic sustainability issues?</w:t>
            </w:r>
          </w:p>
          <w:p w14:paraId="3EA08AB9"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Are the recurrent costs after project completion sustainable?</w:t>
            </w:r>
          </w:p>
        </w:tc>
        <w:tc>
          <w:tcPr>
            <w:tcW w:w="3799" w:type="dxa"/>
          </w:tcPr>
          <w:p w14:paraId="2FF6B0ED"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Level and source of future financial support to be provided to relevant sectors and activities after project end?</w:t>
            </w:r>
          </w:p>
          <w:p w14:paraId="25EE4625"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Evidence of commitments from international partners, governments or other stakeholders to financially support relevant sectors of activities after project end</w:t>
            </w:r>
          </w:p>
          <w:p w14:paraId="4105CF4F"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Level of recurrent costs after completion of project and funding sources for those recurrent costs</w:t>
            </w:r>
          </w:p>
        </w:tc>
        <w:tc>
          <w:tcPr>
            <w:tcW w:w="2128" w:type="dxa"/>
          </w:tcPr>
          <w:p w14:paraId="16EEE9AF"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Project documents and evaluations</w:t>
            </w:r>
          </w:p>
          <w:p w14:paraId="6687AC33"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UNDP, project staff and project Partners</w:t>
            </w:r>
          </w:p>
          <w:p w14:paraId="7DE60142"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 xml:space="preserve">Beneficiaries </w:t>
            </w:r>
          </w:p>
        </w:tc>
        <w:tc>
          <w:tcPr>
            <w:tcW w:w="2128" w:type="dxa"/>
            <w:tcBorders>
              <w:right w:val="single" w:sz="6" w:space="0" w:color="auto"/>
            </w:tcBorders>
          </w:tcPr>
          <w:p w14:paraId="7BCB2DEB"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Document analysis</w:t>
            </w:r>
          </w:p>
          <w:p w14:paraId="3CAD94C5" w14:textId="77777777" w:rsidR="0006597C" w:rsidRPr="00271484" w:rsidRDefault="0006597C" w:rsidP="00DC1947">
            <w:pPr>
              <w:widowControl/>
              <w:numPr>
                <w:ilvl w:val="0"/>
                <w:numId w:val="27"/>
              </w:numPr>
              <w:tabs>
                <w:tab w:val="clear" w:pos="643"/>
                <w:tab w:val="left" w:pos="227"/>
              </w:tabs>
              <w:ind w:left="226" w:hanging="226"/>
              <w:rPr>
                <w:rFonts w:ascii="Garamond" w:hAnsi="Garamond" w:cs="Arial"/>
                <w:sz w:val="16"/>
              </w:rPr>
            </w:pPr>
            <w:r w:rsidRPr="00271484">
              <w:rPr>
                <w:rFonts w:ascii="Garamond" w:hAnsi="Garamond" w:cs="Arial"/>
                <w:sz w:val="16"/>
              </w:rPr>
              <w:t>Interviews</w:t>
            </w:r>
          </w:p>
        </w:tc>
      </w:tr>
      <w:tr w:rsidR="0006597C" w:rsidRPr="00CE24A0" w14:paraId="6475146B" w14:textId="77777777" w:rsidTr="00F46705">
        <w:tc>
          <w:tcPr>
            <w:tcW w:w="1638" w:type="dxa"/>
            <w:tcBorders>
              <w:top w:val="single" w:sz="6" w:space="0" w:color="auto"/>
              <w:left w:val="single" w:sz="6" w:space="0" w:color="auto"/>
              <w:bottom w:val="single" w:sz="6" w:space="0" w:color="auto"/>
            </w:tcBorders>
            <w:shd w:val="pct12" w:color="auto" w:fill="FFFFFF"/>
          </w:tcPr>
          <w:p w14:paraId="79EEA109" w14:textId="77777777" w:rsidR="0006597C" w:rsidRPr="00A918D0" w:rsidRDefault="0006597C" w:rsidP="00954A31">
            <w:pPr>
              <w:pStyle w:val="Tableau-Texte"/>
              <w:numPr>
                <w:ilvl w:val="12"/>
                <w:numId w:val="0"/>
              </w:numPr>
              <w:spacing w:before="0" w:after="0" w:line="240" w:lineRule="auto"/>
              <w:ind w:left="74" w:right="74"/>
              <w:rPr>
                <w:rFonts w:ascii="Garamond" w:hAnsi="Garamond"/>
                <w:i/>
                <w:sz w:val="24"/>
                <w:lang w:val="en-US"/>
              </w:rPr>
            </w:pPr>
            <w:r w:rsidRPr="00A918D0">
              <w:rPr>
                <w:rFonts w:ascii="Garamond" w:hAnsi="Garamond"/>
                <w:i/>
                <w:sz w:val="24"/>
                <w:lang w:val="en-US"/>
              </w:rPr>
              <w:t>Organizations arrangements and continuation of activities</w:t>
            </w:r>
          </w:p>
        </w:tc>
        <w:tc>
          <w:tcPr>
            <w:tcW w:w="4820" w:type="dxa"/>
          </w:tcPr>
          <w:p w14:paraId="52A4DBB7"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Were results of efforts made during the project implementation period well assimilated by organizations and their internal systems and procedures?</w:t>
            </w:r>
          </w:p>
          <w:p w14:paraId="198DE8A7" w14:textId="77777777" w:rsidR="0006597C"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 xml:space="preserve">Is there evidence that project partners will continue their activities beyond project support?  </w:t>
            </w:r>
          </w:p>
          <w:p w14:paraId="74231B18"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372EDF">
              <w:rPr>
                <w:rFonts w:ascii="Garamond" w:hAnsi="Garamond" w:cs="Arial"/>
                <w:sz w:val="16"/>
              </w:rPr>
              <w:t>Has there been a buy-in process, or was there no need to sell the project and buy support?</w:t>
            </w:r>
          </w:p>
          <w:p w14:paraId="01D34C0D"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What degree is there of local ownership of initiatives and results?</w:t>
            </w:r>
          </w:p>
          <w:p w14:paraId="22194A98"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Were appropriate ‘champions’ being identified and/or supported?</w:t>
            </w:r>
          </w:p>
        </w:tc>
        <w:tc>
          <w:tcPr>
            <w:tcW w:w="3799" w:type="dxa"/>
          </w:tcPr>
          <w:p w14:paraId="3F4F61B8"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Degree to which project activities and results have been taken over by local counterparts or institutions/organizations</w:t>
            </w:r>
          </w:p>
          <w:p w14:paraId="636498AC"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Level of financial support to be provided to relevant sectors and activities by in-country actors after project end</w:t>
            </w:r>
          </w:p>
          <w:p w14:paraId="2541ED9B"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Number/quality of champions identified</w:t>
            </w:r>
          </w:p>
        </w:tc>
        <w:tc>
          <w:tcPr>
            <w:tcW w:w="2128" w:type="dxa"/>
          </w:tcPr>
          <w:p w14:paraId="6D451518"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Project documents and evaluations</w:t>
            </w:r>
          </w:p>
          <w:p w14:paraId="0E4725FE"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UNDP, project staff and project Partners</w:t>
            </w:r>
          </w:p>
          <w:p w14:paraId="5A8946E1"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 xml:space="preserve">Beneficiaries </w:t>
            </w:r>
          </w:p>
        </w:tc>
        <w:tc>
          <w:tcPr>
            <w:tcW w:w="2128" w:type="dxa"/>
            <w:tcBorders>
              <w:right w:val="single" w:sz="6" w:space="0" w:color="auto"/>
            </w:tcBorders>
          </w:tcPr>
          <w:p w14:paraId="5F711C20"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Document analysis</w:t>
            </w:r>
          </w:p>
          <w:p w14:paraId="1150D12B"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Interviews</w:t>
            </w:r>
          </w:p>
        </w:tc>
      </w:tr>
      <w:tr w:rsidR="0006597C" w:rsidRPr="00CE24A0" w14:paraId="3F2F52C3" w14:textId="77777777" w:rsidTr="00F46705">
        <w:tc>
          <w:tcPr>
            <w:tcW w:w="1638" w:type="dxa"/>
            <w:tcBorders>
              <w:top w:val="single" w:sz="6" w:space="0" w:color="auto"/>
              <w:left w:val="single" w:sz="6" w:space="0" w:color="auto"/>
              <w:bottom w:val="single" w:sz="6" w:space="0" w:color="auto"/>
            </w:tcBorders>
            <w:shd w:val="pct12" w:color="auto" w:fill="FFFFFF"/>
          </w:tcPr>
          <w:p w14:paraId="7A9D36BE" w14:textId="77777777" w:rsidR="0006597C" w:rsidRPr="00A918D0" w:rsidRDefault="0006597C" w:rsidP="00954A31">
            <w:pPr>
              <w:pStyle w:val="Tableau-Texte"/>
              <w:numPr>
                <w:ilvl w:val="12"/>
                <w:numId w:val="0"/>
              </w:numPr>
              <w:spacing w:before="0" w:after="0" w:line="240" w:lineRule="auto"/>
              <w:ind w:left="74" w:right="74"/>
              <w:rPr>
                <w:rFonts w:ascii="Garamond" w:hAnsi="Garamond"/>
                <w:i/>
                <w:sz w:val="24"/>
                <w:lang w:val="en-US"/>
              </w:rPr>
            </w:pPr>
            <w:r w:rsidRPr="00A918D0">
              <w:rPr>
                <w:rFonts w:ascii="Garamond" w:hAnsi="Garamond"/>
                <w:i/>
                <w:sz w:val="24"/>
                <w:lang w:val="en-US"/>
              </w:rPr>
              <w:t>Enabling Environment</w:t>
            </w:r>
          </w:p>
        </w:tc>
        <w:tc>
          <w:tcPr>
            <w:tcW w:w="4820" w:type="dxa"/>
          </w:tcPr>
          <w:p w14:paraId="7C4A0A1C"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Were laws, policies and frameworks addressed through the project, in order to address sustainability of key initiatives and reforms?</w:t>
            </w:r>
          </w:p>
          <w:p w14:paraId="3F72D460"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Were the necessary related capacities for lawmaking and enforcement built?</w:t>
            </w:r>
          </w:p>
          <w:p w14:paraId="334A389F"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 xml:space="preserve">What is the level of political commitment to build on the results of the project? </w:t>
            </w:r>
          </w:p>
        </w:tc>
        <w:tc>
          <w:tcPr>
            <w:tcW w:w="3799" w:type="dxa"/>
          </w:tcPr>
          <w:p w14:paraId="416B0C1F"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Efforts to support the development of relevant laws and policies</w:t>
            </w:r>
          </w:p>
          <w:p w14:paraId="42BCCB5E"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State of enforcement and law making capacity</w:t>
            </w:r>
          </w:p>
          <w:p w14:paraId="5FD2A146"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Evidence of commitment by the political class through speeches, enactment of laws and resource allocation to priorities</w:t>
            </w:r>
          </w:p>
        </w:tc>
        <w:tc>
          <w:tcPr>
            <w:tcW w:w="2128" w:type="dxa"/>
          </w:tcPr>
          <w:p w14:paraId="2E81E940"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Project documents and evaluations</w:t>
            </w:r>
          </w:p>
          <w:p w14:paraId="48DE0887"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UNDP, project staff and project Partners</w:t>
            </w:r>
          </w:p>
          <w:p w14:paraId="08F9F970"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 xml:space="preserve">Beneficiaries </w:t>
            </w:r>
          </w:p>
        </w:tc>
        <w:tc>
          <w:tcPr>
            <w:tcW w:w="2128" w:type="dxa"/>
            <w:tcBorders>
              <w:right w:val="single" w:sz="6" w:space="0" w:color="auto"/>
            </w:tcBorders>
          </w:tcPr>
          <w:p w14:paraId="78E301B8"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Document analysis</w:t>
            </w:r>
          </w:p>
          <w:p w14:paraId="37C5ED59" w14:textId="77777777" w:rsidR="0006597C" w:rsidRPr="00A918D0" w:rsidRDefault="0006597C" w:rsidP="00DC1947">
            <w:pPr>
              <w:widowControl/>
              <w:numPr>
                <w:ilvl w:val="0"/>
                <w:numId w:val="27"/>
              </w:numPr>
              <w:tabs>
                <w:tab w:val="clear" w:pos="643"/>
                <w:tab w:val="left" w:pos="227"/>
              </w:tabs>
              <w:ind w:left="226" w:hanging="226"/>
              <w:rPr>
                <w:rFonts w:ascii="Garamond" w:hAnsi="Garamond" w:cs="Arial"/>
                <w:sz w:val="16"/>
              </w:rPr>
            </w:pPr>
            <w:r w:rsidRPr="00A918D0">
              <w:rPr>
                <w:rFonts w:ascii="Garamond" w:hAnsi="Garamond" w:cs="Arial"/>
                <w:sz w:val="16"/>
              </w:rPr>
              <w:t>Interviews</w:t>
            </w:r>
          </w:p>
        </w:tc>
      </w:tr>
      <w:tr w:rsidR="0006597C" w:rsidRPr="00CE24A0" w14:paraId="294992AC" w14:textId="77777777" w:rsidTr="00F46705">
        <w:tc>
          <w:tcPr>
            <w:tcW w:w="1638" w:type="dxa"/>
            <w:tcBorders>
              <w:top w:val="single" w:sz="6" w:space="0" w:color="auto"/>
              <w:left w:val="single" w:sz="6" w:space="0" w:color="auto"/>
              <w:bottom w:val="single" w:sz="6" w:space="0" w:color="auto"/>
            </w:tcBorders>
            <w:shd w:val="pct12" w:color="auto" w:fill="FFFFFF"/>
          </w:tcPr>
          <w:p w14:paraId="1586DE1B" w14:textId="77777777" w:rsidR="0006597C" w:rsidRPr="00483F05" w:rsidRDefault="0006597C" w:rsidP="00954A31">
            <w:pPr>
              <w:pStyle w:val="Tableau-Texte"/>
              <w:numPr>
                <w:ilvl w:val="12"/>
                <w:numId w:val="0"/>
              </w:numPr>
              <w:spacing w:before="0" w:after="0" w:line="240" w:lineRule="auto"/>
              <w:ind w:left="74" w:right="74"/>
              <w:rPr>
                <w:rFonts w:ascii="Garamond" w:hAnsi="Garamond"/>
                <w:i/>
                <w:sz w:val="24"/>
                <w:lang w:val="en-US"/>
              </w:rPr>
            </w:pPr>
            <w:r w:rsidRPr="00483F05">
              <w:rPr>
                <w:rFonts w:ascii="Garamond" w:hAnsi="Garamond"/>
                <w:i/>
                <w:sz w:val="24"/>
                <w:lang w:val="en-US"/>
              </w:rPr>
              <w:t>Institutional and individual capacity building</w:t>
            </w:r>
          </w:p>
        </w:tc>
        <w:tc>
          <w:tcPr>
            <w:tcW w:w="4820" w:type="dxa"/>
          </w:tcPr>
          <w:p w14:paraId="72036E6C"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 xml:space="preserve">Is the capacity in place at the regional, national and local levels adequate to ensure sustainability of results achieved to date? </w:t>
            </w:r>
          </w:p>
        </w:tc>
        <w:tc>
          <w:tcPr>
            <w:tcW w:w="3799" w:type="dxa"/>
          </w:tcPr>
          <w:p w14:paraId="08B0236B"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Elements in place in those different management functions, at appropriate levels (regional, national and local) in terms of adequate structures, strategies, systems, skills, incentives and interrelationships with other key actors</w:t>
            </w:r>
          </w:p>
        </w:tc>
        <w:tc>
          <w:tcPr>
            <w:tcW w:w="2128" w:type="dxa"/>
          </w:tcPr>
          <w:p w14:paraId="684B6ED9" w14:textId="77777777" w:rsidR="0006597C" w:rsidRPr="00483F05" w:rsidRDefault="0006597C" w:rsidP="00DC1947">
            <w:pPr>
              <w:pStyle w:val="Tableau-"/>
              <w:numPr>
                <w:ilvl w:val="0"/>
                <w:numId w:val="27"/>
              </w:numPr>
              <w:tabs>
                <w:tab w:val="clear" w:pos="108"/>
                <w:tab w:val="clear" w:pos="643"/>
                <w:tab w:val="left" w:pos="227"/>
              </w:tabs>
              <w:spacing w:before="0" w:after="0"/>
              <w:ind w:left="226" w:right="74" w:hanging="226"/>
              <w:rPr>
                <w:rFonts w:ascii="Garamond" w:hAnsi="Garamond" w:cs="Arial"/>
                <w:sz w:val="16"/>
                <w:szCs w:val="24"/>
                <w:lang w:val="en-US"/>
              </w:rPr>
            </w:pPr>
            <w:r w:rsidRPr="00483F05">
              <w:rPr>
                <w:rFonts w:ascii="Garamond" w:hAnsi="Garamond" w:cs="Arial"/>
                <w:sz w:val="16"/>
                <w:szCs w:val="24"/>
                <w:lang w:val="en-US"/>
              </w:rPr>
              <w:t>Project documents and evaluations</w:t>
            </w:r>
          </w:p>
          <w:p w14:paraId="30E876C4" w14:textId="77777777" w:rsidR="0006597C" w:rsidRPr="00483F05" w:rsidRDefault="0006597C" w:rsidP="00DC1947">
            <w:pPr>
              <w:pStyle w:val="Tableau-"/>
              <w:numPr>
                <w:ilvl w:val="0"/>
                <w:numId w:val="27"/>
              </w:numPr>
              <w:tabs>
                <w:tab w:val="clear" w:pos="108"/>
                <w:tab w:val="clear" w:pos="643"/>
                <w:tab w:val="left" w:pos="227"/>
              </w:tabs>
              <w:spacing w:before="0" w:after="0"/>
              <w:ind w:left="226" w:right="74" w:hanging="226"/>
              <w:rPr>
                <w:rFonts w:ascii="Garamond" w:hAnsi="Garamond" w:cs="Arial"/>
                <w:sz w:val="16"/>
                <w:szCs w:val="24"/>
                <w:lang w:val="en-US"/>
              </w:rPr>
            </w:pPr>
            <w:r w:rsidRPr="00483F05">
              <w:rPr>
                <w:rFonts w:ascii="Garamond" w:hAnsi="Garamond" w:cs="Arial"/>
                <w:sz w:val="16"/>
                <w:szCs w:val="24"/>
                <w:lang w:val="en-US"/>
              </w:rPr>
              <w:t>UNDP, Project staff and project Partners</w:t>
            </w:r>
          </w:p>
          <w:p w14:paraId="61210150" w14:textId="77777777" w:rsidR="0006597C" w:rsidRPr="00483F05" w:rsidRDefault="0006597C" w:rsidP="00DC1947">
            <w:pPr>
              <w:pStyle w:val="Tableau-"/>
              <w:numPr>
                <w:ilvl w:val="0"/>
                <w:numId w:val="27"/>
              </w:numPr>
              <w:tabs>
                <w:tab w:val="clear" w:pos="108"/>
                <w:tab w:val="clear" w:pos="643"/>
                <w:tab w:val="left" w:pos="227"/>
              </w:tabs>
              <w:spacing w:before="0" w:after="0"/>
              <w:ind w:left="226" w:right="74" w:hanging="226"/>
              <w:rPr>
                <w:rFonts w:ascii="Garamond" w:hAnsi="Garamond" w:cs="Arial"/>
                <w:sz w:val="16"/>
                <w:szCs w:val="24"/>
                <w:lang w:val="en-US"/>
              </w:rPr>
            </w:pPr>
            <w:r w:rsidRPr="00483F05">
              <w:rPr>
                <w:rFonts w:ascii="Garamond" w:hAnsi="Garamond" w:cs="Arial"/>
                <w:sz w:val="16"/>
                <w:szCs w:val="24"/>
                <w:lang w:val="en-US"/>
              </w:rPr>
              <w:t xml:space="preserve">Beneficiaries </w:t>
            </w:r>
          </w:p>
          <w:p w14:paraId="4A3C382C" w14:textId="77777777" w:rsidR="0006597C" w:rsidRPr="00483F05" w:rsidRDefault="0006597C" w:rsidP="00DC1947">
            <w:pPr>
              <w:pStyle w:val="Tableau-"/>
              <w:numPr>
                <w:ilvl w:val="0"/>
                <w:numId w:val="27"/>
              </w:numPr>
              <w:tabs>
                <w:tab w:val="clear" w:pos="108"/>
                <w:tab w:val="clear" w:pos="643"/>
                <w:tab w:val="left" w:pos="227"/>
              </w:tabs>
              <w:spacing w:before="0" w:after="0"/>
              <w:ind w:left="226" w:right="74" w:hanging="226"/>
              <w:rPr>
                <w:rFonts w:ascii="Garamond" w:hAnsi="Garamond" w:cs="Arial"/>
                <w:sz w:val="16"/>
                <w:szCs w:val="24"/>
                <w:lang w:val="en-US"/>
              </w:rPr>
            </w:pPr>
            <w:r w:rsidRPr="00483F05">
              <w:rPr>
                <w:rFonts w:ascii="Garamond" w:hAnsi="Garamond" w:cs="Arial"/>
                <w:sz w:val="16"/>
                <w:szCs w:val="24"/>
                <w:lang w:val="en-US"/>
              </w:rPr>
              <w:t>Capacity assessments available, if any</w:t>
            </w:r>
          </w:p>
        </w:tc>
        <w:tc>
          <w:tcPr>
            <w:tcW w:w="2128" w:type="dxa"/>
            <w:tcBorders>
              <w:right w:val="single" w:sz="6" w:space="0" w:color="auto"/>
            </w:tcBorders>
          </w:tcPr>
          <w:p w14:paraId="0343CF39" w14:textId="77777777" w:rsidR="0006597C" w:rsidRPr="00483F05" w:rsidRDefault="0006597C" w:rsidP="00DC1947">
            <w:pPr>
              <w:pStyle w:val="Tableau-"/>
              <w:numPr>
                <w:ilvl w:val="0"/>
                <w:numId w:val="27"/>
              </w:numPr>
              <w:tabs>
                <w:tab w:val="clear" w:pos="108"/>
                <w:tab w:val="clear" w:pos="643"/>
                <w:tab w:val="left" w:pos="227"/>
              </w:tabs>
              <w:spacing w:before="0" w:after="0"/>
              <w:ind w:left="226" w:right="74" w:hanging="226"/>
              <w:rPr>
                <w:rFonts w:ascii="Garamond" w:hAnsi="Garamond" w:cs="Arial"/>
                <w:sz w:val="16"/>
                <w:szCs w:val="24"/>
                <w:lang w:val="en-US"/>
              </w:rPr>
            </w:pPr>
            <w:r w:rsidRPr="00483F05">
              <w:rPr>
                <w:rFonts w:ascii="Garamond" w:hAnsi="Garamond" w:cs="Arial"/>
                <w:sz w:val="16"/>
                <w:szCs w:val="24"/>
                <w:lang w:val="en-US"/>
              </w:rPr>
              <w:t>Interviews</w:t>
            </w:r>
          </w:p>
          <w:p w14:paraId="5B716C03" w14:textId="77777777" w:rsidR="0006597C" w:rsidRPr="00483F05" w:rsidRDefault="0006597C" w:rsidP="00DC1947">
            <w:pPr>
              <w:pStyle w:val="Tableau-"/>
              <w:numPr>
                <w:ilvl w:val="0"/>
                <w:numId w:val="27"/>
              </w:numPr>
              <w:tabs>
                <w:tab w:val="clear" w:pos="108"/>
                <w:tab w:val="clear" w:pos="643"/>
                <w:tab w:val="left" w:pos="227"/>
              </w:tabs>
              <w:spacing w:before="0" w:after="0"/>
              <w:ind w:left="226" w:right="74" w:hanging="226"/>
              <w:rPr>
                <w:rFonts w:ascii="Garamond" w:hAnsi="Garamond" w:cs="Arial"/>
                <w:sz w:val="16"/>
                <w:szCs w:val="24"/>
                <w:lang w:val="en-US"/>
              </w:rPr>
            </w:pPr>
            <w:r w:rsidRPr="00483F05">
              <w:rPr>
                <w:rFonts w:ascii="Garamond" w:hAnsi="Garamond" w:cs="Arial"/>
                <w:sz w:val="16"/>
                <w:szCs w:val="24"/>
                <w:lang w:val="en-US"/>
              </w:rPr>
              <w:t>Documentation review</w:t>
            </w:r>
          </w:p>
        </w:tc>
      </w:tr>
      <w:tr w:rsidR="0006597C" w:rsidRPr="00CE24A0" w14:paraId="70BFC733" w14:textId="77777777" w:rsidTr="00F46705">
        <w:tc>
          <w:tcPr>
            <w:tcW w:w="1638" w:type="dxa"/>
            <w:tcBorders>
              <w:top w:val="single" w:sz="6" w:space="0" w:color="auto"/>
              <w:left w:val="single" w:sz="6" w:space="0" w:color="auto"/>
              <w:bottom w:val="single" w:sz="6" w:space="0" w:color="auto"/>
            </w:tcBorders>
            <w:shd w:val="pct12" w:color="auto" w:fill="FFFFFF"/>
          </w:tcPr>
          <w:p w14:paraId="068CAA54" w14:textId="77777777" w:rsidR="0006597C" w:rsidRPr="00483F05" w:rsidRDefault="0006597C" w:rsidP="00954A31">
            <w:pPr>
              <w:pStyle w:val="Tableau-Texte"/>
              <w:numPr>
                <w:ilvl w:val="12"/>
                <w:numId w:val="0"/>
              </w:numPr>
              <w:spacing w:before="0" w:after="0" w:line="240" w:lineRule="auto"/>
              <w:ind w:left="74" w:right="74"/>
              <w:rPr>
                <w:rFonts w:ascii="Garamond" w:hAnsi="Garamond"/>
                <w:i/>
                <w:sz w:val="24"/>
                <w:lang w:val="en-US"/>
              </w:rPr>
            </w:pPr>
            <w:r w:rsidRPr="00483F05">
              <w:rPr>
                <w:rFonts w:ascii="Garamond" w:hAnsi="Garamond"/>
                <w:i/>
                <w:sz w:val="24"/>
                <w:lang w:val="en-US"/>
              </w:rPr>
              <w:t>Social and political sustainability</w:t>
            </w:r>
          </w:p>
        </w:tc>
        <w:tc>
          <w:tcPr>
            <w:tcW w:w="4820" w:type="dxa"/>
          </w:tcPr>
          <w:p w14:paraId="5D6F03D3"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Did the project contribute to key building blocks for social and political sustainability?</w:t>
            </w:r>
          </w:p>
          <w:p w14:paraId="06F28F0C"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Did the project contribute to local Stakeholders’ acceptance of the new practices?</w:t>
            </w:r>
          </w:p>
        </w:tc>
        <w:tc>
          <w:tcPr>
            <w:tcW w:w="3799" w:type="dxa"/>
          </w:tcPr>
          <w:p w14:paraId="22666739"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 xml:space="preserve">Example of contributions to </w:t>
            </w:r>
            <w:r>
              <w:rPr>
                <w:rFonts w:ascii="Garamond" w:hAnsi="Garamond" w:cs="Arial"/>
                <w:sz w:val="16"/>
              </w:rPr>
              <w:t>the r</w:t>
            </w:r>
            <w:r w:rsidRPr="00F112B2">
              <w:rPr>
                <w:rFonts w:ascii="Garamond" w:hAnsi="Garamond" w:cs="Arial"/>
                <w:sz w:val="16"/>
              </w:rPr>
              <w:t>eform of environmentally harmful subsidies, green subsidies, as well as environmental charges within the agricultural and energy sectors</w:t>
            </w:r>
            <w:r w:rsidRPr="00483F05">
              <w:rPr>
                <w:rFonts w:ascii="Garamond" w:hAnsi="Garamond" w:cs="Arial"/>
                <w:sz w:val="16"/>
              </w:rPr>
              <w:t xml:space="preserve"> </w:t>
            </w:r>
          </w:p>
        </w:tc>
        <w:tc>
          <w:tcPr>
            <w:tcW w:w="2128" w:type="dxa"/>
          </w:tcPr>
          <w:p w14:paraId="4D92C176"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Project documents and evaluations</w:t>
            </w:r>
          </w:p>
          <w:p w14:paraId="121497D9"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UNDP, project staff and project Partners</w:t>
            </w:r>
          </w:p>
          <w:p w14:paraId="3B121A5A"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 xml:space="preserve">Beneficiaries </w:t>
            </w:r>
          </w:p>
        </w:tc>
        <w:tc>
          <w:tcPr>
            <w:tcW w:w="2128" w:type="dxa"/>
            <w:tcBorders>
              <w:right w:val="single" w:sz="6" w:space="0" w:color="auto"/>
            </w:tcBorders>
          </w:tcPr>
          <w:p w14:paraId="4089C337"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Interviews</w:t>
            </w:r>
          </w:p>
          <w:p w14:paraId="0012EAA1"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Documentation review</w:t>
            </w:r>
          </w:p>
        </w:tc>
      </w:tr>
      <w:tr w:rsidR="0006597C" w:rsidRPr="00CE24A0" w14:paraId="016F6D24" w14:textId="77777777" w:rsidTr="00F46705">
        <w:tc>
          <w:tcPr>
            <w:tcW w:w="1638" w:type="dxa"/>
            <w:tcBorders>
              <w:top w:val="single" w:sz="6" w:space="0" w:color="auto"/>
              <w:left w:val="single" w:sz="6" w:space="0" w:color="auto"/>
              <w:bottom w:val="single" w:sz="6" w:space="0" w:color="auto"/>
            </w:tcBorders>
            <w:shd w:val="pct12" w:color="auto" w:fill="FFFFFF"/>
          </w:tcPr>
          <w:p w14:paraId="0849EFE2" w14:textId="77777777" w:rsidR="0006597C" w:rsidRPr="00483F05" w:rsidRDefault="0006597C" w:rsidP="00954A31">
            <w:pPr>
              <w:pStyle w:val="Tableau-Texte"/>
              <w:numPr>
                <w:ilvl w:val="12"/>
                <w:numId w:val="0"/>
              </w:numPr>
              <w:spacing w:before="0" w:after="0" w:line="240" w:lineRule="auto"/>
              <w:ind w:left="74" w:right="74"/>
              <w:rPr>
                <w:rFonts w:ascii="Garamond" w:hAnsi="Garamond"/>
                <w:i/>
                <w:sz w:val="24"/>
                <w:lang w:val="en-US"/>
              </w:rPr>
            </w:pPr>
            <w:r w:rsidRPr="00483F05">
              <w:rPr>
                <w:rFonts w:ascii="Garamond" w:hAnsi="Garamond"/>
                <w:i/>
                <w:sz w:val="24"/>
                <w:lang w:val="en-US"/>
              </w:rPr>
              <w:t>Replication</w:t>
            </w:r>
          </w:p>
        </w:tc>
        <w:tc>
          <w:tcPr>
            <w:tcW w:w="4820" w:type="dxa"/>
          </w:tcPr>
          <w:p w14:paraId="17847810" w14:textId="77777777" w:rsidR="0006597C" w:rsidRPr="00F112B2" w:rsidRDefault="0006597C" w:rsidP="00DC1947">
            <w:pPr>
              <w:widowControl/>
              <w:numPr>
                <w:ilvl w:val="0"/>
                <w:numId w:val="27"/>
              </w:numPr>
              <w:tabs>
                <w:tab w:val="clear" w:pos="643"/>
                <w:tab w:val="left" w:pos="227"/>
              </w:tabs>
              <w:ind w:left="226" w:hanging="226"/>
              <w:rPr>
                <w:rFonts w:ascii="Garamond" w:hAnsi="Garamond" w:cs="Arial"/>
                <w:sz w:val="16"/>
              </w:rPr>
            </w:pPr>
            <w:r w:rsidRPr="00F112B2">
              <w:rPr>
                <w:rFonts w:ascii="Garamond" w:hAnsi="Garamond" w:cs="Arial"/>
                <w:sz w:val="16"/>
              </w:rPr>
              <w:t xml:space="preserve">Were project activities and results replicated elsewhere and/or scaled up? </w:t>
            </w:r>
          </w:p>
          <w:p w14:paraId="4FFEB1D0" w14:textId="77777777" w:rsidR="0006597C" w:rsidRPr="00F112B2" w:rsidRDefault="0006597C" w:rsidP="00DC1947">
            <w:pPr>
              <w:widowControl/>
              <w:numPr>
                <w:ilvl w:val="0"/>
                <w:numId w:val="27"/>
              </w:numPr>
              <w:tabs>
                <w:tab w:val="clear" w:pos="643"/>
                <w:tab w:val="left" w:pos="227"/>
              </w:tabs>
              <w:ind w:left="226" w:hanging="226"/>
              <w:rPr>
                <w:rFonts w:ascii="Garamond" w:hAnsi="Garamond" w:cs="Arial"/>
                <w:sz w:val="16"/>
              </w:rPr>
            </w:pPr>
            <w:r w:rsidRPr="00F112B2">
              <w:rPr>
                <w:rFonts w:ascii="Garamond" w:hAnsi="Garamond" w:cs="Arial"/>
                <w:sz w:val="16"/>
              </w:rPr>
              <w:t>What was the project contribution to replication or scaling up reforms of environmentally harmful subsidies, green subsidies, as well as environmental charges within the agricultural and energy sectors?</w:t>
            </w:r>
          </w:p>
        </w:tc>
        <w:tc>
          <w:tcPr>
            <w:tcW w:w="3799" w:type="dxa"/>
          </w:tcPr>
          <w:p w14:paraId="78F854A5"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Number/quality of replicated initiatives</w:t>
            </w:r>
          </w:p>
          <w:p w14:paraId="69D44735"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Number/quality of replicated innovative initiatives</w:t>
            </w:r>
          </w:p>
          <w:p w14:paraId="0FBCB378"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Volume of additional investment leveraged</w:t>
            </w:r>
          </w:p>
        </w:tc>
        <w:tc>
          <w:tcPr>
            <w:tcW w:w="2128" w:type="dxa"/>
          </w:tcPr>
          <w:p w14:paraId="553DB5B2"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Other donor programming documents</w:t>
            </w:r>
          </w:p>
          <w:p w14:paraId="3B7042DC"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Beneficiaries</w:t>
            </w:r>
          </w:p>
          <w:p w14:paraId="5CC1B98D"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UNDP, project staff and project Partners</w:t>
            </w:r>
          </w:p>
        </w:tc>
        <w:tc>
          <w:tcPr>
            <w:tcW w:w="2128" w:type="dxa"/>
            <w:tcBorders>
              <w:right w:val="single" w:sz="6" w:space="0" w:color="auto"/>
            </w:tcBorders>
          </w:tcPr>
          <w:p w14:paraId="0EF848F1"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Document analysis</w:t>
            </w:r>
          </w:p>
          <w:p w14:paraId="6612FC8C" w14:textId="77777777" w:rsidR="0006597C" w:rsidRPr="00483F05" w:rsidRDefault="0006597C" w:rsidP="00DC1947">
            <w:pPr>
              <w:widowControl/>
              <w:numPr>
                <w:ilvl w:val="0"/>
                <w:numId w:val="27"/>
              </w:numPr>
              <w:tabs>
                <w:tab w:val="clear" w:pos="643"/>
                <w:tab w:val="left" w:pos="227"/>
              </w:tabs>
              <w:ind w:left="226" w:hanging="226"/>
              <w:rPr>
                <w:rFonts w:ascii="Garamond" w:hAnsi="Garamond" w:cs="Arial"/>
                <w:sz w:val="16"/>
              </w:rPr>
            </w:pPr>
            <w:r w:rsidRPr="00483F05">
              <w:rPr>
                <w:rFonts w:ascii="Garamond" w:hAnsi="Garamond" w:cs="Arial"/>
                <w:sz w:val="16"/>
              </w:rPr>
              <w:t>Interviews</w:t>
            </w:r>
          </w:p>
        </w:tc>
      </w:tr>
      <w:tr w:rsidR="0006597C" w:rsidRPr="00CE24A0" w14:paraId="4F16444F" w14:textId="77777777" w:rsidTr="00F46705">
        <w:tc>
          <w:tcPr>
            <w:tcW w:w="1638" w:type="dxa"/>
            <w:tcBorders>
              <w:top w:val="single" w:sz="6" w:space="0" w:color="auto"/>
              <w:left w:val="single" w:sz="6" w:space="0" w:color="auto"/>
              <w:bottom w:val="single" w:sz="6" w:space="0" w:color="auto"/>
            </w:tcBorders>
            <w:shd w:val="pct12" w:color="auto" w:fill="FFFFFF"/>
          </w:tcPr>
          <w:p w14:paraId="2ABAAF3C" w14:textId="77777777" w:rsidR="0006597C" w:rsidRPr="007D733B" w:rsidRDefault="0006597C" w:rsidP="00954A31">
            <w:pPr>
              <w:pStyle w:val="Tableau-Texte"/>
              <w:numPr>
                <w:ilvl w:val="12"/>
                <w:numId w:val="0"/>
              </w:numPr>
              <w:spacing w:before="0" w:after="0" w:line="240" w:lineRule="auto"/>
              <w:ind w:left="74" w:right="74"/>
              <w:rPr>
                <w:rFonts w:ascii="Garamond" w:hAnsi="Garamond"/>
                <w:i/>
                <w:sz w:val="24"/>
                <w:lang w:val="en-US"/>
              </w:rPr>
            </w:pPr>
            <w:r w:rsidRPr="007D733B">
              <w:rPr>
                <w:rFonts w:ascii="Garamond" w:hAnsi="Garamond"/>
                <w:i/>
                <w:sz w:val="24"/>
                <w:lang w:val="en-US"/>
              </w:rPr>
              <w:lastRenderedPageBreak/>
              <w:t>Challenges to sustainability of the Project</w:t>
            </w:r>
          </w:p>
        </w:tc>
        <w:tc>
          <w:tcPr>
            <w:tcW w:w="4820" w:type="dxa"/>
          </w:tcPr>
          <w:p w14:paraId="56E14A44"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What are the main challenges that may hinder sustainability of efforts?</w:t>
            </w:r>
          </w:p>
          <w:p w14:paraId="1BEB0442"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 xml:space="preserve">Have any of these been addressed through project management? </w:t>
            </w:r>
          </w:p>
          <w:p w14:paraId="220F2933"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What could be the possible measures to further contribute to the sustainability of efforts achieved with the project?</w:t>
            </w:r>
          </w:p>
        </w:tc>
        <w:tc>
          <w:tcPr>
            <w:tcW w:w="3799" w:type="dxa"/>
          </w:tcPr>
          <w:p w14:paraId="3AAC5F79"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Challenges in view of building blocks of sustainability as presented above</w:t>
            </w:r>
          </w:p>
          <w:p w14:paraId="01D7658D"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Recent changes which may present new challenges to the project</w:t>
            </w:r>
          </w:p>
        </w:tc>
        <w:tc>
          <w:tcPr>
            <w:tcW w:w="2128" w:type="dxa"/>
          </w:tcPr>
          <w:p w14:paraId="3F5F755D"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Project documents and evaluations</w:t>
            </w:r>
          </w:p>
          <w:p w14:paraId="4C2651E5"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Beneficiaries</w:t>
            </w:r>
          </w:p>
          <w:p w14:paraId="75209841"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UNDP, project staff and project Partners</w:t>
            </w:r>
          </w:p>
        </w:tc>
        <w:tc>
          <w:tcPr>
            <w:tcW w:w="2128" w:type="dxa"/>
            <w:tcBorders>
              <w:right w:val="single" w:sz="6" w:space="0" w:color="auto"/>
            </w:tcBorders>
          </w:tcPr>
          <w:p w14:paraId="7E7DDC30"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Document analysis</w:t>
            </w:r>
          </w:p>
          <w:p w14:paraId="3D7510E7"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Interviews</w:t>
            </w:r>
          </w:p>
        </w:tc>
      </w:tr>
      <w:tr w:rsidR="0006597C" w:rsidRPr="00CE24A0" w14:paraId="0AEE5B11" w14:textId="77777777" w:rsidTr="00F46705">
        <w:tc>
          <w:tcPr>
            <w:tcW w:w="1638" w:type="dxa"/>
            <w:tcBorders>
              <w:top w:val="single" w:sz="6" w:space="0" w:color="auto"/>
              <w:left w:val="single" w:sz="6" w:space="0" w:color="auto"/>
              <w:bottom w:val="single" w:sz="6" w:space="0" w:color="auto"/>
            </w:tcBorders>
            <w:shd w:val="pct12" w:color="auto" w:fill="FFFFFF"/>
          </w:tcPr>
          <w:p w14:paraId="24477519" w14:textId="77777777" w:rsidR="0006597C" w:rsidRPr="007D733B" w:rsidRDefault="0006597C" w:rsidP="00954A31">
            <w:pPr>
              <w:pStyle w:val="Tableau-Texte"/>
              <w:numPr>
                <w:ilvl w:val="12"/>
                <w:numId w:val="0"/>
              </w:numPr>
              <w:spacing w:before="0" w:after="0" w:line="240" w:lineRule="auto"/>
              <w:ind w:left="74" w:right="74"/>
              <w:rPr>
                <w:rFonts w:ascii="Garamond" w:hAnsi="Garamond"/>
                <w:i/>
                <w:sz w:val="24"/>
                <w:lang w:val="en-US"/>
              </w:rPr>
            </w:pPr>
            <w:r w:rsidRPr="007D733B">
              <w:rPr>
                <w:rFonts w:ascii="Garamond" w:hAnsi="Garamond"/>
                <w:b/>
                <w:bCs/>
                <w:iCs/>
                <w:sz w:val="24"/>
                <w:lang w:val="en-US"/>
              </w:rPr>
              <w:t>Future directions for the Project</w:t>
            </w:r>
          </w:p>
        </w:tc>
        <w:tc>
          <w:tcPr>
            <w:tcW w:w="4820" w:type="dxa"/>
            <w:tcBorders>
              <w:bottom w:val="single" w:sz="6" w:space="0" w:color="auto"/>
            </w:tcBorders>
          </w:tcPr>
          <w:p w14:paraId="64641739" w14:textId="77777777" w:rsidR="0006597C" w:rsidRPr="007D76A1" w:rsidRDefault="0006597C" w:rsidP="00DC1947">
            <w:pPr>
              <w:widowControl/>
              <w:numPr>
                <w:ilvl w:val="0"/>
                <w:numId w:val="27"/>
              </w:numPr>
              <w:tabs>
                <w:tab w:val="clear" w:pos="643"/>
                <w:tab w:val="left" w:pos="227"/>
              </w:tabs>
              <w:ind w:left="226" w:hanging="226"/>
              <w:rPr>
                <w:rFonts w:ascii="Garamond" w:hAnsi="Garamond" w:cs="Arial"/>
                <w:sz w:val="16"/>
              </w:rPr>
            </w:pPr>
            <w:r w:rsidRPr="007D76A1">
              <w:rPr>
                <w:rFonts w:ascii="Garamond" w:hAnsi="Garamond" w:cs="Arial"/>
                <w:sz w:val="16"/>
              </w:rPr>
              <w:t>Which areas/arrangements under the project show the strongest potential for lasting long-term results?</w:t>
            </w:r>
          </w:p>
          <w:p w14:paraId="6EDBC90F" w14:textId="77777777" w:rsidR="0006597C" w:rsidRPr="007D76A1" w:rsidRDefault="0006597C" w:rsidP="00DC1947">
            <w:pPr>
              <w:widowControl/>
              <w:numPr>
                <w:ilvl w:val="0"/>
                <w:numId w:val="27"/>
              </w:numPr>
              <w:tabs>
                <w:tab w:val="clear" w:pos="643"/>
                <w:tab w:val="left" w:pos="227"/>
              </w:tabs>
              <w:ind w:left="226" w:hanging="226"/>
              <w:rPr>
                <w:rFonts w:ascii="Garamond" w:hAnsi="Garamond" w:cs="Arial"/>
                <w:sz w:val="16"/>
              </w:rPr>
            </w:pPr>
            <w:r w:rsidRPr="007D76A1">
              <w:rPr>
                <w:rFonts w:ascii="Garamond" w:hAnsi="Garamond" w:cs="Arial"/>
                <w:sz w:val="16"/>
              </w:rPr>
              <w:t>What are the key challenges and obstacles to the sustainability of results of project initiatives that must be directly and quickly addressed?</w:t>
            </w:r>
          </w:p>
          <w:p w14:paraId="00BD3F1C" w14:textId="77777777" w:rsidR="0006597C" w:rsidRPr="007D76A1" w:rsidRDefault="0006597C" w:rsidP="00DC1947">
            <w:pPr>
              <w:widowControl/>
              <w:numPr>
                <w:ilvl w:val="0"/>
                <w:numId w:val="27"/>
              </w:numPr>
              <w:tabs>
                <w:tab w:val="clear" w:pos="643"/>
                <w:tab w:val="left" w:pos="227"/>
              </w:tabs>
              <w:ind w:left="226" w:hanging="226"/>
              <w:rPr>
                <w:rFonts w:ascii="Garamond" w:hAnsi="Garamond" w:cs="Garamond"/>
                <w:sz w:val="16"/>
              </w:rPr>
            </w:pPr>
            <w:r w:rsidRPr="007D76A1">
              <w:rPr>
                <w:rFonts w:ascii="Garamond" w:hAnsi="Garamond" w:cs="Garamond"/>
                <w:sz w:val="16"/>
              </w:rPr>
              <w:t xml:space="preserve">How can the experience and good project practices influence the reform of environmentally harmful subsidies, green subsidies, as well as environmental charges within the agricultural and energy sectors?  </w:t>
            </w:r>
          </w:p>
          <w:p w14:paraId="772AD5FB" w14:textId="77777777" w:rsidR="0006597C" w:rsidRPr="007D76A1" w:rsidRDefault="0006597C" w:rsidP="00DC1947">
            <w:pPr>
              <w:widowControl/>
              <w:numPr>
                <w:ilvl w:val="0"/>
                <w:numId w:val="27"/>
              </w:numPr>
              <w:tabs>
                <w:tab w:val="clear" w:pos="643"/>
                <w:tab w:val="left" w:pos="227"/>
              </w:tabs>
              <w:ind w:left="226" w:hanging="226"/>
              <w:rPr>
                <w:rFonts w:ascii="Garamond" w:hAnsi="Garamond" w:cs="Arial"/>
                <w:sz w:val="16"/>
              </w:rPr>
            </w:pPr>
            <w:r w:rsidRPr="007D76A1">
              <w:rPr>
                <w:rFonts w:ascii="Garamond" w:hAnsi="Garamond" w:cs="Garamond"/>
                <w:sz w:val="16"/>
              </w:rPr>
              <w:t>Are national decision-making institutio</w:t>
            </w:r>
            <w:r w:rsidRPr="007D76A1">
              <w:rPr>
                <w:rFonts w:ascii="Garamond" w:hAnsi="Garamond" w:cs="Arial"/>
                <w:sz w:val="16"/>
              </w:rPr>
              <w:t>ns (Parliament, Government etc.) in Moldova ready to improve their measures to reform environmentally harmful subsidies, green subsidies, as well as environmental charges within the agricultural and energy sectors?</w:t>
            </w:r>
          </w:p>
        </w:tc>
        <w:tc>
          <w:tcPr>
            <w:tcW w:w="3799" w:type="dxa"/>
            <w:tcBorders>
              <w:bottom w:val="single" w:sz="6" w:space="0" w:color="auto"/>
            </w:tcBorders>
          </w:tcPr>
          <w:p w14:paraId="416002F5" w14:textId="77777777" w:rsidR="0006597C" w:rsidRPr="00957B36" w:rsidRDefault="0006597C" w:rsidP="00954A31">
            <w:pPr>
              <w:tabs>
                <w:tab w:val="left" w:pos="227"/>
              </w:tabs>
              <w:rPr>
                <w:rFonts w:ascii="Garamond" w:hAnsi="Garamond" w:cs="Arial"/>
                <w:sz w:val="16"/>
                <w:highlight w:val="yellow"/>
              </w:rPr>
            </w:pPr>
          </w:p>
        </w:tc>
        <w:tc>
          <w:tcPr>
            <w:tcW w:w="2128" w:type="dxa"/>
            <w:tcBorders>
              <w:bottom w:val="single" w:sz="6" w:space="0" w:color="auto"/>
            </w:tcBorders>
          </w:tcPr>
          <w:p w14:paraId="1B5E514A"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Data collected throughout evaluation</w:t>
            </w:r>
          </w:p>
        </w:tc>
        <w:tc>
          <w:tcPr>
            <w:tcW w:w="2128" w:type="dxa"/>
            <w:tcBorders>
              <w:bottom w:val="single" w:sz="6" w:space="0" w:color="auto"/>
              <w:right w:val="single" w:sz="6" w:space="0" w:color="auto"/>
            </w:tcBorders>
          </w:tcPr>
          <w:p w14:paraId="0C614706" w14:textId="77777777" w:rsidR="0006597C" w:rsidRPr="007D733B" w:rsidRDefault="0006597C" w:rsidP="00DC1947">
            <w:pPr>
              <w:widowControl/>
              <w:numPr>
                <w:ilvl w:val="0"/>
                <w:numId w:val="27"/>
              </w:numPr>
              <w:tabs>
                <w:tab w:val="clear" w:pos="643"/>
                <w:tab w:val="left" w:pos="227"/>
              </w:tabs>
              <w:ind w:left="226" w:hanging="226"/>
              <w:rPr>
                <w:rFonts w:ascii="Garamond" w:hAnsi="Garamond" w:cs="Arial"/>
                <w:sz w:val="16"/>
              </w:rPr>
            </w:pPr>
            <w:r w:rsidRPr="007D733B">
              <w:rPr>
                <w:rFonts w:ascii="Garamond" w:hAnsi="Garamond" w:cs="Arial"/>
                <w:sz w:val="16"/>
              </w:rPr>
              <w:t>Data analysis</w:t>
            </w:r>
          </w:p>
        </w:tc>
      </w:tr>
    </w:tbl>
    <w:p w14:paraId="7A2FE1B8" w14:textId="77777777" w:rsidR="00A52B28" w:rsidRDefault="00A52B28" w:rsidP="00A52B28">
      <w:pPr>
        <w:rPr>
          <w:sz w:val="22"/>
          <w:szCs w:val="22"/>
        </w:rPr>
      </w:pPr>
    </w:p>
    <w:p w14:paraId="19F34FE4" w14:textId="77777777" w:rsidR="00B47E75" w:rsidRDefault="00B47E75" w:rsidP="00A52B28">
      <w:pPr>
        <w:rPr>
          <w:sz w:val="22"/>
          <w:szCs w:val="22"/>
        </w:rPr>
      </w:pPr>
    </w:p>
    <w:p w14:paraId="264C925B" w14:textId="77777777" w:rsidR="003A21BE" w:rsidRPr="00FB6D4E" w:rsidRDefault="003A21BE" w:rsidP="00A52B28">
      <w:pPr>
        <w:rPr>
          <w:sz w:val="22"/>
          <w:szCs w:val="22"/>
        </w:rPr>
      </w:pPr>
    </w:p>
    <w:p w14:paraId="62976D32" w14:textId="77777777" w:rsidR="00A52B28" w:rsidRPr="00FB6D4E" w:rsidRDefault="00A52B28" w:rsidP="00A52B28">
      <w:pPr>
        <w:rPr>
          <w:sz w:val="22"/>
          <w:szCs w:val="22"/>
        </w:rPr>
      </w:pPr>
    </w:p>
    <w:p w14:paraId="66450395" w14:textId="77777777" w:rsidR="00B85923" w:rsidRPr="00FB6D4E" w:rsidRDefault="00B85923" w:rsidP="00A52B28">
      <w:pPr>
        <w:rPr>
          <w:sz w:val="22"/>
          <w:szCs w:val="22"/>
        </w:rPr>
        <w:sectPr w:rsidR="00B85923" w:rsidRPr="00FB6D4E" w:rsidSect="003E5A05">
          <w:headerReference w:type="even" r:id="rId32"/>
          <w:footerReference w:type="even" r:id="rId33"/>
          <w:headerReference w:type="first" r:id="rId34"/>
          <w:pgSz w:w="16838" w:h="11904" w:orient="landscape" w:code="9"/>
          <w:pgMar w:top="1134" w:right="1134" w:bottom="1134" w:left="1134" w:header="851" w:footer="851" w:gutter="0"/>
          <w:cols w:space="720"/>
          <w:noEndnote/>
        </w:sectPr>
      </w:pPr>
    </w:p>
    <w:p w14:paraId="00A764F7" w14:textId="77777777" w:rsidR="00A52B28" w:rsidRPr="00FB6D4E" w:rsidRDefault="00D56633" w:rsidP="00A52B28">
      <w:pPr>
        <w:pStyle w:val="Heading1"/>
        <w:spacing w:before="120" w:after="120"/>
        <w:rPr>
          <w:sz w:val="24"/>
          <w:szCs w:val="24"/>
        </w:rPr>
      </w:pPr>
      <w:bookmarkStart w:id="159" w:name="_Toc308103272"/>
      <w:r>
        <w:rPr>
          <w:sz w:val="24"/>
          <w:szCs w:val="24"/>
        </w:rPr>
        <w:lastRenderedPageBreak/>
        <w:t>Annex 4</w:t>
      </w:r>
      <w:r w:rsidR="002831E0" w:rsidRPr="00FB6D4E">
        <w:rPr>
          <w:sz w:val="24"/>
          <w:szCs w:val="24"/>
        </w:rPr>
        <w:t>:  List of Documents Reviewed</w:t>
      </w:r>
      <w:bookmarkEnd w:id="159"/>
    </w:p>
    <w:p w14:paraId="57FB6D7D" w14:textId="77777777" w:rsidR="00E167C0" w:rsidRDefault="00E167C0" w:rsidP="00E167C0">
      <w:pPr>
        <w:widowControl/>
        <w:autoSpaceDE/>
        <w:autoSpaceDN/>
        <w:adjustRightInd/>
        <w:spacing w:after="120"/>
        <w:rPr>
          <w:sz w:val="22"/>
          <w:szCs w:val="22"/>
        </w:rPr>
      </w:pPr>
      <w:r w:rsidRPr="00F762DC">
        <w:rPr>
          <w:sz w:val="22"/>
          <w:szCs w:val="22"/>
        </w:rPr>
        <w:t>Dlui Valeriu Munteanu</w:t>
      </w:r>
      <w:r>
        <w:rPr>
          <w:sz w:val="22"/>
          <w:szCs w:val="22"/>
        </w:rPr>
        <w:t xml:space="preserve">, </w:t>
      </w:r>
      <w:r w:rsidRPr="00F63506">
        <w:rPr>
          <w:i/>
          <w:sz w:val="22"/>
          <w:szCs w:val="22"/>
        </w:rPr>
        <w:t>Information Note on Article 195 on the Association Agreement Moldova-EU</w:t>
      </w:r>
    </w:p>
    <w:p w14:paraId="365F449A" w14:textId="77777777" w:rsidR="00E167C0" w:rsidRDefault="00E167C0" w:rsidP="00E167C0">
      <w:pPr>
        <w:widowControl/>
        <w:autoSpaceDE/>
        <w:autoSpaceDN/>
        <w:adjustRightInd/>
        <w:spacing w:after="120"/>
        <w:rPr>
          <w:sz w:val="22"/>
          <w:szCs w:val="22"/>
        </w:rPr>
      </w:pPr>
      <w:r>
        <w:rPr>
          <w:sz w:val="22"/>
          <w:szCs w:val="22"/>
        </w:rPr>
        <w:t xml:space="preserve">EaPGreen, 2015, </w:t>
      </w:r>
      <w:r w:rsidRPr="00F63506">
        <w:rPr>
          <w:i/>
          <w:sz w:val="22"/>
          <w:szCs w:val="22"/>
        </w:rPr>
        <w:t>Draft Regulation of the Inter-ministerial Working Group on the promotion of Sustainable Development and Green Economy in the Republic of Moldova</w:t>
      </w:r>
    </w:p>
    <w:p w14:paraId="1A1A5674" w14:textId="77777777" w:rsidR="00BD2761" w:rsidRDefault="00BD2761" w:rsidP="00BD2761">
      <w:pPr>
        <w:widowControl/>
        <w:autoSpaceDE/>
        <w:autoSpaceDN/>
        <w:adjustRightInd/>
        <w:spacing w:after="120"/>
        <w:rPr>
          <w:sz w:val="22"/>
          <w:szCs w:val="22"/>
        </w:rPr>
      </w:pPr>
      <w:r>
        <w:rPr>
          <w:sz w:val="22"/>
          <w:szCs w:val="22"/>
        </w:rPr>
        <w:t xml:space="preserve">EaPGreen, </w:t>
      </w:r>
      <w:r w:rsidRPr="00F63506">
        <w:rPr>
          <w:i/>
          <w:sz w:val="22"/>
          <w:szCs w:val="22"/>
        </w:rPr>
        <w:t>Proces-Verbal din 22.07.2014 - al Şedinţei de lucru privind mecanismul de coordonare a eforturilor de dezvoltare durabilă şi economiei verzi în Moldova</w:t>
      </w:r>
    </w:p>
    <w:p w14:paraId="1B5D1E54" w14:textId="77777777" w:rsidR="00BD2761" w:rsidRDefault="00BD2761" w:rsidP="00BD2761">
      <w:pPr>
        <w:widowControl/>
        <w:autoSpaceDE/>
        <w:autoSpaceDN/>
        <w:adjustRightInd/>
        <w:spacing w:after="120"/>
        <w:rPr>
          <w:sz w:val="22"/>
          <w:szCs w:val="22"/>
        </w:rPr>
      </w:pPr>
      <w:r>
        <w:rPr>
          <w:sz w:val="22"/>
          <w:szCs w:val="22"/>
        </w:rPr>
        <w:t xml:space="preserve">EaPGreen, December 2013, </w:t>
      </w:r>
      <w:r w:rsidRPr="00F63506">
        <w:rPr>
          <w:i/>
          <w:sz w:val="22"/>
          <w:szCs w:val="22"/>
        </w:rPr>
        <w:t>Energy Subsidies and Climate Change in Moldova</w:t>
      </w:r>
    </w:p>
    <w:p w14:paraId="515124C8" w14:textId="77777777" w:rsidR="00E167C0" w:rsidRDefault="00E167C0" w:rsidP="00E167C0">
      <w:pPr>
        <w:widowControl/>
        <w:autoSpaceDE/>
        <w:autoSpaceDN/>
        <w:adjustRightInd/>
        <w:spacing w:after="120"/>
        <w:rPr>
          <w:sz w:val="22"/>
          <w:szCs w:val="22"/>
        </w:rPr>
      </w:pPr>
      <w:r>
        <w:rPr>
          <w:sz w:val="22"/>
          <w:szCs w:val="22"/>
        </w:rPr>
        <w:t xml:space="preserve">ECE-CEP, 1998, </w:t>
      </w:r>
      <w:r w:rsidRPr="00F63506">
        <w:rPr>
          <w:i/>
          <w:sz w:val="22"/>
          <w:szCs w:val="22"/>
        </w:rPr>
        <w:t>Environmental Performance Reviews – Republic of Moldova</w:t>
      </w:r>
    </w:p>
    <w:p w14:paraId="40520F69" w14:textId="77777777" w:rsidR="00E167C0" w:rsidRDefault="00E167C0" w:rsidP="00E167C0">
      <w:pPr>
        <w:widowControl/>
        <w:autoSpaceDE/>
        <w:autoSpaceDN/>
        <w:adjustRightInd/>
        <w:spacing w:after="120"/>
        <w:rPr>
          <w:sz w:val="22"/>
          <w:szCs w:val="22"/>
        </w:rPr>
      </w:pPr>
      <w:r>
        <w:rPr>
          <w:sz w:val="22"/>
          <w:szCs w:val="22"/>
        </w:rPr>
        <w:t xml:space="preserve">EFR Project, MEGA group, </w:t>
      </w:r>
      <w:r w:rsidRPr="00C5199B">
        <w:rPr>
          <w:sz w:val="22"/>
          <w:szCs w:val="22"/>
        </w:rPr>
        <w:t>Mariana Vulpe</w:t>
      </w:r>
      <w:r>
        <w:rPr>
          <w:sz w:val="22"/>
          <w:szCs w:val="22"/>
        </w:rPr>
        <w:t xml:space="preserve">, </w:t>
      </w:r>
      <w:r w:rsidRPr="00F63506">
        <w:rPr>
          <w:i/>
          <w:sz w:val="22"/>
          <w:szCs w:val="22"/>
        </w:rPr>
        <w:t>Quality Assurance Assistance for the Final Report “National Study for the Promotion of Organic Agriculture,” implemented by AID</w:t>
      </w:r>
    </w:p>
    <w:p w14:paraId="22D7D8FE" w14:textId="77777777" w:rsidR="00E167C0" w:rsidRPr="00F63506" w:rsidRDefault="00E167C0" w:rsidP="00E167C0">
      <w:pPr>
        <w:widowControl/>
        <w:autoSpaceDE/>
        <w:autoSpaceDN/>
        <w:adjustRightInd/>
        <w:spacing w:after="120"/>
        <w:rPr>
          <w:i/>
          <w:sz w:val="22"/>
          <w:szCs w:val="22"/>
        </w:rPr>
      </w:pPr>
      <w:r>
        <w:rPr>
          <w:sz w:val="22"/>
          <w:szCs w:val="22"/>
        </w:rPr>
        <w:t xml:space="preserve">EFR Project, Fast Training Consulting Ltd., September 2014, </w:t>
      </w:r>
      <w:r w:rsidRPr="00F63506">
        <w:rPr>
          <w:i/>
          <w:sz w:val="22"/>
          <w:szCs w:val="22"/>
        </w:rPr>
        <w:t>Market analysis of financial instruments for facilitation of eco-technologies</w:t>
      </w:r>
    </w:p>
    <w:p w14:paraId="4DAC5F6A" w14:textId="77777777" w:rsidR="00E167C0" w:rsidRDefault="00E167C0" w:rsidP="00E167C0">
      <w:pPr>
        <w:widowControl/>
        <w:autoSpaceDE/>
        <w:autoSpaceDN/>
        <w:adjustRightInd/>
        <w:spacing w:after="120"/>
        <w:rPr>
          <w:sz w:val="22"/>
          <w:szCs w:val="22"/>
        </w:rPr>
      </w:pPr>
      <w:r>
        <w:rPr>
          <w:sz w:val="22"/>
          <w:szCs w:val="22"/>
        </w:rPr>
        <w:t xml:space="preserve">EFR Project, Fast Training Consulting Ltd., May 2014, </w:t>
      </w:r>
      <w:r w:rsidRPr="00F63506">
        <w:rPr>
          <w:i/>
          <w:sz w:val="22"/>
          <w:szCs w:val="22"/>
        </w:rPr>
        <w:t>Detailed work plan; Market study methodology; Tools for collecting and evaluating of qualitative and quantitative data developed and approved</w:t>
      </w:r>
    </w:p>
    <w:p w14:paraId="68D548DC" w14:textId="77777777" w:rsidR="00E167C0" w:rsidRPr="00F63506" w:rsidRDefault="00E167C0" w:rsidP="00E167C0">
      <w:pPr>
        <w:widowControl/>
        <w:autoSpaceDE/>
        <w:autoSpaceDN/>
        <w:adjustRightInd/>
        <w:spacing w:after="120"/>
        <w:rPr>
          <w:i/>
          <w:sz w:val="22"/>
          <w:szCs w:val="22"/>
        </w:rPr>
      </w:pPr>
      <w:r>
        <w:rPr>
          <w:sz w:val="22"/>
          <w:szCs w:val="22"/>
        </w:rPr>
        <w:t xml:space="preserve">EFR Project, MEGA group, </w:t>
      </w:r>
      <w:r w:rsidRPr="00C5199B">
        <w:rPr>
          <w:sz w:val="22"/>
          <w:szCs w:val="22"/>
        </w:rPr>
        <w:t>Mariana Vulpe</w:t>
      </w:r>
      <w:r>
        <w:rPr>
          <w:sz w:val="22"/>
          <w:szCs w:val="22"/>
        </w:rPr>
        <w:t>,</w:t>
      </w:r>
      <w:r w:rsidRPr="00C5199B">
        <w:rPr>
          <w:sz w:val="22"/>
          <w:szCs w:val="22"/>
        </w:rPr>
        <w:t xml:space="preserve"> </w:t>
      </w:r>
      <w:r w:rsidRPr="00F63506">
        <w:rPr>
          <w:i/>
          <w:sz w:val="22"/>
          <w:szCs w:val="22"/>
        </w:rPr>
        <w:t>Quality Assurance Assistance for the Final Report “Market analysis of financial instruments for facilitation of eco-technologies”</w:t>
      </w:r>
    </w:p>
    <w:p w14:paraId="78EEDD87" w14:textId="77777777" w:rsidR="00BD2761" w:rsidRPr="00F63506" w:rsidRDefault="00BD2761" w:rsidP="00BD2761">
      <w:pPr>
        <w:widowControl/>
        <w:autoSpaceDE/>
        <w:autoSpaceDN/>
        <w:adjustRightInd/>
        <w:spacing w:after="120"/>
        <w:rPr>
          <w:i/>
          <w:sz w:val="22"/>
          <w:szCs w:val="22"/>
        </w:rPr>
      </w:pPr>
      <w:r>
        <w:rPr>
          <w:sz w:val="22"/>
          <w:szCs w:val="22"/>
        </w:rPr>
        <w:t xml:space="preserve">EFR Project, AEquilibrium Consulting GmdH, December 15, 2014, </w:t>
      </w:r>
      <w:r w:rsidRPr="00F63506">
        <w:rPr>
          <w:i/>
          <w:sz w:val="22"/>
          <w:szCs w:val="22"/>
        </w:rPr>
        <w:t>Proposal of Product Taxes on Packaging Materials and Waste Electrical and Electronic Equipment</w:t>
      </w:r>
    </w:p>
    <w:p w14:paraId="7EB57807" w14:textId="77777777" w:rsidR="00BD2761" w:rsidRPr="00F63506" w:rsidRDefault="00BD2761" w:rsidP="00BD2761">
      <w:pPr>
        <w:widowControl/>
        <w:autoSpaceDE/>
        <w:autoSpaceDN/>
        <w:adjustRightInd/>
        <w:spacing w:after="120"/>
        <w:rPr>
          <w:i/>
          <w:sz w:val="22"/>
          <w:szCs w:val="22"/>
        </w:rPr>
      </w:pPr>
      <w:r>
        <w:rPr>
          <w:sz w:val="22"/>
          <w:szCs w:val="22"/>
        </w:rPr>
        <w:t xml:space="preserve">EFR Project, AEquilibrium Consulting GmdH, March 31, 2014, </w:t>
      </w:r>
      <w:r w:rsidRPr="00F63506">
        <w:rPr>
          <w:i/>
          <w:sz w:val="22"/>
          <w:szCs w:val="22"/>
        </w:rPr>
        <w:t>Reform of Environmental Taxes in Moldova</w:t>
      </w:r>
    </w:p>
    <w:p w14:paraId="4BDCEE6A" w14:textId="77777777" w:rsidR="00BD2761" w:rsidRPr="00F63506" w:rsidRDefault="00BD2761" w:rsidP="00BD2761">
      <w:pPr>
        <w:widowControl/>
        <w:autoSpaceDE/>
        <w:autoSpaceDN/>
        <w:adjustRightInd/>
        <w:spacing w:after="120"/>
        <w:rPr>
          <w:i/>
          <w:sz w:val="22"/>
          <w:szCs w:val="22"/>
        </w:rPr>
      </w:pPr>
      <w:r>
        <w:rPr>
          <w:sz w:val="22"/>
          <w:szCs w:val="22"/>
        </w:rPr>
        <w:t xml:space="preserve">EFR Project, AEquilibrium Consulting GmdH, October 17, 2012, </w:t>
      </w:r>
      <w:r w:rsidRPr="00F63506">
        <w:rPr>
          <w:i/>
          <w:sz w:val="22"/>
          <w:szCs w:val="22"/>
        </w:rPr>
        <w:t>National Environmental Fund of the Republic of Moldova - Fund Operational Manual</w:t>
      </w:r>
    </w:p>
    <w:p w14:paraId="12CAABA4" w14:textId="77777777" w:rsidR="00BD2761" w:rsidRDefault="00BD2761" w:rsidP="00BD2761">
      <w:pPr>
        <w:widowControl/>
        <w:autoSpaceDE/>
        <w:autoSpaceDN/>
        <w:adjustRightInd/>
        <w:spacing w:after="120"/>
        <w:rPr>
          <w:sz w:val="22"/>
          <w:szCs w:val="22"/>
        </w:rPr>
      </w:pPr>
      <w:r>
        <w:rPr>
          <w:sz w:val="22"/>
          <w:szCs w:val="22"/>
        </w:rPr>
        <w:t xml:space="preserve">EFR Project, Eastern Marketing Insights, </w:t>
      </w:r>
      <w:r w:rsidRPr="00F63506">
        <w:rPr>
          <w:i/>
          <w:sz w:val="22"/>
          <w:szCs w:val="22"/>
        </w:rPr>
        <w:t>Final Report - Taxation System of Natural Resources</w:t>
      </w:r>
    </w:p>
    <w:p w14:paraId="4BECFB53"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F63506">
        <w:rPr>
          <w:i/>
          <w:sz w:val="22"/>
          <w:szCs w:val="22"/>
        </w:rPr>
        <w:t xml:space="preserve">Recomandări privind implementarea Reformei Fiscale de Mediu în Moldova (versiune preliminară) </w:t>
      </w:r>
    </w:p>
    <w:p w14:paraId="5D726E46" w14:textId="77777777" w:rsidR="00BD2761" w:rsidRDefault="00BD2761" w:rsidP="00BD2761">
      <w:pPr>
        <w:widowControl/>
        <w:autoSpaceDE/>
        <w:autoSpaceDN/>
        <w:adjustRightInd/>
        <w:spacing w:after="120"/>
        <w:rPr>
          <w:sz w:val="22"/>
          <w:szCs w:val="22"/>
        </w:rPr>
      </w:pPr>
      <w:r>
        <w:rPr>
          <w:sz w:val="22"/>
          <w:szCs w:val="22"/>
        </w:rPr>
        <w:t xml:space="preserve">EFR Project, Petru Bacal, </w:t>
      </w:r>
      <w:r w:rsidRPr="00F63506">
        <w:rPr>
          <w:i/>
          <w:sz w:val="22"/>
          <w:szCs w:val="22"/>
        </w:rPr>
        <w:t>Report on desk review - Pollution charges system in Moldova</w:t>
      </w:r>
    </w:p>
    <w:p w14:paraId="5C914D36" w14:textId="77777777" w:rsidR="00BD2761" w:rsidRDefault="00BD2761" w:rsidP="00BD2761">
      <w:pPr>
        <w:widowControl/>
        <w:autoSpaceDE/>
        <w:autoSpaceDN/>
        <w:adjustRightInd/>
        <w:spacing w:after="120"/>
        <w:rPr>
          <w:sz w:val="22"/>
          <w:szCs w:val="22"/>
        </w:rPr>
      </w:pPr>
      <w:r>
        <w:rPr>
          <w:sz w:val="22"/>
          <w:szCs w:val="22"/>
        </w:rPr>
        <w:t xml:space="preserve">EFR Project, October 5, 2012, </w:t>
      </w:r>
      <w:r w:rsidRPr="00F63506">
        <w:rPr>
          <w:i/>
          <w:sz w:val="22"/>
          <w:szCs w:val="22"/>
        </w:rPr>
        <w:t>Justification for the Continued Use and Improved Operation of the Moldovan National Environmental Fund - Draft report</w:t>
      </w:r>
    </w:p>
    <w:p w14:paraId="4D4BFD90" w14:textId="77777777" w:rsidR="00BD2761" w:rsidRPr="00F63506" w:rsidRDefault="00BD2761" w:rsidP="00BD2761">
      <w:pPr>
        <w:widowControl/>
        <w:autoSpaceDE/>
        <w:autoSpaceDN/>
        <w:adjustRightInd/>
        <w:spacing w:after="120"/>
        <w:rPr>
          <w:i/>
          <w:sz w:val="22"/>
          <w:szCs w:val="22"/>
        </w:rPr>
      </w:pPr>
      <w:r>
        <w:rPr>
          <w:sz w:val="22"/>
          <w:szCs w:val="22"/>
        </w:rPr>
        <w:t xml:space="preserve">EFR Project, October 17, 2012, </w:t>
      </w:r>
      <w:r w:rsidRPr="00F63506">
        <w:rPr>
          <w:i/>
          <w:sz w:val="22"/>
          <w:szCs w:val="22"/>
        </w:rPr>
        <w:t>New Legislation for the Moldovan National Environmental Fund - Draft report</w:t>
      </w:r>
    </w:p>
    <w:p w14:paraId="7B39027F" w14:textId="77777777" w:rsidR="00BD2761" w:rsidRPr="005F6955" w:rsidRDefault="00BD2761" w:rsidP="00BD2761">
      <w:pPr>
        <w:widowControl/>
        <w:autoSpaceDE/>
        <w:autoSpaceDN/>
        <w:adjustRightInd/>
        <w:spacing w:after="120"/>
        <w:rPr>
          <w:sz w:val="22"/>
          <w:szCs w:val="22"/>
        </w:rPr>
      </w:pPr>
      <w:r>
        <w:rPr>
          <w:sz w:val="22"/>
          <w:szCs w:val="22"/>
        </w:rPr>
        <w:t xml:space="preserve">EFR Project, </w:t>
      </w:r>
      <w:r w:rsidRPr="00F63506">
        <w:rPr>
          <w:i/>
          <w:sz w:val="22"/>
          <w:szCs w:val="22"/>
        </w:rPr>
        <w:t>Communication in Natura, August 2015 on the EFR Project</w:t>
      </w:r>
    </w:p>
    <w:p w14:paraId="077F84C7" w14:textId="77777777" w:rsidR="00BD2761" w:rsidRDefault="00BD2761" w:rsidP="00BD2761">
      <w:pPr>
        <w:widowControl/>
        <w:autoSpaceDE/>
        <w:autoSpaceDN/>
        <w:adjustRightInd/>
        <w:spacing w:after="120"/>
        <w:rPr>
          <w:sz w:val="22"/>
          <w:szCs w:val="22"/>
        </w:rPr>
      </w:pPr>
      <w:r>
        <w:rPr>
          <w:sz w:val="22"/>
          <w:szCs w:val="22"/>
        </w:rPr>
        <w:lastRenderedPageBreak/>
        <w:t xml:space="preserve">EFR Project, </w:t>
      </w:r>
      <w:r w:rsidRPr="009A1663">
        <w:rPr>
          <w:sz w:val="22"/>
          <w:szCs w:val="22"/>
        </w:rPr>
        <w:t>Dumitru Budianschi</w:t>
      </w:r>
      <w:r>
        <w:rPr>
          <w:sz w:val="22"/>
          <w:szCs w:val="22"/>
        </w:rPr>
        <w:t xml:space="preserve">, 2015, </w:t>
      </w:r>
      <w:r w:rsidRPr="00F63506">
        <w:rPr>
          <w:i/>
          <w:sz w:val="22"/>
          <w:szCs w:val="22"/>
        </w:rPr>
        <w:t>Final Report</w:t>
      </w:r>
    </w:p>
    <w:p w14:paraId="1E6AE310" w14:textId="77777777" w:rsidR="00BD2761" w:rsidRDefault="00BD2761" w:rsidP="00BD2761">
      <w:pPr>
        <w:widowControl/>
        <w:autoSpaceDE/>
        <w:autoSpaceDN/>
        <w:adjustRightInd/>
        <w:spacing w:after="120"/>
        <w:rPr>
          <w:sz w:val="22"/>
          <w:szCs w:val="22"/>
        </w:rPr>
      </w:pPr>
      <w:r>
        <w:rPr>
          <w:sz w:val="22"/>
          <w:szCs w:val="22"/>
        </w:rPr>
        <w:t xml:space="preserve">EFR Project, </w:t>
      </w:r>
      <w:r w:rsidRPr="00F63506">
        <w:rPr>
          <w:i/>
          <w:sz w:val="22"/>
          <w:szCs w:val="22"/>
        </w:rPr>
        <w:t>EFR Banner</w:t>
      </w:r>
    </w:p>
    <w:p w14:paraId="5C4CAB87" w14:textId="77777777" w:rsidR="00BD2761" w:rsidRDefault="00BD2761" w:rsidP="00BD2761">
      <w:pPr>
        <w:widowControl/>
        <w:autoSpaceDE/>
        <w:autoSpaceDN/>
        <w:adjustRightInd/>
        <w:spacing w:after="120"/>
        <w:rPr>
          <w:sz w:val="22"/>
          <w:szCs w:val="22"/>
        </w:rPr>
      </w:pPr>
      <w:r>
        <w:rPr>
          <w:sz w:val="22"/>
          <w:szCs w:val="22"/>
        </w:rPr>
        <w:t xml:space="preserve">EFR Project, </w:t>
      </w:r>
      <w:r w:rsidRPr="00F63506">
        <w:rPr>
          <w:i/>
          <w:sz w:val="22"/>
          <w:szCs w:val="22"/>
        </w:rPr>
        <w:t>EFR Leaflet</w:t>
      </w:r>
    </w:p>
    <w:p w14:paraId="60FC031B" w14:textId="77777777" w:rsidR="00BD2761" w:rsidRPr="00F63506" w:rsidRDefault="00BD2761" w:rsidP="00BD2761">
      <w:pPr>
        <w:widowControl/>
        <w:autoSpaceDE/>
        <w:autoSpaceDN/>
        <w:adjustRightInd/>
        <w:spacing w:after="120"/>
        <w:rPr>
          <w:i/>
          <w:sz w:val="22"/>
          <w:szCs w:val="22"/>
        </w:rPr>
      </w:pPr>
      <w:r>
        <w:rPr>
          <w:sz w:val="22"/>
          <w:szCs w:val="22"/>
        </w:rPr>
        <w:t xml:space="preserve">EFR Project, Identic Studio, </w:t>
      </w:r>
      <w:r w:rsidRPr="00F63506">
        <w:rPr>
          <w:i/>
          <w:sz w:val="22"/>
          <w:szCs w:val="22"/>
        </w:rPr>
        <w:t>Report on Work Activities - Movie about the Benefits of Environmental Fiscal Reform</w:t>
      </w:r>
    </w:p>
    <w:p w14:paraId="466D2145" w14:textId="77777777" w:rsidR="00BD2761" w:rsidRDefault="00BD2761" w:rsidP="00BD2761">
      <w:pPr>
        <w:widowControl/>
        <w:autoSpaceDE/>
        <w:autoSpaceDN/>
        <w:adjustRightInd/>
        <w:spacing w:after="120"/>
        <w:rPr>
          <w:sz w:val="22"/>
          <w:szCs w:val="22"/>
        </w:rPr>
      </w:pPr>
      <w:r>
        <w:rPr>
          <w:sz w:val="22"/>
          <w:szCs w:val="22"/>
        </w:rPr>
        <w:t xml:space="preserve">EFR Project, </w:t>
      </w:r>
      <w:r w:rsidRPr="00706F17">
        <w:rPr>
          <w:sz w:val="22"/>
          <w:szCs w:val="22"/>
        </w:rPr>
        <w:t>Marian Mraz</w:t>
      </w:r>
      <w:r>
        <w:rPr>
          <w:sz w:val="22"/>
          <w:szCs w:val="22"/>
        </w:rPr>
        <w:t xml:space="preserve">, Valentin Rosca, March 8, 2015, </w:t>
      </w:r>
      <w:r w:rsidRPr="00F63506">
        <w:rPr>
          <w:i/>
          <w:sz w:val="22"/>
          <w:szCs w:val="22"/>
        </w:rPr>
        <w:t>Assessment of the capacity needs</w:t>
      </w:r>
    </w:p>
    <w:p w14:paraId="63A24189" w14:textId="77777777" w:rsidR="00BD2761" w:rsidRDefault="00BD2761" w:rsidP="00BD2761">
      <w:pPr>
        <w:widowControl/>
        <w:autoSpaceDE/>
        <w:autoSpaceDN/>
        <w:adjustRightInd/>
        <w:spacing w:after="120"/>
        <w:rPr>
          <w:sz w:val="22"/>
          <w:szCs w:val="22"/>
        </w:rPr>
      </w:pPr>
      <w:r>
        <w:rPr>
          <w:sz w:val="22"/>
          <w:szCs w:val="22"/>
        </w:rPr>
        <w:t xml:space="preserve">EFR Project, </w:t>
      </w:r>
      <w:r w:rsidRPr="00706F17">
        <w:rPr>
          <w:sz w:val="22"/>
          <w:szCs w:val="22"/>
        </w:rPr>
        <w:t>Marian Mraz</w:t>
      </w:r>
      <w:r>
        <w:rPr>
          <w:sz w:val="22"/>
          <w:szCs w:val="22"/>
        </w:rPr>
        <w:t xml:space="preserve">, March 10, 2015, </w:t>
      </w:r>
      <w:r w:rsidRPr="00F63506">
        <w:rPr>
          <w:i/>
          <w:sz w:val="22"/>
          <w:szCs w:val="22"/>
        </w:rPr>
        <w:t>Capacity Building Plan</w:t>
      </w:r>
    </w:p>
    <w:p w14:paraId="62B90D11"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706F17">
        <w:rPr>
          <w:sz w:val="22"/>
          <w:szCs w:val="22"/>
        </w:rPr>
        <w:t>Marian Mraz</w:t>
      </w:r>
      <w:r>
        <w:rPr>
          <w:sz w:val="22"/>
          <w:szCs w:val="22"/>
        </w:rPr>
        <w:t xml:space="preserve">, Valentin Rosca, </w:t>
      </w:r>
      <w:r w:rsidRPr="00F63506">
        <w:rPr>
          <w:i/>
          <w:sz w:val="22"/>
          <w:szCs w:val="22"/>
        </w:rPr>
        <w:t>The role of economic instruments in environmental policy - Training material</w:t>
      </w:r>
    </w:p>
    <w:p w14:paraId="78E0E9BB" w14:textId="77777777" w:rsidR="00BD2761" w:rsidRDefault="00BD2761" w:rsidP="00BD2761">
      <w:pPr>
        <w:widowControl/>
        <w:autoSpaceDE/>
        <w:autoSpaceDN/>
        <w:adjustRightInd/>
        <w:spacing w:after="120"/>
        <w:rPr>
          <w:sz w:val="22"/>
          <w:szCs w:val="22"/>
        </w:rPr>
      </w:pPr>
      <w:r>
        <w:rPr>
          <w:sz w:val="22"/>
          <w:szCs w:val="22"/>
        </w:rPr>
        <w:t xml:space="preserve">EFR Project, </w:t>
      </w:r>
      <w:r w:rsidRPr="00706F17">
        <w:rPr>
          <w:sz w:val="22"/>
          <w:szCs w:val="22"/>
        </w:rPr>
        <w:t>Marian Mraz</w:t>
      </w:r>
      <w:r>
        <w:rPr>
          <w:sz w:val="22"/>
          <w:szCs w:val="22"/>
        </w:rPr>
        <w:t xml:space="preserve">, Valentin Rosca, </w:t>
      </w:r>
      <w:r w:rsidRPr="00F63506">
        <w:rPr>
          <w:i/>
          <w:sz w:val="22"/>
          <w:szCs w:val="22"/>
        </w:rPr>
        <w:t>Environmental Funds - Training material</w:t>
      </w:r>
    </w:p>
    <w:p w14:paraId="40C7CCFD"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706F17">
        <w:rPr>
          <w:sz w:val="22"/>
          <w:szCs w:val="22"/>
        </w:rPr>
        <w:t>Marian Mraz</w:t>
      </w:r>
      <w:r>
        <w:rPr>
          <w:sz w:val="22"/>
          <w:szCs w:val="22"/>
        </w:rPr>
        <w:t xml:space="preserve">, Valentin Rosca, August 23, 2015, </w:t>
      </w:r>
      <w:r w:rsidRPr="00F63506">
        <w:rPr>
          <w:i/>
          <w:sz w:val="22"/>
          <w:szCs w:val="22"/>
        </w:rPr>
        <w:t>Evaluation of the Main Stakeholders’ Capacity Involved in the EFR Process</w:t>
      </w:r>
    </w:p>
    <w:p w14:paraId="4C0FECA3"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706F17">
        <w:rPr>
          <w:sz w:val="22"/>
          <w:szCs w:val="22"/>
        </w:rPr>
        <w:t>Marian Mraz</w:t>
      </w:r>
      <w:r>
        <w:rPr>
          <w:sz w:val="22"/>
          <w:szCs w:val="22"/>
        </w:rPr>
        <w:t xml:space="preserve">, Valentin Rosca, July 2015, </w:t>
      </w:r>
      <w:r w:rsidRPr="00F63506">
        <w:rPr>
          <w:i/>
          <w:sz w:val="22"/>
          <w:szCs w:val="22"/>
        </w:rPr>
        <w:t>Activity report - “Fiscal instruments for environmental policy”</w:t>
      </w:r>
    </w:p>
    <w:p w14:paraId="19F6042E" w14:textId="77777777" w:rsidR="00BD2761" w:rsidRDefault="00BD2761" w:rsidP="00BD2761">
      <w:pPr>
        <w:widowControl/>
        <w:autoSpaceDE/>
        <w:autoSpaceDN/>
        <w:adjustRightInd/>
        <w:spacing w:after="120"/>
        <w:rPr>
          <w:sz w:val="22"/>
          <w:szCs w:val="22"/>
        </w:rPr>
      </w:pPr>
      <w:r>
        <w:rPr>
          <w:sz w:val="22"/>
          <w:szCs w:val="22"/>
        </w:rPr>
        <w:t xml:space="preserve">EFR Project, </w:t>
      </w:r>
      <w:r w:rsidRPr="00706F17">
        <w:rPr>
          <w:sz w:val="22"/>
          <w:szCs w:val="22"/>
        </w:rPr>
        <w:t>Marian Mraz</w:t>
      </w:r>
      <w:r>
        <w:rPr>
          <w:sz w:val="22"/>
          <w:szCs w:val="22"/>
        </w:rPr>
        <w:t xml:space="preserve">, Valentin Rosca, August 23, 2015, </w:t>
      </w:r>
      <w:r w:rsidRPr="00F63506">
        <w:rPr>
          <w:i/>
          <w:sz w:val="22"/>
          <w:szCs w:val="22"/>
        </w:rPr>
        <w:t>Final Activity report</w:t>
      </w:r>
    </w:p>
    <w:p w14:paraId="5551F075"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F63506">
        <w:rPr>
          <w:i/>
          <w:sz w:val="22"/>
          <w:szCs w:val="22"/>
        </w:rPr>
        <w:t>Proposed Communication Activities in 2015</w:t>
      </w:r>
    </w:p>
    <w:p w14:paraId="5DAB3AFB" w14:textId="77777777" w:rsidR="00BD2761" w:rsidRDefault="00BD2761" w:rsidP="00BD2761">
      <w:pPr>
        <w:widowControl/>
        <w:autoSpaceDE/>
        <w:autoSpaceDN/>
        <w:adjustRightInd/>
        <w:spacing w:after="120"/>
        <w:rPr>
          <w:sz w:val="22"/>
          <w:szCs w:val="22"/>
        </w:rPr>
      </w:pPr>
      <w:r>
        <w:rPr>
          <w:sz w:val="22"/>
          <w:szCs w:val="22"/>
        </w:rPr>
        <w:t xml:space="preserve">EFR Project, Radu Chilaru, 2014, </w:t>
      </w:r>
      <w:r w:rsidRPr="00F63506">
        <w:rPr>
          <w:i/>
          <w:sz w:val="22"/>
          <w:szCs w:val="22"/>
        </w:rPr>
        <w:t>Final Report</w:t>
      </w:r>
    </w:p>
    <w:p w14:paraId="087AE021" w14:textId="77777777" w:rsidR="00BD2761" w:rsidRDefault="00BD2761" w:rsidP="00BD2761">
      <w:pPr>
        <w:widowControl/>
        <w:autoSpaceDE/>
        <w:autoSpaceDN/>
        <w:adjustRightInd/>
        <w:spacing w:after="120"/>
        <w:rPr>
          <w:sz w:val="22"/>
          <w:szCs w:val="22"/>
        </w:rPr>
      </w:pPr>
      <w:r>
        <w:rPr>
          <w:sz w:val="22"/>
          <w:szCs w:val="22"/>
        </w:rPr>
        <w:t xml:space="preserve">EFR Project, Sergiu </w:t>
      </w:r>
      <w:r w:rsidRPr="00D0608F">
        <w:rPr>
          <w:sz w:val="22"/>
          <w:szCs w:val="22"/>
        </w:rPr>
        <w:t>Burcă</w:t>
      </w:r>
      <w:r>
        <w:rPr>
          <w:sz w:val="22"/>
          <w:szCs w:val="22"/>
        </w:rPr>
        <w:t xml:space="preserve">, 2015, </w:t>
      </w:r>
      <w:r w:rsidRPr="00F63506">
        <w:rPr>
          <w:i/>
          <w:sz w:val="22"/>
          <w:szCs w:val="22"/>
        </w:rPr>
        <w:t>Communication and awareness - Progress report</w:t>
      </w:r>
    </w:p>
    <w:p w14:paraId="6E95B2AD" w14:textId="77777777" w:rsidR="00BD2761" w:rsidRDefault="00BD2761" w:rsidP="00BD2761">
      <w:pPr>
        <w:widowControl/>
        <w:autoSpaceDE/>
        <w:autoSpaceDN/>
        <w:adjustRightInd/>
        <w:spacing w:after="120"/>
        <w:rPr>
          <w:sz w:val="22"/>
          <w:szCs w:val="22"/>
        </w:rPr>
      </w:pPr>
      <w:r>
        <w:rPr>
          <w:sz w:val="22"/>
          <w:szCs w:val="22"/>
        </w:rPr>
        <w:t xml:space="preserve">EFR Project, </w:t>
      </w:r>
      <w:r w:rsidRPr="009D139F">
        <w:rPr>
          <w:sz w:val="22"/>
          <w:szCs w:val="22"/>
        </w:rPr>
        <w:t>Eugenia Veverita</w:t>
      </w:r>
      <w:r>
        <w:rPr>
          <w:sz w:val="22"/>
          <w:szCs w:val="22"/>
        </w:rPr>
        <w:t xml:space="preserve">, April 2015, </w:t>
      </w:r>
      <w:r w:rsidRPr="00F63506">
        <w:rPr>
          <w:i/>
          <w:sz w:val="22"/>
          <w:szCs w:val="22"/>
        </w:rPr>
        <w:t>Sector Expenditure Strategy Development for 2016-2018 MTBF: Environment and Water Management Sectors - Inception report</w:t>
      </w:r>
    </w:p>
    <w:p w14:paraId="03A5F733" w14:textId="77777777" w:rsidR="00BD2761" w:rsidRDefault="00BD2761" w:rsidP="00BD2761">
      <w:pPr>
        <w:widowControl/>
        <w:autoSpaceDE/>
        <w:autoSpaceDN/>
        <w:adjustRightInd/>
        <w:spacing w:after="120"/>
        <w:rPr>
          <w:sz w:val="22"/>
          <w:szCs w:val="22"/>
        </w:rPr>
      </w:pPr>
      <w:r>
        <w:rPr>
          <w:sz w:val="22"/>
          <w:szCs w:val="22"/>
        </w:rPr>
        <w:t xml:space="preserve">EFR Project, </w:t>
      </w:r>
      <w:r w:rsidRPr="009D139F">
        <w:rPr>
          <w:sz w:val="22"/>
          <w:szCs w:val="22"/>
        </w:rPr>
        <w:t>Eugenia Veverita</w:t>
      </w:r>
      <w:r>
        <w:rPr>
          <w:sz w:val="22"/>
          <w:szCs w:val="22"/>
        </w:rPr>
        <w:t xml:space="preserve">, April 2015, </w:t>
      </w:r>
      <w:r w:rsidRPr="00F63506">
        <w:rPr>
          <w:i/>
          <w:sz w:val="22"/>
          <w:szCs w:val="22"/>
        </w:rPr>
        <w:t>Sector Expenditure Strategy Development for 2016-2018 MTBF: Environment and Water Management Sectors - Interim report</w:t>
      </w:r>
    </w:p>
    <w:p w14:paraId="7FF4976C" w14:textId="77777777" w:rsidR="00BD2761" w:rsidRDefault="00BD2761" w:rsidP="00BD2761">
      <w:pPr>
        <w:widowControl/>
        <w:autoSpaceDE/>
        <w:autoSpaceDN/>
        <w:adjustRightInd/>
        <w:spacing w:after="120"/>
        <w:rPr>
          <w:sz w:val="22"/>
          <w:szCs w:val="22"/>
        </w:rPr>
      </w:pPr>
      <w:r>
        <w:rPr>
          <w:sz w:val="22"/>
          <w:szCs w:val="22"/>
        </w:rPr>
        <w:t xml:space="preserve">EFR Project, June 10, 2015, </w:t>
      </w:r>
      <w:r w:rsidRPr="00F63506">
        <w:rPr>
          <w:i/>
          <w:sz w:val="22"/>
          <w:szCs w:val="22"/>
        </w:rPr>
        <w:t>Report on training/workshop performing Integration of the environment policy priorities into local planning process and program performance budgets</w:t>
      </w:r>
    </w:p>
    <w:p w14:paraId="7B76D09B" w14:textId="77777777" w:rsidR="00BD2761" w:rsidRDefault="00BD2761" w:rsidP="00BD2761">
      <w:pPr>
        <w:widowControl/>
        <w:autoSpaceDE/>
        <w:autoSpaceDN/>
        <w:adjustRightInd/>
        <w:spacing w:after="120"/>
        <w:rPr>
          <w:sz w:val="22"/>
          <w:szCs w:val="22"/>
        </w:rPr>
      </w:pPr>
      <w:r>
        <w:rPr>
          <w:sz w:val="22"/>
          <w:szCs w:val="22"/>
        </w:rPr>
        <w:t xml:space="preserve">EFR Project, </w:t>
      </w:r>
      <w:r w:rsidRPr="00F63506">
        <w:rPr>
          <w:i/>
          <w:sz w:val="22"/>
          <w:szCs w:val="22"/>
        </w:rPr>
        <w:t>Activity Report 2013, 2014, and 2015</w:t>
      </w:r>
    </w:p>
    <w:p w14:paraId="182DC7BE" w14:textId="77777777" w:rsidR="00BD2761" w:rsidRDefault="00BD2761" w:rsidP="00BD2761">
      <w:pPr>
        <w:widowControl/>
        <w:autoSpaceDE/>
        <w:autoSpaceDN/>
        <w:adjustRightInd/>
        <w:spacing w:after="120"/>
        <w:rPr>
          <w:sz w:val="22"/>
          <w:szCs w:val="22"/>
        </w:rPr>
      </w:pPr>
      <w:r>
        <w:rPr>
          <w:sz w:val="22"/>
          <w:szCs w:val="22"/>
        </w:rPr>
        <w:t xml:space="preserve">EFR Project, </w:t>
      </w:r>
      <w:r w:rsidRPr="00F63506">
        <w:rPr>
          <w:i/>
          <w:sz w:val="22"/>
          <w:szCs w:val="22"/>
        </w:rPr>
        <w:t>Annual Narrative Report 2012, 2014 and 2015</w:t>
      </w:r>
    </w:p>
    <w:p w14:paraId="2F547A33" w14:textId="77777777" w:rsidR="00BD2761" w:rsidRDefault="00BD2761" w:rsidP="00BD2761">
      <w:pPr>
        <w:widowControl/>
        <w:autoSpaceDE/>
        <w:autoSpaceDN/>
        <w:adjustRightInd/>
        <w:spacing w:after="120"/>
        <w:rPr>
          <w:sz w:val="22"/>
          <w:szCs w:val="22"/>
        </w:rPr>
      </w:pPr>
      <w:r>
        <w:rPr>
          <w:sz w:val="22"/>
          <w:szCs w:val="22"/>
        </w:rPr>
        <w:t xml:space="preserve">EFR Project, </w:t>
      </w:r>
      <w:r w:rsidRPr="00F63506">
        <w:rPr>
          <w:i/>
          <w:sz w:val="22"/>
          <w:szCs w:val="22"/>
        </w:rPr>
        <w:t>Board Meeting Minutes: November 15, 2012; December 18, 2013; June 20, 2014; February 24, 2015; and July 21, 2015</w:t>
      </w:r>
    </w:p>
    <w:p w14:paraId="56E0B684" w14:textId="77777777" w:rsidR="00BD2761" w:rsidRDefault="00BD2761" w:rsidP="00BD2761">
      <w:pPr>
        <w:widowControl/>
        <w:autoSpaceDE/>
        <w:autoSpaceDN/>
        <w:adjustRightInd/>
        <w:spacing w:after="120"/>
        <w:rPr>
          <w:sz w:val="22"/>
          <w:szCs w:val="22"/>
        </w:rPr>
      </w:pPr>
      <w:r>
        <w:rPr>
          <w:sz w:val="22"/>
          <w:szCs w:val="22"/>
        </w:rPr>
        <w:t xml:space="preserve">EFR Project, June 12, 2012, </w:t>
      </w:r>
      <w:r w:rsidRPr="00F63506">
        <w:rPr>
          <w:i/>
          <w:sz w:val="22"/>
          <w:szCs w:val="22"/>
        </w:rPr>
        <w:t>Inception Workshop Minutes No. 1/2012</w:t>
      </w:r>
    </w:p>
    <w:p w14:paraId="7C08C5D3"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F63506">
        <w:rPr>
          <w:i/>
          <w:sz w:val="22"/>
          <w:szCs w:val="22"/>
        </w:rPr>
        <w:t>PIR 2013, 2014 and 2015 (draft)</w:t>
      </w:r>
    </w:p>
    <w:p w14:paraId="779A3446" w14:textId="77777777" w:rsidR="00BD2761" w:rsidRPr="00F63506" w:rsidRDefault="00BD2761" w:rsidP="00BD2761">
      <w:pPr>
        <w:widowControl/>
        <w:autoSpaceDE/>
        <w:autoSpaceDN/>
        <w:adjustRightInd/>
        <w:spacing w:after="120"/>
        <w:rPr>
          <w:i/>
          <w:sz w:val="22"/>
          <w:szCs w:val="22"/>
        </w:rPr>
      </w:pPr>
      <w:r>
        <w:rPr>
          <w:sz w:val="22"/>
          <w:szCs w:val="22"/>
        </w:rPr>
        <w:t xml:space="preserve">EFR Project, </w:t>
      </w:r>
      <w:r w:rsidRPr="00F63506">
        <w:rPr>
          <w:i/>
          <w:sz w:val="22"/>
          <w:szCs w:val="22"/>
        </w:rPr>
        <w:t xml:space="preserve">Annual Work Plan 2012, 2013, 2014 and 2015. </w:t>
      </w:r>
    </w:p>
    <w:p w14:paraId="062D9876" w14:textId="77777777" w:rsidR="00E167C0" w:rsidRPr="00F63506" w:rsidRDefault="00E167C0" w:rsidP="00E167C0">
      <w:pPr>
        <w:widowControl/>
        <w:autoSpaceDE/>
        <w:autoSpaceDN/>
        <w:adjustRightInd/>
        <w:spacing w:after="120"/>
        <w:rPr>
          <w:i/>
          <w:sz w:val="22"/>
          <w:szCs w:val="22"/>
        </w:rPr>
      </w:pPr>
      <w:r>
        <w:rPr>
          <w:sz w:val="22"/>
          <w:szCs w:val="22"/>
        </w:rPr>
        <w:t xml:space="preserve">FAO, </w:t>
      </w:r>
      <w:r w:rsidRPr="00F63506">
        <w:rPr>
          <w:i/>
          <w:sz w:val="22"/>
          <w:szCs w:val="22"/>
        </w:rPr>
        <w:t>Eastern Europe and Central Asia Agro-industry Development Country Brief - Republic of Moldova</w:t>
      </w:r>
    </w:p>
    <w:p w14:paraId="14B6FCFF" w14:textId="77777777" w:rsidR="00E167C0" w:rsidRDefault="00E167C0" w:rsidP="00E167C0">
      <w:pPr>
        <w:widowControl/>
        <w:autoSpaceDE/>
        <w:autoSpaceDN/>
        <w:adjustRightInd/>
        <w:spacing w:after="120"/>
        <w:rPr>
          <w:sz w:val="22"/>
          <w:szCs w:val="22"/>
        </w:rPr>
      </w:pPr>
      <w:r>
        <w:rPr>
          <w:sz w:val="22"/>
          <w:szCs w:val="22"/>
        </w:rPr>
        <w:lastRenderedPageBreak/>
        <w:t xml:space="preserve">GEF, 2015, </w:t>
      </w:r>
      <w:r w:rsidRPr="00F63506">
        <w:rPr>
          <w:i/>
          <w:sz w:val="22"/>
          <w:szCs w:val="22"/>
        </w:rPr>
        <w:t>PIF - Moldova Sustainable Green Cities – Catalyzing investment in sustainable green cities in the Republic of Moldova using a holistic integrated urban planning approach</w:t>
      </w:r>
    </w:p>
    <w:p w14:paraId="60082D9B" w14:textId="77777777" w:rsidR="00BD2761" w:rsidRPr="00F63506" w:rsidRDefault="00BD2761" w:rsidP="00BD2761">
      <w:pPr>
        <w:widowControl/>
        <w:autoSpaceDE/>
        <w:autoSpaceDN/>
        <w:adjustRightInd/>
        <w:spacing w:after="120"/>
        <w:rPr>
          <w:i/>
          <w:sz w:val="22"/>
          <w:szCs w:val="22"/>
        </w:rPr>
      </w:pPr>
      <w:r>
        <w:rPr>
          <w:sz w:val="22"/>
          <w:szCs w:val="22"/>
        </w:rPr>
        <w:t xml:space="preserve">GEF, UNDP, </w:t>
      </w:r>
      <w:r w:rsidRPr="00F63506">
        <w:rPr>
          <w:i/>
          <w:sz w:val="22"/>
          <w:szCs w:val="22"/>
        </w:rPr>
        <w:t>Project Document: Strengthening capacities to undertake environmental fiscal reform to meet national and global environmental priorities (Moldova)</w:t>
      </w:r>
    </w:p>
    <w:p w14:paraId="741E837A" w14:textId="77777777" w:rsidR="00E167C0" w:rsidRDefault="00E167C0" w:rsidP="00E167C0">
      <w:pPr>
        <w:widowControl/>
        <w:autoSpaceDE/>
        <w:autoSpaceDN/>
        <w:adjustRightInd/>
        <w:spacing w:after="120"/>
        <w:rPr>
          <w:sz w:val="22"/>
          <w:szCs w:val="22"/>
        </w:rPr>
      </w:pPr>
      <w:r>
        <w:rPr>
          <w:sz w:val="22"/>
          <w:szCs w:val="22"/>
        </w:rPr>
        <w:t xml:space="preserve">Government of Moldova, 2012, </w:t>
      </w:r>
      <w:r w:rsidRPr="00F63506">
        <w:rPr>
          <w:i/>
          <w:sz w:val="22"/>
          <w:szCs w:val="22"/>
        </w:rPr>
        <w:t>National Report for UN CSD 2012 Rio+20</w:t>
      </w:r>
    </w:p>
    <w:p w14:paraId="2F1CF509" w14:textId="77777777" w:rsidR="00BD2761" w:rsidRDefault="00BD2761" w:rsidP="00BD2761">
      <w:pPr>
        <w:widowControl/>
        <w:autoSpaceDE/>
        <w:autoSpaceDN/>
        <w:adjustRightInd/>
        <w:spacing w:after="120"/>
        <w:rPr>
          <w:sz w:val="22"/>
          <w:szCs w:val="22"/>
        </w:rPr>
      </w:pPr>
      <w:r>
        <w:rPr>
          <w:sz w:val="22"/>
          <w:szCs w:val="22"/>
        </w:rPr>
        <w:t xml:space="preserve">Government of Moldova, 2014, </w:t>
      </w:r>
      <w:r w:rsidRPr="00F63506">
        <w:rPr>
          <w:i/>
          <w:sz w:val="22"/>
          <w:szCs w:val="22"/>
        </w:rPr>
        <w:t>Draft Decree on the NEF</w:t>
      </w:r>
      <w:r>
        <w:rPr>
          <w:sz w:val="22"/>
          <w:szCs w:val="22"/>
        </w:rPr>
        <w:t xml:space="preserve"> </w:t>
      </w:r>
    </w:p>
    <w:p w14:paraId="267C404D" w14:textId="77777777" w:rsidR="00BD2761" w:rsidRDefault="00BD2761" w:rsidP="00BD2761">
      <w:pPr>
        <w:widowControl/>
        <w:autoSpaceDE/>
        <w:autoSpaceDN/>
        <w:adjustRightInd/>
        <w:spacing w:after="120"/>
        <w:rPr>
          <w:sz w:val="22"/>
          <w:szCs w:val="22"/>
        </w:rPr>
      </w:pPr>
      <w:r>
        <w:rPr>
          <w:sz w:val="22"/>
          <w:szCs w:val="22"/>
        </w:rPr>
        <w:t xml:space="preserve">Government of Moldova, 2015, </w:t>
      </w:r>
      <w:r w:rsidRPr="00F63506">
        <w:rPr>
          <w:i/>
          <w:sz w:val="22"/>
          <w:szCs w:val="22"/>
        </w:rPr>
        <w:t>Ordinance No. 107/66 – 17/06/2015 - Cu prh·irc la crearea Grupului de lucru inter-ministerial pcntru promovarea dezvoltarii durabile ~i economiei verzi</w:t>
      </w:r>
    </w:p>
    <w:p w14:paraId="2418D9F9" w14:textId="77777777" w:rsidR="00E167C0" w:rsidRDefault="00E167C0" w:rsidP="00E167C0">
      <w:pPr>
        <w:widowControl/>
        <w:autoSpaceDE/>
        <w:autoSpaceDN/>
        <w:adjustRightInd/>
        <w:spacing w:after="120"/>
        <w:rPr>
          <w:sz w:val="22"/>
          <w:szCs w:val="22"/>
        </w:rPr>
      </w:pPr>
      <w:r>
        <w:rPr>
          <w:sz w:val="22"/>
          <w:szCs w:val="22"/>
        </w:rPr>
        <w:t xml:space="preserve">Government of Moldova, April 24, 2014, </w:t>
      </w:r>
      <w:r w:rsidRPr="00F63506">
        <w:rPr>
          <w:i/>
          <w:sz w:val="22"/>
          <w:szCs w:val="22"/>
        </w:rPr>
        <w:t>Decision No. 301 on the Approval of the Environmental Strategy for the Years 2014-2023 and of the Action Plan for its Implementation</w:t>
      </w:r>
    </w:p>
    <w:p w14:paraId="773B2F85" w14:textId="77777777" w:rsidR="00E167C0" w:rsidRPr="00F63506" w:rsidRDefault="00E167C0" w:rsidP="00E167C0">
      <w:pPr>
        <w:widowControl/>
        <w:autoSpaceDE/>
        <w:autoSpaceDN/>
        <w:adjustRightInd/>
        <w:spacing w:after="120"/>
        <w:rPr>
          <w:i/>
          <w:sz w:val="22"/>
          <w:szCs w:val="22"/>
        </w:rPr>
      </w:pPr>
      <w:r>
        <w:rPr>
          <w:sz w:val="22"/>
          <w:szCs w:val="22"/>
        </w:rPr>
        <w:t xml:space="preserve">Government of Moldova, </w:t>
      </w:r>
      <w:r w:rsidRPr="00F63506">
        <w:rPr>
          <w:i/>
          <w:sz w:val="22"/>
          <w:szCs w:val="22"/>
        </w:rPr>
        <w:t>Moldova 2020 – National Development Strategy: 7 Solutions for Economic Growth and Poverty Reduction</w:t>
      </w:r>
    </w:p>
    <w:p w14:paraId="29F40D50" w14:textId="77777777" w:rsidR="00E167C0" w:rsidRDefault="00E167C0" w:rsidP="00E167C0">
      <w:pPr>
        <w:widowControl/>
        <w:autoSpaceDE/>
        <w:autoSpaceDN/>
        <w:adjustRightInd/>
        <w:spacing w:after="120"/>
        <w:rPr>
          <w:sz w:val="22"/>
          <w:szCs w:val="22"/>
        </w:rPr>
      </w:pPr>
      <w:r>
        <w:rPr>
          <w:sz w:val="22"/>
          <w:szCs w:val="22"/>
        </w:rPr>
        <w:t xml:space="preserve">Government of Moldova, UN, 2005, </w:t>
      </w:r>
      <w:r w:rsidRPr="00F63506">
        <w:rPr>
          <w:i/>
          <w:sz w:val="22"/>
          <w:szCs w:val="22"/>
        </w:rPr>
        <w:t>Common Country Assessment</w:t>
      </w:r>
    </w:p>
    <w:p w14:paraId="5CE53475" w14:textId="77777777" w:rsidR="00E167C0" w:rsidRPr="00F63506" w:rsidRDefault="00E167C0" w:rsidP="00E167C0">
      <w:pPr>
        <w:widowControl/>
        <w:autoSpaceDE/>
        <w:autoSpaceDN/>
        <w:adjustRightInd/>
        <w:spacing w:after="120"/>
        <w:rPr>
          <w:i/>
          <w:sz w:val="22"/>
          <w:szCs w:val="22"/>
        </w:rPr>
      </w:pPr>
      <w:r>
        <w:rPr>
          <w:sz w:val="22"/>
          <w:szCs w:val="22"/>
        </w:rPr>
        <w:t xml:space="preserve">Government of Moldova, UN, 2005, </w:t>
      </w:r>
      <w:r w:rsidRPr="00F63506">
        <w:rPr>
          <w:i/>
          <w:sz w:val="22"/>
          <w:szCs w:val="22"/>
        </w:rPr>
        <w:t>United Nations Development Assistance Framework 2007 – 2011 - Republic of Moldova</w:t>
      </w:r>
    </w:p>
    <w:p w14:paraId="0C35C19F" w14:textId="77777777" w:rsidR="00E167C0" w:rsidRPr="00F63506" w:rsidRDefault="00E167C0" w:rsidP="00E167C0">
      <w:pPr>
        <w:widowControl/>
        <w:autoSpaceDE/>
        <w:autoSpaceDN/>
        <w:adjustRightInd/>
        <w:spacing w:after="120"/>
        <w:rPr>
          <w:i/>
          <w:sz w:val="22"/>
          <w:szCs w:val="22"/>
        </w:rPr>
      </w:pPr>
      <w:r>
        <w:rPr>
          <w:sz w:val="22"/>
          <w:szCs w:val="22"/>
        </w:rPr>
        <w:t xml:space="preserve">Government of Moldova, UN Moldova, </w:t>
      </w:r>
      <w:r w:rsidRPr="00F63506">
        <w:rPr>
          <w:i/>
          <w:sz w:val="22"/>
          <w:szCs w:val="22"/>
        </w:rPr>
        <w:t>Towards Unity in Action - United Nations – Republic of Moldova - Partnership Framework 2013 – 2017</w:t>
      </w:r>
    </w:p>
    <w:p w14:paraId="0551A8BD" w14:textId="77777777" w:rsidR="00E167C0" w:rsidRPr="00F63506" w:rsidRDefault="00E167C0" w:rsidP="00E167C0">
      <w:pPr>
        <w:widowControl/>
        <w:autoSpaceDE/>
        <w:autoSpaceDN/>
        <w:adjustRightInd/>
        <w:spacing w:after="120"/>
        <w:rPr>
          <w:i/>
          <w:sz w:val="22"/>
          <w:szCs w:val="22"/>
        </w:rPr>
      </w:pPr>
      <w:r>
        <w:rPr>
          <w:sz w:val="22"/>
          <w:szCs w:val="22"/>
        </w:rPr>
        <w:t xml:space="preserve">Government of Moldova, UN Moldova, </w:t>
      </w:r>
      <w:r w:rsidRPr="00F63506">
        <w:rPr>
          <w:i/>
          <w:sz w:val="22"/>
          <w:szCs w:val="22"/>
        </w:rPr>
        <w:t>Towards Unity in Action - United Nations – Republic of Moldova - Partnership Framework 2013 – 2017 – Action Plan</w:t>
      </w:r>
    </w:p>
    <w:p w14:paraId="765C42EF" w14:textId="77777777" w:rsidR="00E167C0" w:rsidRPr="00F63506" w:rsidRDefault="00E167C0" w:rsidP="00E167C0">
      <w:pPr>
        <w:widowControl/>
        <w:autoSpaceDE/>
        <w:autoSpaceDN/>
        <w:adjustRightInd/>
        <w:spacing w:after="120"/>
        <w:rPr>
          <w:i/>
          <w:sz w:val="22"/>
          <w:szCs w:val="22"/>
        </w:rPr>
      </w:pPr>
      <w:r>
        <w:rPr>
          <w:sz w:val="22"/>
          <w:szCs w:val="22"/>
        </w:rPr>
        <w:t xml:space="preserve">Government of Moldova, UNDP, </w:t>
      </w:r>
      <w:r w:rsidRPr="00F63506">
        <w:rPr>
          <w:i/>
          <w:sz w:val="22"/>
          <w:szCs w:val="22"/>
        </w:rPr>
        <w:t>National Strategy for Sustainable Development (not approved)</w:t>
      </w:r>
    </w:p>
    <w:p w14:paraId="076780A5" w14:textId="77777777" w:rsidR="00E167C0" w:rsidRDefault="00E167C0" w:rsidP="00E167C0">
      <w:pPr>
        <w:widowControl/>
        <w:autoSpaceDE/>
        <w:autoSpaceDN/>
        <w:adjustRightInd/>
        <w:spacing w:after="120"/>
        <w:rPr>
          <w:sz w:val="22"/>
          <w:szCs w:val="22"/>
        </w:rPr>
      </w:pPr>
      <w:r>
        <w:rPr>
          <w:sz w:val="22"/>
          <w:szCs w:val="22"/>
        </w:rPr>
        <w:t xml:space="preserve">Government of Moldova, UNDP, </w:t>
      </w:r>
      <w:r w:rsidRPr="00F63506">
        <w:rPr>
          <w:i/>
          <w:sz w:val="22"/>
          <w:szCs w:val="22"/>
        </w:rPr>
        <w:t>SBBA</w:t>
      </w:r>
    </w:p>
    <w:p w14:paraId="56EE6BD0" w14:textId="77777777" w:rsidR="00BD2761" w:rsidRDefault="00BD2761" w:rsidP="00BD2761">
      <w:pPr>
        <w:widowControl/>
        <w:autoSpaceDE/>
        <w:autoSpaceDN/>
        <w:adjustRightInd/>
        <w:spacing w:after="120"/>
        <w:rPr>
          <w:sz w:val="22"/>
          <w:szCs w:val="22"/>
        </w:rPr>
      </w:pPr>
      <w:r>
        <w:rPr>
          <w:sz w:val="22"/>
          <w:szCs w:val="22"/>
        </w:rPr>
        <w:t xml:space="preserve">IDIS “Viitorul”, 2015, </w:t>
      </w:r>
      <w:r w:rsidRPr="00F63506">
        <w:rPr>
          <w:i/>
          <w:sz w:val="22"/>
          <w:szCs w:val="22"/>
        </w:rPr>
        <w:t>Intermediary Report</w:t>
      </w:r>
    </w:p>
    <w:p w14:paraId="13AAE3F4" w14:textId="77777777" w:rsidR="00BD2761" w:rsidRPr="00F63506" w:rsidRDefault="00BD2761" w:rsidP="00BD2761">
      <w:pPr>
        <w:widowControl/>
        <w:autoSpaceDE/>
        <w:autoSpaceDN/>
        <w:adjustRightInd/>
        <w:spacing w:after="120"/>
        <w:rPr>
          <w:i/>
          <w:sz w:val="22"/>
          <w:szCs w:val="22"/>
        </w:rPr>
      </w:pPr>
      <w:r>
        <w:rPr>
          <w:sz w:val="22"/>
          <w:szCs w:val="22"/>
        </w:rPr>
        <w:t xml:space="preserve">IDU, </w:t>
      </w:r>
      <w:r w:rsidRPr="00F63506">
        <w:rPr>
          <w:i/>
          <w:sz w:val="22"/>
          <w:szCs w:val="22"/>
        </w:rPr>
        <w:t xml:space="preserve">Service Contract - Provision of Consultancy in integrating local environmental aspects in the local planning process and support in implementing performance based budgeting for Local Public Authorities in Moldova – LOT 1 – Progress Report 1 (Period: June 12th – August 10th, 2015) </w:t>
      </w:r>
    </w:p>
    <w:p w14:paraId="54C8602A" w14:textId="77777777" w:rsidR="00BD2761" w:rsidRDefault="00BD2761" w:rsidP="00BD2761">
      <w:pPr>
        <w:widowControl/>
        <w:autoSpaceDE/>
        <w:autoSpaceDN/>
        <w:adjustRightInd/>
        <w:spacing w:after="120"/>
        <w:rPr>
          <w:sz w:val="22"/>
          <w:szCs w:val="22"/>
        </w:rPr>
      </w:pPr>
      <w:r>
        <w:rPr>
          <w:sz w:val="22"/>
          <w:szCs w:val="22"/>
        </w:rPr>
        <w:t xml:space="preserve">MAFI, GEF, UNDP, 2014, </w:t>
      </w:r>
      <w:r w:rsidRPr="00F63506">
        <w:rPr>
          <w:i/>
          <w:sz w:val="22"/>
          <w:szCs w:val="22"/>
        </w:rPr>
        <w:t>National Study on Organic Agriculture and Greening of Conventional Farming</w:t>
      </w:r>
    </w:p>
    <w:p w14:paraId="12810481" w14:textId="51249A8A" w:rsidR="008146E6" w:rsidRPr="00F63506" w:rsidRDefault="008146E6" w:rsidP="00D31436">
      <w:pPr>
        <w:widowControl/>
        <w:autoSpaceDE/>
        <w:autoSpaceDN/>
        <w:adjustRightInd/>
        <w:spacing w:after="120"/>
        <w:rPr>
          <w:i/>
          <w:sz w:val="22"/>
          <w:szCs w:val="22"/>
        </w:rPr>
      </w:pPr>
      <w:r>
        <w:rPr>
          <w:sz w:val="22"/>
          <w:szCs w:val="22"/>
        </w:rPr>
        <w:t xml:space="preserve">Ministry of Ecology and Natural Resources, 2005, </w:t>
      </w:r>
      <w:r w:rsidRPr="00F63506">
        <w:rPr>
          <w:i/>
          <w:sz w:val="22"/>
          <w:szCs w:val="22"/>
        </w:rPr>
        <w:t>Environmental Management – Report on National Capacity Self-Assessment</w:t>
      </w:r>
    </w:p>
    <w:p w14:paraId="7753A56E" w14:textId="77777777" w:rsidR="00E167C0" w:rsidRPr="00F63506" w:rsidRDefault="00E167C0" w:rsidP="00E167C0">
      <w:pPr>
        <w:widowControl/>
        <w:autoSpaceDE/>
        <w:autoSpaceDN/>
        <w:adjustRightInd/>
        <w:spacing w:after="120"/>
        <w:rPr>
          <w:i/>
          <w:sz w:val="22"/>
          <w:szCs w:val="22"/>
        </w:rPr>
      </w:pPr>
      <w:r>
        <w:rPr>
          <w:sz w:val="22"/>
          <w:szCs w:val="22"/>
        </w:rPr>
        <w:t xml:space="preserve">MOE, 2013, </w:t>
      </w:r>
      <w:r w:rsidRPr="00F63506">
        <w:rPr>
          <w:i/>
          <w:sz w:val="22"/>
          <w:szCs w:val="22"/>
        </w:rPr>
        <w:t>National Waste Management Strategy of the Republic of Moldova (2013-2027)</w:t>
      </w:r>
    </w:p>
    <w:p w14:paraId="472AD470" w14:textId="003C74F4" w:rsidR="008146E6" w:rsidRDefault="008146E6" w:rsidP="008146E6">
      <w:pPr>
        <w:widowControl/>
        <w:autoSpaceDE/>
        <w:autoSpaceDN/>
        <w:adjustRightInd/>
        <w:spacing w:after="120"/>
        <w:rPr>
          <w:sz w:val="22"/>
          <w:szCs w:val="22"/>
        </w:rPr>
      </w:pPr>
      <w:r>
        <w:rPr>
          <w:sz w:val="22"/>
          <w:szCs w:val="22"/>
        </w:rPr>
        <w:t xml:space="preserve">OECD, 2005, </w:t>
      </w:r>
      <w:r w:rsidRPr="00F63506">
        <w:rPr>
          <w:i/>
          <w:sz w:val="22"/>
          <w:szCs w:val="22"/>
        </w:rPr>
        <w:t>DAC Guidelines and Reference Series – Environmental Fiscal Reform for Poverty Reduction</w:t>
      </w:r>
    </w:p>
    <w:p w14:paraId="7644F254" w14:textId="77777777" w:rsidR="00E167C0" w:rsidRDefault="00E167C0" w:rsidP="00E167C0">
      <w:pPr>
        <w:widowControl/>
        <w:autoSpaceDE/>
        <w:autoSpaceDN/>
        <w:adjustRightInd/>
        <w:spacing w:after="120"/>
        <w:rPr>
          <w:sz w:val="22"/>
          <w:szCs w:val="22"/>
        </w:rPr>
      </w:pPr>
      <w:r>
        <w:rPr>
          <w:sz w:val="22"/>
          <w:szCs w:val="22"/>
        </w:rPr>
        <w:t xml:space="preserve">Official Journal, July 13, 2012, </w:t>
      </w:r>
      <w:r w:rsidRPr="00F63506">
        <w:rPr>
          <w:i/>
          <w:sz w:val="22"/>
          <w:szCs w:val="22"/>
        </w:rPr>
        <w:t>No. 143-148 – National Decentralization Strategy</w:t>
      </w:r>
    </w:p>
    <w:p w14:paraId="2B43C28F" w14:textId="77777777" w:rsidR="00E167C0" w:rsidRDefault="00E167C0" w:rsidP="00E167C0">
      <w:pPr>
        <w:widowControl/>
        <w:autoSpaceDE/>
        <w:autoSpaceDN/>
        <w:adjustRightInd/>
        <w:spacing w:after="120"/>
        <w:rPr>
          <w:sz w:val="22"/>
          <w:szCs w:val="22"/>
        </w:rPr>
      </w:pPr>
      <w:r>
        <w:rPr>
          <w:sz w:val="22"/>
          <w:szCs w:val="22"/>
        </w:rPr>
        <w:lastRenderedPageBreak/>
        <w:t xml:space="preserve">Official Journal of the EU, August 30, 2014, </w:t>
      </w:r>
      <w:r w:rsidRPr="00F63506">
        <w:rPr>
          <w:i/>
          <w:sz w:val="22"/>
          <w:szCs w:val="22"/>
        </w:rPr>
        <w:t>L260 – Legislation - Council Decision of 16 June 2014 on the signing, on behalf of the European Union, and provisional application of the Association Agreement between the European Union and the Republic of Moldova</w:t>
      </w:r>
    </w:p>
    <w:p w14:paraId="282A7FD2" w14:textId="77777777" w:rsidR="00E167C0" w:rsidRDefault="00E167C0" w:rsidP="00E167C0">
      <w:pPr>
        <w:widowControl/>
        <w:autoSpaceDE/>
        <w:autoSpaceDN/>
        <w:adjustRightInd/>
        <w:spacing w:after="120"/>
        <w:rPr>
          <w:sz w:val="22"/>
          <w:szCs w:val="22"/>
        </w:rPr>
      </w:pPr>
      <w:r w:rsidRPr="00AF13F9">
        <w:rPr>
          <w:sz w:val="22"/>
          <w:szCs w:val="22"/>
        </w:rPr>
        <w:t xml:space="preserve">Parliament, December 21, 2007, </w:t>
      </w:r>
      <w:r w:rsidRPr="00F63506">
        <w:rPr>
          <w:i/>
          <w:sz w:val="22"/>
          <w:szCs w:val="22"/>
        </w:rPr>
        <w:t>Law on Approval of the National Development Strategy</w:t>
      </w:r>
    </w:p>
    <w:p w14:paraId="1A370AD6" w14:textId="77777777" w:rsidR="00E167C0" w:rsidRPr="00F63506" w:rsidRDefault="00E167C0" w:rsidP="00E167C0">
      <w:pPr>
        <w:widowControl/>
        <w:autoSpaceDE/>
        <w:autoSpaceDN/>
        <w:adjustRightInd/>
        <w:spacing w:after="120"/>
        <w:rPr>
          <w:i/>
          <w:sz w:val="22"/>
          <w:szCs w:val="22"/>
        </w:rPr>
      </w:pPr>
      <w:r>
        <w:rPr>
          <w:sz w:val="22"/>
          <w:szCs w:val="22"/>
        </w:rPr>
        <w:t xml:space="preserve">UN, </w:t>
      </w:r>
      <w:r w:rsidRPr="00F63506">
        <w:rPr>
          <w:i/>
          <w:sz w:val="22"/>
          <w:szCs w:val="22"/>
        </w:rPr>
        <w:t>Draft country programme document for the Republic of Moldova (2013-2017)</w:t>
      </w:r>
    </w:p>
    <w:p w14:paraId="3CF68CD4" w14:textId="77777777" w:rsidR="00E167C0" w:rsidRPr="00F63506" w:rsidRDefault="00E167C0" w:rsidP="00E167C0">
      <w:pPr>
        <w:widowControl/>
        <w:autoSpaceDE/>
        <w:autoSpaceDN/>
        <w:adjustRightInd/>
        <w:spacing w:after="120"/>
        <w:rPr>
          <w:i/>
          <w:sz w:val="22"/>
          <w:szCs w:val="22"/>
        </w:rPr>
      </w:pPr>
      <w:r>
        <w:rPr>
          <w:sz w:val="22"/>
          <w:szCs w:val="22"/>
        </w:rPr>
        <w:t xml:space="preserve">UN Moldova, 2013, </w:t>
      </w:r>
      <w:r w:rsidRPr="00F63506">
        <w:rPr>
          <w:i/>
          <w:sz w:val="22"/>
          <w:szCs w:val="22"/>
        </w:rPr>
        <w:t>Final Report on Post-2015 Country Consultations in the Republic of Moldova (November – April 2013)</w:t>
      </w:r>
    </w:p>
    <w:p w14:paraId="3EB96F4A" w14:textId="77777777" w:rsidR="00BD2761" w:rsidRPr="00F63506" w:rsidRDefault="00BD2761" w:rsidP="00BD2761">
      <w:pPr>
        <w:widowControl/>
        <w:autoSpaceDE/>
        <w:autoSpaceDN/>
        <w:adjustRightInd/>
        <w:spacing w:after="120"/>
        <w:rPr>
          <w:i/>
          <w:sz w:val="22"/>
          <w:szCs w:val="22"/>
        </w:rPr>
      </w:pPr>
      <w:r>
        <w:rPr>
          <w:sz w:val="22"/>
          <w:szCs w:val="22"/>
        </w:rPr>
        <w:t xml:space="preserve">UNDP, </w:t>
      </w:r>
      <w:r w:rsidRPr="00F63506">
        <w:rPr>
          <w:i/>
          <w:sz w:val="22"/>
          <w:szCs w:val="22"/>
        </w:rPr>
        <w:t>CDR 2011, 2012, 2013, and 2014</w:t>
      </w:r>
    </w:p>
    <w:p w14:paraId="07F8A270" w14:textId="77777777" w:rsidR="00BD2761" w:rsidRPr="00F63506" w:rsidRDefault="00BD2761" w:rsidP="00BD2761">
      <w:pPr>
        <w:widowControl/>
        <w:autoSpaceDE/>
        <w:autoSpaceDN/>
        <w:adjustRightInd/>
        <w:spacing w:after="120"/>
        <w:rPr>
          <w:i/>
          <w:sz w:val="22"/>
          <w:szCs w:val="22"/>
        </w:rPr>
      </w:pPr>
      <w:r>
        <w:rPr>
          <w:sz w:val="22"/>
          <w:szCs w:val="22"/>
        </w:rPr>
        <w:t xml:space="preserve">UNDP, </w:t>
      </w:r>
      <w:r w:rsidRPr="00F63506">
        <w:rPr>
          <w:i/>
          <w:sz w:val="22"/>
          <w:szCs w:val="22"/>
        </w:rPr>
        <w:t>Terms of Reference – National Consultant in Improved Subsidies System in Energy Sector in Moldova</w:t>
      </w:r>
    </w:p>
    <w:p w14:paraId="5985814C" w14:textId="77777777" w:rsidR="00E167C0" w:rsidRPr="00F63506" w:rsidRDefault="00E167C0" w:rsidP="00E167C0">
      <w:pPr>
        <w:widowControl/>
        <w:autoSpaceDE/>
        <w:autoSpaceDN/>
        <w:adjustRightInd/>
        <w:spacing w:after="120"/>
        <w:rPr>
          <w:i/>
          <w:sz w:val="22"/>
          <w:szCs w:val="22"/>
        </w:rPr>
      </w:pPr>
      <w:r>
        <w:rPr>
          <w:sz w:val="22"/>
          <w:szCs w:val="22"/>
        </w:rPr>
        <w:t xml:space="preserve">UNDP, </w:t>
      </w:r>
      <w:r w:rsidRPr="00F63506">
        <w:rPr>
          <w:i/>
          <w:sz w:val="22"/>
          <w:szCs w:val="22"/>
        </w:rPr>
        <w:t>UNDP in Moldova – Towards Equitable and Sustainable Development for All 2007-2011</w:t>
      </w:r>
    </w:p>
    <w:p w14:paraId="112021EA" w14:textId="77777777" w:rsidR="00BD2761" w:rsidRPr="00F63506" w:rsidRDefault="00BD2761" w:rsidP="00BD2761">
      <w:pPr>
        <w:widowControl/>
        <w:autoSpaceDE/>
        <w:autoSpaceDN/>
        <w:adjustRightInd/>
        <w:spacing w:after="120"/>
        <w:rPr>
          <w:i/>
          <w:sz w:val="22"/>
          <w:szCs w:val="22"/>
        </w:rPr>
      </w:pPr>
      <w:r>
        <w:rPr>
          <w:sz w:val="22"/>
          <w:szCs w:val="22"/>
        </w:rPr>
        <w:t xml:space="preserve">UNDP, 2013, </w:t>
      </w:r>
      <w:r w:rsidRPr="00F63506">
        <w:rPr>
          <w:i/>
          <w:sz w:val="22"/>
          <w:szCs w:val="22"/>
        </w:rPr>
        <w:t>Request for Proposals - Development of the National Study for Promotion of Organic Agriculture</w:t>
      </w:r>
    </w:p>
    <w:p w14:paraId="7BEEB35E" w14:textId="77777777" w:rsidR="00BD2761" w:rsidRDefault="00BD2761" w:rsidP="00BD2761">
      <w:pPr>
        <w:widowControl/>
        <w:autoSpaceDE/>
        <w:autoSpaceDN/>
        <w:adjustRightInd/>
        <w:spacing w:after="120"/>
        <w:rPr>
          <w:sz w:val="22"/>
          <w:szCs w:val="22"/>
        </w:rPr>
      </w:pPr>
      <w:r>
        <w:rPr>
          <w:sz w:val="22"/>
          <w:szCs w:val="22"/>
        </w:rPr>
        <w:t xml:space="preserve">UNDP, 2013, </w:t>
      </w:r>
      <w:r w:rsidRPr="00F63506">
        <w:rPr>
          <w:i/>
          <w:sz w:val="22"/>
          <w:szCs w:val="22"/>
        </w:rPr>
        <w:t>Terms of Reference - International Consultant in pollution charge system</w:t>
      </w:r>
    </w:p>
    <w:p w14:paraId="0F641F14" w14:textId="77777777" w:rsidR="00BD2761" w:rsidRPr="00F63506" w:rsidRDefault="00BD2761" w:rsidP="00BD2761">
      <w:pPr>
        <w:widowControl/>
        <w:autoSpaceDE/>
        <w:autoSpaceDN/>
        <w:adjustRightInd/>
        <w:spacing w:after="120"/>
        <w:rPr>
          <w:i/>
          <w:sz w:val="22"/>
          <w:szCs w:val="22"/>
        </w:rPr>
      </w:pPr>
      <w:r>
        <w:rPr>
          <w:sz w:val="22"/>
          <w:szCs w:val="22"/>
        </w:rPr>
        <w:t xml:space="preserve">UNDP, 2013, </w:t>
      </w:r>
      <w:r w:rsidRPr="00F63506">
        <w:rPr>
          <w:i/>
          <w:sz w:val="22"/>
          <w:szCs w:val="22"/>
        </w:rPr>
        <w:t>Terms of Reference - National Consultant, Reform of the environmental pollution charge system</w:t>
      </w:r>
    </w:p>
    <w:p w14:paraId="18BC718B" w14:textId="77777777" w:rsidR="00BD2761" w:rsidRPr="00F63506" w:rsidRDefault="00BD2761" w:rsidP="00BD2761">
      <w:pPr>
        <w:widowControl/>
        <w:autoSpaceDE/>
        <w:autoSpaceDN/>
        <w:adjustRightInd/>
        <w:spacing w:after="120"/>
        <w:rPr>
          <w:i/>
          <w:sz w:val="22"/>
          <w:szCs w:val="22"/>
        </w:rPr>
      </w:pPr>
      <w:r>
        <w:rPr>
          <w:sz w:val="22"/>
          <w:szCs w:val="22"/>
        </w:rPr>
        <w:t xml:space="preserve">UNDP, 2014, </w:t>
      </w:r>
      <w:r w:rsidRPr="00F63506">
        <w:rPr>
          <w:i/>
          <w:sz w:val="22"/>
          <w:szCs w:val="22"/>
        </w:rPr>
        <w:t>Terms of Reference - Legal National Consultant in improving regulation of the National Ecological Fund</w:t>
      </w:r>
    </w:p>
    <w:p w14:paraId="105C9739" w14:textId="77777777" w:rsidR="00BD2761" w:rsidRPr="005F6955" w:rsidRDefault="00BD2761" w:rsidP="00BD2761">
      <w:pPr>
        <w:widowControl/>
        <w:autoSpaceDE/>
        <w:autoSpaceDN/>
        <w:adjustRightInd/>
        <w:spacing w:after="120"/>
        <w:rPr>
          <w:sz w:val="22"/>
          <w:szCs w:val="22"/>
        </w:rPr>
      </w:pPr>
      <w:r>
        <w:rPr>
          <w:sz w:val="22"/>
          <w:szCs w:val="22"/>
        </w:rPr>
        <w:t xml:space="preserve">UNDP, 2014, </w:t>
      </w:r>
      <w:r w:rsidRPr="00F63506">
        <w:rPr>
          <w:i/>
          <w:sz w:val="22"/>
          <w:szCs w:val="22"/>
        </w:rPr>
        <w:t>Terms of Reference - National Consultant in improving regulation and operational management of the National Ecological Fund</w:t>
      </w:r>
    </w:p>
    <w:p w14:paraId="4B222240" w14:textId="77777777" w:rsidR="00BD2761" w:rsidRDefault="00BD2761" w:rsidP="00BD2761">
      <w:pPr>
        <w:widowControl/>
        <w:autoSpaceDE/>
        <w:autoSpaceDN/>
        <w:adjustRightInd/>
        <w:spacing w:after="120"/>
        <w:rPr>
          <w:sz w:val="22"/>
          <w:szCs w:val="22"/>
        </w:rPr>
      </w:pPr>
      <w:r>
        <w:rPr>
          <w:sz w:val="22"/>
          <w:szCs w:val="22"/>
        </w:rPr>
        <w:t xml:space="preserve">UNDP, 2014, </w:t>
      </w:r>
      <w:r w:rsidRPr="00F63506">
        <w:rPr>
          <w:i/>
          <w:sz w:val="22"/>
          <w:szCs w:val="22"/>
        </w:rPr>
        <w:t>Terms of Reference - International and National Consultants in improved regulation and operational management of the National Ecological Fund</w:t>
      </w:r>
    </w:p>
    <w:p w14:paraId="0F08F48C" w14:textId="77777777" w:rsidR="00BD2761" w:rsidRDefault="00BD2761" w:rsidP="00BD2761">
      <w:pPr>
        <w:widowControl/>
        <w:autoSpaceDE/>
        <w:autoSpaceDN/>
        <w:adjustRightInd/>
        <w:spacing w:after="120"/>
        <w:rPr>
          <w:sz w:val="22"/>
          <w:szCs w:val="22"/>
        </w:rPr>
      </w:pPr>
      <w:r>
        <w:rPr>
          <w:sz w:val="22"/>
          <w:szCs w:val="22"/>
        </w:rPr>
        <w:t xml:space="preserve">UNDP, </w:t>
      </w:r>
      <w:r w:rsidRPr="00F63506">
        <w:rPr>
          <w:i/>
          <w:sz w:val="22"/>
          <w:szCs w:val="22"/>
        </w:rPr>
        <w:t>Terms of Reference – Consultant on inter-sectorial evaluation and revision of the legal and regulatory frameworks governing natural resources tax system</w:t>
      </w:r>
    </w:p>
    <w:p w14:paraId="4FC6941A" w14:textId="77777777" w:rsidR="00BD2761" w:rsidRDefault="00BD2761" w:rsidP="00BD2761">
      <w:pPr>
        <w:widowControl/>
        <w:autoSpaceDE/>
        <w:autoSpaceDN/>
        <w:adjustRightInd/>
        <w:spacing w:after="120"/>
        <w:rPr>
          <w:sz w:val="22"/>
          <w:szCs w:val="22"/>
        </w:rPr>
      </w:pPr>
      <w:r>
        <w:rPr>
          <w:sz w:val="22"/>
          <w:szCs w:val="22"/>
        </w:rPr>
        <w:t xml:space="preserve">UNDP, </w:t>
      </w:r>
      <w:r w:rsidRPr="00F63506">
        <w:rPr>
          <w:i/>
          <w:sz w:val="22"/>
          <w:szCs w:val="22"/>
        </w:rPr>
        <w:t>Terms of Reference - International Consultant in Environmental Fiscal Reform Capacity Building</w:t>
      </w:r>
    </w:p>
    <w:p w14:paraId="102C8BC1" w14:textId="77777777" w:rsidR="00BD2761" w:rsidRDefault="00BD2761" w:rsidP="00BD2761">
      <w:pPr>
        <w:widowControl/>
        <w:autoSpaceDE/>
        <w:autoSpaceDN/>
        <w:adjustRightInd/>
        <w:spacing w:after="120"/>
        <w:rPr>
          <w:sz w:val="22"/>
          <w:szCs w:val="22"/>
        </w:rPr>
      </w:pPr>
      <w:r>
        <w:rPr>
          <w:sz w:val="22"/>
          <w:szCs w:val="22"/>
        </w:rPr>
        <w:t xml:space="preserve">UNDP, </w:t>
      </w:r>
      <w:r w:rsidRPr="00F63506">
        <w:rPr>
          <w:i/>
          <w:sz w:val="22"/>
          <w:szCs w:val="22"/>
        </w:rPr>
        <w:t>Terms of Reference - National Consultant in Environmental Fiscal Reform Capacity Building</w:t>
      </w:r>
    </w:p>
    <w:p w14:paraId="2A9A78A1" w14:textId="77777777" w:rsidR="00BD2761" w:rsidRPr="00F63506" w:rsidRDefault="00BD2761" w:rsidP="00BD2761">
      <w:pPr>
        <w:widowControl/>
        <w:autoSpaceDE/>
        <w:autoSpaceDN/>
        <w:adjustRightInd/>
        <w:spacing w:after="120"/>
        <w:rPr>
          <w:i/>
          <w:sz w:val="22"/>
          <w:szCs w:val="22"/>
        </w:rPr>
      </w:pPr>
      <w:r>
        <w:rPr>
          <w:sz w:val="22"/>
          <w:szCs w:val="22"/>
        </w:rPr>
        <w:t xml:space="preserve">UNDP, </w:t>
      </w:r>
      <w:r w:rsidRPr="00F63506">
        <w:rPr>
          <w:i/>
          <w:sz w:val="22"/>
          <w:szCs w:val="22"/>
        </w:rPr>
        <w:t>Terms of Reference - National Consultant for Medium-Term Budgetary Framework (MTBF) Capacity Building</w:t>
      </w:r>
    </w:p>
    <w:p w14:paraId="1D080F9E" w14:textId="77777777" w:rsidR="00E167C0" w:rsidRDefault="00E167C0" w:rsidP="00E167C0">
      <w:pPr>
        <w:widowControl/>
        <w:autoSpaceDE/>
        <w:autoSpaceDN/>
        <w:adjustRightInd/>
        <w:spacing w:after="120"/>
        <w:rPr>
          <w:sz w:val="22"/>
          <w:szCs w:val="22"/>
        </w:rPr>
      </w:pPr>
      <w:r>
        <w:rPr>
          <w:sz w:val="22"/>
          <w:szCs w:val="22"/>
        </w:rPr>
        <w:t xml:space="preserve">UNDP, MOE, 2013, </w:t>
      </w:r>
      <w:r w:rsidRPr="00F63506">
        <w:rPr>
          <w:i/>
          <w:sz w:val="22"/>
          <w:szCs w:val="22"/>
        </w:rPr>
        <w:t>Fifth National Report on Biological Diversity</w:t>
      </w:r>
    </w:p>
    <w:p w14:paraId="6846C9EE" w14:textId="77777777" w:rsidR="00E167C0" w:rsidRPr="00F63506" w:rsidRDefault="00E167C0" w:rsidP="00E167C0">
      <w:pPr>
        <w:widowControl/>
        <w:autoSpaceDE/>
        <w:autoSpaceDN/>
        <w:adjustRightInd/>
        <w:spacing w:after="120"/>
        <w:rPr>
          <w:i/>
          <w:sz w:val="22"/>
          <w:szCs w:val="22"/>
        </w:rPr>
      </w:pPr>
      <w:r>
        <w:rPr>
          <w:sz w:val="22"/>
          <w:szCs w:val="22"/>
        </w:rPr>
        <w:t xml:space="preserve">Vadim Ceban, December 6, 2013, </w:t>
      </w:r>
      <w:r w:rsidRPr="00F63506">
        <w:rPr>
          <w:i/>
          <w:sz w:val="22"/>
          <w:szCs w:val="22"/>
        </w:rPr>
        <w:t>Supporting investment in clean Energy infrastructure in the Republic of Moldova</w:t>
      </w:r>
    </w:p>
    <w:p w14:paraId="596BE7E4" w14:textId="6E213477" w:rsidR="00F762DC" w:rsidRDefault="00F762DC" w:rsidP="008146E6">
      <w:pPr>
        <w:widowControl/>
        <w:autoSpaceDE/>
        <w:autoSpaceDN/>
        <w:adjustRightInd/>
        <w:spacing w:after="120"/>
        <w:rPr>
          <w:sz w:val="22"/>
          <w:szCs w:val="22"/>
        </w:rPr>
      </w:pPr>
      <w:r>
        <w:rPr>
          <w:sz w:val="22"/>
          <w:szCs w:val="22"/>
        </w:rPr>
        <w:t xml:space="preserve">_____, 2008, </w:t>
      </w:r>
      <w:r w:rsidRPr="00F63506">
        <w:rPr>
          <w:i/>
          <w:sz w:val="22"/>
          <w:szCs w:val="22"/>
        </w:rPr>
        <w:t>Medium Term Expenditure Framework (2009-2011)</w:t>
      </w:r>
    </w:p>
    <w:p w14:paraId="3BCEA676" w14:textId="2E68DD04" w:rsidR="00F762DC" w:rsidRDefault="000D4D58" w:rsidP="000D4D58">
      <w:pPr>
        <w:widowControl/>
        <w:autoSpaceDE/>
        <w:autoSpaceDN/>
        <w:adjustRightInd/>
        <w:spacing w:after="120"/>
        <w:rPr>
          <w:sz w:val="22"/>
          <w:szCs w:val="22"/>
        </w:rPr>
      </w:pPr>
      <w:r>
        <w:rPr>
          <w:sz w:val="22"/>
          <w:szCs w:val="22"/>
        </w:rPr>
        <w:t xml:space="preserve">_____, 2010, </w:t>
      </w:r>
      <w:r w:rsidRPr="00F63506">
        <w:rPr>
          <w:i/>
          <w:sz w:val="22"/>
          <w:szCs w:val="22"/>
        </w:rPr>
        <w:t>Development Partnership Principles - Coordination and Harmonization of Government and Partner Practices for Enhanced Effectiveness of Foreign Assistance to the Republic of Moldova</w:t>
      </w:r>
    </w:p>
    <w:p w14:paraId="45A896DB" w14:textId="77777777" w:rsidR="00BD2761" w:rsidRDefault="00BD2761" w:rsidP="00BD2761">
      <w:pPr>
        <w:widowControl/>
        <w:autoSpaceDE/>
        <w:autoSpaceDN/>
        <w:adjustRightInd/>
        <w:spacing w:after="120"/>
        <w:rPr>
          <w:sz w:val="22"/>
          <w:szCs w:val="22"/>
        </w:rPr>
      </w:pPr>
      <w:r>
        <w:rPr>
          <w:sz w:val="22"/>
          <w:szCs w:val="22"/>
        </w:rPr>
        <w:lastRenderedPageBreak/>
        <w:t xml:space="preserve">_____, October 7, 2014, </w:t>
      </w:r>
      <w:r w:rsidRPr="00F63506">
        <w:rPr>
          <w:i/>
          <w:sz w:val="22"/>
          <w:szCs w:val="22"/>
        </w:rPr>
        <w:t>Association Agreement Action Plan for Moldova</w:t>
      </w:r>
    </w:p>
    <w:p w14:paraId="3CD6C6A0" w14:textId="77777777" w:rsidR="00BD2761" w:rsidRDefault="00BD2761" w:rsidP="00BD2761">
      <w:pPr>
        <w:widowControl/>
        <w:autoSpaceDE/>
        <w:autoSpaceDN/>
        <w:adjustRightInd/>
        <w:spacing w:after="120"/>
        <w:rPr>
          <w:sz w:val="22"/>
          <w:szCs w:val="22"/>
        </w:rPr>
      </w:pPr>
      <w:r>
        <w:rPr>
          <w:sz w:val="22"/>
          <w:szCs w:val="22"/>
        </w:rPr>
        <w:t xml:space="preserve">_____, </w:t>
      </w:r>
      <w:r w:rsidRPr="00F63506">
        <w:rPr>
          <w:i/>
          <w:sz w:val="22"/>
          <w:szCs w:val="22"/>
        </w:rPr>
        <w:t>Draft Decret privind constituirea Consiliului național pentru dezvoltare durabilă și promovarea economiei verzi - nr. – din -- ----- 2014</w:t>
      </w:r>
    </w:p>
    <w:p w14:paraId="6EFAF9BD" w14:textId="77777777" w:rsidR="00BD2761" w:rsidRDefault="00BD2761" w:rsidP="00BD2761">
      <w:pPr>
        <w:widowControl/>
        <w:autoSpaceDE/>
        <w:autoSpaceDN/>
        <w:adjustRightInd/>
        <w:spacing w:after="120"/>
        <w:rPr>
          <w:sz w:val="22"/>
          <w:szCs w:val="22"/>
        </w:rPr>
      </w:pPr>
      <w:r>
        <w:rPr>
          <w:sz w:val="22"/>
          <w:szCs w:val="22"/>
        </w:rPr>
        <w:t xml:space="preserve">_____, </w:t>
      </w:r>
      <w:r w:rsidRPr="00F63506">
        <w:rPr>
          <w:i/>
          <w:sz w:val="22"/>
          <w:szCs w:val="22"/>
        </w:rPr>
        <w:t>Notă de concept - privind comunicarea coordonată a eforturilor de dezvoltare durabilă şi economia verde din Republica Moldova</w:t>
      </w:r>
    </w:p>
    <w:p w14:paraId="58BDF691" w14:textId="77777777" w:rsidR="00BD2761" w:rsidRPr="00F63506" w:rsidRDefault="00BD2761" w:rsidP="00BD2761">
      <w:pPr>
        <w:widowControl/>
        <w:autoSpaceDE/>
        <w:autoSpaceDN/>
        <w:adjustRightInd/>
        <w:spacing w:after="120"/>
        <w:rPr>
          <w:i/>
          <w:sz w:val="22"/>
          <w:szCs w:val="22"/>
        </w:rPr>
      </w:pPr>
      <w:r>
        <w:rPr>
          <w:sz w:val="22"/>
          <w:szCs w:val="22"/>
        </w:rPr>
        <w:t xml:space="preserve">_____, </w:t>
      </w:r>
      <w:r w:rsidRPr="00F63506">
        <w:rPr>
          <w:i/>
          <w:sz w:val="22"/>
          <w:szCs w:val="22"/>
        </w:rPr>
        <w:t>Study of the Legislative Basis of Charges for the Use of Natural Resources in the Republic of Moldova</w:t>
      </w:r>
    </w:p>
    <w:p w14:paraId="3EB21E43" w14:textId="77777777" w:rsidR="00BD2761" w:rsidRPr="00D0608F" w:rsidRDefault="00BD2761" w:rsidP="00BD2761">
      <w:pPr>
        <w:widowControl/>
        <w:autoSpaceDE/>
        <w:autoSpaceDN/>
        <w:adjustRightInd/>
        <w:spacing w:after="120"/>
        <w:rPr>
          <w:sz w:val="22"/>
          <w:szCs w:val="22"/>
        </w:rPr>
      </w:pPr>
      <w:r>
        <w:rPr>
          <w:sz w:val="22"/>
          <w:szCs w:val="22"/>
        </w:rPr>
        <w:t xml:space="preserve">_____, </w:t>
      </w:r>
      <w:r w:rsidRPr="00F63506">
        <w:rPr>
          <w:i/>
          <w:sz w:val="22"/>
          <w:szCs w:val="22"/>
        </w:rPr>
        <w:t>Study tour to Czech Republic: Reform of the National Ecological Fund in Moldova - Conclusions and recommendations</w:t>
      </w:r>
    </w:p>
    <w:p w14:paraId="523FB858" w14:textId="77777777" w:rsidR="00BD2761" w:rsidRPr="00D0608F" w:rsidRDefault="00BD2761" w:rsidP="00BD2761">
      <w:pPr>
        <w:widowControl/>
        <w:autoSpaceDE/>
        <w:autoSpaceDN/>
        <w:adjustRightInd/>
        <w:spacing w:after="120"/>
        <w:rPr>
          <w:sz w:val="22"/>
          <w:szCs w:val="22"/>
        </w:rPr>
      </w:pPr>
      <w:r>
        <w:rPr>
          <w:sz w:val="22"/>
          <w:szCs w:val="22"/>
        </w:rPr>
        <w:t xml:space="preserve">_____, </w:t>
      </w:r>
      <w:r w:rsidRPr="00F63506">
        <w:rPr>
          <w:i/>
          <w:sz w:val="22"/>
          <w:szCs w:val="22"/>
        </w:rPr>
        <w:t>Study tour to Czech Republic: Reform of the National Ecological Fund in Moldova - Program</w:t>
      </w:r>
      <w:r>
        <w:rPr>
          <w:sz w:val="22"/>
          <w:szCs w:val="22"/>
        </w:rPr>
        <w:t>me</w:t>
      </w:r>
    </w:p>
    <w:p w14:paraId="2A548B8E" w14:textId="4D937B39" w:rsidR="00060524" w:rsidRPr="00060524" w:rsidRDefault="00060524" w:rsidP="00060524">
      <w:pPr>
        <w:widowControl/>
        <w:autoSpaceDE/>
        <w:autoSpaceDN/>
        <w:adjustRightInd/>
        <w:spacing w:after="120"/>
        <w:rPr>
          <w:sz w:val="22"/>
          <w:szCs w:val="22"/>
        </w:rPr>
      </w:pPr>
      <w:r>
        <w:rPr>
          <w:sz w:val="22"/>
          <w:szCs w:val="22"/>
        </w:rPr>
        <w:t xml:space="preserve">_____, </w:t>
      </w:r>
      <w:r w:rsidRPr="00F63506">
        <w:rPr>
          <w:i/>
          <w:sz w:val="22"/>
          <w:szCs w:val="22"/>
        </w:rPr>
        <w:t>Terms of Reference - Market analysis of financing instruments for facilitation of eco-technologies</w:t>
      </w:r>
    </w:p>
    <w:p w14:paraId="541386BD" w14:textId="24E2D4F7" w:rsidR="00D0608F" w:rsidRDefault="00D0608F" w:rsidP="00D0608F">
      <w:pPr>
        <w:widowControl/>
        <w:autoSpaceDE/>
        <w:autoSpaceDN/>
        <w:adjustRightInd/>
        <w:spacing w:after="120"/>
        <w:rPr>
          <w:sz w:val="22"/>
          <w:szCs w:val="22"/>
        </w:rPr>
      </w:pPr>
      <w:r>
        <w:rPr>
          <w:sz w:val="22"/>
          <w:szCs w:val="22"/>
        </w:rPr>
        <w:t xml:space="preserve">_____, </w:t>
      </w:r>
      <w:r w:rsidRPr="00F63506">
        <w:rPr>
          <w:i/>
          <w:sz w:val="22"/>
          <w:szCs w:val="22"/>
        </w:rPr>
        <w:t>Terms of Reference - Reform of the National Ecological Fund in line with</w:t>
      </w:r>
      <w:r w:rsidR="00706F17" w:rsidRPr="00F63506">
        <w:rPr>
          <w:i/>
          <w:sz w:val="22"/>
          <w:szCs w:val="22"/>
        </w:rPr>
        <w:t xml:space="preserve"> international best practice </w:t>
      </w:r>
      <w:r w:rsidRPr="00F63506">
        <w:rPr>
          <w:i/>
          <w:sz w:val="22"/>
          <w:szCs w:val="22"/>
        </w:rPr>
        <w:t>(Organization of Study Tour to the Czech Republic)</w:t>
      </w:r>
    </w:p>
    <w:p w14:paraId="4569FFFA" w14:textId="718FF729" w:rsidR="00706F17" w:rsidRPr="00BD2761" w:rsidRDefault="009D139F" w:rsidP="00706F17">
      <w:pPr>
        <w:widowControl/>
        <w:autoSpaceDE/>
        <w:autoSpaceDN/>
        <w:adjustRightInd/>
        <w:spacing w:after="120"/>
        <w:rPr>
          <w:i/>
          <w:sz w:val="22"/>
          <w:szCs w:val="22"/>
        </w:rPr>
      </w:pPr>
      <w:r>
        <w:rPr>
          <w:sz w:val="22"/>
          <w:szCs w:val="22"/>
        </w:rPr>
        <w:t xml:space="preserve">_____, </w:t>
      </w:r>
      <w:r w:rsidRPr="00F63506">
        <w:rPr>
          <w:i/>
          <w:sz w:val="22"/>
          <w:szCs w:val="22"/>
        </w:rPr>
        <w:t>Terms of Reference - Provision of consultancy in integrating local environmental aspects in the local planning process and support in implementing performance based budgeting for Local Public Authorities in Moldova</w:t>
      </w:r>
    </w:p>
    <w:p w14:paraId="7D1A4D07" w14:textId="77777777" w:rsidR="008146E6" w:rsidRPr="0030296F" w:rsidRDefault="008146E6" w:rsidP="00D31436">
      <w:pPr>
        <w:widowControl/>
        <w:autoSpaceDE/>
        <w:autoSpaceDN/>
        <w:adjustRightInd/>
        <w:spacing w:after="120"/>
        <w:rPr>
          <w:i/>
          <w:sz w:val="22"/>
          <w:szCs w:val="22"/>
        </w:rPr>
      </w:pPr>
    </w:p>
    <w:p w14:paraId="138F6AE9" w14:textId="77777777" w:rsidR="00BC05F1" w:rsidRPr="00FB6D4E" w:rsidRDefault="00BC05F1">
      <w:pPr>
        <w:widowControl/>
        <w:autoSpaceDE/>
        <w:autoSpaceDN/>
        <w:adjustRightInd/>
      </w:pPr>
      <w:r w:rsidRPr="00FB6D4E">
        <w:br w:type="page"/>
      </w:r>
    </w:p>
    <w:p w14:paraId="00052688" w14:textId="77777777" w:rsidR="00A52B28" w:rsidRPr="00FB6D4E" w:rsidRDefault="00D56633" w:rsidP="00A52B28">
      <w:pPr>
        <w:pStyle w:val="Heading1"/>
        <w:spacing w:before="120" w:after="120"/>
        <w:rPr>
          <w:sz w:val="24"/>
          <w:szCs w:val="24"/>
        </w:rPr>
      </w:pPr>
      <w:bookmarkStart w:id="160" w:name="_Toc308103273"/>
      <w:r>
        <w:rPr>
          <w:sz w:val="24"/>
          <w:szCs w:val="24"/>
        </w:rPr>
        <w:t>Annex 5</w:t>
      </w:r>
      <w:r w:rsidR="002831E0" w:rsidRPr="00FB6D4E">
        <w:rPr>
          <w:sz w:val="24"/>
          <w:szCs w:val="24"/>
        </w:rPr>
        <w:t>:  Interview Guide</w:t>
      </w:r>
      <w:bookmarkEnd w:id="160"/>
    </w:p>
    <w:p w14:paraId="60A3DBE0" w14:textId="77777777" w:rsidR="00AA0ACA" w:rsidRPr="00B47E75" w:rsidRDefault="002831E0" w:rsidP="00AA0ACA">
      <w:pPr>
        <w:rPr>
          <w:i/>
          <w:sz w:val="20"/>
        </w:rPr>
      </w:pPr>
      <w:r w:rsidRPr="00FB6D4E">
        <w:rPr>
          <w:i/>
          <w:sz w:val="20"/>
          <w:u w:val="single"/>
        </w:rPr>
        <w:t>Note</w:t>
      </w:r>
      <w:r w:rsidRPr="00FB6D4E">
        <w:rPr>
          <w:i/>
          <w:sz w:val="20"/>
        </w:rPr>
        <w:t xml:space="preserve">: This </w:t>
      </w:r>
      <w:r w:rsidR="00041735" w:rsidRPr="00FB6D4E">
        <w:rPr>
          <w:i/>
          <w:sz w:val="20"/>
        </w:rPr>
        <w:t>was</w:t>
      </w:r>
      <w:r w:rsidRPr="00FB6D4E">
        <w:rPr>
          <w:i/>
          <w:sz w:val="20"/>
        </w:rPr>
        <w:t xml:space="preserve"> </w:t>
      </w:r>
      <w:r w:rsidR="00E8414E" w:rsidRPr="00FB6D4E">
        <w:rPr>
          <w:i/>
          <w:sz w:val="20"/>
        </w:rPr>
        <w:t>a guide for the interviewer</w:t>
      </w:r>
      <w:r w:rsidR="00DA5DA7">
        <w:rPr>
          <w:i/>
          <w:sz w:val="20"/>
        </w:rPr>
        <w:t xml:space="preserve">s; it is </w:t>
      </w:r>
      <w:r w:rsidRPr="00FB6D4E">
        <w:rPr>
          <w:i/>
          <w:sz w:val="20"/>
        </w:rPr>
        <w:t xml:space="preserve">a simplified version of the evaluation matrix. Not all questions </w:t>
      </w:r>
      <w:r w:rsidR="00E8414E" w:rsidRPr="00FB6D4E">
        <w:rPr>
          <w:i/>
          <w:sz w:val="20"/>
        </w:rPr>
        <w:t>were</w:t>
      </w:r>
      <w:r w:rsidRPr="00FB6D4E">
        <w:rPr>
          <w:i/>
          <w:sz w:val="20"/>
        </w:rPr>
        <w:t xml:space="preserve"> asked to each interviewee; it </w:t>
      </w:r>
      <w:r w:rsidR="00E8414E" w:rsidRPr="00FB6D4E">
        <w:rPr>
          <w:i/>
          <w:sz w:val="20"/>
        </w:rPr>
        <w:t>was a reminder for the interviewer</w:t>
      </w:r>
      <w:r w:rsidR="00DA5DA7">
        <w:rPr>
          <w:i/>
          <w:sz w:val="20"/>
        </w:rPr>
        <w:t>s</w:t>
      </w:r>
      <w:r w:rsidRPr="00FB6D4E">
        <w:rPr>
          <w:i/>
          <w:sz w:val="20"/>
        </w:rPr>
        <w:t xml:space="preserve"> about the type of information required to complete the evaluation exercise and a guide to prepare the semi-structured interviews. </w:t>
      </w:r>
    </w:p>
    <w:p w14:paraId="13179916" w14:textId="77777777" w:rsidR="000A5B4E" w:rsidRDefault="000A5B4E" w:rsidP="00B47E75">
      <w:pPr>
        <w:widowControl/>
        <w:autoSpaceDE/>
        <w:autoSpaceDN/>
        <w:adjustRightInd/>
        <w:rPr>
          <w:sz w:val="22"/>
          <w:szCs w:val="22"/>
          <w:lang w:val="en-CA"/>
        </w:rPr>
      </w:pPr>
    </w:p>
    <w:p w14:paraId="725503A9" w14:textId="77777777" w:rsidR="000A5B4E" w:rsidRPr="00C60B2F" w:rsidRDefault="000A5B4E" w:rsidP="000A5B4E">
      <w:pPr>
        <w:pBdr>
          <w:top w:val="single" w:sz="4" w:space="1" w:color="auto"/>
          <w:bottom w:val="single" w:sz="4" w:space="1" w:color="auto"/>
        </w:pBdr>
        <w:rPr>
          <w:sz w:val="22"/>
          <w:lang w:val="en-CA"/>
        </w:rPr>
      </w:pPr>
      <w:r w:rsidRPr="00C60B2F">
        <w:rPr>
          <w:b/>
          <w:sz w:val="22"/>
          <w:lang w:val="en-CA"/>
        </w:rPr>
        <w:t>I.  RELEVANCE</w:t>
      </w:r>
      <w:r w:rsidRPr="00C60B2F">
        <w:rPr>
          <w:sz w:val="22"/>
          <w:lang w:val="en-CA"/>
        </w:rPr>
        <w:t xml:space="preserve"> - </w:t>
      </w:r>
      <w:r w:rsidRPr="00C60B2F">
        <w:rPr>
          <w:i/>
          <w:sz w:val="22"/>
          <w:lang w:val="en-CA"/>
        </w:rPr>
        <w:t xml:space="preserve">How does the project relate to the main objectives of </w:t>
      </w:r>
      <w:r>
        <w:rPr>
          <w:i/>
          <w:sz w:val="22"/>
          <w:lang w:val="en-CA"/>
        </w:rPr>
        <w:t xml:space="preserve">the </w:t>
      </w:r>
      <w:r w:rsidRPr="0053505F">
        <w:rPr>
          <w:i/>
          <w:sz w:val="22"/>
          <w:lang w:val="en-CA"/>
        </w:rPr>
        <w:t>GEF, UNDP and of Moldova’s environmental and development priorities</w:t>
      </w:r>
      <w:r w:rsidRPr="00C60B2F">
        <w:rPr>
          <w:i/>
          <w:sz w:val="22"/>
          <w:lang w:val="en-CA"/>
        </w:rPr>
        <w:t>?</w:t>
      </w:r>
    </w:p>
    <w:p w14:paraId="427A4FEC"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 xml:space="preserve">Is the project relevant to the </w:t>
      </w:r>
      <w:r>
        <w:rPr>
          <w:sz w:val="22"/>
          <w:lang w:val="en-CA"/>
        </w:rPr>
        <w:t>GEF</w:t>
      </w:r>
      <w:r w:rsidRPr="00C60B2F">
        <w:rPr>
          <w:sz w:val="22"/>
          <w:lang w:val="en-CA"/>
        </w:rPr>
        <w:t xml:space="preserve"> objectives?</w:t>
      </w:r>
    </w:p>
    <w:p w14:paraId="6958EF5E"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Is the project relevant to UNDP objectives?</w:t>
      </w:r>
    </w:p>
    <w:p w14:paraId="13E3D2CD"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 xml:space="preserve">Is the project relevant to </w:t>
      </w:r>
      <w:r>
        <w:rPr>
          <w:sz w:val="22"/>
          <w:lang w:val="en-CA"/>
        </w:rPr>
        <w:t>Moldova</w:t>
      </w:r>
      <w:r w:rsidRPr="00C60B2F">
        <w:rPr>
          <w:sz w:val="22"/>
          <w:lang w:val="en-CA"/>
        </w:rPr>
        <w:t xml:space="preserve">’s </w:t>
      </w:r>
      <w:r>
        <w:rPr>
          <w:sz w:val="22"/>
          <w:lang w:val="en-CA"/>
        </w:rPr>
        <w:t xml:space="preserve">environment and </w:t>
      </w:r>
      <w:r w:rsidRPr="00C60B2F">
        <w:rPr>
          <w:sz w:val="22"/>
          <w:lang w:val="en-CA"/>
        </w:rPr>
        <w:t>development objectives?</w:t>
      </w:r>
    </w:p>
    <w:p w14:paraId="261ABA4C"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Does the project address the needs of target beneficiaries?</w:t>
      </w:r>
    </w:p>
    <w:p w14:paraId="6A69B572"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Is the project internally coherent in its design?</w:t>
      </w:r>
    </w:p>
    <w:p w14:paraId="7462CD53"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How is the project relevant in light of other donors?</w:t>
      </w:r>
    </w:p>
    <w:p w14:paraId="0D6BCD1C" w14:textId="77777777" w:rsidR="000A5B4E" w:rsidRPr="00C60B2F" w:rsidRDefault="000A5B4E" w:rsidP="000A5B4E">
      <w:pPr>
        <w:rPr>
          <w:sz w:val="22"/>
          <w:lang w:val="en-CA"/>
        </w:rPr>
      </w:pPr>
    </w:p>
    <w:p w14:paraId="7BA86AA2" w14:textId="77777777" w:rsidR="000A5B4E" w:rsidRPr="00C60B2F" w:rsidRDefault="000A5B4E" w:rsidP="000A5B4E">
      <w:pPr>
        <w:rPr>
          <w:b/>
          <w:i/>
          <w:sz w:val="22"/>
          <w:lang w:val="en-CA"/>
        </w:rPr>
      </w:pPr>
      <w:r w:rsidRPr="00C60B2F">
        <w:rPr>
          <w:b/>
          <w:i/>
          <w:sz w:val="22"/>
          <w:lang w:val="en-CA"/>
        </w:rPr>
        <w:t>Future directions for similar projects</w:t>
      </w:r>
    </w:p>
    <w:p w14:paraId="070FC34A"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What lessons have been learnt and what changes could have been made to the project in order to strengthen the alignment between the project and the Partners’ priorities and areas of focus?</w:t>
      </w:r>
    </w:p>
    <w:p w14:paraId="02C399DF" w14:textId="77777777" w:rsidR="000A5B4E" w:rsidRPr="00C60B2F" w:rsidRDefault="000A5B4E" w:rsidP="00DC1947">
      <w:pPr>
        <w:widowControl/>
        <w:numPr>
          <w:ilvl w:val="0"/>
          <w:numId w:val="31"/>
        </w:numPr>
        <w:autoSpaceDE/>
        <w:autoSpaceDN/>
        <w:adjustRightInd/>
        <w:rPr>
          <w:sz w:val="22"/>
          <w:lang w:val="en-CA"/>
        </w:rPr>
      </w:pPr>
      <w:r w:rsidRPr="00C60B2F">
        <w:rPr>
          <w:sz w:val="22"/>
          <w:lang w:val="en-CA"/>
        </w:rPr>
        <w:t>How could the project better target and address priorities and development challenges of targeted beneficiaries?</w:t>
      </w:r>
    </w:p>
    <w:p w14:paraId="24F2A507" w14:textId="77777777" w:rsidR="000A5B4E" w:rsidRPr="00C60B2F" w:rsidRDefault="000A5B4E" w:rsidP="000A5B4E">
      <w:pPr>
        <w:rPr>
          <w:sz w:val="22"/>
          <w:lang w:val="en-CA"/>
        </w:rPr>
      </w:pPr>
    </w:p>
    <w:p w14:paraId="0BB1CD0C" w14:textId="77777777" w:rsidR="000A5B4E" w:rsidRPr="00C60B2F" w:rsidRDefault="000A5B4E" w:rsidP="000A5B4E">
      <w:pPr>
        <w:pBdr>
          <w:top w:val="single" w:sz="4" w:space="1" w:color="auto"/>
          <w:bottom w:val="single" w:sz="4" w:space="1" w:color="auto"/>
        </w:pBdr>
        <w:rPr>
          <w:sz w:val="22"/>
          <w:lang w:val="en-CA"/>
        </w:rPr>
      </w:pPr>
      <w:r w:rsidRPr="00C60B2F">
        <w:rPr>
          <w:b/>
          <w:sz w:val="22"/>
          <w:lang w:val="en-CA"/>
        </w:rPr>
        <w:t>II.  EFFECTIVENESS</w:t>
      </w:r>
      <w:r w:rsidRPr="00C60B2F">
        <w:rPr>
          <w:sz w:val="22"/>
          <w:lang w:val="en-CA"/>
        </w:rPr>
        <w:t xml:space="preserve"> – </w:t>
      </w:r>
      <w:r w:rsidRPr="00C60B2F">
        <w:rPr>
          <w:i/>
          <w:sz w:val="22"/>
          <w:lang w:val="en-CA"/>
        </w:rPr>
        <w:t>To what extent have the expected outcomes and objectives of the project been achieved?</w:t>
      </w:r>
    </w:p>
    <w:p w14:paraId="3F140520" w14:textId="77777777" w:rsidR="000A5B4E" w:rsidRPr="00C60B2F" w:rsidRDefault="000A5B4E" w:rsidP="00DC1947">
      <w:pPr>
        <w:widowControl/>
        <w:numPr>
          <w:ilvl w:val="0"/>
          <w:numId w:val="35"/>
        </w:numPr>
        <w:autoSpaceDE/>
        <w:autoSpaceDN/>
        <w:adjustRightInd/>
        <w:rPr>
          <w:sz w:val="22"/>
          <w:lang w:val="en-CA"/>
        </w:rPr>
      </w:pPr>
      <w:r w:rsidRPr="00C60B2F">
        <w:rPr>
          <w:sz w:val="22"/>
          <w:lang w:val="en-CA"/>
        </w:rPr>
        <w:t>How is the Project effective in achieving its expected outcomes?</w:t>
      </w:r>
    </w:p>
    <w:p w14:paraId="7E156633" w14:textId="77777777" w:rsidR="000A5B4E" w:rsidRPr="007D76A1" w:rsidRDefault="000A5B4E" w:rsidP="00DC1947">
      <w:pPr>
        <w:widowControl/>
        <w:numPr>
          <w:ilvl w:val="1"/>
          <w:numId w:val="30"/>
        </w:numPr>
        <w:autoSpaceDE/>
        <w:autoSpaceDN/>
        <w:adjustRightInd/>
        <w:rPr>
          <w:sz w:val="22"/>
          <w:lang w:val="en-CA"/>
        </w:rPr>
      </w:pPr>
      <w:r w:rsidRPr="007D76A1">
        <w:rPr>
          <w:sz w:val="22"/>
          <w:lang w:val="en-CA"/>
        </w:rPr>
        <w:t xml:space="preserve">Reform of environmentally harmful subsidies, green subsidies, as well as environmental charges within the agricultural and energy sectors.  </w:t>
      </w:r>
    </w:p>
    <w:p w14:paraId="15FEC0F8" w14:textId="77777777" w:rsidR="000A5B4E" w:rsidRPr="007D76A1" w:rsidRDefault="000A5B4E" w:rsidP="00DC1947">
      <w:pPr>
        <w:widowControl/>
        <w:numPr>
          <w:ilvl w:val="1"/>
          <w:numId w:val="30"/>
        </w:numPr>
        <w:autoSpaceDE/>
        <w:autoSpaceDN/>
        <w:adjustRightInd/>
        <w:rPr>
          <w:sz w:val="22"/>
          <w:lang w:val="en-CA"/>
        </w:rPr>
      </w:pPr>
      <w:r w:rsidRPr="007D76A1">
        <w:rPr>
          <w:sz w:val="22"/>
          <w:lang w:val="en-CA"/>
        </w:rPr>
        <w:t xml:space="preserve">Capacity development for EFR to build consensus among concerned stakeholders.  </w:t>
      </w:r>
    </w:p>
    <w:p w14:paraId="693DA91B" w14:textId="77777777" w:rsidR="000A5B4E" w:rsidRPr="007D76A1" w:rsidRDefault="000A5B4E" w:rsidP="00DC1947">
      <w:pPr>
        <w:widowControl/>
        <w:numPr>
          <w:ilvl w:val="1"/>
          <w:numId w:val="30"/>
        </w:numPr>
        <w:autoSpaceDE/>
        <w:autoSpaceDN/>
        <w:adjustRightInd/>
        <w:rPr>
          <w:sz w:val="22"/>
          <w:lang w:val="en-CA"/>
        </w:rPr>
      </w:pPr>
      <w:r w:rsidRPr="007D76A1">
        <w:rPr>
          <w:sz w:val="22"/>
          <w:lang w:val="en-CA"/>
        </w:rPr>
        <w:t>Integration of EFR in local and central planning processes</w:t>
      </w:r>
      <w:r>
        <w:rPr>
          <w:sz w:val="22"/>
          <w:lang w:val="en-CA"/>
        </w:rPr>
        <w:t>.</w:t>
      </w:r>
    </w:p>
    <w:p w14:paraId="7D8D67CB" w14:textId="77777777" w:rsidR="000A5B4E" w:rsidRPr="00C60B2F" w:rsidRDefault="000A5B4E" w:rsidP="000A5B4E">
      <w:pPr>
        <w:widowControl/>
        <w:autoSpaceDE/>
        <w:autoSpaceDN/>
        <w:adjustRightInd/>
        <w:rPr>
          <w:sz w:val="22"/>
          <w:lang w:val="en-CA"/>
        </w:rPr>
      </w:pPr>
    </w:p>
    <w:p w14:paraId="34D3C1AB" w14:textId="77777777" w:rsidR="000A5B4E" w:rsidRPr="00C60B2F" w:rsidRDefault="000A5B4E" w:rsidP="00DC1947">
      <w:pPr>
        <w:widowControl/>
        <w:numPr>
          <w:ilvl w:val="0"/>
          <w:numId w:val="35"/>
        </w:numPr>
        <w:autoSpaceDE/>
        <w:autoSpaceDN/>
        <w:adjustRightInd/>
        <w:rPr>
          <w:sz w:val="22"/>
          <w:lang w:val="en-CA"/>
        </w:rPr>
      </w:pPr>
      <w:r w:rsidRPr="00C60B2F">
        <w:rPr>
          <w:sz w:val="22"/>
          <w:lang w:val="en-CA"/>
        </w:rPr>
        <w:t>How is risk and risk mitigation being managed?</w:t>
      </w:r>
    </w:p>
    <w:p w14:paraId="3AB99EC1" w14:textId="77777777" w:rsidR="000A5B4E" w:rsidRPr="00C60B2F" w:rsidRDefault="000A5B4E" w:rsidP="000A5B4E">
      <w:pPr>
        <w:rPr>
          <w:sz w:val="22"/>
          <w:lang w:val="en-CA"/>
        </w:rPr>
      </w:pPr>
    </w:p>
    <w:p w14:paraId="7E0C1F96" w14:textId="77777777" w:rsidR="000A5B4E" w:rsidRPr="00C60B2F" w:rsidRDefault="000A5B4E" w:rsidP="000A5B4E">
      <w:pPr>
        <w:rPr>
          <w:b/>
          <w:i/>
          <w:sz w:val="22"/>
          <w:lang w:val="en-CA"/>
        </w:rPr>
      </w:pPr>
      <w:r w:rsidRPr="00C60B2F">
        <w:rPr>
          <w:b/>
          <w:i/>
          <w:sz w:val="22"/>
          <w:lang w:val="en-CA"/>
        </w:rPr>
        <w:t>Future directions for similar projects</w:t>
      </w:r>
    </w:p>
    <w:p w14:paraId="3224B6A7" w14:textId="77777777" w:rsidR="000A5B4E" w:rsidRPr="00C60B2F" w:rsidRDefault="000A5B4E" w:rsidP="00DC1947">
      <w:pPr>
        <w:widowControl/>
        <w:numPr>
          <w:ilvl w:val="0"/>
          <w:numId w:val="35"/>
        </w:numPr>
        <w:autoSpaceDE/>
        <w:autoSpaceDN/>
        <w:adjustRightInd/>
        <w:rPr>
          <w:sz w:val="22"/>
          <w:lang w:val="en-CA"/>
        </w:rPr>
      </w:pPr>
      <w:r w:rsidRPr="00C60B2F">
        <w:rPr>
          <w:sz w:val="22"/>
          <w:lang w:val="en-CA"/>
        </w:rPr>
        <w:t>What lessons have been learnt for the project to achieve its outcomes?</w:t>
      </w:r>
    </w:p>
    <w:p w14:paraId="457FF391" w14:textId="77777777" w:rsidR="000A5B4E" w:rsidRPr="00C60B2F" w:rsidRDefault="000A5B4E" w:rsidP="00DC1947">
      <w:pPr>
        <w:widowControl/>
        <w:numPr>
          <w:ilvl w:val="0"/>
          <w:numId w:val="35"/>
        </w:numPr>
        <w:autoSpaceDE/>
        <w:autoSpaceDN/>
        <w:adjustRightInd/>
        <w:rPr>
          <w:sz w:val="22"/>
          <w:lang w:val="en-CA"/>
        </w:rPr>
      </w:pPr>
      <w:r w:rsidRPr="00C60B2F">
        <w:rPr>
          <w:sz w:val="22"/>
          <w:lang w:val="en-CA"/>
        </w:rPr>
        <w:t>What changes could have been made (if any) to the design of the project in order to improve the achievement of project’ expected results?</w:t>
      </w:r>
    </w:p>
    <w:p w14:paraId="58AFE5C7" w14:textId="77777777" w:rsidR="000A5B4E" w:rsidRPr="00C60B2F" w:rsidRDefault="000A5B4E" w:rsidP="00DC1947">
      <w:pPr>
        <w:widowControl/>
        <w:numPr>
          <w:ilvl w:val="0"/>
          <w:numId w:val="35"/>
        </w:numPr>
        <w:autoSpaceDE/>
        <w:autoSpaceDN/>
        <w:adjustRightInd/>
        <w:rPr>
          <w:sz w:val="22"/>
          <w:lang w:val="en-CA"/>
        </w:rPr>
      </w:pPr>
      <w:r w:rsidRPr="00C60B2F">
        <w:rPr>
          <w:sz w:val="22"/>
          <w:lang w:val="en-CA"/>
        </w:rPr>
        <w:t>How could the project be more effective in achieving its results?</w:t>
      </w:r>
    </w:p>
    <w:p w14:paraId="6F0EF6E8" w14:textId="77777777" w:rsidR="000A5B4E" w:rsidRPr="00C60B2F" w:rsidRDefault="000A5B4E" w:rsidP="000A5B4E">
      <w:pPr>
        <w:rPr>
          <w:sz w:val="22"/>
          <w:lang w:val="en-CA"/>
        </w:rPr>
      </w:pPr>
    </w:p>
    <w:p w14:paraId="2C230689" w14:textId="77777777" w:rsidR="000A5B4E" w:rsidRPr="00DE1C68" w:rsidRDefault="000A5B4E" w:rsidP="000A5B4E">
      <w:pPr>
        <w:pBdr>
          <w:top w:val="single" w:sz="4" w:space="1" w:color="auto"/>
          <w:bottom w:val="single" w:sz="4" w:space="1" w:color="auto"/>
        </w:pBdr>
        <w:rPr>
          <w:sz w:val="22"/>
          <w:lang w:val="en-CA"/>
        </w:rPr>
      </w:pPr>
      <w:r w:rsidRPr="00DE1C68">
        <w:rPr>
          <w:b/>
          <w:sz w:val="22"/>
          <w:lang w:val="en-CA"/>
        </w:rPr>
        <w:t>III.  EFFICIENCY</w:t>
      </w:r>
      <w:r w:rsidRPr="00DE1C68">
        <w:rPr>
          <w:sz w:val="22"/>
          <w:lang w:val="en-CA"/>
        </w:rPr>
        <w:t xml:space="preserve"> - </w:t>
      </w:r>
      <w:r w:rsidRPr="00DE1C68">
        <w:rPr>
          <w:i/>
          <w:sz w:val="22"/>
          <w:lang w:val="en-CA"/>
        </w:rPr>
        <w:t>Was the project implemented efficiently, in-line with international and national norms and standards?</w:t>
      </w:r>
    </w:p>
    <w:p w14:paraId="56BE911B"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Was adaptive management used or needed to ensure efficient resource use?</w:t>
      </w:r>
    </w:p>
    <w:p w14:paraId="67D1A2C1"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 xml:space="preserve">Did the project </w:t>
      </w:r>
      <w:r w:rsidRPr="00C80A0E">
        <w:rPr>
          <w:i/>
          <w:sz w:val="22"/>
          <w:lang w:val="en-CA"/>
        </w:rPr>
        <w:t>Result and Resources Framework</w:t>
      </w:r>
      <w:r w:rsidRPr="00C80A0E">
        <w:rPr>
          <w:sz w:val="22"/>
          <w:lang w:val="en-CA"/>
        </w:rPr>
        <w:t xml:space="preserve"> and work plans and any changes made to them use as management tools during implementation?</w:t>
      </w:r>
    </w:p>
    <w:p w14:paraId="705DC02B"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Were the accounting and financial systems in place adequate for project management and producing accurate and timely financial information?</w:t>
      </w:r>
    </w:p>
    <w:p w14:paraId="57A22DB4"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Were progress reports produced accurately, timely and respond to reporting requirements including adaptive management changes?</w:t>
      </w:r>
    </w:p>
    <w:p w14:paraId="03C02471"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Was project implementation as cost effective as originally proposed (planned vs. actual)</w:t>
      </w:r>
    </w:p>
    <w:p w14:paraId="7D42B28D"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Was the leveraging of funds (co-financing) happening as planned?</w:t>
      </w:r>
    </w:p>
    <w:p w14:paraId="02C8D193"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Were financial resources utilized efficiently? Could financial resources have been used more efficiently?</w:t>
      </w:r>
    </w:p>
    <w:p w14:paraId="6D1C9BBD"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How was RBM used during project implementation?</w:t>
      </w:r>
    </w:p>
    <w:p w14:paraId="7D8F895C"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Were there an institutionalized or informal feedback or dissemination mechanism to ensure that findings, lessons learned and recommendations pertaining to project formulation and implementation effectiveness were shared among project stakeholders, UNDP Staff and other relevant organizations for ongoing project adjustment and improvement?</w:t>
      </w:r>
    </w:p>
    <w:p w14:paraId="06958E54"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Did the project mainstream gender considerations into its implementation?</w:t>
      </w:r>
    </w:p>
    <w:p w14:paraId="3281E264"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To what extent were partnerships/ linkages between institutions/ organizations encouraged and supported?</w:t>
      </w:r>
    </w:p>
    <w:p w14:paraId="3BD6E0CF" w14:textId="77777777" w:rsidR="000A5B4E" w:rsidRPr="00C80A0E" w:rsidRDefault="000A5B4E" w:rsidP="00DC1947">
      <w:pPr>
        <w:widowControl/>
        <w:numPr>
          <w:ilvl w:val="0"/>
          <w:numId w:val="34"/>
        </w:numPr>
        <w:autoSpaceDE/>
        <w:autoSpaceDN/>
        <w:adjustRightInd/>
        <w:rPr>
          <w:sz w:val="22"/>
          <w:lang w:val="en-CA"/>
        </w:rPr>
      </w:pPr>
      <w:r w:rsidRPr="00C80A0E">
        <w:rPr>
          <w:sz w:val="22"/>
          <w:lang w:val="en-CA"/>
        </w:rPr>
        <w:t>Which partnerships/linkages were facilitated? Which one can be considered sustainable?</w:t>
      </w:r>
    </w:p>
    <w:p w14:paraId="3D7B2DCE" w14:textId="77777777" w:rsidR="000A5B4E" w:rsidRPr="00DE1C68" w:rsidRDefault="000A5B4E" w:rsidP="00DC1947">
      <w:pPr>
        <w:widowControl/>
        <w:numPr>
          <w:ilvl w:val="0"/>
          <w:numId w:val="34"/>
        </w:numPr>
        <w:autoSpaceDE/>
        <w:autoSpaceDN/>
        <w:adjustRightInd/>
        <w:rPr>
          <w:sz w:val="22"/>
          <w:lang w:val="en-CA"/>
        </w:rPr>
      </w:pPr>
      <w:r w:rsidRPr="00DE1C68">
        <w:rPr>
          <w:sz w:val="22"/>
          <w:lang w:val="en-CA"/>
        </w:rPr>
        <w:t>What was the level of efficiency of cooperation and collaboration arrangements? (between local actors, UNDP</w:t>
      </w:r>
      <w:r>
        <w:rPr>
          <w:sz w:val="22"/>
          <w:lang w:val="en-CA"/>
        </w:rPr>
        <w:t>/GEF</w:t>
      </w:r>
      <w:r w:rsidRPr="00DE1C68">
        <w:rPr>
          <w:sz w:val="22"/>
          <w:lang w:val="en-CA"/>
        </w:rPr>
        <w:t xml:space="preserve"> and relevant government entities)</w:t>
      </w:r>
    </w:p>
    <w:p w14:paraId="3999120D" w14:textId="77777777" w:rsidR="000A5B4E" w:rsidRPr="00DE1C68" w:rsidRDefault="000A5B4E" w:rsidP="00DC1947">
      <w:pPr>
        <w:widowControl/>
        <w:numPr>
          <w:ilvl w:val="0"/>
          <w:numId w:val="34"/>
        </w:numPr>
        <w:autoSpaceDE/>
        <w:autoSpaceDN/>
        <w:adjustRightInd/>
        <w:rPr>
          <w:sz w:val="22"/>
          <w:lang w:val="en-CA"/>
        </w:rPr>
      </w:pPr>
      <w:r w:rsidRPr="00DE1C68">
        <w:rPr>
          <w:sz w:val="22"/>
          <w:lang w:val="en-CA"/>
        </w:rPr>
        <w:t>Was an appropriate balance struck between utilization of international expertise as well as local capacity?</w:t>
      </w:r>
    </w:p>
    <w:p w14:paraId="40564AE0" w14:textId="77777777" w:rsidR="000A5B4E" w:rsidRPr="00DE1C68" w:rsidRDefault="000A5B4E" w:rsidP="00DC1947">
      <w:pPr>
        <w:widowControl/>
        <w:numPr>
          <w:ilvl w:val="0"/>
          <w:numId w:val="34"/>
        </w:numPr>
        <w:autoSpaceDE/>
        <w:autoSpaceDN/>
        <w:adjustRightInd/>
        <w:rPr>
          <w:sz w:val="22"/>
          <w:lang w:val="en-CA"/>
        </w:rPr>
      </w:pPr>
      <w:r w:rsidRPr="00DE1C68">
        <w:rPr>
          <w:sz w:val="22"/>
          <w:lang w:val="en-CA"/>
        </w:rPr>
        <w:t>Did the project take into account local capacity in design and implementation of the project?</w:t>
      </w:r>
    </w:p>
    <w:p w14:paraId="49833829" w14:textId="77777777" w:rsidR="000A5B4E" w:rsidRPr="00DE1C68" w:rsidRDefault="000A5B4E" w:rsidP="000A5B4E">
      <w:pPr>
        <w:rPr>
          <w:sz w:val="22"/>
          <w:lang w:val="en-CA"/>
        </w:rPr>
      </w:pPr>
    </w:p>
    <w:p w14:paraId="4A0E4CFE" w14:textId="77777777" w:rsidR="000A5B4E" w:rsidRPr="00DE1C68" w:rsidRDefault="000A5B4E" w:rsidP="000A5B4E">
      <w:pPr>
        <w:rPr>
          <w:b/>
          <w:i/>
          <w:sz w:val="22"/>
          <w:lang w:val="en-CA"/>
        </w:rPr>
      </w:pPr>
      <w:r w:rsidRPr="00DE1C68">
        <w:rPr>
          <w:b/>
          <w:i/>
          <w:sz w:val="22"/>
          <w:lang w:val="en-CA"/>
        </w:rPr>
        <w:t>Future directions for the project</w:t>
      </w:r>
    </w:p>
    <w:p w14:paraId="21AC8CC9" w14:textId="77777777" w:rsidR="000A5B4E" w:rsidRPr="00DE1C68" w:rsidRDefault="000A5B4E" w:rsidP="00DC1947">
      <w:pPr>
        <w:widowControl/>
        <w:numPr>
          <w:ilvl w:val="0"/>
          <w:numId w:val="34"/>
        </w:numPr>
        <w:autoSpaceDE/>
        <w:autoSpaceDN/>
        <w:adjustRightInd/>
        <w:rPr>
          <w:sz w:val="22"/>
          <w:lang w:val="en-CA"/>
        </w:rPr>
      </w:pPr>
      <w:r w:rsidRPr="00DE1C68">
        <w:rPr>
          <w:sz w:val="22"/>
          <w:lang w:val="en-CA"/>
        </w:rPr>
        <w:t>What lessons can be learnt from the project on efficiency?</w:t>
      </w:r>
    </w:p>
    <w:p w14:paraId="73A1ACB2" w14:textId="77777777" w:rsidR="000A5B4E" w:rsidRPr="00DE1C68" w:rsidRDefault="000A5B4E" w:rsidP="00DC1947">
      <w:pPr>
        <w:widowControl/>
        <w:numPr>
          <w:ilvl w:val="0"/>
          <w:numId w:val="34"/>
        </w:numPr>
        <w:autoSpaceDE/>
        <w:autoSpaceDN/>
        <w:adjustRightInd/>
        <w:rPr>
          <w:sz w:val="22"/>
          <w:lang w:val="en-CA"/>
        </w:rPr>
      </w:pPr>
      <w:r w:rsidRPr="00DE1C68">
        <w:rPr>
          <w:sz w:val="22"/>
          <w:lang w:val="en-CA"/>
        </w:rPr>
        <w:t>How could the project have more efficiently addressed its key priorities (in terms of management structures and procedures, partnerships arrangements etc…)?</w:t>
      </w:r>
    </w:p>
    <w:p w14:paraId="1C6B12EA" w14:textId="77777777" w:rsidR="000A5B4E" w:rsidRPr="00DE1C68" w:rsidRDefault="000A5B4E" w:rsidP="000A5B4E">
      <w:pPr>
        <w:rPr>
          <w:sz w:val="22"/>
          <w:lang w:val="en-CA"/>
        </w:rPr>
      </w:pPr>
    </w:p>
    <w:p w14:paraId="52C1645D" w14:textId="77777777" w:rsidR="000A5B4E" w:rsidRPr="008725ED" w:rsidRDefault="000A5B4E" w:rsidP="000A5B4E">
      <w:pPr>
        <w:pBdr>
          <w:top w:val="single" w:sz="4" w:space="1" w:color="auto"/>
          <w:bottom w:val="single" w:sz="4" w:space="1" w:color="auto"/>
        </w:pBdr>
        <w:rPr>
          <w:sz w:val="22"/>
          <w:lang w:val="en-CA"/>
        </w:rPr>
      </w:pPr>
      <w:r w:rsidRPr="008725ED">
        <w:rPr>
          <w:b/>
          <w:sz w:val="22"/>
          <w:lang w:val="en-CA"/>
        </w:rPr>
        <w:t>IV.  IMPACTS</w:t>
      </w:r>
      <w:r w:rsidRPr="008725ED">
        <w:rPr>
          <w:sz w:val="22"/>
          <w:lang w:val="en-CA"/>
        </w:rPr>
        <w:t xml:space="preserve"> - </w:t>
      </w:r>
      <w:r w:rsidRPr="008725ED">
        <w:rPr>
          <w:i/>
          <w:sz w:val="22"/>
          <w:lang w:val="en-CA"/>
        </w:rPr>
        <w:t>Are there indications that the project has contributed to</w:t>
      </w:r>
      <w:r>
        <w:rPr>
          <w:i/>
          <w:sz w:val="22"/>
          <w:lang w:val="en-CA"/>
        </w:rPr>
        <w:t>,</w:t>
      </w:r>
      <w:r w:rsidRPr="008725ED">
        <w:rPr>
          <w:i/>
          <w:sz w:val="22"/>
          <w:lang w:val="en-CA"/>
        </w:rPr>
        <w:t xml:space="preserve"> </w:t>
      </w:r>
      <w:r w:rsidRPr="0053505F">
        <w:rPr>
          <w:i/>
          <w:sz w:val="22"/>
          <w:lang w:val="en-CA"/>
        </w:rPr>
        <w:t>or enabled progress towards reduced environmental stress and/or improved ecological status</w:t>
      </w:r>
      <w:r w:rsidRPr="008725ED">
        <w:rPr>
          <w:i/>
          <w:sz w:val="22"/>
          <w:lang w:val="en-CA"/>
        </w:rPr>
        <w:t>?</w:t>
      </w:r>
    </w:p>
    <w:p w14:paraId="603416F4" w14:textId="77777777" w:rsidR="000A5B4E" w:rsidRPr="00504FE6" w:rsidRDefault="000A5B4E" w:rsidP="00DC1947">
      <w:pPr>
        <w:widowControl/>
        <w:numPr>
          <w:ilvl w:val="0"/>
          <w:numId w:val="32"/>
        </w:numPr>
        <w:autoSpaceDE/>
        <w:autoSpaceDN/>
        <w:adjustRightInd/>
        <w:rPr>
          <w:sz w:val="22"/>
          <w:lang w:val="en-CA"/>
        </w:rPr>
      </w:pPr>
      <w:r w:rsidRPr="00504FE6">
        <w:rPr>
          <w:sz w:val="22"/>
          <w:lang w:val="en-CA"/>
        </w:rPr>
        <w:t xml:space="preserve">Will the project achieve its objective that is to </w:t>
      </w:r>
      <w:r w:rsidRPr="007D76A1">
        <w:rPr>
          <w:sz w:val="22"/>
          <w:lang w:val="en-CA"/>
        </w:rPr>
        <w:t>build capacities for implementing environmental fiscal reforms (EFR) that will produce increased national and global environmental benefits through the adoption of selected subsidies, fees, fines, taxes and other appropriate fiscal instruments?</w:t>
      </w:r>
    </w:p>
    <w:p w14:paraId="4961804E" w14:textId="77777777" w:rsidR="000A5B4E" w:rsidRPr="00DE1C68" w:rsidRDefault="000A5B4E" w:rsidP="000A5B4E">
      <w:pPr>
        <w:rPr>
          <w:sz w:val="22"/>
          <w:lang w:val="en-CA"/>
        </w:rPr>
      </w:pPr>
    </w:p>
    <w:p w14:paraId="3C841F3B" w14:textId="77777777" w:rsidR="000A5B4E" w:rsidRPr="00DE1C68" w:rsidRDefault="000A5B4E" w:rsidP="000A5B4E">
      <w:pPr>
        <w:rPr>
          <w:b/>
          <w:i/>
          <w:sz w:val="22"/>
          <w:lang w:val="en-CA"/>
        </w:rPr>
      </w:pPr>
      <w:r w:rsidRPr="00DE1C68">
        <w:rPr>
          <w:b/>
          <w:i/>
          <w:sz w:val="22"/>
          <w:lang w:val="en-CA"/>
        </w:rPr>
        <w:t>Future directions for the project</w:t>
      </w:r>
    </w:p>
    <w:p w14:paraId="33AEEDAE" w14:textId="77777777" w:rsidR="000A5B4E" w:rsidRPr="00DE1C68" w:rsidRDefault="000A5B4E" w:rsidP="00DC1947">
      <w:pPr>
        <w:widowControl/>
        <w:numPr>
          <w:ilvl w:val="0"/>
          <w:numId w:val="32"/>
        </w:numPr>
        <w:autoSpaceDE/>
        <w:autoSpaceDN/>
        <w:adjustRightInd/>
        <w:rPr>
          <w:sz w:val="22"/>
          <w:lang w:val="en-CA"/>
        </w:rPr>
      </w:pPr>
      <w:r w:rsidRPr="00DE1C68">
        <w:rPr>
          <w:sz w:val="22"/>
          <w:lang w:val="en-CA"/>
        </w:rPr>
        <w:t>How could the project build on its apparent successes and learn from its weaknesses in order to enhance the potential for impact of ongoing and future initiatives?</w:t>
      </w:r>
    </w:p>
    <w:p w14:paraId="58E0FE7B" w14:textId="77777777" w:rsidR="000A5B4E" w:rsidRPr="00DE1C68" w:rsidRDefault="000A5B4E" w:rsidP="000A5B4E">
      <w:pPr>
        <w:rPr>
          <w:sz w:val="22"/>
          <w:lang w:val="en-CA"/>
        </w:rPr>
      </w:pPr>
    </w:p>
    <w:p w14:paraId="4A8F9F75" w14:textId="77777777" w:rsidR="000A5B4E" w:rsidRPr="00F844F8" w:rsidRDefault="000A5B4E" w:rsidP="000A5B4E">
      <w:pPr>
        <w:pBdr>
          <w:top w:val="single" w:sz="4" w:space="1" w:color="auto"/>
          <w:bottom w:val="single" w:sz="4" w:space="1" w:color="auto"/>
        </w:pBdr>
        <w:rPr>
          <w:sz w:val="22"/>
          <w:lang w:val="en-CA"/>
        </w:rPr>
      </w:pPr>
      <w:r w:rsidRPr="00F844F8">
        <w:rPr>
          <w:b/>
          <w:sz w:val="22"/>
          <w:lang w:val="en-CA"/>
        </w:rPr>
        <w:t>V.  SUSTAINABILITY</w:t>
      </w:r>
      <w:r w:rsidRPr="00F844F8">
        <w:rPr>
          <w:sz w:val="22"/>
          <w:lang w:val="en-CA"/>
        </w:rPr>
        <w:t xml:space="preserve"> - </w:t>
      </w:r>
      <w:r w:rsidRPr="00F844F8">
        <w:rPr>
          <w:i/>
          <w:sz w:val="22"/>
          <w:lang w:val="en-CA"/>
        </w:rPr>
        <w:t>To what extent are there financial, institutional, social-economic, and/or environmental risks to sustaining long-term project results?</w:t>
      </w:r>
    </w:p>
    <w:p w14:paraId="02E51F21"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Were sustainability issues adequately integrated in project formulation?</w:t>
      </w:r>
    </w:p>
    <w:p w14:paraId="2AE7DD60"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Did the project adequately address financial and economic sustainability issues?</w:t>
      </w:r>
    </w:p>
    <w:p w14:paraId="1C24820C"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 xml:space="preserve">Is there evidence that project partners will continue their activities beyond project support?  </w:t>
      </w:r>
    </w:p>
    <w:p w14:paraId="3F9DCC7E"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Were laws, policies and frameworks being addressed through the project, in order to address sustainability of key initiatives and reforms?</w:t>
      </w:r>
    </w:p>
    <w:p w14:paraId="23BAD837"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 xml:space="preserve">Is the capacity in place at the national and local levels adequate to ensure sustainability of results achieved to date? </w:t>
      </w:r>
    </w:p>
    <w:p w14:paraId="520572AC"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Did the project contribute to key building blocks for social and political sustainability?</w:t>
      </w:r>
    </w:p>
    <w:p w14:paraId="360D0F45"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 xml:space="preserve">Were project activities and results being replicated elsewhere and/or scaled up? </w:t>
      </w:r>
    </w:p>
    <w:p w14:paraId="2E0F9B4A"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What are the main challenges that may hinder sustainability of efforts?</w:t>
      </w:r>
    </w:p>
    <w:p w14:paraId="27C53BD4" w14:textId="77777777" w:rsidR="000A5B4E" w:rsidRPr="008725ED" w:rsidRDefault="000A5B4E" w:rsidP="000A5B4E">
      <w:pPr>
        <w:rPr>
          <w:sz w:val="22"/>
          <w:lang w:val="en-CA"/>
        </w:rPr>
      </w:pPr>
    </w:p>
    <w:p w14:paraId="5494F49A" w14:textId="77777777" w:rsidR="000A5B4E" w:rsidRPr="008725ED" w:rsidRDefault="000A5B4E" w:rsidP="000A5B4E">
      <w:pPr>
        <w:rPr>
          <w:b/>
          <w:i/>
          <w:sz w:val="22"/>
          <w:lang w:val="en-CA"/>
        </w:rPr>
      </w:pPr>
      <w:r w:rsidRPr="008725ED">
        <w:rPr>
          <w:b/>
          <w:i/>
          <w:sz w:val="22"/>
          <w:lang w:val="en-CA"/>
        </w:rPr>
        <w:t>Future directions for the project</w:t>
      </w:r>
    </w:p>
    <w:p w14:paraId="7178A7D0" w14:textId="77777777" w:rsidR="000A5B4E" w:rsidRPr="008725ED" w:rsidRDefault="000A5B4E" w:rsidP="00DC1947">
      <w:pPr>
        <w:widowControl/>
        <w:numPr>
          <w:ilvl w:val="0"/>
          <w:numId w:val="33"/>
        </w:numPr>
        <w:autoSpaceDE/>
        <w:autoSpaceDN/>
        <w:adjustRightInd/>
        <w:rPr>
          <w:sz w:val="22"/>
          <w:lang w:val="en-CA"/>
        </w:rPr>
      </w:pPr>
      <w:r w:rsidRPr="008725ED">
        <w:rPr>
          <w:sz w:val="22"/>
          <w:lang w:val="en-CA"/>
        </w:rPr>
        <w:t>Which areas/arrangements under the project show the strongest potential for lasting long-term results?</w:t>
      </w:r>
    </w:p>
    <w:p w14:paraId="3CCAB7AC" w14:textId="77777777" w:rsidR="000A5B4E" w:rsidRPr="0092632F" w:rsidRDefault="000A5B4E" w:rsidP="00DC1947">
      <w:pPr>
        <w:widowControl/>
        <w:numPr>
          <w:ilvl w:val="0"/>
          <w:numId w:val="33"/>
        </w:numPr>
        <w:autoSpaceDE/>
        <w:autoSpaceDN/>
        <w:adjustRightInd/>
        <w:rPr>
          <w:sz w:val="22"/>
          <w:szCs w:val="22"/>
        </w:rPr>
      </w:pPr>
      <w:r w:rsidRPr="008725ED">
        <w:rPr>
          <w:sz w:val="22"/>
          <w:lang w:val="en-CA"/>
        </w:rPr>
        <w:t>What are the key challenges and obstacles to the sustainability of results of the project initiatives that must be directly and quickly addressed?</w:t>
      </w:r>
    </w:p>
    <w:p w14:paraId="35724397" w14:textId="77777777" w:rsidR="007B0DF0" w:rsidRDefault="007B0DF0" w:rsidP="00B47E75">
      <w:pPr>
        <w:widowControl/>
        <w:autoSpaceDE/>
        <w:autoSpaceDN/>
        <w:adjustRightInd/>
        <w:rPr>
          <w:sz w:val="22"/>
          <w:szCs w:val="22"/>
          <w:lang w:val="en-CA"/>
        </w:rPr>
      </w:pPr>
    </w:p>
    <w:p w14:paraId="25359F46" w14:textId="77777777" w:rsidR="007B0DF0" w:rsidRDefault="007B0DF0" w:rsidP="00B47E75">
      <w:pPr>
        <w:widowControl/>
        <w:autoSpaceDE/>
        <w:autoSpaceDN/>
        <w:adjustRightInd/>
        <w:rPr>
          <w:sz w:val="22"/>
          <w:szCs w:val="22"/>
          <w:lang w:val="en-CA"/>
        </w:rPr>
        <w:sectPr w:rsidR="007B0DF0" w:rsidSect="00BC05F1">
          <w:footerReference w:type="even" r:id="rId35"/>
          <w:pgSz w:w="11900" w:h="16820"/>
          <w:pgMar w:top="1134" w:right="1134" w:bottom="1134" w:left="1134" w:header="1134" w:footer="851" w:gutter="0"/>
          <w:cols w:space="720"/>
          <w:noEndnote/>
        </w:sectPr>
      </w:pPr>
    </w:p>
    <w:p w14:paraId="1EE8EB5E" w14:textId="77777777" w:rsidR="00B47E75" w:rsidRDefault="007319C0" w:rsidP="00B47E75">
      <w:pPr>
        <w:pStyle w:val="Heading1"/>
        <w:spacing w:before="120" w:after="120"/>
        <w:rPr>
          <w:sz w:val="24"/>
          <w:szCs w:val="24"/>
        </w:rPr>
      </w:pPr>
      <w:bookmarkStart w:id="161" w:name="_Toc308103274"/>
      <w:r>
        <w:rPr>
          <w:sz w:val="24"/>
          <w:szCs w:val="24"/>
        </w:rPr>
        <w:t>Annex 6</w:t>
      </w:r>
      <w:r w:rsidR="00B47E75" w:rsidRPr="00FB6D4E">
        <w:rPr>
          <w:sz w:val="24"/>
          <w:szCs w:val="24"/>
        </w:rPr>
        <w:t>:  Evaluation Mission Agenda</w:t>
      </w:r>
      <w:bookmarkEnd w:id="161"/>
    </w:p>
    <w:p w14:paraId="06C009AA" w14:textId="4B48CE68" w:rsidR="00B23AB4" w:rsidRDefault="00B23AB4" w:rsidP="00B23AB4">
      <w:pPr>
        <w:jc w:val="center"/>
        <w:rPr>
          <w:b/>
          <w:sz w:val="22"/>
          <w:szCs w:val="22"/>
          <w:lang w:val="en-CA"/>
        </w:rPr>
      </w:pPr>
      <w:r w:rsidRPr="00C12D83">
        <w:rPr>
          <w:b/>
          <w:sz w:val="22"/>
          <w:szCs w:val="22"/>
        </w:rPr>
        <w:t xml:space="preserve">AGENDA </w:t>
      </w:r>
      <w:r w:rsidRPr="000334D0">
        <w:rPr>
          <w:b/>
          <w:sz w:val="22"/>
          <w:szCs w:val="22"/>
          <w:lang w:val="en-CA"/>
        </w:rPr>
        <w:t>of the Environmental Fiscal Reform Project</w:t>
      </w:r>
      <w:r w:rsidRPr="00C12D83">
        <w:rPr>
          <w:b/>
          <w:sz w:val="22"/>
          <w:szCs w:val="22"/>
          <w:lang w:val="en-CA"/>
        </w:rPr>
        <w:t xml:space="preserve"> </w:t>
      </w:r>
      <w:r>
        <w:rPr>
          <w:b/>
          <w:sz w:val="22"/>
          <w:szCs w:val="22"/>
          <w:lang w:val="en-CA"/>
        </w:rPr>
        <w:t>E</w:t>
      </w:r>
      <w:r w:rsidRPr="000334D0">
        <w:rPr>
          <w:b/>
          <w:sz w:val="22"/>
          <w:szCs w:val="22"/>
          <w:lang w:val="en-CA"/>
        </w:rPr>
        <w:t>valuation Mission</w:t>
      </w:r>
    </w:p>
    <w:p w14:paraId="6AD51313" w14:textId="219411CD" w:rsidR="00B23AB4" w:rsidRPr="00B23AB4" w:rsidRDefault="00B23AB4" w:rsidP="00B23AB4">
      <w:pPr>
        <w:jc w:val="center"/>
        <w:rPr>
          <w:b/>
          <w:sz w:val="22"/>
          <w:szCs w:val="22"/>
          <w:lang w:val="en-CA"/>
        </w:rPr>
      </w:pPr>
      <w:r>
        <w:rPr>
          <w:b/>
          <w:sz w:val="22"/>
          <w:szCs w:val="22"/>
          <w:lang w:val="en-CA"/>
        </w:rPr>
        <w:t>31</w:t>
      </w:r>
      <w:r w:rsidRPr="00C12D83">
        <w:rPr>
          <w:b/>
          <w:sz w:val="22"/>
          <w:szCs w:val="22"/>
          <w:lang w:val="en-CA"/>
        </w:rPr>
        <w:t xml:space="preserve"> August</w:t>
      </w:r>
      <w:r>
        <w:rPr>
          <w:b/>
          <w:sz w:val="22"/>
          <w:szCs w:val="22"/>
          <w:lang w:val="en-CA"/>
        </w:rPr>
        <w:t xml:space="preserve"> – 6 September</w:t>
      </w:r>
      <w:r w:rsidRPr="00C12D83">
        <w:rPr>
          <w:b/>
          <w:sz w:val="22"/>
          <w:szCs w:val="22"/>
          <w:lang w:val="en-CA"/>
        </w:rPr>
        <w:t xml:space="preserve"> 201</w:t>
      </w:r>
      <w:r>
        <w:rPr>
          <w:b/>
          <w:sz w:val="22"/>
          <w:szCs w:val="22"/>
          <w:lang w:val="en-CA"/>
        </w:rPr>
        <w:t>5</w:t>
      </w:r>
      <w:r w:rsidRPr="00C12D83">
        <w:rPr>
          <w:b/>
          <w:sz w:val="22"/>
          <w:szCs w:val="22"/>
          <w:lang w:val="en-CA"/>
        </w:rPr>
        <w:t>, Chisinau, Republic of Moldova</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3"/>
        <w:gridCol w:w="2488"/>
        <w:gridCol w:w="3119"/>
        <w:gridCol w:w="2189"/>
        <w:gridCol w:w="1922"/>
      </w:tblGrid>
      <w:tr w:rsidR="006E3D8D" w:rsidRPr="00DC380E" w14:paraId="19BCC319" w14:textId="77777777" w:rsidTr="005F74EF">
        <w:trPr>
          <w:trHeight w:val="449"/>
          <w:tblHeader/>
        </w:trPr>
        <w:tc>
          <w:tcPr>
            <w:tcW w:w="1537" w:type="dxa"/>
            <w:tcBorders>
              <w:bottom w:val="single" w:sz="4" w:space="0" w:color="auto"/>
            </w:tcBorders>
            <w:shd w:val="clear" w:color="auto" w:fill="99CCFF"/>
            <w:noWrap/>
            <w:vAlign w:val="center"/>
          </w:tcPr>
          <w:p w14:paraId="0B49A3A3" w14:textId="77777777" w:rsidR="00B23AB4" w:rsidRPr="00DC380E" w:rsidRDefault="00B23AB4" w:rsidP="00B23AB4">
            <w:pPr>
              <w:jc w:val="center"/>
              <w:rPr>
                <w:b/>
                <w:bCs/>
                <w:color w:val="0000FF"/>
                <w:sz w:val="22"/>
                <w:szCs w:val="22"/>
              </w:rPr>
            </w:pPr>
            <w:r w:rsidRPr="00DC380E">
              <w:rPr>
                <w:b/>
                <w:bCs/>
                <w:color w:val="0000FF"/>
                <w:sz w:val="22"/>
                <w:szCs w:val="22"/>
              </w:rPr>
              <w:t>Time</w:t>
            </w:r>
          </w:p>
        </w:tc>
        <w:tc>
          <w:tcPr>
            <w:tcW w:w="3533" w:type="dxa"/>
            <w:tcBorders>
              <w:bottom w:val="single" w:sz="4" w:space="0" w:color="auto"/>
            </w:tcBorders>
            <w:shd w:val="clear" w:color="auto" w:fill="99CCFF"/>
            <w:noWrap/>
            <w:vAlign w:val="center"/>
          </w:tcPr>
          <w:p w14:paraId="23174EB4" w14:textId="3B08C3C4" w:rsidR="00B23AB4" w:rsidRPr="00DC380E" w:rsidRDefault="00B23AB4" w:rsidP="00B23AB4">
            <w:pPr>
              <w:jc w:val="center"/>
              <w:rPr>
                <w:b/>
                <w:bCs/>
                <w:color w:val="0000FF"/>
                <w:sz w:val="22"/>
                <w:szCs w:val="22"/>
              </w:rPr>
            </w:pPr>
            <w:r w:rsidRPr="00DC380E">
              <w:rPr>
                <w:b/>
                <w:bCs/>
                <w:color w:val="0000FF"/>
                <w:sz w:val="22"/>
                <w:szCs w:val="22"/>
              </w:rPr>
              <w:t>Institution/Organization/</w:t>
            </w:r>
            <w:r w:rsidR="005F74EF">
              <w:rPr>
                <w:b/>
                <w:bCs/>
                <w:color w:val="0000FF"/>
                <w:sz w:val="22"/>
                <w:szCs w:val="22"/>
              </w:rPr>
              <w:t xml:space="preserve"> </w:t>
            </w:r>
            <w:r w:rsidRPr="00DC380E">
              <w:rPr>
                <w:b/>
                <w:bCs/>
                <w:color w:val="0000FF"/>
                <w:sz w:val="22"/>
                <w:szCs w:val="22"/>
              </w:rPr>
              <w:t>Participants</w:t>
            </w:r>
          </w:p>
        </w:tc>
        <w:tc>
          <w:tcPr>
            <w:tcW w:w="2488" w:type="dxa"/>
            <w:tcBorders>
              <w:bottom w:val="single" w:sz="4" w:space="0" w:color="auto"/>
            </w:tcBorders>
            <w:shd w:val="clear" w:color="auto" w:fill="99CCFF"/>
            <w:noWrap/>
            <w:vAlign w:val="center"/>
          </w:tcPr>
          <w:p w14:paraId="5033027E" w14:textId="77777777" w:rsidR="00B23AB4" w:rsidRPr="00DC380E" w:rsidRDefault="00B23AB4" w:rsidP="00B23AB4">
            <w:pPr>
              <w:jc w:val="center"/>
              <w:rPr>
                <w:b/>
                <w:bCs/>
                <w:color w:val="0000FF"/>
                <w:sz w:val="22"/>
                <w:szCs w:val="22"/>
              </w:rPr>
            </w:pPr>
            <w:r w:rsidRPr="00DC380E">
              <w:rPr>
                <w:b/>
                <w:bCs/>
                <w:color w:val="0000FF"/>
                <w:sz w:val="22"/>
                <w:szCs w:val="22"/>
              </w:rPr>
              <w:t>Participants</w:t>
            </w:r>
          </w:p>
        </w:tc>
        <w:tc>
          <w:tcPr>
            <w:tcW w:w="3119" w:type="dxa"/>
            <w:tcBorders>
              <w:bottom w:val="single" w:sz="4" w:space="0" w:color="auto"/>
            </w:tcBorders>
            <w:shd w:val="clear" w:color="auto" w:fill="99CCFF"/>
            <w:noWrap/>
            <w:vAlign w:val="center"/>
          </w:tcPr>
          <w:p w14:paraId="4FF370F7" w14:textId="77777777" w:rsidR="00B23AB4" w:rsidRPr="00DC380E" w:rsidRDefault="00B23AB4" w:rsidP="00B23AB4">
            <w:pPr>
              <w:jc w:val="center"/>
              <w:rPr>
                <w:b/>
                <w:bCs/>
                <w:color w:val="0000FF"/>
                <w:sz w:val="22"/>
                <w:szCs w:val="22"/>
              </w:rPr>
            </w:pPr>
            <w:r w:rsidRPr="00DC380E">
              <w:rPr>
                <w:b/>
                <w:bCs/>
                <w:color w:val="0000FF"/>
                <w:sz w:val="22"/>
                <w:szCs w:val="22"/>
              </w:rPr>
              <w:t>Details, Comments</w:t>
            </w:r>
          </w:p>
        </w:tc>
        <w:tc>
          <w:tcPr>
            <w:tcW w:w="2189" w:type="dxa"/>
            <w:tcBorders>
              <w:bottom w:val="single" w:sz="4" w:space="0" w:color="auto"/>
            </w:tcBorders>
            <w:shd w:val="clear" w:color="auto" w:fill="99CCFF"/>
            <w:vAlign w:val="center"/>
          </w:tcPr>
          <w:p w14:paraId="4941A1BA" w14:textId="77777777" w:rsidR="00B23AB4" w:rsidRPr="00DC380E" w:rsidRDefault="00B23AB4" w:rsidP="00B23AB4">
            <w:pPr>
              <w:jc w:val="center"/>
              <w:rPr>
                <w:b/>
                <w:bCs/>
                <w:color w:val="0000FF"/>
                <w:sz w:val="22"/>
                <w:szCs w:val="22"/>
              </w:rPr>
            </w:pPr>
            <w:r w:rsidRPr="00DC380E">
              <w:rPr>
                <w:b/>
                <w:bCs/>
                <w:color w:val="0000FF"/>
                <w:sz w:val="22"/>
                <w:szCs w:val="22"/>
              </w:rPr>
              <w:t>Venue, address</w:t>
            </w:r>
          </w:p>
        </w:tc>
        <w:tc>
          <w:tcPr>
            <w:tcW w:w="1922" w:type="dxa"/>
            <w:tcBorders>
              <w:bottom w:val="single" w:sz="4" w:space="0" w:color="auto"/>
            </w:tcBorders>
            <w:shd w:val="clear" w:color="auto" w:fill="99CCFF"/>
            <w:vAlign w:val="center"/>
          </w:tcPr>
          <w:p w14:paraId="75E628EB" w14:textId="77777777" w:rsidR="00B23AB4" w:rsidRPr="00DC380E" w:rsidRDefault="00B23AB4" w:rsidP="00B23AB4">
            <w:pPr>
              <w:jc w:val="center"/>
              <w:rPr>
                <w:b/>
                <w:bCs/>
                <w:color w:val="0000FF"/>
                <w:sz w:val="22"/>
                <w:szCs w:val="22"/>
              </w:rPr>
            </w:pPr>
            <w:r w:rsidRPr="00DC380E">
              <w:rPr>
                <w:b/>
                <w:bCs/>
                <w:color w:val="0000FF"/>
                <w:sz w:val="22"/>
                <w:szCs w:val="22"/>
              </w:rPr>
              <w:t>Status</w:t>
            </w:r>
          </w:p>
        </w:tc>
      </w:tr>
      <w:tr w:rsidR="00B23AB4" w:rsidRPr="00DC380E" w14:paraId="7116AEE4" w14:textId="77777777" w:rsidTr="00DC380E">
        <w:trPr>
          <w:trHeight w:val="255"/>
        </w:trPr>
        <w:tc>
          <w:tcPr>
            <w:tcW w:w="14788" w:type="dxa"/>
            <w:gridSpan w:val="6"/>
            <w:shd w:val="clear" w:color="auto" w:fill="D9D9D9" w:themeFill="background1" w:themeFillShade="D9"/>
            <w:noWrap/>
          </w:tcPr>
          <w:p w14:paraId="79955624" w14:textId="77777777" w:rsidR="00B23AB4" w:rsidRPr="00DC380E" w:rsidRDefault="00B23AB4" w:rsidP="00B23AB4">
            <w:pPr>
              <w:spacing w:before="40"/>
              <w:rPr>
                <w:b/>
                <w:color w:val="000080"/>
                <w:sz w:val="22"/>
                <w:szCs w:val="22"/>
              </w:rPr>
            </w:pPr>
            <w:r w:rsidRPr="00DC380E">
              <w:rPr>
                <w:b/>
                <w:color w:val="000080"/>
                <w:sz w:val="22"/>
                <w:szCs w:val="22"/>
              </w:rPr>
              <w:t>Monday, 31 August, 2015</w:t>
            </w:r>
          </w:p>
        </w:tc>
      </w:tr>
      <w:tr w:rsidR="006E3D8D" w:rsidRPr="00DC380E" w14:paraId="74877184" w14:textId="77777777" w:rsidTr="005F74EF">
        <w:tc>
          <w:tcPr>
            <w:tcW w:w="1537" w:type="dxa"/>
            <w:tcBorders>
              <w:bottom w:val="single" w:sz="4" w:space="0" w:color="auto"/>
            </w:tcBorders>
            <w:noWrap/>
          </w:tcPr>
          <w:p w14:paraId="0E405EF0" w14:textId="77777777" w:rsidR="00B23AB4" w:rsidRPr="00DC380E" w:rsidRDefault="00B23AB4" w:rsidP="00B23AB4">
            <w:pPr>
              <w:spacing w:before="40"/>
              <w:rPr>
                <w:sz w:val="22"/>
                <w:szCs w:val="22"/>
              </w:rPr>
            </w:pPr>
            <w:r w:rsidRPr="00DC380E">
              <w:rPr>
                <w:sz w:val="22"/>
                <w:szCs w:val="22"/>
              </w:rPr>
              <w:t>17.30 – 18.30</w:t>
            </w:r>
          </w:p>
        </w:tc>
        <w:tc>
          <w:tcPr>
            <w:tcW w:w="3533" w:type="dxa"/>
            <w:tcBorders>
              <w:bottom w:val="single" w:sz="4" w:space="0" w:color="auto"/>
            </w:tcBorders>
            <w:noWrap/>
            <w:vAlign w:val="center"/>
          </w:tcPr>
          <w:p w14:paraId="5686C546" w14:textId="77777777" w:rsidR="00B23AB4" w:rsidRPr="00DC380E" w:rsidRDefault="00B23AB4" w:rsidP="00B23AB4">
            <w:pPr>
              <w:rPr>
                <w:sz w:val="22"/>
                <w:szCs w:val="22"/>
                <w:lang w:val="en-GB" w:eastAsia="ro-RO"/>
              </w:rPr>
            </w:pPr>
            <w:r w:rsidRPr="00DC380E">
              <w:rPr>
                <w:sz w:val="22"/>
                <w:szCs w:val="22"/>
              </w:rPr>
              <w:t>Arrival at Chisinau International Airport</w:t>
            </w:r>
          </w:p>
        </w:tc>
        <w:tc>
          <w:tcPr>
            <w:tcW w:w="2488" w:type="dxa"/>
            <w:tcBorders>
              <w:bottom w:val="single" w:sz="4" w:space="0" w:color="auto"/>
            </w:tcBorders>
            <w:noWrap/>
            <w:vAlign w:val="center"/>
          </w:tcPr>
          <w:p w14:paraId="0B4AEF17" w14:textId="77777777" w:rsidR="00B23AB4" w:rsidRPr="00DC380E" w:rsidRDefault="00B23AB4" w:rsidP="00B23AB4">
            <w:pPr>
              <w:rPr>
                <w:sz w:val="22"/>
                <w:szCs w:val="22"/>
              </w:rPr>
            </w:pPr>
            <w:r w:rsidRPr="00DC380E">
              <w:rPr>
                <w:sz w:val="22"/>
                <w:szCs w:val="22"/>
              </w:rPr>
              <w:t>Mihai Roscovan, EFR Project manager</w:t>
            </w:r>
          </w:p>
          <w:p w14:paraId="54C304F8" w14:textId="77777777" w:rsidR="00B23AB4" w:rsidRPr="00DC380E" w:rsidRDefault="00B23AB4" w:rsidP="00B23AB4">
            <w:pPr>
              <w:rPr>
                <w:sz w:val="22"/>
                <w:szCs w:val="22"/>
              </w:rPr>
            </w:pPr>
            <w:r w:rsidRPr="00DC380E">
              <w:rPr>
                <w:sz w:val="22"/>
                <w:szCs w:val="22"/>
              </w:rPr>
              <w:t>Victor Cotruta, National evaluator</w:t>
            </w:r>
          </w:p>
        </w:tc>
        <w:tc>
          <w:tcPr>
            <w:tcW w:w="3119" w:type="dxa"/>
            <w:tcBorders>
              <w:bottom w:val="single" w:sz="4" w:space="0" w:color="auto"/>
            </w:tcBorders>
            <w:noWrap/>
            <w:vAlign w:val="center"/>
          </w:tcPr>
          <w:p w14:paraId="58A28019" w14:textId="77777777" w:rsidR="00B23AB4" w:rsidRPr="00DC380E" w:rsidRDefault="00B23AB4" w:rsidP="00B23AB4">
            <w:pPr>
              <w:rPr>
                <w:sz w:val="22"/>
                <w:szCs w:val="22"/>
                <w:lang w:eastAsia="ro-RO"/>
              </w:rPr>
            </w:pPr>
            <w:r w:rsidRPr="00DC380E">
              <w:rPr>
                <w:sz w:val="22"/>
                <w:szCs w:val="22"/>
                <w:lang w:eastAsia="ro-RO"/>
              </w:rPr>
              <w:t xml:space="preserve">Jolly Allon Hotel </w:t>
            </w:r>
          </w:p>
        </w:tc>
        <w:tc>
          <w:tcPr>
            <w:tcW w:w="2189" w:type="dxa"/>
            <w:tcBorders>
              <w:bottom w:val="single" w:sz="4" w:space="0" w:color="auto"/>
            </w:tcBorders>
            <w:vAlign w:val="center"/>
          </w:tcPr>
          <w:p w14:paraId="6D192F66" w14:textId="77777777" w:rsidR="00B23AB4" w:rsidRPr="00DC380E" w:rsidRDefault="00B23AB4" w:rsidP="00B23AB4">
            <w:pPr>
              <w:rPr>
                <w:sz w:val="22"/>
                <w:szCs w:val="22"/>
                <w:lang w:val="en-GB" w:eastAsia="ro-RO"/>
              </w:rPr>
            </w:pPr>
            <w:r w:rsidRPr="00DC380E">
              <w:rPr>
                <w:sz w:val="22"/>
                <w:szCs w:val="22"/>
              </w:rPr>
              <w:t>Maria Cebotari, 37</w:t>
            </w:r>
          </w:p>
        </w:tc>
        <w:tc>
          <w:tcPr>
            <w:tcW w:w="1922" w:type="dxa"/>
            <w:tcBorders>
              <w:bottom w:val="single" w:sz="4" w:space="0" w:color="auto"/>
            </w:tcBorders>
            <w:vAlign w:val="center"/>
          </w:tcPr>
          <w:p w14:paraId="7A3C409B" w14:textId="77777777" w:rsidR="00B23AB4" w:rsidRPr="00DC380E" w:rsidRDefault="00B23AB4" w:rsidP="00B23AB4">
            <w:pPr>
              <w:rPr>
                <w:sz w:val="22"/>
                <w:szCs w:val="22"/>
                <w:lang w:val="en-GB" w:eastAsia="ro-RO"/>
              </w:rPr>
            </w:pPr>
            <w:r w:rsidRPr="00DC380E">
              <w:rPr>
                <w:sz w:val="22"/>
                <w:szCs w:val="22"/>
              </w:rPr>
              <w:t>Arrival at Chisinau International Airport</w:t>
            </w:r>
          </w:p>
        </w:tc>
      </w:tr>
      <w:tr w:rsidR="006E3D8D" w:rsidRPr="00DC380E" w14:paraId="7505A996" w14:textId="77777777" w:rsidTr="005F74EF">
        <w:tc>
          <w:tcPr>
            <w:tcW w:w="14788" w:type="dxa"/>
            <w:gridSpan w:val="6"/>
            <w:shd w:val="clear" w:color="auto" w:fill="D9D9D9" w:themeFill="background1" w:themeFillShade="D9"/>
            <w:noWrap/>
          </w:tcPr>
          <w:p w14:paraId="1F64B1CC" w14:textId="6CE7AD42" w:rsidR="006E3D8D" w:rsidRPr="00DC380E" w:rsidRDefault="006E3D8D" w:rsidP="00B23AB4">
            <w:pPr>
              <w:spacing w:before="40"/>
              <w:rPr>
                <w:b/>
                <w:sz w:val="22"/>
                <w:szCs w:val="22"/>
              </w:rPr>
            </w:pPr>
            <w:r w:rsidRPr="00DC380E">
              <w:rPr>
                <w:b/>
                <w:color w:val="000080"/>
                <w:sz w:val="22"/>
                <w:szCs w:val="22"/>
              </w:rPr>
              <w:t>Tuesday, 1 September, 2015</w:t>
            </w:r>
          </w:p>
        </w:tc>
      </w:tr>
      <w:tr w:rsidR="006E3D8D" w:rsidRPr="00DC380E" w14:paraId="33A79628" w14:textId="77777777" w:rsidTr="005F74EF">
        <w:tc>
          <w:tcPr>
            <w:tcW w:w="1537" w:type="dxa"/>
            <w:noWrap/>
          </w:tcPr>
          <w:p w14:paraId="7547CE75" w14:textId="77777777" w:rsidR="00B23AB4" w:rsidRPr="00DC380E" w:rsidRDefault="00B23AB4" w:rsidP="00B23AB4">
            <w:pPr>
              <w:spacing w:before="40"/>
              <w:rPr>
                <w:sz w:val="22"/>
                <w:szCs w:val="22"/>
              </w:rPr>
            </w:pPr>
            <w:r w:rsidRPr="00DC380E">
              <w:rPr>
                <w:sz w:val="22"/>
                <w:szCs w:val="22"/>
              </w:rPr>
              <w:t>08.30 – 09.20</w:t>
            </w:r>
          </w:p>
        </w:tc>
        <w:tc>
          <w:tcPr>
            <w:tcW w:w="3533" w:type="dxa"/>
            <w:noWrap/>
          </w:tcPr>
          <w:p w14:paraId="5EC85F27" w14:textId="77777777" w:rsidR="00B23AB4" w:rsidRPr="00DC380E" w:rsidRDefault="00B23AB4" w:rsidP="00B23AB4">
            <w:pPr>
              <w:spacing w:before="40"/>
              <w:rPr>
                <w:b/>
                <w:sz w:val="22"/>
                <w:szCs w:val="22"/>
              </w:rPr>
            </w:pPr>
            <w:r w:rsidRPr="00DC380E">
              <w:rPr>
                <w:b/>
                <w:sz w:val="22"/>
                <w:szCs w:val="22"/>
              </w:rPr>
              <w:t>EFR Project’s Office</w:t>
            </w:r>
          </w:p>
          <w:p w14:paraId="47F756B9" w14:textId="77777777" w:rsidR="00B23AB4" w:rsidRPr="00DC380E" w:rsidRDefault="00B23AB4" w:rsidP="00B23AB4">
            <w:pPr>
              <w:spacing w:before="40"/>
              <w:rPr>
                <w:sz w:val="22"/>
                <w:szCs w:val="22"/>
              </w:rPr>
            </w:pPr>
            <w:r w:rsidRPr="00DC380E">
              <w:rPr>
                <w:sz w:val="22"/>
                <w:szCs w:val="22"/>
              </w:rPr>
              <w:t>Kick-off Meeting: Project Team</w:t>
            </w:r>
          </w:p>
        </w:tc>
        <w:tc>
          <w:tcPr>
            <w:tcW w:w="2488" w:type="dxa"/>
            <w:noWrap/>
          </w:tcPr>
          <w:p w14:paraId="76C6E533" w14:textId="77777777" w:rsidR="00B23AB4" w:rsidRPr="00DC380E" w:rsidRDefault="00B23AB4" w:rsidP="00B23AB4">
            <w:pPr>
              <w:spacing w:before="40"/>
              <w:rPr>
                <w:sz w:val="22"/>
                <w:szCs w:val="22"/>
                <w:lang w:val="en-CA"/>
              </w:rPr>
            </w:pPr>
            <w:r w:rsidRPr="00DC380E">
              <w:rPr>
                <w:sz w:val="22"/>
                <w:szCs w:val="22"/>
                <w:lang w:val="en-CA"/>
              </w:rPr>
              <w:t>Mihai Roscovan</w:t>
            </w:r>
          </w:p>
          <w:p w14:paraId="4753C83E" w14:textId="77777777" w:rsidR="00B23AB4" w:rsidRPr="00DC380E" w:rsidRDefault="00B23AB4" w:rsidP="00B23AB4">
            <w:pPr>
              <w:spacing w:before="40"/>
              <w:rPr>
                <w:sz w:val="22"/>
                <w:szCs w:val="22"/>
                <w:lang w:val="en-CA"/>
              </w:rPr>
            </w:pPr>
            <w:r w:rsidRPr="00DC380E">
              <w:rPr>
                <w:sz w:val="22"/>
                <w:szCs w:val="22"/>
                <w:lang w:val="en-CA"/>
              </w:rPr>
              <w:t>Valentin Rosca</w:t>
            </w:r>
          </w:p>
          <w:p w14:paraId="7435CFF5" w14:textId="77777777" w:rsidR="00B23AB4" w:rsidRPr="00DC380E" w:rsidRDefault="00B23AB4" w:rsidP="00B23AB4">
            <w:pPr>
              <w:spacing w:before="40"/>
              <w:rPr>
                <w:sz w:val="22"/>
                <w:szCs w:val="22"/>
                <w:lang w:val="en-CA"/>
              </w:rPr>
            </w:pPr>
            <w:r w:rsidRPr="00DC380E">
              <w:rPr>
                <w:sz w:val="22"/>
                <w:szCs w:val="22"/>
                <w:lang w:val="en-CA"/>
              </w:rPr>
              <w:t>Sergiu Burca</w:t>
            </w:r>
          </w:p>
          <w:p w14:paraId="4F77D740" w14:textId="77777777" w:rsidR="00B23AB4" w:rsidRPr="00DC380E" w:rsidRDefault="00B23AB4" w:rsidP="00B23AB4">
            <w:pPr>
              <w:spacing w:before="40"/>
              <w:rPr>
                <w:sz w:val="22"/>
                <w:szCs w:val="22"/>
                <w:lang w:val="en-CA"/>
              </w:rPr>
            </w:pPr>
            <w:r w:rsidRPr="00DC380E">
              <w:rPr>
                <w:sz w:val="22"/>
                <w:szCs w:val="22"/>
                <w:lang w:val="en-CA"/>
              </w:rPr>
              <w:t xml:space="preserve">Jean Joseph Bellamy, </w:t>
            </w:r>
            <w:r w:rsidRPr="00DC380E">
              <w:rPr>
                <w:sz w:val="22"/>
                <w:szCs w:val="22"/>
              </w:rPr>
              <w:t>International evaluator</w:t>
            </w:r>
          </w:p>
          <w:p w14:paraId="438985CC" w14:textId="77777777" w:rsidR="00B23AB4" w:rsidRPr="00DC380E" w:rsidRDefault="00B23AB4" w:rsidP="00B23AB4">
            <w:pPr>
              <w:spacing w:before="40"/>
              <w:rPr>
                <w:sz w:val="22"/>
                <w:szCs w:val="22"/>
                <w:lang w:val="en-CA"/>
              </w:rPr>
            </w:pPr>
            <w:r w:rsidRPr="00DC380E">
              <w:rPr>
                <w:sz w:val="22"/>
                <w:szCs w:val="22"/>
              </w:rPr>
              <w:t>Victor Cotruta, National evaluator</w:t>
            </w:r>
            <w:r w:rsidRPr="00DC380E">
              <w:rPr>
                <w:sz w:val="22"/>
                <w:szCs w:val="22"/>
                <w:lang w:val="en-CA"/>
              </w:rPr>
              <w:t xml:space="preserve"> </w:t>
            </w:r>
          </w:p>
        </w:tc>
        <w:tc>
          <w:tcPr>
            <w:tcW w:w="3119" w:type="dxa"/>
            <w:noWrap/>
          </w:tcPr>
          <w:p w14:paraId="0DDEAAE5" w14:textId="77777777" w:rsidR="00B23AB4" w:rsidRPr="00DC380E" w:rsidRDefault="00B23AB4" w:rsidP="00B23AB4">
            <w:pPr>
              <w:spacing w:before="40"/>
              <w:rPr>
                <w:sz w:val="22"/>
                <w:szCs w:val="22"/>
              </w:rPr>
            </w:pPr>
          </w:p>
        </w:tc>
        <w:tc>
          <w:tcPr>
            <w:tcW w:w="2189" w:type="dxa"/>
          </w:tcPr>
          <w:p w14:paraId="324EC71E" w14:textId="77777777" w:rsidR="00B23AB4" w:rsidRPr="00DC380E" w:rsidRDefault="00B23AB4" w:rsidP="00B23AB4">
            <w:pPr>
              <w:spacing w:before="40"/>
              <w:rPr>
                <w:sz w:val="22"/>
                <w:szCs w:val="22"/>
              </w:rPr>
            </w:pPr>
            <w:r w:rsidRPr="00DC380E">
              <w:rPr>
                <w:sz w:val="22"/>
                <w:szCs w:val="22"/>
              </w:rPr>
              <w:t>Iorga, 21</w:t>
            </w:r>
          </w:p>
          <w:p w14:paraId="13399F05" w14:textId="77777777" w:rsidR="00B23AB4" w:rsidRPr="00DC380E" w:rsidRDefault="00B23AB4" w:rsidP="00B23AB4">
            <w:pPr>
              <w:spacing w:before="40"/>
              <w:rPr>
                <w:sz w:val="22"/>
                <w:szCs w:val="22"/>
              </w:rPr>
            </w:pPr>
            <w:r w:rsidRPr="00DC380E">
              <w:rPr>
                <w:sz w:val="22"/>
                <w:szCs w:val="22"/>
              </w:rPr>
              <w:t>3</w:t>
            </w:r>
            <w:r w:rsidRPr="00DC380E">
              <w:rPr>
                <w:sz w:val="22"/>
                <w:szCs w:val="22"/>
                <w:vertAlign w:val="superscript"/>
              </w:rPr>
              <w:t>rd</w:t>
            </w:r>
            <w:r w:rsidRPr="00DC380E">
              <w:rPr>
                <w:sz w:val="22"/>
                <w:szCs w:val="22"/>
              </w:rPr>
              <w:t xml:space="preserve"> floor </w:t>
            </w:r>
          </w:p>
        </w:tc>
        <w:tc>
          <w:tcPr>
            <w:tcW w:w="1922" w:type="dxa"/>
          </w:tcPr>
          <w:p w14:paraId="2496437B"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5D5E8D0A" w14:textId="77777777" w:rsidTr="005F74EF">
        <w:tc>
          <w:tcPr>
            <w:tcW w:w="1537" w:type="dxa"/>
            <w:noWrap/>
          </w:tcPr>
          <w:p w14:paraId="3F385985" w14:textId="77777777" w:rsidR="00B23AB4" w:rsidRPr="00DC380E" w:rsidRDefault="00B23AB4" w:rsidP="00B23AB4">
            <w:pPr>
              <w:spacing w:before="40"/>
              <w:rPr>
                <w:sz w:val="22"/>
                <w:szCs w:val="22"/>
                <w:highlight w:val="yellow"/>
              </w:rPr>
            </w:pPr>
            <w:r w:rsidRPr="00DC380E">
              <w:rPr>
                <w:sz w:val="22"/>
                <w:szCs w:val="22"/>
              </w:rPr>
              <w:t>09.30 – 10.30</w:t>
            </w:r>
          </w:p>
        </w:tc>
        <w:tc>
          <w:tcPr>
            <w:tcW w:w="3533" w:type="dxa"/>
            <w:noWrap/>
          </w:tcPr>
          <w:p w14:paraId="6FCF06C0" w14:textId="77777777" w:rsidR="00B23AB4" w:rsidRPr="00DC380E" w:rsidRDefault="00B23AB4" w:rsidP="00B23AB4">
            <w:pPr>
              <w:spacing w:before="40"/>
              <w:rPr>
                <w:b/>
                <w:sz w:val="22"/>
                <w:szCs w:val="22"/>
              </w:rPr>
            </w:pPr>
            <w:r w:rsidRPr="00DC380E">
              <w:rPr>
                <w:b/>
                <w:sz w:val="22"/>
                <w:szCs w:val="22"/>
              </w:rPr>
              <w:t>UNDP Moldova CO</w:t>
            </w:r>
          </w:p>
          <w:p w14:paraId="61D940B3" w14:textId="68C35BB2" w:rsidR="00B23AB4" w:rsidRPr="00DC380E" w:rsidRDefault="00B23AB4" w:rsidP="00B23AB4">
            <w:pPr>
              <w:spacing w:before="40"/>
              <w:rPr>
                <w:sz w:val="22"/>
                <w:szCs w:val="22"/>
              </w:rPr>
            </w:pPr>
            <w:r w:rsidRPr="00DC380E">
              <w:rPr>
                <w:sz w:val="22"/>
                <w:szCs w:val="22"/>
              </w:rPr>
              <w:t>Kick-off meeting: Team Members</w:t>
            </w:r>
          </w:p>
        </w:tc>
        <w:tc>
          <w:tcPr>
            <w:tcW w:w="2488" w:type="dxa"/>
            <w:noWrap/>
          </w:tcPr>
          <w:p w14:paraId="6693F2C9" w14:textId="77777777" w:rsidR="00B23AB4" w:rsidRPr="00DC380E" w:rsidRDefault="00B23AB4" w:rsidP="00B23AB4">
            <w:pPr>
              <w:spacing w:before="40"/>
              <w:rPr>
                <w:sz w:val="22"/>
                <w:szCs w:val="22"/>
                <w:lang w:val="en-CA"/>
              </w:rPr>
            </w:pPr>
            <w:r w:rsidRPr="00DC380E">
              <w:rPr>
                <w:sz w:val="22"/>
                <w:szCs w:val="22"/>
                <w:lang w:val="en-CA"/>
              </w:rPr>
              <w:t>Narine Sahakyan</w:t>
            </w:r>
          </w:p>
          <w:p w14:paraId="54D5E81A" w14:textId="77777777" w:rsidR="00B23AB4" w:rsidRPr="00DC380E" w:rsidRDefault="00B23AB4" w:rsidP="00B23AB4">
            <w:pPr>
              <w:spacing w:before="40"/>
              <w:rPr>
                <w:sz w:val="22"/>
                <w:szCs w:val="22"/>
                <w:lang w:val="es-UY"/>
              </w:rPr>
            </w:pPr>
            <w:r w:rsidRPr="00DC380E">
              <w:rPr>
                <w:sz w:val="22"/>
                <w:szCs w:val="22"/>
              </w:rPr>
              <w:t>Valeria Ieseanu</w:t>
            </w:r>
          </w:p>
          <w:p w14:paraId="2D361A8B" w14:textId="77777777" w:rsidR="00B23AB4" w:rsidRPr="00DC380E" w:rsidRDefault="00B23AB4" w:rsidP="00B23AB4">
            <w:pPr>
              <w:spacing w:before="40"/>
              <w:rPr>
                <w:sz w:val="22"/>
                <w:szCs w:val="22"/>
                <w:lang w:val="es-UY"/>
              </w:rPr>
            </w:pPr>
            <w:r w:rsidRPr="00DC380E">
              <w:rPr>
                <w:sz w:val="22"/>
                <w:szCs w:val="22"/>
                <w:lang w:val="es-UY"/>
              </w:rPr>
              <w:t>Jean Joseph Bellamy</w:t>
            </w:r>
          </w:p>
          <w:p w14:paraId="49C87817" w14:textId="0D434539" w:rsidR="00B23AB4" w:rsidRPr="00DC380E" w:rsidRDefault="00B23AB4" w:rsidP="00B23AB4">
            <w:pPr>
              <w:spacing w:before="40"/>
              <w:rPr>
                <w:sz w:val="22"/>
                <w:szCs w:val="22"/>
                <w:lang w:val="es-UY"/>
              </w:rPr>
            </w:pPr>
            <w:r w:rsidRPr="00DC380E">
              <w:rPr>
                <w:sz w:val="22"/>
                <w:szCs w:val="22"/>
                <w:lang w:val="es-UY"/>
              </w:rPr>
              <w:t>Victor Cotruta</w:t>
            </w:r>
          </w:p>
        </w:tc>
        <w:tc>
          <w:tcPr>
            <w:tcW w:w="3119" w:type="dxa"/>
            <w:noWrap/>
          </w:tcPr>
          <w:p w14:paraId="2AB3EC23" w14:textId="77777777" w:rsidR="00B23AB4" w:rsidRPr="00DC380E" w:rsidRDefault="00B23AB4" w:rsidP="00B23AB4">
            <w:pPr>
              <w:spacing w:before="40"/>
              <w:rPr>
                <w:sz w:val="22"/>
                <w:szCs w:val="22"/>
              </w:rPr>
            </w:pPr>
            <w:r w:rsidRPr="00DC380E">
              <w:rPr>
                <w:sz w:val="22"/>
                <w:szCs w:val="22"/>
              </w:rPr>
              <w:t>Mission planning and expected outcomes of the mission and timeframes</w:t>
            </w:r>
          </w:p>
          <w:p w14:paraId="11017A8C" w14:textId="0540427C" w:rsidR="00B23AB4" w:rsidRPr="00DC380E" w:rsidRDefault="00B23AB4" w:rsidP="00DC380E">
            <w:pPr>
              <w:spacing w:before="40"/>
              <w:rPr>
                <w:sz w:val="22"/>
                <w:szCs w:val="22"/>
              </w:rPr>
            </w:pPr>
            <w:r w:rsidRPr="00DC380E">
              <w:rPr>
                <w:sz w:val="22"/>
                <w:szCs w:val="22"/>
              </w:rPr>
              <w:t xml:space="preserve">Topics and issues to be discussed with the stakeholders </w:t>
            </w:r>
          </w:p>
        </w:tc>
        <w:tc>
          <w:tcPr>
            <w:tcW w:w="2189" w:type="dxa"/>
          </w:tcPr>
          <w:p w14:paraId="00C6F613" w14:textId="77777777" w:rsidR="00B23AB4" w:rsidRPr="00DC380E" w:rsidRDefault="00B23AB4" w:rsidP="00B23AB4">
            <w:pPr>
              <w:spacing w:before="40"/>
              <w:rPr>
                <w:sz w:val="22"/>
                <w:szCs w:val="22"/>
              </w:rPr>
            </w:pPr>
            <w:r w:rsidRPr="00DC380E">
              <w:rPr>
                <w:sz w:val="22"/>
                <w:szCs w:val="22"/>
              </w:rPr>
              <w:t>UN House, str. 131</w:t>
            </w:r>
          </w:p>
          <w:p w14:paraId="6BDAE6A1" w14:textId="5D65786F" w:rsidR="00B23AB4" w:rsidRPr="00DC380E" w:rsidRDefault="003A6E4D" w:rsidP="00B23AB4">
            <w:pPr>
              <w:spacing w:before="40"/>
              <w:rPr>
                <w:sz w:val="22"/>
                <w:szCs w:val="22"/>
              </w:rPr>
            </w:pPr>
            <w:r>
              <w:rPr>
                <w:sz w:val="22"/>
                <w:szCs w:val="22"/>
              </w:rPr>
              <w:t>UN House Conference room</w:t>
            </w:r>
          </w:p>
        </w:tc>
        <w:tc>
          <w:tcPr>
            <w:tcW w:w="1922" w:type="dxa"/>
          </w:tcPr>
          <w:p w14:paraId="47CEA361"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275436CF" w14:textId="77777777" w:rsidTr="00FE7544">
        <w:tc>
          <w:tcPr>
            <w:tcW w:w="1537" w:type="dxa"/>
            <w:noWrap/>
          </w:tcPr>
          <w:p w14:paraId="0F559972" w14:textId="77777777" w:rsidR="00B23AB4" w:rsidRPr="00DC380E" w:rsidRDefault="00B23AB4" w:rsidP="00B23AB4">
            <w:pPr>
              <w:spacing w:before="40"/>
              <w:rPr>
                <w:sz w:val="22"/>
                <w:szCs w:val="22"/>
              </w:rPr>
            </w:pPr>
            <w:r w:rsidRPr="00DC380E">
              <w:rPr>
                <w:sz w:val="22"/>
                <w:szCs w:val="22"/>
              </w:rPr>
              <w:t>11.00 – 12.00</w:t>
            </w:r>
          </w:p>
        </w:tc>
        <w:tc>
          <w:tcPr>
            <w:tcW w:w="3533" w:type="dxa"/>
            <w:tcBorders>
              <w:bottom w:val="single" w:sz="4" w:space="0" w:color="auto"/>
            </w:tcBorders>
            <w:noWrap/>
          </w:tcPr>
          <w:p w14:paraId="61EC519A" w14:textId="77777777" w:rsidR="00B23AB4" w:rsidRPr="00DC380E" w:rsidRDefault="00B23AB4" w:rsidP="00B23AB4">
            <w:pPr>
              <w:spacing w:before="40"/>
              <w:rPr>
                <w:b/>
                <w:sz w:val="22"/>
                <w:szCs w:val="22"/>
              </w:rPr>
            </w:pPr>
            <w:r w:rsidRPr="00DC380E">
              <w:rPr>
                <w:b/>
                <w:sz w:val="22"/>
                <w:szCs w:val="22"/>
              </w:rPr>
              <w:t>Ministry of Environment</w:t>
            </w:r>
          </w:p>
          <w:p w14:paraId="42035AB6" w14:textId="77777777" w:rsidR="00B23AB4" w:rsidRPr="00DC380E" w:rsidRDefault="00B23AB4" w:rsidP="00B23AB4">
            <w:pPr>
              <w:spacing w:before="40"/>
              <w:rPr>
                <w:sz w:val="22"/>
                <w:szCs w:val="22"/>
              </w:rPr>
            </w:pPr>
            <w:r w:rsidRPr="00DC380E">
              <w:rPr>
                <w:sz w:val="22"/>
                <w:szCs w:val="22"/>
              </w:rPr>
              <w:t xml:space="preserve">Ms. Maria Nagornii, Head, Analysis, Monitoring and Evaluation Division; </w:t>
            </w:r>
          </w:p>
          <w:p w14:paraId="5F2DCFCC" w14:textId="7F06F49F" w:rsidR="00B23AB4" w:rsidRPr="00DC380E" w:rsidRDefault="00B23AB4" w:rsidP="00B23AB4">
            <w:pPr>
              <w:spacing w:before="40"/>
              <w:rPr>
                <w:sz w:val="22"/>
                <w:szCs w:val="22"/>
              </w:rPr>
            </w:pPr>
            <w:r w:rsidRPr="00DC380E">
              <w:rPr>
                <w:sz w:val="22"/>
                <w:szCs w:val="22"/>
              </w:rPr>
              <w:t>Ms. Svetlana Bolocan, Head, Pollution Prevention and Waste, Management Division Ms. Veronica Josu, Deputy Head, Nature and Biodiversity Resources</w:t>
            </w:r>
            <w:r w:rsidR="00DC380E" w:rsidRPr="00DC380E">
              <w:rPr>
                <w:sz w:val="22"/>
                <w:szCs w:val="22"/>
              </w:rPr>
              <w:t xml:space="preserve"> Division </w:t>
            </w:r>
          </w:p>
        </w:tc>
        <w:tc>
          <w:tcPr>
            <w:tcW w:w="2488" w:type="dxa"/>
            <w:tcBorders>
              <w:bottom w:val="single" w:sz="4" w:space="0" w:color="auto"/>
            </w:tcBorders>
            <w:noWrap/>
          </w:tcPr>
          <w:p w14:paraId="7B89B952" w14:textId="77777777" w:rsidR="00B23AB4" w:rsidRPr="00DC380E" w:rsidRDefault="00B23AB4" w:rsidP="00B23AB4">
            <w:pPr>
              <w:spacing w:before="40"/>
              <w:rPr>
                <w:sz w:val="22"/>
                <w:szCs w:val="22"/>
                <w:lang w:val="fr-FR"/>
              </w:rPr>
            </w:pPr>
            <w:r w:rsidRPr="00DC380E">
              <w:rPr>
                <w:sz w:val="22"/>
                <w:szCs w:val="22"/>
                <w:lang w:val="fr-FR"/>
              </w:rPr>
              <w:t>Jean Joseph Bellamy</w:t>
            </w:r>
          </w:p>
          <w:p w14:paraId="6D97746D" w14:textId="77777777" w:rsidR="00B23AB4" w:rsidRPr="00DC380E" w:rsidRDefault="00B23AB4" w:rsidP="00B23AB4">
            <w:pPr>
              <w:spacing w:before="40"/>
              <w:rPr>
                <w:sz w:val="22"/>
                <w:szCs w:val="22"/>
                <w:lang w:val="fr-FR"/>
              </w:rPr>
            </w:pPr>
            <w:r w:rsidRPr="00DC380E">
              <w:rPr>
                <w:sz w:val="22"/>
                <w:szCs w:val="22"/>
                <w:lang w:val="fr-FR"/>
              </w:rPr>
              <w:t>Victor Cotruta</w:t>
            </w:r>
          </w:p>
          <w:p w14:paraId="665A5A54" w14:textId="77777777" w:rsidR="00B23AB4" w:rsidRPr="00DC380E" w:rsidRDefault="00B23AB4" w:rsidP="00B23AB4">
            <w:pPr>
              <w:spacing w:before="40"/>
              <w:rPr>
                <w:sz w:val="22"/>
                <w:szCs w:val="22"/>
                <w:lang w:val="fr-FR"/>
              </w:rPr>
            </w:pPr>
          </w:p>
        </w:tc>
        <w:tc>
          <w:tcPr>
            <w:tcW w:w="3119" w:type="dxa"/>
            <w:tcBorders>
              <w:bottom w:val="single" w:sz="4" w:space="0" w:color="auto"/>
            </w:tcBorders>
            <w:noWrap/>
          </w:tcPr>
          <w:p w14:paraId="3348358A" w14:textId="77777777" w:rsidR="00B23AB4" w:rsidRPr="00DC380E" w:rsidRDefault="00B23AB4" w:rsidP="00B23AB4">
            <w:pPr>
              <w:spacing w:before="40"/>
              <w:rPr>
                <w:sz w:val="22"/>
                <w:szCs w:val="22"/>
                <w:lang w:val="en-CA"/>
              </w:rPr>
            </w:pPr>
            <w:r w:rsidRPr="00DC380E">
              <w:rPr>
                <w:sz w:val="22"/>
                <w:szCs w:val="22"/>
                <w:lang w:val="en-CA"/>
              </w:rPr>
              <w:t>Environmental Policies and Payments</w:t>
            </w:r>
          </w:p>
        </w:tc>
        <w:tc>
          <w:tcPr>
            <w:tcW w:w="2189" w:type="dxa"/>
            <w:tcBorders>
              <w:bottom w:val="single" w:sz="4" w:space="0" w:color="auto"/>
            </w:tcBorders>
          </w:tcPr>
          <w:p w14:paraId="743AAD9F" w14:textId="77777777" w:rsidR="00B23AB4" w:rsidRPr="00DC380E" w:rsidRDefault="00B23AB4" w:rsidP="00B23AB4">
            <w:pPr>
              <w:spacing w:before="40"/>
              <w:rPr>
                <w:sz w:val="22"/>
                <w:szCs w:val="22"/>
              </w:rPr>
            </w:pPr>
            <w:r w:rsidRPr="00DC380E">
              <w:rPr>
                <w:sz w:val="22"/>
                <w:szCs w:val="22"/>
              </w:rPr>
              <w:t>9 Cosmonautilor str.</w:t>
            </w:r>
          </w:p>
          <w:p w14:paraId="0A239956" w14:textId="77777777" w:rsidR="00B23AB4" w:rsidRPr="00DC380E" w:rsidRDefault="00B23AB4" w:rsidP="00B23AB4">
            <w:pPr>
              <w:spacing w:before="40"/>
              <w:rPr>
                <w:sz w:val="22"/>
                <w:szCs w:val="22"/>
              </w:rPr>
            </w:pPr>
            <w:r w:rsidRPr="00DC380E">
              <w:rPr>
                <w:sz w:val="22"/>
                <w:szCs w:val="22"/>
              </w:rPr>
              <w:t>Minister’s office</w:t>
            </w:r>
          </w:p>
          <w:p w14:paraId="12BE335D" w14:textId="77777777" w:rsidR="00B23AB4" w:rsidRPr="00DC380E" w:rsidRDefault="00B23AB4" w:rsidP="00B23AB4">
            <w:pPr>
              <w:spacing w:before="40"/>
              <w:rPr>
                <w:sz w:val="22"/>
                <w:szCs w:val="22"/>
              </w:rPr>
            </w:pPr>
            <w:r w:rsidRPr="00DC380E">
              <w:rPr>
                <w:sz w:val="22"/>
                <w:szCs w:val="22"/>
              </w:rPr>
              <w:t>Off. 603</w:t>
            </w:r>
          </w:p>
          <w:p w14:paraId="25C53654" w14:textId="77777777" w:rsidR="00B23AB4" w:rsidRPr="00DC380E" w:rsidRDefault="00B23AB4" w:rsidP="00B23AB4">
            <w:pPr>
              <w:spacing w:before="40"/>
              <w:rPr>
                <w:color w:val="000000"/>
                <w:sz w:val="22"/>
                <w:szCs w:val="22"/>
              </w:rPr>
            </w:pPr>
            <w:r w:rsidRPr="00DC380E">
              <w:rPr>
                <w:color w:val="000000"/>
                <w:sz w:val="22"/>
                <w:szCs w:val="22"/>
              </w:rPr>
              <w:t>Tel: 022 20-45-20</w:t>
            </w:r>
          </w:p>
        </w:tc>
        <w:tc>
          <w:tcPr>
            <w:tcW w:w="1922" w:type="dxa"/>
            <w:tcBorders>
              <w:bottom w:val="single" w:sz="4" w:space="0" w:color="auto"/>
            </w:tcBorders>
          </w:tcPr>
          <w:p w14:paraId="19C1E931" w14:textId="77777777" w:rsidR="00B23AB4" w:rsidRPr="00DC380E" w:rsidRDefault="00B23AB4" w:rsidP="00B23AB4">
            <w:pPr>
              <w:spacing w:before="40"/>
              <w:rPr>
                <w:b/>
                <w:sz w:val="22"/>
                <w:szCs w:val="22"/>
              </w:rPr>
            </w:pPr>
            <w:r w:rsidRPr="00DC380E">
              <w:rPr>
                <w:b/>
                <w:sz w:val="22"/>
                <w:szCs w:val="22"/>
              </w:rPr>
              <w:t>Confirmed</w:t>
            </w:r>
          </w:p>
          <w:p w14:paraId="3F1BCAE0" w14:textId="77777777" w:rsidR="00B23AB4" w:rsidRPr="00DC380E" w:rsidRDefault="00B23AB4" w:rsidP="00B23AB4">
            <w:pPr>
              <w:spacing w:before="40"/>
              <w:rPr>
                <w:b/>
                <w:sz w:val="22"/>
                <w:szCs w:val="22"/>
              </w:rPr>
            </w:pPr>
          </w:p>
          <w:p w14:paraId="2842D78E" w14:textId="77777777" w:rsidR="00B23AB4" w:rsidRPr="00DC380E" w:rsidRDefault="00B23AB4" w:rsidP="00B23AB4">
            <w:pPr>
              <w:spacing w:before="40"/>
              <w:rPr>
                <w:sz w:val="22"/>
                <w:szCs w:val="22"/>
                <w:highlight w:val="yellow"/>
              </w:rPr>
            </w:pPr>
          </w:p>
        </w:tc>
      </w:tr>
      <w:tr w:rsidR="006E3D8D" w:rsidRPr="00DC380E" w14:paraId="40671C1D" w14:textId="77777777" w:rsidTr="00FE7544">
        <w:trPr>
          <w:trHeight w:val="255"/>
        </w:trPr>
        <w:tc>
          <w:tcPr>
            <w:tcW w:w="1537" w:type="dxa"/>
            <w:noWrap/>
          </w:tcPr>
          <w:p w14:paraId="64C75CF8" w14:textId="77777777" w:rsidR="00B23AB4" w:rsidRPr="00DC380E" w:rsidRDefault="00B23AB4" w:rsidP="00B23AB4">
            <w:pPr>
              <w:spacing w:before="40"/>
              <w:rPr>
                <w:sz w:val="22"/>
                <w:szCs w:val="22"/>
              </w:rPr>
            </w:pPr>
            <w:r w:rsidRPr="00DC380E">
              <w:rPr>
                <w:sz w:val="22"/>
                <w:szCs w:val="22"/>
              </w:rPr>
              <w:t>12.00 – 13.00</w:t>
            </w:r>
          </w:p>
        </w:tc>
        <w:tc>
          <w:tcPr>
            <w:tcW w:w="3533" w:type="dxa"/>
            <w:tcBorders>
              <w:right w:val="nil"/>
            </w:tcBorders>
            <w:noWrap/>
          </w:tcPr>
          <w:p w14:paraId="4F4671A8" w14:textId="77777777" w:rsidR="00B23AB4" w:rsidRPr="00DC380E" w:rsidRDefault="00B23AB4" w:rsidP="00B23AB4">
            <w:pPr>
              <w:spacing w:before="40"/>
              <w:rPr>
                <w:b/>
                <w:sz w:val="22"/>
                <w:szCs w:val="22"/>
              </w:rPr>
            </w:pPr>
            <w:r w:rsidRPr="00DC380E">
              <w:rPr>
                <w:b/>
                <w:sz w:val="22"/>
                <w:szCs w:val="22"/>
              </w:rPr>
              <w:t xml:space="preserve">Lunch </w:t>
            </w:r>
          </w:p>
        </w:tc>
        <w:tc>
          <w:tcPr>
            <w:tcW w:w="2488" w:type="dxa"/>
            <w:tcBorders>
              <w:left w:val="nil"/>
              <w:right w:val="nil"/>
            </w:tcBorders>
            <w:noWrap/>
          </w:tcPr>
          <w:p w14:paraId="5C831285" w14:textId="77777777" w:rsidR="00B23AB4" w:rsidRPr="00DC380E" w:rsidRDefault="00B23AB4" w:rsidP="00B23AB4">
            <w:pPr>
              <w:spacing w:before="40"/>
              <w:rPr>
                <w:sz w:val="22"/>
                <w:szCs w:val="22"/>
                <w:lang w:val="fr-FR"/>
              </w:rPr>
            </w:pPr>
          </w:p>
        </w:tc>
        <w:tc>
          <w:tcPr>
            <w:tcW w:w="3119" w:type="dxa"/>
            <w:tcBorders>
              <w:left w:val="nil"/>
              <w:right w:val="nil"/>
            </w:tcBorders>
            <w:noWrap/>
          </w:tcPr>
          <w:p w14:paraId="2B6A6603" w14:textId="77777777" w:rsidR="00B23AB4" w:rsidRPr="00DC380E" w:rsidRDefault="00B23AB4" w:rsidP="00B23AB4">
            <w:pPr>
              <w:spacing w:before="40"/>
              <w:rPr>
                <w:sz w:val="22"/>
                <w:szCs w:val="22"/>
                <w:lang w:val="en-CA"/>
              </w:rPr>
            </w:pPr>
          </w:p>
        </w:tc>
        <w:tc>
          <w:tcPr>
            <w:tcW w:w="2189" w:type="dxa"/>
            <w:tcBorders>
              <w:left w:val="nil"/>
              <w:right w:val="nil"/>
            </w:tcBorders>
          </w:tcPr>
          <w:p w14:paraId="2BD857EF" w14:textId="77777777" w:rsidR="00B23AB4" w:rsidRPr="00DC380E" w:rsidRDefault="00B23AB4" w:rsidP="00B23AB4">
            <w:pPr>
              <w:spacing w:before="40"/>
              <w:rPr>
                <w:sz w:val="22"/>
                <w:szCs w:val="22"/>
              </w:rPr>
            </w:pPr>
          </w:p>
        </w:tc>
        <w:tc>
          <w:tcPr>
            <w:tcW w:w="1922" w:type="dxa"/>
            <w:tcBorders>
              <w:left w:val="nil"/>
            </w:tcBorders>
          </w:tcPr>
          <w:p w14:paraId="25B2334F" w14:textId="77777777" w:rsidR="00B23AB4" w:rsidRPr="00DC380E" w:rsidRDefault="00B23AB4" w:rsidP="00B23AB4">
            <w:pPr>
              <w:spacing w:before="40"/>
              <w:rPr>
                <w:b/>
                <w:sz w:val="22"/>
                <w:szCs w:val="22"/>
              </w:rPr>
            </w:pPr>
          </w:p>
        </w:tc>
      </w:tr>
      <w:tr w:rsidR="006E3D8D" w:rsidRPr="00DC380E" w14:paraId="0D94AA23" w14:textId="77777777" w:rsidTr="005F74EF">
        <w:tc>
          <w:tcPr>
            <w:tcW w:w="1537" w:type="dxa"/>
            <w:noWrap/>
          </w:tcPr>
          <w:p w14:paraId="4EAE6A23" w14:textId="77777777" w:rsidR="00B23AB4" w:rsidRPr="00DC380E" w:rsidRDefault="00B23AB4" w:rsidP="00B23AB4">
            <w:pPr>
              <w:spacing w:before="40"/>
              <w:rPr>
                <w:sz w:val="22"/>
                <w:szCs w:val="22"/>
              </w:rPr>
            </w:pPr>
            <w:r w:rsidRPr="00DC380E">
              <w:rPr>
                <w:sz w:val="22"/>
                <w:szCs w:val="22"/>
              </w:rPr>
              <w:t>13.15 – 14.15</w:t>
            </w:r>
          </w:p>
        </w:tc>
        <w:tc>
          <w:tcPr>
            <w:tcW w:w="3533" w:type="dxa"/>
            <w:noWrap/>
          </w:tcPr>
          <w:p w14:paraId="142AA63F" w14:textId="77777777" w:rsidR="00B23AB4" w:rsidRPr="00DC380E" w:rsidRDefault="00B23AB4" w:rsidP="00B23AB4">
            <w:pPr>
              <w:spacing w:before="40"/>
              <w:rPr>
                <w:b/>
                <w:sz w:val="22"/>
                <w:szCs w:val="22"/>
              </w:rPr>
            </w:pPr>
            <w:r w:rsidRPr="00DC380E">
              <w:rPr>
                <w:b/>
                <w:sz w:val="22"/>
                <w:szCs w:val="22"/>
              </w:rPr>
              <w:t>Ministry of Environment</w:t>
            </w:r>
          </w:p>
          <w:p w14:paraId="43387715" w14:textId="77777777" w:rsidR="00B23AB4" w:rsidRPr="00DC380E" w:rsidRDefault="00B23AB4" w:rsidP="00B23AB4">
            <w:pPr>
              <w:spacing w:before="40"/>
              <w:rPr>
                <w:sz w:val="22"/>
                <w:szCs w:val="22"/>
              </w:rPr>
            </w:pPr>
            <w:r w:rsidRPr="00DC380E">
              <w:rPr>
                <w:sz w:val="22"/>
                <w:szCs w:val="22"/>
              </w:rPr>
              <w:t>Ms. Maria Malic, Deputy Head, Finance and Accounting Division;</w:t>
            </w:r>
          </w:p>
          <w:p w14:paraId="683D434F" w14:textId="77777777" w:rsidR="00B23AB4" w:rsidRPr="00DC380E" w:rsidRDefault="00B23AB4" w:rsidP="00B23AB4">
            <w:pPr>
              <w:spacing w:before="40"/>
              <w:rPr>
                <w:b/>
                <w:sz w:val="22"/>
                <w:szCs w:val="22"/>
              </w:rPr>
            </w:pPr>
            <w:r w:rsidRPr="00DC380E">
              <w:rPr>
                <w:sz w:val="22"/>
                <w:szCs w:val="22"/>
              </w:rPr>
              <w:t>Ms. Raisa Leon, Deputy Head, Environmental Policy, Monitoring and Strategic Planning Subdivision.</w:t>
            </w:r>
          </w:p>
        </w:tc>
        <w:tc>
          <w:tcPr>
            <w:tcW w:w="2488" w:type="dxa"/>
            <w:noWrap/>
          </w:tcPr>
          <w:p w14:paraId="114C1002" w14:textId="77777777" w:rsidR="00B23AB4" w:rsidRPr="00DC380E" w:rsidRDefault="00B23AB4" w:rsidP="00B23AB4">
            <w:pPr>
              <w:spacing w:before="40"/>
              <w:rPr>
                <w:sz w:val="22"/>
                <w:szCs w:val="22"/>
                <w:lang w:val="fr-FR"/>
              </w:rPr>
            </w:pPr>
            <w:r w:rsidRPr="00DC380E">
              <w:rPr>
                <w:sz w:val="22"/>
                <w:szCs w:val="22"/>
                <w:lang w:val="fr-FR"/>
              </w:rPr>
              <w:t>Jean Joseph Bellamy</w:t>
            </w:r>
          </w:p>
          <w:p w14:paraId="2E0EDC31" w14:textId="77777777" w:rsidR="00B23AB4" w:rsidRPr="00DC380E" w:rsidRDefault="00B23AB4" w:rsidP="00B23AB4">
            <w:pPr>
              <w:spacing w:before="40"/>
              <w:rPr>
                <w:sz w:val="22"/>
                <w:szCs w:val="22"/>
                <w:lang w:val="fr-FR"/>
              </w:rPr>
            </w:pPr>
            <w:r w:rsidRPr="00DC380E">
              <w:rPr>
                <w:sz w:val="22"/>
                <w:szCs w:val="22"/>
                <w:lang w:val="fr-FR"/>
              </w:rPr>
              <w:t>Victor Cotruta</w:t>
            </w:r>
          </w:p>
          <w:p w14:paraId="0B2217E0" w14:textId="77777777" w:rsidR="00B23AB4" w:rsidRPr="00DC380E" w:rsidRDefault="00B23AB4" w:rsidP="00B23AB4">
            <w:pPr>
              <w:spacing w:before="40"/>
              <w:rPr>
                <w:sz w:val="22"/>
                <w:szCs w:val="22"/>
                <w:lang w:val="fr-FR"/>
              </w:rPr>
            </w:pPr>
          </w:p>
        </w:tc>
        <w:tc>
          <w:tcPr>
            <w:tcW w:w="3119" w:type="dxa"/>
            <w:noWrap/>
          </w:tcPr>
          <w:p w14:paraId="35FA9836" w14:textId="77777777" w:rsidR="00B23AB4" w:rsidRPr="00DC380E" w:rsidRDefault="00B23AB4" w:rsidP="00B23AB4">
            <w:pPr>
              <w:pStyle w:val="ListParagraph"/>
              <w:spacing w:before="40"/>
              <w:ind w:left="0"/>
              <w:rPr>
                <w:sz w:val="22"/>
                <w:szCs w:val="22"/>
                <w:lang w:val="en-CA"/>
              </w:rPr>
            </w:pPr>
            <w:r w:rsidRPr="00DC380E">
              <w:rPr>
                <w:sz w:val="22"/>
                <w:szCs w:val="22"/>
                <w:lang w:val="en-CA"/>
              </w:rPr>
              <w:t>MTBF</w:t>
            </w:r>
          </w:p>
          <w:p w14:paraId="69AE0D0E" w14:textId="77777777" w:rsidR="00B23AB4" w:rsidRPr="00DC380E" w:rsidRDefault="00B23AB4" w:rsidP="00B23AB4">
            <w:pPr>
              <w:pStyle w:val="ListParagraph"/>
              <w:spacing w:before="40"/>
              <w:ind w:left="0"/>
              <w:rPr>
                <w:sz w:val="22"/>
                <w:szCs w:val="22"/>
                <w:lang w:val="en-CA"/>
              </w:rPr>
            </w:pPr>
            <w:r w:rsidRPr="00DC380E">
              <w:rPr>
                <w:sz w:val="22"/>
                <w:szCs w:val="22"/>
                <w:lang w:val="en-CA"/>
              </w:rPr>
              <w:t>Sectoral Environmental Expenditure Strategies</w:t>
            </w:r>
          </w:p>
        </w:tc>
        <w:tc>
          <w:tcPr>
            <w:tcW w:w="2189" w:type="dxa"/>
          </w:tcPr>
          <w:p w14:paraId="5537D030" w14:textId="77777777" w:rsidR="00B23AB4" w:rsidRPr="00DC380E" w:rsidRDefault="00B23AB4" w:rsidP="00B23AB4">
            <w:pPr>
              <w:spacing w:before="40"/>
              <w:rPr>
                <w:sz w:val="22"/>
                <w:szCs w:val="22"/>
              </w:rPr>
            </w:pPr>
            <w:r w:rsidRPr="00DC380E">
              <w:rPr>
                <w:sz w:val="22"/>
                <w:szCs w:val="22"/>
              </w:rPr>
              <w:t>9 Cosmonautilor str.</w:t>
            </w:r>
          </w:p>
          <w:p w14:paraId="593AB62D" w14:textId="77777777" w:rsidR="00B23AB4" w:rsidRPr="00DC380E" w:rsidRDefault="00B23AB4" w:rsidP="00B23AB4">
            <w:pPr>
              <w:spacing w:before="40"/>
              <w:rPr>
                <w:sz w:val="22"/>
                <w:szCs w:val="22"/>
              </w:rPr>
            </w:pPr>
            <w:r w:rsidRPr="00DC380E">
              <w:rPr>
                <w:sz w:val="22"/>
                <w:szCs w:val="22"/>
              </w:rPr>
              <w:t>Minister’s office</w:t>
            </w:r>
          </w:p>
          <w:p w14:paraId="3C6BB60A" w14:textId="77777777" w:rsidR="00B23AB4" w:rsidRPr="00DC380E" w:rsidRDefault="00B23AB4" w:rsidP="00B23AB4">
            <w:pPr>
              <w:spacing w:before="40"/>
              <w:rPr>
                <w:sz w:val="22"/>
                <w:szCs w:val="22"/>
              </w:rPr>
            </w:pPr>
            <w:r w:rsidRPr="00DC380E">
              <w:rPr>
                <w:sz w:val="22"/>
                <w:szCs w:val="22"/>
              </w:rPr>
              <w:t>Off. 603</w:t>
            </w:r>
          </w:p>
          <w:p w14:paraId="0B33615F" w14:textId="77777777" w:rsidR="00B23AB4" w:rsidRPr="00DC380E" w:rsidRDefault="00B23AB4" w:rsidP="00B23AB4">
            <w:pPr>
              <w:spacing w:before="40"/>
              <w:rPr>
                <w:sz w:val="22"/>
                <w:szCs w:val="22"/>
              </w:rPr>
            </w:pPr>
            <w:r w:rsidRPr="00DC380E">
              <w:rPr>
                <w:sz w:val="22"/>
                <w:szCs w:val="22"/>
              </w:rPr>
              <w:t>Tel: 022 20-45-36</w:t>
            </w:r>
          </w:p>
        </w:tc>
        <w:tc>
          <w:tcPr>
            <w:tcW w:w="1922" w:type="dxa"/>
          </w:tcPr>
          <w:p w14:paraId="4D2B34C8" w14:textId="77777777" w:rsidR="00B23AB4" w:rsidRPr="00DC380E" w:rsidRDefault="00B23AB4" w:rsidP="00B23AB4">
            <w:pPr>
              <w:spacing w:before="40"/>
              <w:rPr>
                <w:sz w:val="22"/>
                <w:szCs w:val="22"/>
              </w:rPr>
            </w:pPr>
            <w:r w:rsidRPr="00DC380E">
              <w:rPr>
                <w:b/>
                <w:sz w:val="22"/>
                <w:szCs w:val="22"/>
              </w:rPr>
              <w:t>Confirmed</w:t>
            </w:r>
            <w:r w:rsidRPr="00DC380E">
              <w:rPr>
                <w:sz w:val="22"/>
                <w:szCs w:val="22"/>
              </w:rPr>
              <w:t xml:space="preserve"> </w:t>
            </w:r>
          </w:p>
        </w:tc>
      </w:tr>
      <w:tr w:rsidR="006E3D8D" w:rsidRPr="00DC380E" w14:paraId="0B5B998A" w14:textId="77777777" w:rsidTr="005F74EF">
        <w:tc>
          <w:tcPr>
            <w:tcW w:w="1537" w:type="dxa"/>
            <w:noWrap/>
          </w:tcPr>
          <w:p w14:paraId="1B4FAD26" w14:textId="77777777" w:rsidR="00B23AB4" w:rsidRPr="00DC380E" w:rsidRDefault="00B23AB4" w:rsidP="00B23AB4">
            <w:pPr>
              <w:spacing w:before="40"/>
              <w:rPr>
                <w:sz w:val="22"/>
                <w:szCs w:val="22"/>
              </w:rPr>
            </w:pPr>
            <w:r w:rsidRPr="00DC380E">
              <w:rPr>
                <w:sz w:val="22"/>
                <w:szCs w:val="22"/>
              </w:rPr>
              <w:t>14.30 – 15.30</w:t>
            </w:r>
          </w:p>
          <w:p w14:paraId="5AB259A1" w14:textId="77777777" w:rsidR="00B23AB4" w:rsidRPr="00DC380E" w:rsidRDefault="00B23AB4" w:rsidP="00B23AB4">
            <w:pPr>
              <w:spacing w:before="40"/>
              <w:rPr>
                <w:sz w:val="22"/>
                <w:szCs w:val="22"/>
                <w:highlight w:val="yellow"/>
              </w:rPr>
            </w:pPr>
          </w:p>
        </w:tc>
        <w:tc>
          <w:tcPr>
            <w:tcW w:w="3533" w:type="dxa"/>
            <w:noWrap/>
          </w:tcPr>
          <w:p w14:paraId="072552A1" w14:textId="77777777" w:rsidR="00B23AB4" w:rsidRPr="00DC380E" w:rsidRDefault="00B23AB4" w:rsidP="00B23AB4">
            <w:pPr>
              <w:spacing w:before="40"/>
              <w:rPr>
                <w:b/>
                <w:sz w:val="22"/>
                <w:szCs w:val="22"/>
              </w:rPr>
            </w:pPr>
            <w:r w:rsidRPr="00DC380E">
              <w:rPr>
                <w:b/>
                <w:sz w:val="22"/>
                <w:szCs w:val="22"/>
              </w:rPr>
              <w:t>National Ecological Fund</w:t>
            </w:r>
          </w:p>
          <w:p w14:paraId="3DDF957F" w14:textId="77777777" w:rsidR="00B23AB4" w:rsidRPr="00DC380E" w:rsidRDefault="00B23AB4" w:rsidP="00B23AB4">
            <w:pPr>
              <w:spacing w:before="40"/>
              <w:rPr>
                <w:sz w:val="22"/>
                <w:szCs w:val="22"/>
              </w:rPr>
            </w:pPr>
            <w:r w:rsidRPr="00DC380E">
              <w:rPr>
                <w:sz w:val="22"/>
                <w:szCs w:val="22"/>
              </w:rPr>
              <w:t>Ms. Mariana Covic, Head, Finance and Accounting Division</w:t>
            </w:r>
          </w:p>
          <w:p w14:paraId="45770D04" w14:textId="247744EB" w:rsidR="00B23AB4" w:rsidRPr="00DC380E" w:rsidRDefault="00B23AB4" w:rsidP="00B23AB4">
            <w:pPr>
              <w:spacing w:before="40"/>
              <w:rPr>
                <w:sz w:val="22"/>
                <w:szCs w:val="22"/>
              </w:rPr>
            </w:pPr>
            <w:r w:rsidRPr="00DC380E">
              <w:rPr>
                <w:sz w:val="22"/>
                <w:szCs w:val="22"/>
              </w:rPr>
              <w:t xml:space="preserve">Ms. Elena Creanga, Head, Accounting </w:t>
            </w:r>
            <w:r w:rsidR="003A6E4D">
              <w:rPr>
                <w:sz w:val="22"/>
                <w:szCs w:val="22"/>
              </w:rPr>
              <w:t>&amp;</w:t>
            </w:r>
            <w:r w:rsidRPr="00DC380E">
              <w:rPr>
                <w:sz w:val="22"/>
                <w:szCs w:val="22"/>
              </w:rPr>
              <w:t xml:space="preserve"> Control Service</w:t>
            </w:r>
            <w:r w:rsidR="003A6E4D">
              <w:rPr>
                <w:sz w:val="22"/>
                <w:szCs w:val="22"/>
              </w:rPr>
              <w:t>,</w:t>
            </w:r>
            <w:r w:rsidRPr="00DC380E">
              <w:rPr>
                <w:sz w:val="22"/>
                <w:szCs w:val="22"/>
              </w:rPr>
              <w:t xml:space="preserve"> NEF</w:t>
            </w:r>
          </w:p>
          <w:p w14:paraId="033B312B" w14:textId="77777777" w:rsidR="00B23AB4" w:rsidRPr="00DC380E" w:rsidRDefault="00B23AB4" w:rsidP="00B23AB4">
            <w:pPr>
              <w:spacing w:before="40"/>
              <w:rPr>
                <w:b/>
                <w:sz w:val="22"/>
                <w:szCs w:val="22"/>
              </w:rPr>
            </w:pPr>
            <w:r w:rsidRPr="00DC380E">
              <w:rPr>
                <w:sz w:val="22"/>
                <w:szCs w:val="22"/>
              </w:rPr>
              <w:t>Mr. Carolina Eremei, Consultant of Law Devison</w:t>
            </w:r>
          </w:p>
        </w:tc>
        <w:tc>
          <w:tcPr>
            <w:tcW w:w="2488" w:type="dxa"/>
            <w:noWrap/>
          </w:tcPr>
          <w:p w14:paraId="10D9E284" w14:textId="77777777" w:rsidR="00B23AB4" w:rsidRPr="00DC380E" w:rsidRDefault="00B23AB4" w:rsidP="00B23AB4">
            <w:pPr>
              <w:spacing w:before="40"/>
              <w:rPr>
                <w:sz w:val="22"/>
                <w:szCs w:val="22"/>
                <w:lang w:val="fr-FR"/>
              </w:rPr>
            </w:pPr>
            <w:r w:rsidRPr="00DC380E">
              <w:rPr>
                <w:sz w:val="22"/>
                <w:szCs w:val="22"/>
                <w:lang w:val="fr-FR"/>
              </w:rPr>
              <w:t>Jean Joseph Bellamy</w:t>
            </w:r>
          </w:p>
          <w:p w14:paraId="11D395A9" w14:textId="77777777" w:rsidR="00B23AB4" w:rsidRPr="00DC380E" w:rsidRDefault="00B23AB4" w:rsidP="00B23AB4">
            <w:pPr>
              <w:spacing w:before="40"/>
              <w:rPr>
                <w:sz w:val="22"/>
                <w:szCs w:val="22"/>
                <w:lang w:val="fr-FR"/>
              </w:rPr>
            </w:pPr>
            <w:r w:rsidRPr="00DC380E">
              <w:rPr>
                <w:sz w:val="22"/>
                <w:szCs w:val="22"/>
                <w:lang w:val="fr-FR"/>
              </w:rPr>
              <w:t>Victor Cotruta,</w:t>
            </w:r>
          </w:p>
          <w:p w14:paraId="7D21253F" w14:textId="77777777" w:rsidR="00B23AB4" w:rsidRPr="00DC380E" w:rsidRDefault="00B23AB4" w:rsidP="00B23AB4">
            <w:pPr>
              <w:spacing w:before="40"/>
              <w:rPr>
                <w:sz w:val="22"/>
                <w:szCs w:val="22"/>
                <w:lang w:val="fr-FR"/>
              </w:rPr>
            </w:pPr>
          </w:p>
        </w:tc>
        <w:tc>
          <w:tcPr>
            <w:tcW w:w="3119" w:type="dxa"/>
            <w:noWrap/>
          </w:tcPr>
          <w:p w14:paraId="7B9ECC35" w14:textId="77777777" w:rsidR="00B23AB4" w:rsidRPr="00DC380E" w:rsidRDefault="00B23AB4" w:rsidP="00B23AB4">
            <w:pPr>
              <w:pStyle w:val="ListParagraph"/>
              <w:spacing w:before="40"/>
              <w:ind w:left="0"/>
              <w:rPr>
                <w:sz w:val="22"/>
                <w:szCs w:val="22"/>
                <w:lang w:val="en-CA"/>
              </w:rPr>
            </w:pPr>
            <w:r w:rsidRPr="00DC380E">
              <w:rPr>
                <w:sz w:val="22"/>
                <w:szCs w:val="22"/>
                <w:lang w:val="en-CA"/>
              </w:rPr>
              <w:t>Restructuring NEF</w:t>
            </w:r>
          </w:p>
          <w:p w14:paraId="160D03DE" w14:textId="77777777" w:rsidR="00B23AB4" w:rsidRPr="00DC380E" w:rsidRDefault="00B23AB4" w:rsidP="00B23AB4">
            <w:pPr>
              <w:pStyle w:val="ListParagraph"/>
              <w:spacing w:before="40"/>
              <w:ind w:left="1080"/>
              <w:rPr>
                <w:sz w:val="22"/>
                <w:szCs w:val="22"/>
                <w:lang w:val="en-CA"/>
              </w:rPr>
            </w:pPr>
          </w:p>
        </w:tc>
        <w:tc>
          <w:tcPr>
            <w:tcW w:w="2189" w:type="dxa"/>
          </w:tcPr>
          <w:p w14:paraId="0C5A23CF" w14:textId="77777777" w:rsidR="00B23AB4" w:rsidRPr="00DC380E" w:rsidRDefault="00B23AB4" w:rsidP="00B23AB4">
            <w:pPr>
              <w:spacing w:before="40"/>
              <w:rPr>
                <w:sz w:val="22"/>
                <w:szCs w:val="22"/>
              </w:rPr>
            </w:pPr>
            <w:r w:rsidRPr="00DC380E">
              <w:rPr>
                <w:sz w:val="22"/>
                <w:szCs w:val="22"/>
              </w:rPr>
              <w:t>603</w:t>
            </w:r>
          </w:p>
          <w:p w14:paraId="791C6C9A" w14:textId="77777777" w:rsidR="00B23AB4" w:rsidRPr="00DC380E" w:rsidRDefault="00B23AB4" w:rsidP="00B23AB4">
            <w:pPr>
              <w:spacing w:before="40"/>
              <w:rPr>
                <w:sz w:val="22"/>
                <w:szCs w:val="22"/>
              </w:rPr>
            </w:pPr>
            <w:r w:rsidRPr="00DC380E">
              <w:rPr>
                <w:sz w:val="22"/>
                <w:szCs w:val="22"/>
              </w:rPr>
              <w:t>Tel: 022 20-45-31</w:t>
            </w:r>
          </w:p>
        </w:tc>
        <w:tc>
          <w:tcPr>
            <w:tcW w:w="1922" w:type="dxa"/>
          </w:tcPr>
          <w:p w14:paraId="527F36D2" w14:textId="77777777" w:rsidR="00B23AB4" w:rsidRPr="00DC380E" w:rsidRDefault="00B23AB4" w:rsidP="00B23AB4">
            <w:pPr>
              <w:spacing w:before="40"/>
              <w:rPr>
                <w:b/>
                <w:sz w:val="22"/>
                <w:szCs w:val="22"/>
              </w:rPr>
            </w:pPr>
            <w:r w:rsidRPr="00DC380E">
              <w:rPr>
                <w:b/>
                <w:sz w:val="22"/>
                <w:szCs w:val="22"/>
              </w:rPr>
              <w:t>Confirmed</w:t>
            </w:r>
          </w:p>
          <w:p w14:paraId="7566FF43" w14:textId="77777777" w:rsidR="00B23AB4" w:rsidRPr="00DC380E" w:rsidRDefault="00B23AB4" w:rsidP="00B23AB4">
            <w:pPr>
              <w:spacing w:before="40"/>
              <w:rPr>
                <w:sz w:val="22"/>
                <w:szCs w:val="22"/>
              </w:rPr>
            </w:pPr>
          </w:p>
        </w:tc>
      </w:tr>
      <w:tr w:rsidR="006E3D8D" w:rsidRPr="00DC380E" w14:paraId="3BA472FA" w14:textId="77777777" w:rsidTr="005F74EF">
        <w:tc>
          <w:tcPr>
            <w:tcW w:w="1537" w:type="dxa"/>
            <w:noWrap/>
          </w:tcPr>
          <w:p w14:paraId="541E01B2" w14:textId="77777777" w:rsidR="00B23AB4" w:rsidRPr="00DC380E" w:rsidRDefault="00B23AB4" w:rsidP="00B23AB4">
            <w:pPr>
              <w:spacing w:before="40"/>
              <w:rPr>
                <w:sz w:val="22"/>
                <w:szCs w:val="22"/>
              </w:rPr>
            </w:pPr>
            <w:r w:rsidRPr="00DC380E">
              <w:rPr>
                <w:sz w:val="22"/>
                <w:szCs w:val="22"/>
              </w:rPr>
              <w:t>16.00 – 17.00</w:t>
            </w:r>
          </w:p>
        </w:tc>
        <w:tc>
          <w:tcPr>
            <w:tcW w:w="3533" w:type="dxa"/>
            <w:noWrap/>
          </w:tcPr>
          <w:p w14:paraId="1E33FD35" w14:textId="77777777" w:rsidR="00B23AB4" w:rsidRPr="00DC380E" w:rsidRDefault="00B23AB4" w:rsidP="00B23AB4">
            <w:pPr>
              <w:spacing w:before="40"/>
              <w:rPr>
                <w:b/>
                <w:sz w:val="22"/>
                <w:szCs w:val="22"/>
              </w:rPr>
            </w:pPr>
            <w:r w:rsidRPr="00DC380E">
              <w:rPr>
                <w:b/>
                <w:sz w:val="22"/>
                <w:szCs w:val="22"/>
              </w:rPr>
              <w:t>Ministry of Finance</w:t>
            </w:r>
          </w:p>
          <w:p w14:paraId="4B85912D" w14:textId="77777777" w:rsidR="00B23AB4" w:rsidRPr="00DC380E" w:rsidRDefault="00B23AB4" w:rsidP="00B23AB4">
            <w:pPr>
              <w:spacing w:before="40"/>
              <w:rPr>
                <w:sz w:val="22"/>
                <w:szCs w:val="22"/>
              </w:rPr>
            </w:pPr>
            <w:r w:rsidRPr="00DC380E">
              <w:rPr>
                <w:sz w:val="22"/>
                <w:szCs w:val="22"/>
              </w:rPr>
              <w:t>Mr. Iurie Nastas, Head, Finances of National Economy Subdivision</w:t>
            </w:r>
          </w:p>
          <w:p w14:paraId="5E1F4AA8" w14:textId="77777777" w:rsidR="00B23AB4" w:rsidRPr="00DC380E" w:rsidRDefault="00B23AB4" w:rsidP="00B23AB4">
            <w:pPr>
              <w:spacing w:before="40"/>
              <w:rPr>
                <w:sz w:val="22"/>
                <w:szCs w:val="22"/>
              </w:rPr>
            </w:pPr>
            <w:r w:rsidRPr="00DC380E">
              <w:rPr>
                <w:sz w:val="22"/>
                <w:szCs w:val="22"/>
              </w:rPr>
              <w:t>Mr. Ion Iaconi, Head of division TAUB</w:t>
            </w:r>
          </w:p>
        </w:tc>
        <w:tc>
          <w:tcPr>
            <w:tcW w:w="2488" w:type="dxa"/>
            <w:noWrap/>
          </w:tcPr>
          <w:p w14:paraId="717FEAAA" w14:textId="77777777" w:rsidR="00B23AB4" w:rsidRPr="00DC380E" w:rsidRDefault="00B23AB4" w:rsidP="00B23AB4">
            <w:pPr>
              <w:spacing w:before="40"/>
              <w:rPr>
                <w:sz w:val="22"/>
                <w:szCs w:val="22"/>
                <w:lang w:val="fr-FR"/>
              </w:rPr>
            </w:pPr>
            <w:r w:rsidRPr="00DC380E">
              <w:rPr>
                <w:sz w:val="22"/>
                <w:szCs w:val="22"/>
                <w:lang w:val="fr-FR"/>
              </w:rPr>
              <w:t>Jean Joseph Bellamy</w:t>
            </w:r>
          </w:p>
          <w:p w14:paraId="535A8194" w14:textId="77777777" w:rsidR="00B23AB4" w:rsidRPr="00DC380E" w:rsidRDefault="00B23AB4" w:rsidP="00B23AB4">
            <w:pPr>
              <w:spacing w:before="40"/>
              <w:rPr>
                <w:sz w:val="22"/>
                <w:szCs w:val="22"/>
                <w:lang w:val="fr-FR"/>
              </w:rPr>
            </w:pPr>
            <w:r w:rsidRPr="00DC380E">
              <w:rPr>
                <w:sz w:val="22"/>
                <w:szCs w:val="22"/>
                <w:lang w:val="fr-FR"/>
              </w:rPr>
              <w:t>Victor Cotruta</w:t>
            </w:r>
          </w:p>
          <w:p w14:paraId="5229F47D" w14:textId="77777777" w:rsidR="00B23AB4" w:rsidRPr="00DC380E" w:rsidRDefault="00B23AB4" w:rsidP="00B23AB4">
            <w:pPr>
              <w:spacing w:before="40"/>
              <w:rPr>
                <w:sz w:val="22"/>
                <w:szCs w:val="22"/>
                <w:lang w:val="fr-FR"/>
              </w:rPr>
            </w:pPr>
          </w:p>
        </w:tc>
        <w:tc>
          <w:tcPr>
            <w:tcW w:w="3119" w:type="dxa"/>
            <w:noWrap/>
          </w:tcPr>
          <w:p w14:paraId="2E954491" w14:textId="77777777" w:rsidR="00B23AB4" w:rsidRPr="00DC380E" w:rsidRDefault="00B23AB4" w:rsidP="00B23AB4">
            <w:pPr>
              <w:pStyle w:val="ListParagraph"/>
              <w:spacing w:before="40"/>
              <w:ind w:left="0"/>
              <w:rPr>
                <w:sz w:val="22"/>
                <w:szCs w:val="22"/>
                <w:lang w:val="en-CA"/>
              </w:rPr>
            </w:pPr>
            <w:r w:rsidRPr="00DC380E">
              <w:rPr>
                <w:sz w:val="22"/>
                <w:szCs w:val="22"/>
                <w:lang w:val="en-CA"/>
              </w:rPr>
              <w:t>Restructuring NEF</w:t>
            </w:r>
          </w:p>
          <w:p w14:paraId="2F742A65" w14:textId="77777777" w:rsidR="00B23AB4" w:rsidRPr="00DC380E" w:rsidRDefault="00B23AB4" w:rsidP="00B23AB4">
            <w:pPr>
              <w:pStyle w:val="ListParagraph"/>
              <w:spacing w:before="40"/>
              <w:ind w:left="0"/>
              <w:rPr>
                <w:sz w:val="22"/>
                <w:szCs w:val="22"/>
                <w:lang w:val="en-CA"/>
              </w:rPr>
            </w:pPr>
            <w:r w:rsidRPr="00DC380E">
              <w:rPr>
                <w:sz w:val="22"/>
                <w:szCs w:val="22"/>
                <w:lang w:val="en-CA"/>
              </w:rPr>
              <w:t>Environmental payments</w:t>
            </w:r>
          </w:p>
          <w:p w14:paraId="7594A877" w14:textId="0D9458F1" w:rsidR="00B23AB4" w:rsidRPr="003A6E4D" w:rsidRDefault="00B23AB4" w:rsidP="003A6E4D">
            <w:pPr>
              <w:pStyle w:val="ListParagraph"/>
              <w:spacing w:before="40"/>
              <w:ind w:left="0"/>
              <w:rPr>
                <w:sz w:val="22"/>
                <w:szCs w:val="22"/>
                <w:lang w:val="en-CA"/>
              </w:rPr>
            </w:pPr>
            <w:r w:rsidRPr="00DC380E">
              <w:rPr>
                <w:sz w:val="22"/>
                <w:szCs w:val="22"/>
                <w:lang w:val="en-CA"/>
              </w:rPr>
              <w:t>Integration environmental aspects in performance budgeting</w:t>
            </w:r>
          </w:p>
        </w:tc>
        <w:tc>
          <w:tcPr>
            <w:tcW w:w="2189" w:type="dxa"/>
          </w:tcPr>
          <w:p w14:paraId="630FD4AA" w14:textId="77777777" w:rsidR="00B23AB4" w:rsidRPr="00DC380E" w:rsidRDefault="00B23AB4" w:rsidP="00B23AB4">
            <w:pPr>
              <w:spacing w:before="40"/>
              <w:rPr>
                <w:color w:val="000000"/>
                <w:sz w:val="22"/>
                <w:szCs w:val="22"/>
              </w:rPr>
            </w:pPr>
            <w:r w:rsidRPr="00DC380E">
              <w:rPr>
                <w:color w:val="000000"/>
                <w:sz w:val="22"/>
                <w:szCs w:val="22"/>
              </w:rPr>
              <w:t xml:space="preserve">7, Cosmonauţilor str., </w:t>
            </w:r>
          </w:p>
          <w:p w14:paraId="715E6C46" w14:textId="2B6FD681" w:rsidR="00B23AB4" w:rsidRPr="00DC380E" w:rsidRDefault="003A6E4D" w:rsidP="00B23AB4">
            <w:pPr>
              <w:spacing w:before="40"/>
              <w:rPr>
                <w:color w:val="000000"/>
                <w:sz w:val="22"/>
                <w:szCs w:val="22"/>
              </w:rPr>
            </w:pPr>
            <w:r>
              <w:rPr>
                <w:color w:val="000000"/>
                <w:sz w:val="22"/>
                <w:szCs w:val="22"/>
              </w:rPr>
              <w:t>Tel</w:t>
            </w:r>
            <w:r w:rsidR="00B23AB4" w:rsidRPr="00DC380E">
              <w:rPr>
                <w:color w:val="000000"/>
                <w:sz w:val="22"/>
                <w:szCs w:val="22"/>
              </w:rPr>
              <w:t xml:space="preserve">: 022 26 25 </w:t>
            </w:r>
          </w:p>
        </w:tc>
        <w:tc>
          <w:tcPr>
            <w:tcW w:w="1922" w:type="dxa"/>
          </w:tcPr>
          <w:p w14:paraId="4E6CB68F"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65A545D0" w14:textId="77777777" w:rsidTr="005F74EF">
        <w:tc>
          <w:tcPr>
            <w:tcW w:w="1537" w:type="dxa"/>
            <w:noWrap/>
          </w:tcPr>
          <w:p w14:paraId="2EDBB14B" w14:textId="77777777" w:rsidR="00B23AB4" w:rsidRPr="00DC380E" w:rsidRDefault="00B23AB4" w:rsidP="00B23AB4">
            <w:pPr>
              <w:spacing w:before="40"/>
              <w:rPr>
                <w:sz w:val="22"/>
                <w:szCs w:val="22"/>
              </w:rPr>
            </w:pPr>
            <w:r w:rsidRPr="00DC380E">
              <w:rPr>
                <w:sz w:val="22"/>
                <w:szCs w:val="22"/>
              </w:rPr>
              <w:t>17.30 – 18.00</w:t>
            </w:r>
          </w:p>
        </w:tc>
        <w:tc>
          <w:tcPr>
            <w:tcW w:w="3533" w:type="dxa"/>
            <w:noWrap/>
          </w:tcPr>
          <w:p w14:paraId="3D2D673C" w14:textId="77777777" w:rsidR="00B23AB4" w:rsidRPr="00DC380E" w:rsidRDefault="00B23AB4" w:rsidP="00B23AB4">
            <w:pPr>
              <w:spacing w:before="40"/>
              <w:rPr>
                <w:b/>
                <w:sz w:val="22"/>
                <w:szCs w:val="22"/>
              </w:rPr>
            </w:pPr>
            <w:r w:rsidRPr="00DC380E">
              <w:rPr>
                <w:b/>
                <w:sz w:val="22"/>
                <w:szCs w:val="22"/>
              </w:rPr>
              <w:t>EFR Project’s Office</w:t>
            </w:r>
          </w:p>
          <w:p w14:paraId="11DE2C3C" w14:textId="77777777" w:rsidR="00B23AB4" w:rsidRPr="00DC380E" w:rsidRDefault="00B23AB4" w:rsidP="00B23AB4">
            <w:pPr>
              <w:spacing w:before="40"/>
              <w:rPr>
                <w:sz w:val="22"/>
                <w:szCs w:val="22"/>
                <w:lang w:val="en-CA"/>
              </w:rPr>
            </w:pPr>
            <w:r w:rsidRPr="00DC380E">
              <w:rPr>
                <w:sz w:val="22"/>
                <w:szCs w:val="22"/>
              </w:rPr>
              <w:t>War-up Meeting</w:t>
            </w:r>
            <w:r w:rsidRPr="00DC380E">
              <w:rPr>
                <w:sz w:val="22"/>
                <w:szCs w:val="22"/>
                <w:lang w:val="en-CA"/>
              </w:rPr>
              <w:t xml:space="preserve"> </w:t>
            </w:r>
          </w:p>
          <w:p w14:paraId="1353BF8F" w14:textId="77777777" w:rsidR="00B23AB4" w:rsidRPr="00DC380E" w:rsidRDefault="00B23AB4" w:rsidP="00B23AB4">
            <w:pPr>
              <w:spacing w:before="40"/>
              <w:rPr>
                <w:sz w:val="22"/>
                <w:szCs w:val="22"/>
                <w:lang w:val="en-CA"/>
              </w:rPr>
            </w:pPr>
            <w:r w:rsidRPr="00DC380E">
              <w:rPr>
                <w:sz w:val="22"/>
                <w:szCs w:val="22"/>
                <w:lang w:val="en-CA"/>
              </w:rPr>
              <w:t>Mihai Roscovan</w:t>
            </w:r>
          </w:p>
          <w:p w14:paraId="0EE8888D" w14:textId="77777777" w:rsidR="00B23AB4" w:rsidRPr="00DC380E" w:rsidRDefault="00B23AB4" w:rsidP="00B23AB4">
            <w:pPr>
              <w:spacing w:before="40"/>
              <w:rPr>
                <w:sz w:val="22"/>
                <w:szCs w:val="22"/>
                <w:lang w:val="en-CA"/>
              </w:rPr>
            </w:pPr>
            <w:r w:rsidRPr="00DC380E">
              <w:rPr>
                <w:sz w:val="22"/>
                <w:szCs w:val="22"/>
                <w:lang w:val="en-CA"/>
              </w:rPr>
              <w:t>Valentin Rosca</w:t>
            </w:r>
          </w:p>
          <w:p w14:paraId="28ECF9C5" w14:textId="1340E11D" w:rsidR="00B23AB4" w:rsidRPr="005F74EF" w:rsidRDefault="00B23AB4" w:rsidP="00B23AB4">
            <w:pPr>
              <w:spacing w:before="40"/>
              <w:rPr>
                <w:sz w:val="22"/>
                <w:szCs w:val="22"/>
                <w:lang w:val="fr-FR"/>
              </w:rPr>
            </w:pPr>
            <w:r w:rsidRPr="00DC380E">
              <w:rPr>
                <w:sz w:val="22"/>
                <w:szCs w:val="22"/>
                <w:lang w:val="fr-FR"/>
              </w:rPr>
              <w:t>Dumitru Budianschi, Eugenia Veverita, EFR consultants</w:t>
            </w:r>
          </w:p>
        </w:tc>
        <w:tc>
          <w:tcPr>
            <w:tcW w:w="2488" w:type="dxa"/>
            <w:noWrap/>
          </w:tcPr>
          <w:p w14:paraId="2636CF63" w14:textId="77777777" w:rsidR="00B23AB4" w:rsidRPr="00DC380E" w:rsidRDefault="00B23AB4" w:rsidP="00B23AB4">
            <w:pPr>
              <w:spacing w:before="40"/>
              <w:rPr>
                <w:sz w:val="22"/>
                <w:szCs w:val="22"/>
                <w:lang w:val="en-CA"/>
              </w:rPr>
            </w:pPr>
            <w:r w:rsidRPr="00DC380E">
              <w:rPr>
                <w:sz w:val="22"/>
                <w:szCs w:val="22"/>
                <w:lang w:val="en-CA"/>
              </w:rPr>
              <w:t>Jean Joseph Bellamy</w:t>
            </w:r>
          </w:p>
          <w:p w14:paraId="1FBED41F" w14:textId="77777777" w:rsidR="00B23AB4" w:rsidRPr="00DC380E" w:rsidRDefault="00B23AB4" w:rsidP="00B23AB4">
            <w:pPr>
              <w:spacing w:before="40"/>
              <w:rPr>
                <w:sz w:val="22"/>
                <w:szCs w:val="22"/>
                <w:lang w:val="en-CA"/>
              </w:rPr>
            </w:pPr>
            <w:r w:rsidRPr="00DC380E">
              <w:rPr>
                <w:sz w:val="22"/>
                <w:szCs w:val="22"/>
                <w:lang w:val="en-CA"/>
              </w:rPr>
              <w:t>Victor Cotruta</w:t>
            </w:r>
          </w:p>
        </w:tc>
        <w:tc>
          <w:tcPr>
            <w:tcW w:w="3119" w:type="dxa"/>
            <w:noWrap/>
          </w:tcPr>
          <w:p w14:paraId="76DC63DA" w14:textId="77777777" w:rsidR="00B23AB4" w:rsidRPr="00DC380E" w:rsidRDefault="00B23AB4" w:rsidP="00B23AB4">
            <w:pPr>
              <w:spacing w:before="40"/>
              <w:rPr>
                <w:sz w:val="22"/>
                <w:szCs w:val="22"/>
              </w:rPr>
            </w:pPr>
          </w:p>
        </w:tc>
        <w:tc>
          <w:tcPr>
            <w:tcW w:w="2189" w:type="dxa"/>
          </w:tcPr>
          <w:p w14:paraId="7FEFA40B" w14:textId="77777777" w:rsidR="00B23AB4" w:rsidRPr="00DC380E" w:rsidRDefault="00B23AB4" w:rsidP="00B23AB4">
            <w:pPr>
              <w:spacing w:before="40"/>
              <w:rPr>
                <w:sz w:val="22"/>
                <w:szCs w:val="22"/>
              </w:rPr>
            </w:pPr>
            <w:r w:rsidRPr="00DC380E">
              <w:rPr>
                <w:sz w:val="22"/>
                <w:szCs w:val="22"/>
              </w:rPr>
              <w:t>Iorga, 21</w:t>
            </w:r>
          </w:p>
          <w:p w14:paraId="277531F5" w14:textId="77777777" w:rsidR="00B23AB4" w:rsidRPr="00DC380E" w:rsidRDefault="00B23AB4" w:rsidP="00B23AB4">
            <w:pPr>
              <w:spacing w:before="40"/>
              <w:rPr>
                <w:sz w:val="22"/>
                <w:szCs w:val="22"/>
              </w:rPr>
            </w:pPr>
            <w:r w:rsidRPr="00DC380E">
              <w:rPr>
                <w:sz w:val="22"/>
                <w:szCs w:val="22"/>
              </w:rPr>
              <w:t>3</w:t>
            </w:r>
            <w:r w:rsidRPr="00DC380E">
              <w:rPr>
                <w:sz w:val="22"/>
                <w:szCs w:val="22"/>
                <w:vertAlign w:val="superscript"/>
              </w:rPr>
              <w:t>rd</w:t>
            </w:r>
            <w:r w:rsidRPr="00DC380E">
              <w:rPr>
                <w:sz w:val="22"/>
                <w:szCs w:val="22"/>
              </w:rPr>
              <w:t xml:space="preserve"> floor </w:t>
            </w:r>
          </w:p>
        </w:tc>
        <w:tc>
          <w:tcPr>
            <w:tcW w:w="1922" w:type="dxa"/>
          </w:tcPr>
          <w:p w14:paraId="560A5680" w14:textId="77777777" w:rsidR="00B23AB4" w:rsidRPr="00DC380E" w:rsidRDefault="00B23AB4" w:rsidP="00B23AB4">
            <w:pPr>
              <w:spacing w:before="40"/>
              <w:rPr>
                <w:b/>
                <w:sz w:val="22"/>
                <w:szCs w:val="22"/>
              </w:rPr>
            </w:pPr>
          </w:p>
        </w:tc>
      </w:tr>
      <w:tr w:rsidR="00B23AB4" w:rsidRPr="00DC380E" w14:paraId="53831CF2" w14:textId="77777777" w:rsidTr="00DC380E">
        <w:trPr>
          <w:trHeight w:val="255"/>
        </w:trPr>
        <w:tc>
          <w:tcPr>
            <w:tcW w:w="14788" w:type="dxa"/>
            <w:gridSpan w:val="6"/>
            <w:shd w:val="clear" w:color="auto" w:fill="D9D9D9" w:themeFill="background1" w:themeFillShade="D9"/>
            <w:noWrap/>
          </w:tcPr>
          <w:p w14:paraId="10742A30" w14:textId="77777777" w:rsidR="00B23AB4" w:rsidRPr="00DC380E" w:rsidRDefault="00B23AB4" w:rsidP="00B23AB4">
            <w:pPr>
              <w:spacing w:before="40"/>
              <w:rPr>
                <w:b/>
                <w:color w:val="000080"/>
                <w:sz w:val="22"/>
                <w:szCs w:val="22"/>
              </w:rPr>
            </w:pPr>
            <w:r w:rsidRPr="00DC380E">
              <w:rPr>
                <w:b/>
                <w:color w:val="000080"/>
                <w:sz w:val="22"/>
                <w:szCs w:val="22"/>
              </w:rPr>
              <w:t>Wednesday, 2 September, 2015</w:t>
            </w:r>
          </w:p>
        </w:tc>
      </w:tr>
      <w:tr w:rsidR="00B23AB4" w:rsidRPr="00DC380E" w14:paraId="56A791F8" w14:textId="77777777" w:rsidTr="005F74EF">
        <w:tc>
          <w:tcPr>
            <w:tcW w:w="1537" w:type="dxa"/>
            <w:noWrap/>
          </w:tcPr>
          <w:p w14:paraId="67FA61E1" w14:textId="77777777" w:rsidR="00B23AB4" w:rsidRPr="00DC380E" w:rsidRDefault="00B23AB4" w:rsidP="00B23AB4">
            <w:pPr>
              <w:spacing w:before="40"/>
              <w:rPr>
                <w:sz w:val="22"/>
                <w:szCs w:val="22"/>
              </w:rPr>
            </w:pPr>
            <w:r w:rsidRPr="00DC380E">
              <w:rPr>
                <w:sz w:val="22"/>
                <w:szCs w:val="22"/>
              </w:rPr>
              <w:t>08.45 – 09.45</w:t>
            </w:r>
          </w:p>
        </w:tc>
        <w:tc>
          <w:tcPr>
            <w:tcW w:w="3533" w:type="dxa"/>
            <w:noWrap/>
          </w:tcPr>
          <w:p w14:paraId="0B89D925" w14:textId="77777777" w:rsidR="00B23AB4" w:rsidRPr="00DC380E" w:rsidRDefault="00B23AB4" w:rsidP="00B23AB4">
            <w:pPr>
              <w:spacing w:before="40"/>
              <w:rPr>
                <w:b/>
                <w:sz w:val="22"/>
                <w:szCs w:val="22"/>
              </w:rPr>
            </w:pPr>
            <w:r w:rsidRPr="00DC380E">
              <w:rPr>
                <w:b/>
                <w:sz w:val="22"/>
                <w:szCs w:val="22"/>
              </w:rPr>
              <w:t>Ministry of Economy</w:t>
            </w:r>
          </w:p>
          <w:p w14:paraId="425C2334" w14:textId="77777777" w:rsidR="00B23AB4" w:rsidRPr="00DC380E" w:rsidRDefault="00B23AB4" w:rsidP="00B23AB4">
            <w:pPr>
              <w:spacing w:before="40"/>
              <w:rPr>
                <w:sz w:val="22"/>
                <w:szCs w:val="22"/>
              </w:rPr>
            </w:pPr>
            <w:r w:rsidRPr="00DC380E">
              <w:rPr>
                <w:sz w:val="22"/>
                <w:szCs w:val="22"/>
              </w:rPr>
              <w:t>Ms. Lilia Palii, State Minister</w:t>
            </w:r>
          </w:p>
          <w:p w14:paraId="63BF55A9" w14:textId="5FDE0E0A" w:rsidR="00B23AB4" w:rsidRPr="00DC380E" w:rsidRDefault="003A6E4D" w:rsidP="00B23AB4">
            <w:pPr>
              <w:spacing w:before="40"/>
              <w:rPr>
                <w:sz w:val="22"/>
                <w:szCs w:val="22"/>
              </w:rPr>
            </w:pPr>
            <w:r>
              <w:rPr>
                <w:sz w:val="22"/>
                <w:szCs w:val="22"/>
              </w:rPr>
              <w:t xml:space="preserve">Ms. Emilia Cebotari, </w:t>
            </w:r>
            <w:r w:rsidR="00B23AB4" w:rsidRPr="00DC380E">
              <w:rPr>
                <w:sz w:val="22"/>
                <w:szCs w:val="22"/>
              </w:rPr>
              <w:t>Head, Project development Division</w:t>
            </w:r>
          </w:p>
          <w:p w14:paraId="210A208E" w14:textId="6EF04982" w:rsidR="00B23AB4" w:rsidRPr="005F74EF" w:rsidRDefault="00B23AB4" w:rsidP="00B23AB4">
            <w:pPr>
              <w:spacing w:before="40"/>
              <w:rPr>
                <w:sz w:val="22"/>
                <w:szCs w:val="22"/>
              </w:rPr>
            </w:pPr>
            <w:r w:rsidRPr="00DC380E">
              <w:rPr>
                <w:sz w:val="22"/>
                <w:szCs w:val="22"/>
              </w:rPr>
              <w:t>Ms. Maia Apostu, Head, Fiscal Policy and State Budget Subdivision</w:t>
            </w:r>
          </w:p>
        </w:tc>
        <w:tc>
          <w:tcPr>
            <w:tcW w:w="2488" w:type="dxa"/>
            <w:noWrap/>
          </w:tcPr>
          <w:p w14:paraId="1C8FBDD5" w14:textId="77777777" w:rsidR="00B23AB4" w:rsidRPr="00DC380E" w:rsidRDefault="00B23AB4" w:rsidP="00B23AB4">
            <w:pPr>
              <w:spacing w:before="40"/>
              <w:rPr>
                <w:sz w:val="22"/>
                <w:szCs w:val="22"/>
                <w:lang w:val="fr-FR"/>
              </w:rPr>
            </w:pPr>
            <w:r w:rsidRPr="00DC380E">
              <w:rPr>
                <w:sz w:val="22"/>
                <w:szCs w:val="22"/>
                <w:lang w:val="fr-FR"/>
              </w:rPr>
              <w:t>Jean Joseph Bellamy</w:t>
            </w:r>
          </w:p>
          <w:p w14:paraId="51724A7A"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noWrap/>
          </w:tcPr>
          <w:p w14:paraId="28A009B5" w14:textId="77777777" w:rsidR="00B23AB4" w:rsidRPr="00DC380E" w:rsidRDefault="00B23AB4" w:rsidP="00B23AB4">
            <w:pPr>
              <w:spacing w:before="40"/>
              <w:rPr>
                <w:sz w:val="22"/>
                <w:szCs w:val="22"/>
                <w:lang w:val="en-CA"/>
              </w:rPr>
            </w:pPr>
            <w:r w:rsidRPr="00DC380E">
              <w:rPr>
                <w:sz w:val="22"/>
                <w:szCs w:val="22"/>
                <w:lang w:val="en-CA"/>
              </w:rPr>
              <w:t>Sustainable development and Green Economy</w:t>
            </w:r>
          </w:p>
          <w:p w14:paraId="1EA12100" w14:textId="77777777" w:rsidR="00B23AB4" w:rsidRPr="00DC380E" w:rsidRDefault="00B23AB4" w:rsidP="00B23AB4">
            <w:pPr>
              <w:spacing w:before="40"/>
              <w:rPr>
                <w:sz w:val="22"/>
                <w:szCs w:val="22"/>
                <w:lang w:val="en-CA"/>
              </w:rPr>
            </w:pPr>
            <w:r w:rsidRPr="00DC380E">
              <w:rPr>
                <w:sz w:val="22"/>
                <w:szCs w:val="22"/>
                <w:lang w:val="en-CA"/>
              </w:rPr>
              <w:t>Environmental payments</w:t>
            </w:r>
          </w:p>
        </w:tc>
        <w:tc>
          <w:tcPr>
            <w:tcW w:w="2189" w:type="dxa"/>
          </w:tcPr>
          <w:p w14:paraId="267BB1FA" w14:textId="77777777" w:rsidR="00B23AB4" w:rsidRPr="00DC380E" w:rsidRDefault="00B23AB4" w:rsidP="00B23AB4">
            <w:pPr>
              <w:spacing w:before="40"/>
              <w:rPr>
                <w:sz w:val="22"/>
                <w:szCs w:val="22"/>
              </w:rPr>
            </w:pPr>
            <w:r w:rsidRPr="00DC380E">
              <w:rPr>
                <w:sz w:val="22"/>
                <w:szCs w:val="22"/>
              </w:rPr>
              <w:t>Government Building</w:t>
            </w:r>
          </w:p>
          <w:p w14:paraId="72678767" w14:textId="77777777" w:rsidR="00B23AB4" w:rsidRPr="00DC380E" w:rsidRDefault="00B23AB4" w:rsidP="00B23AB4">
            <w:pPr>
              <w:spacing w:before="40"/>
              <w:rPr>
                <w:sz w:val="22"/>
                <w:szCs w:val="22"/>
              </w:rPr>
            </w:pPr>
            <w:r w:rsidRPr="00DC380E">
              <w:rPr>
                <w:sz w:val="22"/>
                <w:szCs w:val="22"/>
              </w:rPr>
              <w:t>Piața Marii Adunări Naționale, nr.1,</w:t>
            </w:r>
          </w:p>
          <w:p w14:paraId="08C2747B" w14:textId="77777777" w:rsidR="00B23AB4" w:rsidRPr="00DC380E" w:rsidRDefault="00B23AB4" w:rsidP="00B23AB4">
            <w:pPr>
              <w:spacing w:before="40"/>
              <w:rPr>
                <w:sz w:val="22"/>
                <w:szCs w:val="22"/>
              </w:rPr>
            </w:pPr>
            <w:r w:rsidRPr="00DC380E">
              <w:rPr>
                <w:sz w:val="22"/>
                <w:szCs w:val="22"/>
              </w:rPr>
              <w:t>Off. 252</w:t>
            </w:r>
          </w:p>
          <w:p w14:paraId="26FB421D" w14:textId="11C74F15" w:rsidR="00B23AB4" w:rsidRPr="00DC380E" w:rsidRDefault="003A6E4D" w:rsidP="00B23AB4">
            <w:pPr>
              <w:spacing w:before="40"/>
              <w:rPr>
                <w:sz w:val="22"/>
                <w:szCs w:val="22"/>
              </w:rPr>
            </w:pPr>
            <w:r>
              <w:rPr>
                <w:sz w:val="22"/>
                <w:szCs w:val="22"/>
              </w:rPr>
              <w:t>Тel</w:t>
            </w:r>
            <w:r w:rsidR="00B23AB4" w:rsidRPr="00DC380E">
              <w:rPr>
                <w:sz w:val="22"/>
                <w:szCs w:val="22"/>
              </w:rPr>
              <w:t xml:space="preserve">: 022 250 535 </w:t>
            </w:r>
          </w:p>
        </w:tc>
        <w:tc>
          <w:tcPr>
            <w:tcW w:w="1922" w:type="dxa"/>
          </w:tcPr>
          <w:p w14:paraId="10242B8E" w14:textId="77777777" w:rsidR="00B23AB4" w:rsidRPr="00DC380E" w:rsidRDefault="00B23AB4" w:rsidP="00B23AB4">
            <w:pPr>
              <w:spacing w:before="40"/>
              <w:rPr>
                <w:sz w:val="22"/>
                <w:szCs w:val="22"/>
              </w:rPr>
            </w:pPr>
            <w:r w:rsidRPr="00DC380E">
              <w:rPr>
                <w:b/>
                <w:sz w:val="22"/>
                <w:szCs w:val="22"/>
              </w:rPr>
              <w:t>Confirmed</w:t>
            </w:r>
            <w:r w:rsidRPr="00DC380E">
              <w:rPr>
                <w:sz w:val="22"/>
                <w:szCs w:val="22"/>
              </w:rPr>
              <w:t xml:space="preserve"> </w:t>
            </w:r>
          </w:p>
        </w:tc>
      </w:tr>
      <w:tr w:rsidR="00B23AB4" w:rsidRPr="00DC380E" w14:paraId="2D4B5B02" w14:textId="77777777" w:rsidTr="005F74EF">
        <w:tc>
          <w:tcPr>
            <w:tcW w:w="1537" w:type="dxa"/>
            <w:noWrap/>
          </w:tcPr>
          <w:p w14:paraId="7597B773" w14:textId="77777777" w:rsidR="00B23AB4" w:rsidRPr="00DC380E" w:rsidRDefault="00B23AB4" w:rsidP="00B23AB4">
            <w:pPr>
              <w:spacing w:before="40"/>
              <w:rPr>
                <w:sz w:val="22"/>
                <w:szCs w:val="22"/>
              </w:rPr>
            </w:pPr>
            <w:r w:rsidRPr="00DC380E">
              <w:rPr>
                <w:sz w:val="22"/>
                <w:szCs w:val="22"/>
              </w:rPr>
              <w:t>09.50 – 10.50</w:t>
            </w:r>
          </w:p>
        </w:tc>
        <w:tc>
          <w:tcPr>
            <w:tcW w:w="3533" w:type="dxa"/>
            <w:noWrap/>
          </w:tcPr>
          <w:p w14:paraId="5865A73E" w14:textId="77777777" w:rsidR="00B23AB4" w:rsidRPr="00DC380E" w:rsidRDefault="00B23AB4" w:rsidP="00B23AB4">
            <w:pPr>
              <w:spacing w:before="40"/>
              <w:rPr>
                <w:b/>
                <w:sz w:val="22"/>
                <w:szCs w:val="22"/>
              </w:rPr>
            </w:pPr>
            <w:r w:rsidRPr="00DC380E">
              <w:rPr>
                <w:b/>
                <w:sz w:val="22"/>
                <w:szCs w:val="22"/>
              </w:rPr>
              <w:t>Ministry of Economy</w:t>
            </w:r>
          </w:p>
          <w:p w14:paraId="4ECDE817" w14:textId="77777777" w:rsidR="00B23AB4" w:rsidRPr="00DC380E" w:rsidRDefault="00B23AB4" w:rsidP="00B23AB4">
            <w:pPr>
              <w:spacing w:before="40"/>
              <w:rPr>
                <w:b/>
                <w:sz w:val="22"/>
                <w:szCs w:val="22"/>
              </w:rPr>
            </w:pPr>
            <w:r w:rsidRPr="00DC380E">
              <w:rPr>
                <w:sz w:val="22"/>
                <w:szCs w:val="22"/>
              </w:rPr>
              <w:t xml:space="preserve">Ms. Mariana Botezatu, Head, General Division for Security and Energy Efficiency </w:t>
            </w:r>
          </w:p>
        </w:tc>
        <w:tc>
          <w:tcPr>
            <w:tcW w:w="2488" w:type="dxa"/>
            <w:noWrap/>
          </w:tcPr>
          <w:p w14:paraId="4C4D89C7" w14:textId="77777777" w:rsidR="00B23AB4" w:rsidRPr="00DC380E" w:rsidRDefault="00B23AB4" w:rsidP="00B23AB4">
            <w:pPr>
              <w:spacing w:before="40"/>
              <w:rPr>
                <w:sz w:val="22"/>
                <w:szCs w:val="22"/>
                <w:lang w:val="fr-FR"/>
              </w:rPr>
            </w:pPr>
            <w:r w:rsidRPr="00DC380E">
              <w:rPr>
                <w:sz w:val="22"/>
                <w:szCs w:val="22"/>
                <w:lang w:val="fr-FR"/>
              </w:rPr>
              <w:t>Jean Joseph Bellamy</w:t>
            </w:r>
          </w:p>
          <w:p w14:paraId="55AB85D0" w14:textId="77777777" w:rsidR="00B23AB4" w:rsidRPr="00DC380E" w:rsidRDefault="00B23AB4" w:rsidP="00B23AB4">
            <w:pPr>
              <w:spacing w:before="40"/>
              <w:rPr>
                <w:sz w:val="22"/>
                <w:szCs w:val="22"/>
                <w:lang w:val="fr-FR"/>
              </w:rPr>
            </w:pPr>
            <w:r w:rsidRPr="00DC380E">
              <w:rPr>
                <w:sz w:val="22"/>
                <w:szCs w:val="22"/>
                <w:lang w:val="fr-FR"/>
              </w:rPr>
              <w:t>Victor Cotruta</w:t>
            </w:r>
          </w:p>
          <w:p w14:paraId="30395355" w14:textId="77777777" w:rsidR="00B23AB4" w:rsidRPr="00DC380E" w:rsidRDefault="00B23AB4" w:rsidP="00B23AB4">
            <w:pPr>
              <w:spacing w:before="40"/>
              <w:rPr>
                <w:sz w:val="22"/>
                <w:szCs w:val="22"/>
                <w:lang w:val="fr-FR"/>
              </w:rPr>
            </w:pPr>
          </w:p>
        </w:tc>
        <w:tc>
          <w:tcPr>
            <w:tcW w:w="3119" w:type="dxa"/>
            <w:noWrap/>
          </w:tcPr>
          <w:p w14:paraId="223EA465" w14:textId="77777777" w:rsidR="00B23AB4" w:rsidRPr="00DC380E" w:rsidRDefault="00B23AB4" w:rsidP="00B23AB4">
            <w:pPr>
              <w:spacing w:before="40"/>
              <w:rPr>
                <w:sz w:val="22"/>
                <w:szCs w:val="22"/>
                <w:lang w:val="en-CA"/>
              </w:rPr>
            </w:pPr>
            <w:r w:rsidRPr="00DC380E">
              <w:rPr>
                <w:sz w:val="22"/>
                <w:szCs w:val="22"/>
                <w:lang w:val="en-CA"/>
              </w:rPr>
              <w:t>Energy subsidies</w:t>
            </w:r>
          </w:p>
        </w:tc>
        <w:tc>
          <w:tcPr>
            <w:tcW w:w="2189" w:type="dxa"/>
          </w:tcPr>
          <w:p w14:paraId="5835793A" w14:textId="77777777" w:rsidR="00B23AB4" w:rsidRPr="00DC380E" w:rsidRDefault="00B23AB4" w:rsidP="00B23AB4">
            <w:pPr>
              <w:spacing w:before="40"/>
              <w:rPr>
                <w:sz w:val="22"/>
                <w:szCs w:val="22"/>
              </w:rPr>
            </w:pPr>
            <w:r w:rsidRPr="00DC380E">
              <w:rPr>
                <w:sz w:val="22"/>
                <w:szCs w:val="22"/>
              </w:rPr>
              <w:t>Government Building</w:t>
            </w:r>
          </w:p>
          <w:p w14:paraId="16788B4D" w14:textId="77777777" w:rsidR="00B23AB4" w:rsidRPr="00DC380E" w:rsidRDefault="00B23AB4" w:rsidP="00B23AB4">
            <w:pPr>
              <w:spacing w:before="40"/>
              <w:rPr>
                <w:sz w:val="22"/>
                <w:szCs w:val="22"/>
              </w:rPr>
            </w:pPr>
            <w:r w:rsidRPr="00DC380E">
              <w:rPr>
                <w:sz w:val="22"/>
                <w:szCs w:val="22"/>
              </w:rPr>
              <w:t xml:space="preserve">Piața Marii Adunări Naționale, nr.1, </w:t>
            </w:r>
          </w:p>
          <w:p w14:paraId="2984CBA9" w14:textId="77777777" w:rsidR="00B23AB4" w:rsidRPr="00DC380E" w:rsidRDefault="00B23AB4" w:rsidP="00B23AB4">
            <w:pPr>
              <w:spacing w:before="40"/>
              <w:rPr>
                <w:sz w:val="22"/>
                <w:szCs w:val="22"/>
              </w:rPr>
            </w:pPr>
            <w:r w:rsidRPr="00DC380E">
              <w:rPr>
                <w:sz w:val="22"/>
                <w:szCs w:val="22"/>
              </w:rPr>
              <w:t>Off.217</w:t>
            </w:r>
          </w:p>
          <w:p w14:paraId="6685DF32" w14:textId="59930E8B" w:rsidR="00B23AB4" w:rsidRPr="00DC380E" w:rsidRDefault="003A6E4D" w:rsidP="00B23AB4">
            <w:pPr>
              <w:spacing w:before="40"/>
              <w:rPr>
                <w:sz w:val="22"/>
                <w:szCs w:val="22"/>
              </w:rPr>
            </w:pPr>
            <w:r>
              <w:rPr>
                <w:sz w:val="22"/>
                <w:szCs w:val="22"/>
              </w:rPr>
              <w:t>Тel</w:t>
            </w:r>
            <w:r w:rsidR="00B23AB4" w:rsidRPr="00DC380E">
              <w:rPr>
                <w:sz w:val="22"/>
                <w:szCs w:val="22"/>
              </w:rPr>
              <w:t>: 022 250 500</w:t>
            </w:r>
          </w:p>
        </w:tc>
        <w:tc>
          <w:tcPr>
            <w:tcW w:w="1922" w:type="dxa"/>
          </w:tcPr>
          <w:p w14:paraId="38D061F9" w14:textId="77777777" w:rsidR="00B23AB4" w:rsidRPr="00DC380E" w:rsidRDefault="00B23AB4" w:rsidP="00B23AB4">
            <w:pPr>
              <w:spacing w:before="40"/>
              <w:rPr>
                <w:b/>
                <w:sz w:val="22"/>
                <w:szCs w:val="22"/>
              </w:rPr>
            </w:pPr>
            <w:r w:rsidRPr="00DC380E">
              <w:rPr>
                <w:b/>
                <w:sz w:val="22"/>
                <w:szCs w:val="22"/>
              </w:rPr>
              <w:t>Confirmed</w:t>
            </w:r>
          </w:p>
        </w:tc>
      </w:tr>
      <w:tr w:rsidR="00B23AB4" w:rsidRPr="00DC380E" w14:paraId="0DA592DD" w14:textId="77777777" w:rsidTr="00FE7544">
        <w:trPr>
          <w:trHeight w:val="935"/>
        </w:trPr>
        <w:tc>
          <w:tcPr>
            <w:tcW w:w="1537" w:type="dxa"/>
            <w:noWrap/>
          </w:tcPr>
          <w:p w14:paraId="3EEF357E" w14:textId="0FF931F6" w:rsidR="00B23AB4" w:rsidRPr="00DC380E" w:rsidRDefault="00B23AB4" w:rsidP="003A6E4D">
            <w:pPr>
              <w:spacing w:before="40"/>
              <w:rPr>
                <w:sz w:val="22"/>
                <w:szCs w:val="22"/>
              </w:rPr>
            </w:pPr>
            <w:r w:rsidRPr="00DC380E">
              <w:rPr>
                <w:sz w:val="22"/>
                <w:szCs w:val="22"/>
              </w:rPr>
              <w:t>11.15 -12.15</w:t>
            </w:r>
          </w:p>
        </w:tc>
        <w:tc>
          <w:tcPr>
            <w:tcW w:w="3533" w:type="dxa"/>
            <w:tcBorders>
              <w:bottom w:val="single" w:sz="4" w:space="0" w:color="auto"/>
            </w:tcBorders>
            <w:noWrap/>
          </w:tcPr>
          <w:p w14:paraId="79E3ED79" w14:textId="77777777" w:rsidR="00B23AB4" w:rsidRPr="00DC380E" w:rsidRDefault="00B23AB4" w:rsidP="00B23AB4">
            <w:pPr>
              <w:spacing w:before="40"/>
              <w:rPr>
                <w:b/>
                <w:sz w:val="22"/>
                <w:szCs w:val="22"/>
              </w:rPr>
            </w:pPr>
            <w:r w:rsidRPr="00DC380E">
              <w:rPr>
                <w:b/>
                <w:sz w:val="22"/>
                <w:szCs w:val="22"/>
              </w:rPr>
              <w:t>Ministry of Agriculture and Food Industry</w:t>
            </w:r>
          </w:p>
          <w:p w14:paraId="381A3ED5" w14:textId="77777777" w:rsidR="00B23AB4" w:rsidRPr="00DC380E" w:rsidRDefault="00B23AB4" w:rsidP="00B23AB4">
            <w:pPr>
              <w:spacing w:before="40"/>
              <w:rPr>
                <w:sz w:val="22"/>
                <w:szCs w:val="22"/>
              </w:rPr>
            </w:pPr>
            <w:r w:rsidRPr="00DC380E">
              <w:rPr>
                <w:sz w:val="22"/>
                <w:szCs w:val="22"/>
              </w:rPr>
              <w:t>Mr. Vlad Loghin, Vice Minister</w:t>
            </w:r>
          </w:p>
          <w:p w14:paraId="61E93F3A" w14:textId="77777777" w:rsidR="00B23AB4" w:rsidRPr="00DC380E" w:rsidRDefault="00B23AB4" w:rsidP="00B23AB4">
            <w:pPr>
              <w:spacing w:before="40"/>
              <w:rPr>
                <w:sz w:val="22"/>
                <w:szCs w:val="22"/>
                <w:lang w:val="ro-RO"/>
              </w:rPr>
            </w:pPr>
            <w:r w:rsidRPr="00DC380E">
              <w:rPr>
                <w:sz w:val="22"/>
                <w:szCs w:val="22"/>
              </w:rPr>
              <w:t>Mr Nicolae Ciubuc, Deputy Head of Agency of Intervention and Payments in Agriculture</w:t>
            </w:r>
          </w:p>
        </w:tc>
        <w:tc>
          <w:tcPr>
            <w:tcW w:w="2488" w:type="dxa"/>
            <w:tcBorders>
              <w:bottom w:val="single" w:sz="4" w:space="0" w:color="auto"/>
            </w:tcBorders>
            <w:noWrap/>
          </w:tcPr>
          <w:p w14:paraId="4C2B89B5" w14:textId="77777777" w:rsidR="00B23AB4" w:rsidRPr="00DC380E" w:rsidRDefault="00B23AB4" w:rsidP="00B23AB4">
            <w:pPr>
              <w:spacing w:before="40"/>
              <w:rPr>
                <w:sz w:val="22"/>
                <w:szCs w:val="22"/>
                <w:lang w:val="fr-FR"/>
              </w:rPr>
            </w:pPr>
            <w:r w:rsidRPr="00DC380E">
              <w:rPr>
                <w:sz w:val="22"/>
                <w:szCs w:val="22"/>
                <w:lang w:val="fr-FR"/>
              </w:rPr>
              <w:t>Jean Joseph Bellamy</w:t>
            </w:r>
          </w:p>
          <w:p w14:paraId="3D4EC556" w14:textId="77777777" w:rsidR="00B23AB4" w:rsidRPr="00DC380E" w:rsidRDefault="00B23AB4" w:rsidP="00B23AB4">
            <w:pPr>
              <w:spacing w:before="40"/>
              <w:rPr>
                <w:sz w:val="22"/>
                <w:szCs w:val="22"/>
                <w:lang w:val="fr-FR"/>
              </w:rPr>
            </w:pPr>
            <w:r w:rsidRPr="00DC380E">
              <w:rPr>
                <w:sz w:val="22"/>
                <w:szCs w:val="22"/>
                <w:lang w:val="fr-FR"/>
              </w:rPr>
              <w:t>Victor Cotruta</w:t>
            </w:r>
          </w:p>
          <w:p w14:paraId="11F55341" w14:textId="77777777" w:rsidR="00B23AB4" w:rsidRPr="00DC380E" w:rsidRDefault="00B23AB4" w:rsidP="00B23AB4">
            <w:pPr>
              <w:spacing w:before="40"/>
              <w:rPr>
                <w:sz w:val="22"/>
                <w:szCs w:val="22"/>
                <w:lang w:val="fr-FR"/>
              </w:rPr>
            </w:pPr>
          </w:p>
        </w:tc>
        <w:tc>
          <w:tcPr>
            <w:tcW w:w="3119" w:type="dxa"/>
            <w:tcBorders>
              <w:bottom w:val="single" w:sz="4" w:space="0" w:color="auto"/>
            </w:tcBorders>
            <w:noWrap/>
          </w:tcPr>
          <w:p w14:paraId="0B87A461" w14:textId="77777777" w:rsidR="00B23AB4" w:rsidRPr="00DC380E" w:rsidRDefault="00B23AB4" w:rsidP="00B23AB4">
            <w:pPr>
              <w:spacing w:before="40"/>
              <w:rPr>
                <w:sz w:val="22"/>
                <w:szCs w:val="22"/>
                <w:lang w:val="en-CA"/>
              </w:rPr>
            </w:pPr>
            <w:r w:rsidRPr="00DC380E">
              <w:rPr>
                <w:sz w:val="22"/>
                <w:szCs w:val="22"/>
                <w:lang w:val="en-CA"/>
              </w:rPr>
              <w:t xml:space="preserve"> Green subsidies in agriculture</w:t>
            </w:r>
          </w:p>
        </w:tc>
        <w:tc>
          <w:tcPr>
            <w:tcW w:w="2189" w:type="dxa"/>
            <w:tcBorders>
              <w:bottom w:val="single" w:sz="4" w:space="0" w:color="auto"/>
            </w:tcBorders>
          </w:tcPr>
          <w:p w14:paraId="6DB9E6D1" w14:textId="77777777" w:rsidR="00B23AB4" w:rsidRPr="00DC380E" w:rsidRDefault="00B23AB4" w:rsidP="00B23AB4">
            <w:pPr>
              <w:spacing w:before="40"/>
              <w:rPr>
                <w:sz w:val="22"/>
                <w:szCs w:val="22"/>
              </w:rPr>
            </w:pPr>
            <w:r w:rsidRPr="00DC380E">
              <w:rPr>
                <w:sz w:val="22"/>
                <w:szCs w:val="22"/>
              </w:rPr>
              <w:t xml:space="preserve">162, Ștefan cel Mare Bd.,      </w:t>
            </w:r>
          </w:p>
          <w:p w14:paraId="0FD8C801" w14:textId="77777777" w:rsidR="00B23AB4" w:rsidRPr="00DC380E" w:rsidRDefault="00B23AB4" w:rsidP="00B23AB4">
            <w:pPr>
              <w:spacing w:before="40"/>
              <w:rPr>
                <w:sz w:val="22"/>
                <w:szCs w:val="22"/>
              </w:rPr>
            </w:pPr>
            <w:r w:rsidRPr="00DC380E">
              <w:rPr>
                <w:sz w:val="22"/>
                <w:szCs w:val="22"/>
              </w:rPr>
              <w:t xml:space="preserve">Off. 316               Tel: 022 232 384 </w:t>
            </w:r>
          </w:p>
        </w:tc>
        <w:tc>
          <w:tcPr>
            <w:tcW w:w="1922" w:type="dxa"/>
            <w:tcBorders>
              <w:bottom w:val="single" w:sz="4" w:space="0" w:color="auto"/>
            </w:tcBorders>
          </w:tcPr>
          <w:p w14:paraId="0A7D8D62" w14:textId="77777777" w:rsidR="00B23AB4" w:rsidRPr="00DC380E" w:rsidRDefault="00B23AB4" w:rsidP="00B23AB4">
            <w:pPr>
              <w:spacing w:before="40"/>
              <w:rPr>
                <w:b/>
                <w:sz w:val="22"/>
                <w:szCs w:val="22"/>
              </w:rPr>
            </w:pPr>
            <w:r w:rsidRPr="00DC380E">
              <w:rPr>
                <w:b/>
                <w:sz w:val="22"/>
                <w:szCs w:val="22"/>
              </w:rPr>
              <w:t>Confirmed</w:t>
            </w:r>
          </w:p>
        </w:tc>
      </w:tr>
      <w:tr w:rsidR="00B23AB4" w:rsidRPr="00DC380E" w14:paraId="412811A8" w14:textId="77777777" w:rsidTr="00FE7544">
        <w:tc>
          <w:tcPr>
            <w:tcW w:w="1537" w:type="dxa"/>
            <w:noWrap/>
          </w:tcPr>
          <w:p w14:paraId="23FFECD9" w14:textId="77777777" w:rsidR="00B23AB4" w:rsidRPr="00DC380E" w:rsidRDefault="00B23AB4" w:rsidP="00B23AB4">
            <w:pPr>
              <w:spacing w:before="40"/>
              <w:rPr>
                <w:sz w:val="22"/>
                <w:szCs w:val="22"/>
              </w:rPr>
            </w:pPr>
            <w:r w:rsidRPr="00DC380E">
              <w:rPr>
                <w:sz w:val="22"/>
                <w:szCs w:val="22"/>
              </w:rPr>
              <w:t>12.15 – 13.15</w:t>
            </w:r>
          </w:p>
        </w:tc>
        <w:tc>
          <w:tcPr>
            <w:tcW w:w="3533" w:type="dxa"/>
            <w:tcBorders>
              <w:right w:val="nil"/>
            </w:tcBorders>
            <w:noWrap/>
          </w:tcPr>
          <w:p w14:paraId="2C2DFC07" w14:textId="77777777" w:rsidR="00B23AB4" w:rsidRPr="00DC380E" w:rsidRDefault="00B23AB4" w:rsidP="00B23AB4">
            <w:pPr>
              <w:spacing w:before="40"/>
              <w:rPr>
                <w:b/>
                <w:sz w:val="22"/>
                <w:szCs w:val="22"/>
              </w:rPr>
            </w:pPr>
            <w:r w:rsidRPr="00DC380E">
              <w:rPr>
                <w:b/>
                <w:sz w:val="22"/>
                <w:szCs w:val="22"/>
              </w:rPr>
              <w:t>Lunch</w:t>
            </w:r>
          </w:p>
        </w:tc>
        <w:tc>
          <w:tcPr>
            <w:tcW w:w="2488" w:type="dxa"/>
            <w:tcBorders>
              <w:left w:val="nil"/>
              <w:right w:val="nil"/>
            </w:tcBorders>
            <w:noWrap/>
          </w:tcPr>
          <w:p w14:paraId="7B2A5F0C" w14:textId="77777777" w:rsidR="00B23AB4" w:rsidRPr="00DC380E" w:rsidRDefault="00B23AB4" w:rsidP="00B23AB4">
            <w:pPr>
              <w:spacing w:before="40"/>
              <w:rPr>
                <w:sz w:val="22"/>
                <w:szCs w:val="22"/>
                <w:lang w:val="fr-FR"/>
              </w:rPr>
            </w:pPr>
          </w:p>
        </w:tc>
        <w:tc>
          <w:tcPr>
            <w:tcW w:w="3119" w:type="dxa"/>
            <w:tcBorders>
              <w:left w:val="nil"/>
              <w:right w:val="nil"/>
            </w:tcBorders>
            <w:noWrap/>
          </w:tcPr>
          <w:p w14:paraId="238D4CA4" w14:textId="77777777" w:rsidR="00B23AB4" w:rsidRPr="00DC380E" w:rsidRDefault="00B23AB4" w:rsidP="00B23AB4">
            <w:pPr>
              <w:pStyle w:val="ListParagraph"/>
              <w:spacing w:before="40"/>
              <w:ind w:left="1080"/>
              <w:rPr>
                <w:sz w:val="22"/>
                <w:szCs w:val="22"/>
                <w:lang w:val="en-CA"/>
              </w:rPr>
            </w:pPr>
          </w:p>
        </w:tc>
        <w:tc>
          <w:tcPr>
            <w:tcW w:w="2189" w:type="dxa"/>
            <w:tcBorders>
              <w:left w:val="nil"/>
              <w:right w:val="nil"/>
            </w:tcBorders>
          </w:tcPr>
          <w:p w14:paraId="7EC1FE06" w14:textId="77777777" w:rsidR="00B23AB4" w:rsidRPr="00DC380E" w:rsidRDefault="00B23AB4" w:rsidP="00B23AB4">
            <w:pPr>
              <w:spacing w:before="40"/>
              <w:rPr>
                <w:sz w:val="22"/>
                <w:szCs w:val="22"/>
              </w:rPr>
            </w:pPr>
          </w:p>
        </w:tc>
        <w:tc>
          <w:tcPr>
            <w:tcW w:w="1922" w:type="dxa"/>
            <w:tcBorders>
              <w:left w:val="nil"/>
            </w:tcBorders>
          </w:tcPr>
          <w:p w14:paraId="733B3333" w14:textId="77777777" w:rsidR="00B23AB4" w:rsidRPr="00DC380E" w:rsidRDefault="00B23AB4" w:rsidP="00B23AB4">
            <w:pPr>
              <w:spacing w:before="40"/>
              <w:rPr>
                <w:b/>
                <w:sz w:val="22"/>
                <w:szCs w:val="22"/>
              </w:rPr>
            </w:pPr>
          </w:p>
        </w:tc>
      </w:tr>
      <w:tr w:rsidR="00B23AB4" w:rsidRPr="00DC380E" w14:paraId="1467D8DE" w14:textId="77777777" w:rsidTr="005F74EF">
        <w:trPr>
          <w:trHeight w:val="935"/>
        </w:trPr>
        <w:tc>
          <w:tcPr>
            <w:tcW w:w="1537" w:type="dxa"/>
            <w:noWrap/>
          </w:tcPr>
          <w:p w14:paraId="393A23B0" w14:textId="77777777" w:rsidR="00B23AB4" w:rsidRPr="00DC380E" w:rsidRDefault="00B23AB4" w:rsidP="00B23AB4">
            <w:pPr>
              <w:spacing w:before="40"/>
              <w:rPr>
                <w:sz w:val="22"/>
                <w:szCs w:val="22"/>
              </w:rPr>
            </w:pPr>
            <w:r w:rsidRPr="00DC380E">
              <w:rPr>
                <w:sz w:val="22"/>
                <w:szCs w:val="22"/>
              </w:rPr>
              <w:t>14.00 – 17.00</w:t>
            </w:r>
          </w:p>
        </w:tc>
        <w:tc>
          <w:tcPr>
            <w:tcW w:w="3533" w:type="dxa"/>
            <w:noWrap/>
          </w:tcPr>
          <w:p w14:paraId="0677DF9F" w14:textId="77777777" w:rsidR="00B23AB4" w:rsidRPr="00DC380E" w:rsidRDefault="00B23AB4" w:rsidP="00B23AB4">
            <w:pPr>
              <w:spacing w:before="40"/>
              <w:rPr>
                <w:b/>
                <w:sz w:val="22"/>
                <w:szCs w:val="22"/>
              </w:rPr>
            </w:pPr>
            <w:r w:rsidRPr="00DC380E">
              <w:rPr>
                <w:b/>
                <w:sz w:val="22"/>
                <w:szCs w:val="22"/>
              </w:rPr>
              <w:t xml:space="preserve">Calarasi Town Primaria </w:t>
            </w:r>
          </w:p>
          <w:p w14:paraId="3FCA9195" w14:textId="77777777" w:rsidR="00B23AB4" w:rsidRPr="00DC380E" w:rsidRDefault="00B23AB4" w:rsidP="00B23AB4">
            <w:pPr>
              <w:spacing w:before="40"/>
              <w:rPr>
                <w:sz w:val="22"/>
                <w:szCs w:val="22"/>
              </w:rPr>
            </w:pPr>
            <w:r w:rsidRPr="00DC380E">
              <w:rPr>
                <w:sz w:val="22"/>
                <w:szCs w:val="22"/>
              </w:rPr>
              <w:t>Vadim Melnic, Town Hall Mayor</w:t>
            </w:r>
          </w:p>
          <w:p w14:paraId="593FCB28" w14:textId="77777777" w:rsidR="00B23AB4" w:rsidRPr="00DC380E" w:rsidRDefault="00B23AB4" w:rsidP="00B23AB4">
            <w:pPr>
              <w:spacing w:before="40"/>
              <w:rPr>
                <w:b/>
                <w:sz w:val="22"/>
                <w:szCs w:val="22"/>
              </w:rPr>
            </w:pPr>
            <w:r w:rsidRPr="00DC380E">
              <w:rPr>
                <w:b/>
                <w:sz w:val="22"/>
                <w:szCs w:val="22"/>
              </w:rPr>
              <w:t>+373 69 387017</w:t>
            </w:r>
            <w:r w:rsidRPr="00DC380E">
              <w:rPr>
                <w:sz w:val="22"/>
                <w:szCs w:val="22"/>
                <w:lang w:val="fr-FR"/>
              </w:rPr>
              <w:t xml:space="preserve">                         Vitalie Secrieru, IDIS</w:t>
            </w:r>
          </w:p>
        </w:tc>
        <w:tc>
          <w:tcPr>
            <w:tcW w:w="2488" w:type="dxa"/>
            <w:noWrap/>
          </w:tcPr>
          <w:p w14:paraId="7F61A90D" w14:textId="77777777" w:rsidR="00B23AB4" w:rsidRPr="00DC380E" w:rsidRDefault="00B23AB4" w:rsidP="00B23AB4">
            <w:pPr>
              <w:spacing w:before="40"/>
              <w:rPr>
                <w:sz w:val="22"/>
                <w:szCs w:val="22"/>
                <w:lang w:val="fr-FR"/>
              </w:rPr>
            </w:pPr>
            <w:r w:rsidRPr="00DC380E">
              <w:rPr>
                <w:sz w:val="22"/>
                <w:szCs w:val="22"/>
                <w:lang w:val="fr-FR"/>
              </w:rPr>
              <w:t>Jean Joseph Bellamy</w:t>
            </w:r>
          </w:p>
          <w:p w14:paraId="609F4AA9" w14:textId="77777777" w:rsidR="00B23AB4" w:rsidRPr="00DC380E" w:rsidRDefault="00B23AB4" w:rsidP="00B23AB4">
            <w:pPr>
              <w:spacing w:before="40"/>
              <w:rPr>
                <w:sz w:val="22"/>
                <w:szCs w:val="22"/>
                <w:lang w:val="fr-FR"/>
              </w:rPr>
            </w:pPr>
            <w:r w:rsidRPr="00DC380E">
              <w:rPr>
                <w:sz w:val="22"/>
                <w:szCs w:val="22"/>
                <w:lang w:val="fr-FR"/>
              </w:rPr>
              <w:t>Victor Cotruta</w:t>
            </w:r>
          </w:p>
          <w:p w14:paraId="5A0027CF" w14:textId="77777777" w:rsidR="00B23AB4" w:rsidRPr="00DC380E" w:rsidRDefault="00B23AB4" w:rsidP="00B23AB4">
            <w:pPr>
              <w:spacing w:before="40"/>
              <w:rPr>
                <w:sz w:val="22"/>
                <w:szCs w:val="22"/>
                <w:lang w:val="fr-FR"/>
              </w:rPr>
            </w:pPr>
          </w:p>
        </w:tc>
        <w:tc>
          <w:tcPr>
            <w:tcW w:w="3119" w:type="dxa"/>
            <w:noWrap/>
          </w:tcPr>
          <w:p w14:paraId="5304180D" w14:textId="77777777" w:rsidR="00B23AB4" w:rsidRPr="00DC380E" w:rsidRDefault="00B23AB4" w:rsidP="00B23AB4">
            <w:pPr>
              <w:spacing w:before="40"/>
              <w:rPr>
                <w:sz w:val="22"/>
                <w:szCs w:val="22"/>
                <w:lang w:val="en-CA"/>
              </w:rPr>
            </w:pPr>
            <w:r w:rsidRPr="00DC380E">
              <w:rPr>
                <w:sz w:val="22"/>
                <w:szCs w:val="22"/>
                <w:lang w:val="en-CA"/>
              </w:rPr>
              <w:t>Integration environmental aspects in local planning and performance based budgeting</w:t>
            </w:r>
          </w:p>
        </w:tc>
        <w:tc>
          <w:tcPr>
            <w:tcW w:w="2189" w:type="dxa"/>
          </w:tcPr>
          <w:p w14:paraId="5F1B7B1F" w14:textId="77777777" w:rsidR="00B23AB4" w:rsidRPr="00DC380E" w:rsidRDefault="00B23AB4" w:rsidP="00B23AB4">
            <w:pPr>
              <w:spacing w:before="40"/>
              <w:rPr>
                <w:sz w:val="22"/>
                <w:szCs w:val="22"/>
              </w:rPr>
            </w:pPr>
            <w:r w:rsidRPr="00DC380E">
              <w:rPr>
                <w:sz w:val="22"/>
                <w:szCs w:val="22"/>
              </w:rPr>
              <w:t>19,Eminescu str.,</w:t>
            </w:r>
          </w:p>
          <w:p w14:paraId="3C4F2A48" w14:textId="77777777" w:rsidR="00B23AB4" w:rsidRPr="00DC380E" w:rsidRDefault="00B23AB4" w:rsidP="00B23AB4">
            <w:pPr>
              <w:spacing w:before="40"/>
              <w:rPr>
                <w:sz w:val="22"/>
                <w:szCs w:val="22"/>
              </w:rPr>
            </w:pPr>
            <w:r w:rsidRPr="00DC380E">
              <w:rPr>
                <w:sz w:val="22"/>
                <w:szCs w:val="22"/>
              </w:rPr>
              <w:t>Tel. +373 0244 22773, +373 0244 23601</w:t>
            </w:r>
          </w:p>
        </w:tc>
        <w:tc>
          <w:tcPr>
            <w:tcW w:w="1922" w:type="dxa"/>
          </w:tcPr>
          <w:p w14:paraId="4415D3B6" w14:textId="77777777" w:rsidR="00B23AB4" w:rsidRPr="00DC380E" w:rsidRDefault="00B23AB4" w:rsidP="00B23AB4">
            <w:pPr>
              <w:spacing w:before="40"/>
              <w:rPr>
                <w:b/>
                <w:sz w:val="22"/>
                <w:szCs w:val="22"/>
              </w:rPr>
            </w:pPr>
            <w:r w:rsidRPr="00DC380E">
              <w:rPr>
                <w:b/>
                <w:sz w:val="22"/>
                <w:szCs w:val="22"/>
              </w:rPr>
              <w:t>Confirmed</w:t>
            </w:r>
          </w:p>
        </w:tc>
      </w:tr>
      <w:tr w:rsidR="00B23AB4" w:rsidRPr="00DC380E" w14:paraId="2CB725B5" w14:textId="77777777" w:rsidTr="005F74EF">
        <w:trPr>
          <w:trHeight w:val="935"/>
        </w:trPr>
        <w:tc>
          <w:tcPr>
            <w:tcW w:w="1537" w:type="dxa"/>
            <w:noWrap/>
          </w:tcPr>
          <w:p w14:paraId="6EF777C4" w14:textId="77777777" w:rsidR="00B23AB4" w:rsidRPr="00DC380E" w:rsidRDefault="00B23AB4" w:rsidP="00B23AB4">
            <w:pPr>
              <w:spacing w:before="40"/>
              <w:rPr>
                <w:sz w:val="22"/>
                <w:szCs w:val="22"/>
              </w:rPr>
            </w:pPr>
            <w:r w:rsidRPr="00DC380E">
              <w:rPr>
                <w:sz w:val="22"/>
                <w:szCs w:val="22"/>
              </w:rPr>
              <w:t>17.30 – 18.00</w:t>
            </w:r>
          </w:p>
        </w:tc>
        <w:tc>
          <w:tcPr>
            <w:tcW w:w="3533" w:type="dxa"/>
            <w:noWrap/>
          </w:tcPr>
          <w:p w14:paraId="26BA801C" w14:textId="77777777" w:rsidR="00B23AB4" w:rsidRPr="009A5506" w:rsidRDefault="00B23AB4" w:rsidP="00B23AB4">
            <w:pPr>
              <w:spacing w:before="40"/>
              <w:rPr>
                <w:b/>
                <w:sz w:val="22"/>
                <w:szCs w:val="22"/>
              </w:rPr>
            </w:pPr>
            <w:r w:rsidRPr="009A5506">
              <w:rPr>
                <w:b/>
                <w:sz w:val="22"/>
                <w:szCs w:val="22"/>
              </w:rPr>
              <w:t>EFR Project’s Office</w:t>
            </w:r>
          </w:p>
          <w:p w14:paraId="5BD166D8" w14:textId="77777777" w:rsidR="00B23AB4" w:rsidRPr="009A5506" w:rsidRDefault="00B23AB4" w:rsidP="00B23AB4">
            <w:pPr>
              <w:spacing w:before="40"/>
              <w:rPr>
                <w:sz w:val="22"/>
                <w:szCs w:val="22"/>
              </w:rPr>
            </w:pPr>
            <w:r w:rsidRPr="009A5506">
              <w:rPr>
                <w:sz w:val="22"/>
                <w:szCs w:val="22"/>
              </w:rPr>
              <w:t xml:space="preserve">War-up Meeting </w:t>
            </w:r>
          </w:p>
          <w:p w14:paraId="0B6360E9" w14:textId="77777777" w:rsidR="00B23AB4" w:rsidRPr="009A5506" w:rsidRDefault="00B23AB4" w:rsidP="00B23AB4">
            <w:pPr>
              <w:spacing w:before="40"/>
              <w:rPr>
                <w:sz w:val="22"/>
                <w:szCs w:val="22"/>
              </w:rPr>
            </w:pPr>
            <w:r w:rsidRPr="009A5506">
              <w:rPr>
                <w:sz w:val="22"/>
                <w:szCs w:val="22"/>
              </w:rPr>
              <w:t xml:space="preserve">Mihai Roscovan </w:t>
            </w:r>
          </w:p>
          <w:p w14:paraId="7E898875" w14:textId="30A932F5" w:rsidR="00B23AB4" w:rsidRPr="009A5506" w:rsidRDefault="009A5506" w:rsidP="00DC380E">
            <w:pPr>
              <w:rPr>
                <w:b/>
                <w:sz w:val="22"/>
                <w:szCs w:val="22"/>
              </w:rPr>
            </w:pPr>
            <w:r w:rsidRPr="009A5506">
              <w:rPr>
                <w:sz w:val="22"/>
                <w:szCs w:val="22"/>
              </w:rPr>
              <w:t>Igor Gorasov, Consultant on energy and agri subsidies</w:t>
            </w:r>
          </w:p>
        </w:tc>
        <w:tc>
          <w:tcPr>
            <w:tcW w:w="2488" w:type="dxa"/>
            <w:noWrap/>
          </w:tcPr>
          <w:p w14:paraId="7D44EB15" w14:textId="77777777" w:rsidR="00B23AB4" w:rsidRPr="00DC380E" w:rsidRDefault="00B23AB4" w:rsidP="00B23AB4">
            <w:pPr>
              <w:spacing w:before="40"/>
              <w:rPr>
                <w:sz w:val="22"/>
                <w:szCs w:val="22"/>
                <w:lang w:val="en-CA"/>
              </w:rPr>
            </w:pPr>
            <w:r w:rsidRPr="00DC380E">
              <w:rPr>
                <w:sz w:val="22"/>
                <w:szCs w:val="22"/>
                <w:lang w:val="en-CA"/>
              </w:rPr>
              <w:t>Jean Joseph Bellamy</w:t>
            </w:r>
          </w:p>
          <w:p w14:paraId="57FB8B20" w14:textId="77777777" w:rsidR="00B23AB4" w:rsidRPr="00DC380E" w:rsidRDefault="00B23AB4" w:rsidP="00B23AB4">
            <w:pPr>
              <w:spacing w:before="40"/>
              <w:rPr>
                <w:sz w:val="22"/>
                <w:szCs w:val="22"/>
                <w:lang w:val="en-CA"/>
              </w:rPr>
            </w:pPr>
            <w:r w:rsidRPr="00DC380E">
              <w:rPr>
                <w:sz w:val="22"/>
                <w:szCs w:val="22"/>
                <w:lang w:val="en-CA"/>
              </w:rPr>
              <w:t>Victor Cotruta</w:t>
            </w:r>
          </w:p>
        </w:tc>
        <w:tc>
          <w:tcPr>
            <w:tcW w:w="3119" w:type="dxa"/>
            <w:noWrap/>
          </w:tcPr>
          <w:p w14:paraId="68152643" w14:textId="77777777" w:rsidR="00B23AB4" w:rsidRPr="00DC380E" w:rsidRDefault="00B23AB4" w:rsidP="00B23AB4">
            <w:pPr>
              <w:spacing w:before="40"/>
              <w:rPr>
                <w:sz w:val="22"/>
                <w:szCs w:val="22"/>
              </w:rPr>
            </w:pPr>
          </w:p>
        </w:tc>
        <w:tc>
          <w:tcPr>
            <w:tcW w:w="2189" w:type="dxa"/>
          </w:tcPr>
          <w:p w14:paraId="0E69B7CD" w14:textId="77777777" w:rsidR="00B23AB4" w:rsidRPr="00DC380E" w:rsidRDefault="00B23AB4" w:rsidP="00B23AB4">
            <w:pPr>
              <w:spacing w:before="40"/>
              <w:rPr>
                <w:sz w:val="22"/>
                <w:szCs w:val="22"/>
              </w:rPr>
            </w:pPr>
            <w:r w:rsidRPr="00DC380E">
              <w:rPr>
                <w:sz w:val="22"/>
                <w:szCs w:val="22"/>
              </w:rPr>
              <w:t>Iorga, 21</w:t>
            </w:r>
          </w:p>
          <w:p w14:paraId="08BCF6B0" w14:textId="77777777" w:rsidR="00B23AB4" w:rsidRPr="00DC380E" w:rsidRDefault="00B23AB4" w:rsidP="00B23AB4">
            <w:pPr>
              <w:spacing w:before="40"/>
              <w:rPr>
                <w:sz w:val="22"/>
                <w:szCs w:val="22"/>
              </w:rPr>
            </w:pPr>
            <w:r w:rsidRPr="00DC380E">
              <w:rPr>
                <w:sz w:val="22"/>
                <w:szCs w:val="22"/>
              </w:rPr>
              <w:t>3</w:t>
            </w:r>
            <w:r w:rsidRPr="00DC380E">
              <w:rPr>
                <w:sz w:val="22"/>
                <w:szCs w:val="22"/>
                <w:vertAlign w:val="superscript"/>
              </w:rPr>
              <w:t>rd</w:t>
            </w:r>
            <w:r w:rsidRPr="00DC380E">
              <w:rPr>
                <w:sz w:val="22"/>
                <w:szCs w:val="22"/>
              </w:rPr>
              <w:t xml:space="preserve"> floor </w:t>
            </w:r>
          </w:p>
        </w:tc>
        <w:tc>
          <w:tcPr>
            <w:tcW w:w="1922" w:type="dxa"/>
          </w:tcPr>
          <w:p w14:paraId="54506ECA" w14:textId="24552A23" w:rsidR="00B23AB4" w:rsidRPr="00DC380E" w:rsidRDefault="00B23AB4" w:rsidP="00B23AB4">
            <w:pPr>
              <w:spacing w:before="40"/>
              <w:rPr>
                <w:b/>
                <w:sz w:val="22"/>
                <w:szCs w:val="22"/>
              </w:rPr>
            </w:pPr>
          </w:p>
        </w:tc>
      </w:tr>
      <w:tr w:rsidR="00B23AB4" w:rsidRPr="00DC380E" w14:paraId="53494B93" w14:textId="77777777" w:rsidTr="00DC380E">
        <w:trPr>
          <w:trHeight w:val="255"/>
        </w:trPr>
        <w:tc>
          <w:tcPr>
            <w:tcW w:w="14788" w:type="dxa"/>
            <w:gridSpan w:val="6"/>
            <w:shd w:val="clear" w:color="auto" w:fill="D9D9D9" w:themeFill="background1" w:themeFillShade="D9"/>
            <w:noWrap/>
          </w:tcPr>
          <w:p w14:paraId="092E60EE" w14:textId="77777777" w:rsidR="00B23AB4" w:rsidRPr="00DC380E" w:rsidRDefault="00B23AB4" w:rsidP="00B23AB4">
            <w:pPr>
              <w:spacing w:before="40"/>
              <w:rPr>
                <w:b/>
                <w:sz w:val="22"/>
                <w:szCs w:val="22"/>
              </w:rPr>
            </w:pPr>
            <w:r w:rsidRPr="00DC380E">
              <w:rPr>
                <w:b/>
                <w:color w:val="000080"/>
                <w:sz w:val="22"/>
                <w:szCs w:val="22"/>
              </w:rPr>
              <w:t>Thursday, 3 September, 2015</w:t>
            </w:r>
          </w:p>
        </w:tc>
      </w:tr>
      <w:tr w:rsidR="006E3D8D" w:rsidRPr="00DC380E" w14:paraId="23ED7DB1" w14:textId="77777777" w:rsidTr="005F74EF">
        <w:trPr>
          <w:trHeight w:val="255"/>
        </w:trPr>
        <w:tc>
          <w:tcPr>
            <w:tcW w:w="1537" w:type="dxa"/>
            <w:tcBorders>
              <w:bottom w:val="single" w:sz="4" w:space="0" w:color="auto"/>
            </w:tcBorders>
            <w:noWrap/>
          </w:tcPr>
          <w:p w14:paraId="3DE51A53" w14:textId="77777777" w:rsidR="00B23AB4" w:rsidRPr="00DC380E" w:rsidRDefault="00B23AB4" w:rsidP="00B23AB4">
            <w:pPr>
              <w:spacing w:before="40"/>
              <w:rPr>
                <w:sz w:val="22"/>
                <w:szCs w:val="22"/>
              </w:rPr>
            </w:pPr>
            <w:r w:rsidRPr="00DC380E">
              <w:rPr>
                <w:sz w:val="22"/>
                <w:szCs w:val="22"/>
              </w:rPr>
              <w:t>09.00 – 10.00</w:t>
            </w:r>
          </w:p>
        </w:tc>
        <w:tc>
          <w:tcPr>
            <w:tcW w:w="3533" w:type="dxa"/>
            <w:tcBorders>
              <w:bottom w:val="single" w:sz="4" w:space="0" w:color="auto"/>
            </w:tcBorders>
            <w:noWrap/>
          </w:tcPr>
          <w:p w14:paraId="192FA66A" w14:textId="77777777" w:rsidR="00B23AB4" w:rsidRPr="00DC380E" w:rsidRDefault="00B23AB4" w:rsidP="00B23AB4">
            <w:pPr>
              <w:spacing w:before="40"/>
              <w:rPr>
                <w:b/>
                <w:sz w:val="22"/>
                <w:szCs w:val="22"/>
              </w:rPr>
            </w:pPr>
            <w:r w:rsidRPr="00DC380E">
              <w:rPr>
                <w:b/>
                <w:sz w:val="22"/>
                <w:szCs w:val="22"/>
              </w:rPr>
              <w:t>Ministry of Environment</w:t>
            </w:r>
          </w:p>
          <w:p w14:paraId="540FF631" w14:textId="77777777" w:rsidR="00B23AB4" w:rsidRPr="00DC380E" w:rsidRDefault="00B23AB4" w:rsidP="00B23AB4">
            <w:pPr>
              <w:spacing w:before="40"/>
              <w:rPr>
                <w:sz w:val="22"/>
                <w:szCs w:val="22"/>
              </w:rPr>
            </w:pPr>
            <w:r w:rsidRPr="00DC380E">
              <w:rPr>
                <w:sz w:val="22"/>
                <w:szCs w:val="22"/>
              </w:rPr>
              <w:t>Mr. Valeriu Munteanu, Minister</w:t>
            </w:r>
          </w:p>
          <w:p w14:paraId="03648CCC" w14:textId="77777777" w:rsidR="00B23AB4" w:rsidRPr="00DC380E" w:rsidRDefault="00B23AB4" w:rsidP="00B23AB4">
            <w:pPr>
              <w:spacing w:before="40"/>
              <w:rPr>
                <w:b/>
                <w:sz w:val="22"/>
                <w:szCs w:val="22"/>
              </w:rPr>
            </w:pPr>
          </w:p>
        </w:tc>
        <w:tc>
          <w:tcPr>
            <w:tcW w:w="2488" w:type="dxa"/>
            <w:tcBorders>
              <w:bottom w:val="single" w:sz="4" w:space="0" w:color="auto"/>
            </w:tcBorders>
            <w:noWrap/>
          </w:tcPr>
          <w:p w14:paraId="437A1D2A" w14:textId="77777777" w:rsidR="00B23AB4" w:rsidRPr="00DC380E" w:rsidRDefault="00B23AB4" w:rsidP="00B23AB4">
            <w:pPr>
              <w:spacing w:before="40"/>
              <w:rPr>
                <w:sz w:val="22"/>
                <w:szCs w:val="22"/>
                <w:lang w:val="fr-FR"/>
              </w:rPr>
            </w:pPr>
            <w:r w:rsidRPr="00DC380E">
              <w:rPr>
                <w:sz w:val="22"/>
                <w:szCs w:val="22"/>
                <w:lang w:val="fr-FR"/>
              </w:rPr>
              <w:t>Jean Joseph Bellamy</w:t>
            </w:r>
          </w:p>
          <w:p w14:paraId="3EBDB0CB"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tcBorders>
              <w:bottom w:val="single" w:sz="4" w:space="0" w:color="auto"/>
            </w:tcBorders>
            <w:noWrap/>
          </w:tcPr>
          <w:p w14:paraId="0E34421A" w14:textId="77777777" w:rsidR="00B23AB4" w:rsidRPr="00DC380E" w:rsidRDefault="00B23AB4" w:rsidP="00B23AB4">
            <w:pPr>
              <w:spacing w:before="40"/>
              <w:rPr>
                <w:sz w:val="22"/>
                <w:szCs w:val="22"/>
                <w:lang w:val="en-CA"/>
              </w:rPr>
            </w:pPr>
            <w:r w:rsidRPr="00DC380E">
              <w:rPr>
                <w:sz w:val="22"/>
                <w:szCs w:val="22"/>
                <w:lang w:val="en-CA"/>
              </w:rPr>
              <w:t>Environmental Policies</w:t>
            </w:r>
          </w:p>
          <w:p w14:paraId="05D89792" w14:textId="77777777" w:rsidR="00B23AB4" w:rsidRPr="00DC380E" w:rsidRDefault="00B23AB4" w:rsidP="00B23AB4">
            <w:pPr>
              <w:spacing w:before="40"/>
              <w:rPr>
                <w:sz w:val="22"/>
                <w:szCs w:val="22"/>
                <w:lang w:val="en-CA"/>
              </w:rPr>
            </w:pPr>
            <w:r w:rsidRPr="00DC380E">
              <w:rPr>
                <w:sz w:val="22"/>
                <w:szCs w:val="22"/>
                <w:lang w:val="en-CA"/>
              </w:rPr>
              <w:t>Role of the Environmental Reform</w:t>
            </w:r>
          </w:p>
        </w:tc>
        <w:tc>
          <w:tcPr>
            <w:tcW w:w="2189" w:type="dxa"/>
            <w:tcBorders>
              <w:bottom w:val="single" w:sz="4" w:space="0" w:color="auto"/>
            </w:tcBorders>
          </w:tcPr>
          <w:p w14:paraId="613B7163" w14:textId="77777777" w:rsidR="00B23AB4" w:rsidRPr="00DC380E" w:rsidRDefault="00B23AB4" w:rsidP="00B23AB4">
            <w:pPr>
              <w:spacing w:before="40"/>
              <w:rPr>
                <w:sz w:val="22"/>
                <w:szCs w:val="22"/>
              </w:rPr>
            </w:pPr>
            <w:r w:rsidRPr="00DC380E">
              <w:rPr>
                <w:sz w:val="22"/>
                <w:szCs w:val="22"/>
              </w:rPr>
              <w:t>9 Cosmonautilor str.</w:t>
            </w:r>
          </w:p>
          <w:p w14:paraId="4079C964" w14:textId="77777777" w:rsidR="00B23AB4" w:rsidRPr="00DC380E" w:rsidRDefault="00B23AB4" w:rsidP="00B23AB4">
            <w:pPr>
              <w:spacing w:before="40"/>
              <w:rPr>
                <w:sz w:val="22"/>
                <w:szCs w:val="22"/>
              </w:rPr>
            </w:pPr>
            <w:r w:rsidRPr="00DC380E">
              <w:rPr>
                <w:sz w:val="22"/>
                <w:szCs w:val="22"/>
              </w:rPr>
              <w:t>Minister’s office</w:t>
            </w:r>
          </w:p>
          <w:p w14:paraId="1B2FE6C9" w14:textId="77777777" w:rsidR="00B23AB4" w:rsidRPr="00DC380E" w:rsidRDefault="00B23AB4" w:rsidP="00B23AB4">
            <w:pPr>
              <w:spacing w:before="40"/>
              <w:rPr>
                <w:sz w:val="22"/>
                <w:szCs w:val="22"/>
              </w:rPr>
            </w:pPr>
            <w:r w:rsidRPr="00DC380E">
              <w:rPr>
                <w:sz w:val="22"/>
                <w:szCs w:val="22"/>
              </w:rPr>
              <w:t>Tel: 022 20-45-07</w:t>
            </w:r>
          </w:p>
        </w:tc>
        <w:tc>
          <w:tcPr>
            <w:tcW w:w="1922" w:type="dxa"/>
            <w:tcBorders>
              <w:bottom w:val="single" w:sz="4" w:space="0" w:color="auto"/>
            </w:tcBorders>
          </w:tcPr>
          <w:p w14:paraId="17B55E40"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4498FD61" w14:textId="77777777" w:rsidTr="005F74EF">
        <w:trPr>
          <w:trHeight w:val="255"/>
        </w:trPr>
        <w:tc>
          <w:tcPr>
            <w:tcW w:w="1537" w:type="dxa"/>
            <w:tcBorders>
              <w:bottom w:val="single" w:sz="4" w:space="0" w:color="auto"/>
            </w:tcBorders>
            <w:noWrap/>
          </w:tcPr>
          <w:p w14:paraId="68FBAADE" w14:textId="77777777" w:rsidR="00B23AB4" w:rsidRPr="00DC380E" w:rsidRDefault="00B23AB4" w:rsidP="00B23AB4">
            <w:pPr>
              <w:spacing w:before="40"/>
              <w:rPr>
                <w:sz w:val="22"/>
                <w:szCs w:val="22"/>
              </w:rPr>
            </w:pPr>
            <w:r w:rsidRPr="00DC380E">
              <w:rPr>
                <w:sz w:val="22"/>
                <w:szCs w:val="22"/>
              </w:rPr>
              <w:t>10.05 – 11.00</w:t>
            </w:r>
          </w:p>
        </w:tc>
        <w:tc>
          <w:tcPr>
            <w:tcW w:w="3533" w:type="dxa"/>
            <w:tcBorders>
              <w:bottom w:val="single" w:sz="4" w:space="0" w:color="auto"/>
            </w:tcBorders>
            <w:noWrap/>
          </w:tcPr>
          <w:p w14:paraId="19D6F000" w14:textId="77777777" w:rsidR="00B23AB4" w:rsidRPr="00DC380E" w:rsidRDefault="00B23AB4" w:rsidP="00B23AB4">
            <w:pPr>
              <w:spacing w:before="40"/>
              <w:rPr>
                <w:b/>
                <w:sz w:val="22"/>
                <w:szCs w:val="22"/>
              </w:rPr>
            </w:pPr>
            <w:r w:rsidRPr="00DC380E">
              <w:rPr>
                <w:b/>
                <w:sz w:val="22"/>
                <w:szCs w:val="22"/>
              </w:rPr>
              <w:t>Ecological Inspectorate</w:t>
            </w:r>
          </w:p>
          <w:p w14:paraId="65C1F24F" w14:textId="77777777" w:rsidR="00B23AB4" w:rsidRPr="00DC380E" w:rsidRDefault="00B23AB4" w:rsidP="00B23AB4">
            <w:pPr>
              <w:spacing w:before="40"/>
              <w:rPr>
                <w:sz w:val="22"/>
                <w:szCs w:val="22"/>
              </w:rPr>
            </w:pPr>
            <w:r w:rsidRPr="00DC380E">
              <w:rPr>
                <w:sz w:val="22"/>
                <w:szCs w:val="22"/>
              </w:rPr>
              <w:t>Mr. Vadim Stangaciu, Deputy Director</w:t>
            </w:r>
          </w:p>
          <w:p w14:paraId="5C79B762" w14:textId="77777777" w:rsidR="00B23AB4" w:rsidRPr="00DC380E" w:rsidRDefault="00B23AB4" w:rsidP="00B23AB4">
            <w:pPr>
              <w:spacing w:before="40"/>
              <w:rPr>
                <w:sz w:val="22"/>
                <w:szCs w:val="22"/>
              </w:rPr>
            </w:pPr>
            <w:r w:rsidRPr="00DC380E">
              <w:rPr>
                <w:sz w:val="22"/>
                <w:szCs w:val="22"/>
              </w:rPr>
              <w:t>Ms. Victoria Causu, Head of division</w:t>
            </w:r>
          </w:p>
          <w:p w14:paraId="447D2004" w14:textId="77777777" w:rsidR="00B23AB4" w:rsidRPr="00DC380E" w:rsidRDefault="00B23AB4" w:rsidP="00B23AB4">
            <w:pPr>
              <w:spacing w:before="40"/>
              <w:rPr>
                <w:b/>
                <w:sz w:val="22"/>
                <w:szCs w:val="22"/>
              </w:rPr>
            </w:pPr>
            <w:r w:rsidRPr="00DC380E">
              <w:rPr>
                <w:sz w:val="22"/>
                <w:szCs w:val="22"/>
              </w:rPr>
              <w:t>Mr. Dumitru Osipov, Head of Subdivision</w:t>
            </w:r>
          </w:p>
        </w:tc>
        <w:tc>
          <w:tcPr>
            <w:tcW w:w="2488" w:type="dxa"/>
            <w:tcBorders>
              <w:bottom w:val="single" w:sz="4" w:space="0" w:color="auto"/>
            </w:tcBorders>
            <w:noWrap/>
          </w:tcPr>
          <w:p w14:paraId="0F420522" w14:textId="77777777" w:rsidR="00B23AB4" w:rsidRPr="00DC380E" w:rsidRDefault="00B23AB4" w:rsidP="00B23AB4">
            <w:pPr>
              <w:spacing w:before="40"/>
              <w:rPr>
                <w:sz w:val="22"/>
                <w:szCs w:val="22"/>
                <w:lang w:val="fr-FR"/>
              </w:rPr>
            </w:pPr>
            <w:r w:rsidRPr="00DC380E">
              <w:rPr>
                <w:sz w:val="22"/>
                <w:szCs w:val="22"/>
                <w:lang w:val="fr-FR"/>
              </w:rPr>
              <w:t>Jean Joseph Bellamy</w:t>
            </w:r>
          </w:p>
          <w:p w14:paraId="72CBAE5C"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tcBorders>
              <w:bottom w:val="single" w:sz="4" w:space="0" w:color="auto"/>
            </w:tcBorders>
            <w:noWrap/>
          </w:tcPr>
          <w:p w14:paraId="0AECE46E" w14:textId="77777777" w:rsidR="00B23AB4" w:rsidRPr="00DC380E" w:rsidRDefault="00B23AB4" w:rsidP="00B23AB4">
            <w:pPr>
              <w:spacing w:before="40"/>
              <w:rPr>
                <w:sz w:val="22"/>
                <w:szCs w:val="22"/>
                <w:lang w:val="en-CA"/>
              </w:rPr>
            </w:pPr>
            <w:r w:rsidRPr="00DC380E">
              <w:rPr>
                <w:sz w:val="22"/>
                <w:szCs w:val="22"/>
                <w:lang w:val="en-CA"/>
              </w:rPr>
              <w:t>Environmental payments collection and administration</w:t>
            </w:r>
          </w:p>
        </w:tc>
        <w:tc>
          <w:tcPr>
            <w:tcW w:w="2189" w:type="dxa"/>
            <w:tcBorders>
              <w:bottom w:val="single" w:sz="4" w:space="0" w:color="auto"/>
            </w:tcBorders>
          </w:tcPr>
          <w:p w14:paraId="3D03FDBE" w14:textId="77777777" w:rsidR="00B23AB4" w:rsidRPr="00DC380E" w:rsidRDefault="00B23AB4" w:rsidP="00B23AB4">
            <w:pPr>
              <w:spacing w:before="40"/>
              <w:rPr>
                <w:sz w:val="22"/>
                <w:szCs w:val="22"/>
              </w:rPr>
            </w:pPr>
            <w:r w:rsidRPr="00DC380E">
              <w:rPr>
                <w:sz w:val="22"/>
                <w:szCs w:val="22"/>
              </w:rPr>
              <w:t xml:space="preserve">9, Cosmonauților str., </w:t>
            </w:r>
          </w:p>
          <w:p w14:paraId="5D2A3B30" w14:textId="77777777" w:rsidR="00B23AB4" w:rsidRPr="00DC380E" w:rsidRDefault="00B23AB4" w:rsidP="00B23AB4">
            <w:pPr>
              <w:spacing w:before="40"/>
              <w:rPr>
                <w:sz w:val="22"/>
                <w:szCs w:val="22"/>
              </w:rPr>
            </w:pPr>
            <w:r w:rsidRPr="00DC380E">
              <w:rPr>
                <w:sz w:val="22"/>
                <w:szCs w:val="22"/>
              </w:rPr>
              <w:t>Tel: 022 22-69-41</w:t>
            </w:r>
          </w:p>
        </w:tc>
        <w:tc>
          <w:tcPr>
            <w:tcW w:w="1922" w:type="dxa"/>
            <w:tcBorders>
              <w:bottom w:val="single" w:sz="4" w:space="0" w:color="auto"/>
            </w:tcBorders>
          </w:tcPr>
          <w:p w14:paraId="382D801F"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7C946C0E" w14:textId="77777777" w:rsidTr="00FE7544">
        <w:tc>
          <w:tcPr>
            <w:tcW w:w="1537" w:type="dxa"/>
            <w:noWrap/>
          </w:tcPr>
          <w:p w14:paraId="3C3D3D18" w14:textId="75739A38" w:rsidR="00B23AB4" w:rsidRPr="00DC380E" w:rsidRDefault="005F74EF" w:rsidP="00B23AB4">
            <w:pPr>
              <w:spacing w:before="40"/>
              <w:rPr>
                <w:sz w:val="22"/>
                <w:szCs w:val="22"/>
              </w:rPr>
            </w:pPr>
            <w:r>
              <w:rPr>
                <w:sz w:val="22"/>
                <w:szCs w:val="22"/>
              </w:rPr>
              <w:t>11.05 -12.00</w:t>
            </w:r>
          </w:p>
        </w:tc>
        <w:tc>
          <w:tcPr>
            <w:tcW w:w="3533" w:type="dxa"/>
            <w:tcBorders>
              <w:bottom w:val="single" w:sz="4" w:space="0" w:color="auto"/>
            </w:tcBorders>
          </w:tcPr>
          <w:p w14:paraId="145D86CE" w14:textId="77777777" w:rsidR="00B23AB4" w:rsidRPr="00DC380E" w:rsidRDefault="00B23AB4" w:rsidP="00B23AB4">
            <w:pPr>
              <w:spacing w:before="40"/>
              <w:rPr>
                <w:sz w:val="22"/>
                <w:szCs w:val="22"/>
              </w:rPr>
            </w:pPr>
            <w:r w:rsidRPr="00DC380E">
              <w:rPr>
                <w:sz w:val="22"/>
                <w:szCs w:val="22"/>
              </w:rPr>
              <w:t>Mr Andrei Isac</w:t>
            </w:r>
          </w:p>
          <w:p w14:paraId="63095271" w14:textId="77777777" w:rsidR="00B23AB4" w:rsidRPr="00DC380E" w:rsidRDefault="00B23AB4" w:rsidP="00B23AB4">
            <w:pPr>
              <w:rPr>
                <w:sz w:val="22"/>
                <w:szCs w:val="22"/>
              </w:rPr>
            </w:pPr>
            <w:r w:rsidRPr="00DC380E">
              <w:rPr>
                <w:sz w:val="22"/>
                <w:szCs w:val="22"/>
              </w:rPr>
              <w:t>Local Consultant</w:t>
            </w:r>
          </w:p>
          <w:p w14:paraId="77ACAF6F" w14:textId="77777777" w:rsidR="00B23AB4" w:rsidRPr="00DC380E" w:rsidRDefault="00B23AB4" w:rsidP="00B23AB4">
            <w:pPr>
              <w:rPr>
                <w:sz w:val="22"/>
                <w:szCs w:val="22"/>
              </w:rPr>
            </w:pPr>
            <w:r w:rsidRPr="00DC380E">
              <w:rPr>
                <w:sz w:val="22"/>
                <w:szCs w:val="22"/>
              </w:rPr>
              <w:t xml:space="preserve">EaP GREEN, </w:t>
            </w:r>
          </w:p>
          <w:p w14:paraId="36D3353A" w14:textId="77777777" w:rsidR="00B23AB4" w:rsidRPr="00DC380E" w:rsidRDefault="00B23AB4" w:rsidP="00B23AB4">
            <w:pPr>
              <w:spacing w:before="40"/>
              <w:rPr>
                <w:sz w:val="22"/>
                <w:szCs w:val="22"/>
              </w:rPr>
            </w:pPr>
            <w:r w:rsidRPr="00DC380E">
              <w:rPr>
                <w:sz w:val="22"/>
                <w:szCs w:val="22"/>
              </w:rPr>
              <w:t>UNEP RO for Europe</w:t>
            </w:r>
          </w:p>
        </w:tc>
        <w:tc>
          <w:tcPr>
            <w:tcW w:w="2488" w:type="dxa"/>
            <w:tcBorders>
              <w:bottom w:val="single" w:sz="4" w:space="0" w:color="auto"/>
            </w:tcBorders>
            <w:noWrap/>
          </w:tcPr>
          <w:p w14:paraId="5FADCE4E" w14:textId="77777777" w:rsidR="00B23AB4" w:rsidRPr="00DC380E" w:rsidRDefault="00B23AB4" w:rsidP="00B23AB4">
            <w:pPr>
              <w:spacing w:before="40"/>
              <w:rPr>
                <w:sz w:val="22"/>
                <w:szCs w:val="22"/>
                <w:lang w:val="fr-FR"/>
              </w:rPr>
            </w:pPr>
            <w:r w:rsidRPr="00DC380E">
              <w:rPr>
                <w:sz w:val="22"/>
                <w:szCs w:val="22"/>
                <w:lang w:val="fr-FR"/>
              </w:rPr>
              <w:t>Jean Joseph Bellamy</w:t>
            </w:r>
          </w:p>
          <w:p w14:paraId="29D0772E"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tcBorders>
              <w:bottom w:val="single" w:sz="4" w:space="0" w:color="auto"/>
            </w:tcBorders>
            <w:noWrap/>
          </w:tcPr>
          <w:p w14:paraId="3D78E851" w14:textId="77777777" w:rsidR="00B23AB4" w:rsidRPr="00DC380E" w:rsidRDefault="00B23AB4" w:rsidP="00B23AB4">
            <w:pPr>
              <w:spacing w:before="40"/>
              <w:rPr>
                <w:sz w:val="22"/>
                <w:szCs w:val="22"/>
                <w:lang w:val="en-CA"/>
              </w:rPr>
            </w:pPr>
            <w:r w:rsidRPr="00DC380E">
              <w:rPr>
                <w:sz w:val="22"/>
                <w:szCs w:val="22"/>
                <w:lang w:val="en-CA"/>
              </w:rPr>
              <w:t>Cooperation with UNEP, OECD</w:t>
            </w:r>
          </w:p>
          <w:p w14:paraId="627545A3" w14:textId="77777777" w:rsidR="00B23AB4" w:rsidRPr="00DC380E" w:rsidRDefault="00B23AB4" w:rsidP="00B23AB4">
            <w:pPr>
              <w:spacing w:before="40"/>
              <w:rPr>
                <w:sz w:val="22"/>
                <w:szCs w:val="22"/>
                <w:lang w:val="en-CA"/>
              </w:rPr>
            </w:pPr>
            <w:r w:rsidRPr="00DC380E">
              <w:rPr>
                <w:sz w:val="22"/>
                <w:szCs w:val="22"/>
                <w:lang w:val="en-CA"/>
              </w:rPr>
              <w:t>Promotion sustainable development and green economy</w:t>
            </w:r>
          </w:p>
        </w:tc>
        <w:tc>
          <w:tcPr>
            <w:tcW w:w="2189" w:type="dxa"/>
            <w:tcBorders>
              <w:bottom w:val="single" w:sz="4" w:space="0" w:color="auto"/>
            </w:tcBorders>
          </w:tcPr>
          <w:p w14:paraId="612734B7" w14:textId="2555A070" w:rsidR="00B23AB4" w:rsidRPr="00DC380E" w:rsidRDefault="00B23AB4" w:rsidP="00B23AB4">
            <w:pPr>
              <w:spacing w:before="40"/>
              <w:rPr>
                <w:sz w:val="22"/>
                <w:szCs w:val="22"/>
              </w:rPr>
            </w:pPr>
            <w:r w:rsidRPr="00DC380E">
              <w:rPr>
                <w:sz w:val="22"/>
                <w:szCs w:val="22"/>
              </w:rPr>
              <w:t>9, Cosmonaut</w:t>
            </w:r>
            <w:r w:rsidR="003A6E4D">
              <w:rPr>
                <w:sz w:val="22"/>
                <w:szCs w:val="22"/>
              </w:rPr>
              <w:t xml:space="preserve">ilor str., Tel: </w:t>
            </w:r>
            <w:r w:rsidRPr="00DC380E">
              <w:rPr>
                <w:sz w:val="22"/>
                <w:szCs w:val="22"/>
              </w:rPr>
              <w:t>069130366</w:t>
            </w:r>
          </w:p>
        </w:tc>
        <w:tc>
          <w:tcPr>
            <w:tcW w:w="1922" w:type="dxa"/>
            <w:tcBorders>
              <w:bottom w:val="single" w:sz="4" w:space="0" w:color="auto"/>
            </w:tcBorders>
          </w:tcPr>
          <w:p w14:paraId="381E46F1"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743FBBAB" w14:textId="77777777" w:rsidTr="00FE7544">
        <w:tc>
          <w:tcPr>
            <w:tcW w:w="1537" w:type="dxa"/>
            <w:tcBorders>
              <w:top w:val="single" w:sz="4" w:space="0" w:color="auto"/>
              <w:left w:val="single" w:sz="4" w:space="0" w:color="auto"/>
              <w:bottom w:val="single" w:sz="4" w:space="0" w:color="auto"/>
              <w:right w:val="single" w:sz="4" w:space="0" w:color="auto"/>
            </w:tcBorders>
            <w:noWrap/>
          </w:tcPr>
          <w:p w14:paraId="6502537D" w14:textId="77777777" w:rsidR="00B23AB4" w:rsidRPr="00DC380E" w:rsidRDefault="00B23AB4" w:rsidP="00B23AB4">
            <w:pPr>
              <w:spacing w:before="40"/>
              <w:rPr>
                <w:sz w:val="22"/>
                <w:szCs w:val="22"/>
              </w:rPr>
            </w:pPr>
            <w:r w:rsidRPr="00DC380E">
              <w:rPr>
                <w:sz w:val="22"/>
                <w:szCs w:val="22"/>
              </w:rPr>
              <w:t>12.00 – 13.00</w:t>
            </w:r>
          </w:p>
        </w:tc>
        <w:tc>
          <w:tcPr>
            <w:tcW w:w="3533" w:type="dxa"/>
            <w:tcBorders>
              <w:top w:val="single" w:sz="4" w:space="0" w:color="auto"/>
              <w:left w:val="single" w:sz="4" w:space="0" w:color="auto"/>
              <w:bottom w:val="single" w:sz="4" w:space="0" w:color="auto"/>
              <w:right w:val="nil"/>
            </w:tcBorders>
          </w:tcPr>
          <w:p w14:paraId="2549CCBC" w14:textId="77777777" w:rsidR="00B23AB4" w:rsidRPr="00DC380E" w:rsidRDefault="00B23AB4" w:rsidP="00B23AB4">
            <w:pPr>
              <w:spacing w:before="40"/>
              <w:rPr>
                <w:b/>
                <w:sz w:val="22"/>
                <w:szCs w:val="22"/>
              </w:rPr>
            </w:pPr>
            <w:r w:rsidRPr="00DC380E">
              <w:rPr>
                <w:b/>
                <w:sz w:val="22"/>
                <w:szCs w:val="22"/>
              </w:rPr>
              <w:t>Lunch</w:t>
            </w:r>
          </w:p>
        </w:tc>
        <w:tc>
          <w:tcPr>
            <w:tcW w:w="2488" w:type="dxa"/>
            <w:tcBorders>
              <w:top w:val="single" w:sz="4" w:space="0" w:color="auto"/>
              <w:left w:val="nil"/>
              <w:bottom w:val="single" w:sz="4" w:space="0" w:color="auto"/>
              <w:right w:val="nil"/>
            </w:tcBorders>
            <w:noWrap/>
          </w:tcPr>
          <w:p w14:paraId="1B401879" w14:textId="77777777" w:rsidR="00B23AB4" w:rsidRPr="00DC380E" w:rsidRDefault="00B23AB4" w:rsidP="00B23AB4">
            <w:pPr>
              <w:spacing w:before="40"/>
              <w:rPr>
                <w:sz w:val="22"/>
                <w:szCs w:val="22"/>
                <w:lang w:val="fr-FR"/>
              </w:rPr>
            </w:pPr>
          </w:p>
        </w:tc>
        <w:tc>
          <w:tcPr>
            <w:tcW w:w="3119" w:type="dxa"/>
            <w:tcBorders>
              <w:top w:val="single" w:sz="4" w:space="0" w:color="auto"/>
              <w:left w:val="nil"/>
              <w:bottom w:val="single" w:sz="4" w:space="0" w:color="auto"/>
              <w:right w:val="nil"/>
            </w:tcBorders>
            <w:noWrap/>
          </w:tcPr>
          <w:p w14:paraId="04F79B13" w14:textId="77777777" w:rsidR="00B23AB4" w:rsidRPr="00FE7544" w:rsidRDefault="00B23AB4" w:rsidP="00FE7544">
            <w:pPr>
              <w:widowControl/>
              <w:autoSpaceDE/>
              <w:autoSpaceDN/>
              <w:adjustRightInd/>
              <w:spacing w:before="40"/>
              <w:rPr>
                <w:sz w:val="22"/>
                <w:szCs w:val="22"/>
                <w:lang w:val="en-CA"/>
              </w:rPr>
            </w:pPr>
          </w:p>
        </w:tc>
        <w:tc>
          <w:tcPr>
            <w:tcW w:w="2189" w:type="dxa"/>
            <w:tcBorders>
              <w:top w:val="single" w:sz="4" w:space="0" w:color="auto"/>
              <w:left w:val="nil"/>
              <w:bottom w:val="single" w:sz="4" w:space="0" w:color="auto"/>
              <w:right w:val="nil"/>
            </w:tcBorders>
          </w:tcPr>
          <w:p w14:paraId="2A04D576" w14:textId="77777777" w:rsidR="00B23AB4" w:rsidRPr="00DC380E" w:rsidRDefault="00B23AB4" w:rsidP="00B23AB4">
            <w:pPr>
              <w:spacing w:before="40"/>
              <w:rPr>
                <w:sz w:val="22"/>
                <w:szCs w:val="22"/>
              </w:rPr>
            </w:pPr>
          </w:p>
        </w:tc>
        <w:tc>
          <w:tcPr>
            <w:tcW w:w="1922" w:type="dxa"/>
            <w:tcBorders>
              <w:top w:val="single" w:sz="4" w:space="0" w:color="auto"/>
              <w:left w:val="nil"/>
              <w:bottom w:val="single" w:sz="4" w:space="0" w:color="auto"/>
              <w:right w:val="single" w:sz="4" w:space="0" w:color="auto"/>
            </w:tcBorders>
          </w:tcPr>
          <w:p w14:paraId="167DD421" w14:textId="77777777" w:rsidR="00B23AB4" w:rsidRPr="00DC380E" w:rsidRDefault="00B23AB4" w:rsidP="00B23AB4">
            <w:pPr>
              <w:spacing w:before="40"/>
              <w:rPr>
                <w:b/>
                <w:sz w:val="22"/>
                <w:szCs w:val="22"/>
              </w:rPr>
            </w:pPr>
          </w:p>
        </w:tc>
      </w:tr>
      <w:tr w:rsidR="006E3D8D" w:rsidRPr="00DC380E" w14:paraId="6B57676C" w14:textId="77777777" w:rsidTr="005F74EF">
        <w:trPr>
          <w:trHeight w:val="503"/>
        </w:trPr>
        <w:tc>
          <w:tcPr>
            <w:tcW w:w="1537" w:type="dxa"/>
            <w:tcBorders>
              <w:top w:val="single" w:sz="4" w:space="0" w:color="auto"/>
              <w:left w:val="single" w:sz="4" w:space="0" w:color="auto"/>
              <w:bottom w:val="single" w:sz="4" w:space="0" w:color="auto"/>
              <w:right w:val="single" w:sz="4" w:space="0" w:color="auto"/>
            </w:tcBorders>
            <w:noWrap/>
          </w:tcPr>
          <w:p w14:paraId="4C0F8C7A" w14:textId="77777777" w:rsidR="00B23AB4" w:rsidRPr="00DC380E" w:rsidRDefault="00B23AB4" w:rsidP="00B23AB4">
            <w:pPr>
              <w:spacing w:before="40"/>
              <w:rPr>
                <w:sz w:val="22"/>
                <w:szCs w:val="22"/>
              </w:rPr>
            </w:pPr>
            <w:r w:rsidRPr="00DC380E">
              <w:rPr>
                <w:sz w:val="22"/>
                <w:szCs w:val="22"/>
              </w:rPr>
              <w:t>14.00 – 17.00</w:t>
            </w:r>
          </w:p>
        </w:tc>
        <w:tc>
          <w:tcPr>
            <w:tcW w:w="3533" w:type="dxa"/>
            <w:tcBorders>
              <w:top w:val="single" w:sz="4" w:space="0" w:color="auto"/>
              <w:left w:val="single" w:sz="4" w:space="0" w:color="auto"/>
              <w:bottom w:val="single" w:sz="4" w:space="0" w:color="auto"/>
              <w:right w:val="single" w:sz="4" w:space="0" w:color="auto"/>
            </w:tcBorders>
          </w:tcPr>
          <w:p w14:paraId="0B8CF9D1" w14:textId="77777777" w:rsidR="00B23AB4" w:rsidRPr="00DC380E" w:rsidRDefault="00B23AB4" w:rsidP="00B23AB4">
            <w:pPr>
              <w:spacing w:before="40"/>
              <w:rPr>
                <w:b/>
                <w:sz w:val="22"/>
                <w:szCs w:val="22"/>
              </w:rPr>
            </w:pPr>
            <w:r w:rsidRPr="00DC380E">
              <w:rPr>
                <w:b/>
                <w:sz w:val="22"/>
                <w:szCs w:val="22"/>
              </w:rPr>
              <w:t xml:space="preserve">Telenesti Town Primaria </w:t>
            </w:r>
          </w:p>
          <w:p w14:paraId="3A588411" w14:textId="77777777" w:rsidR="00B23AB4" w:rsidRPr="00DC380E" w:rsidRDefault="00B23AB4" w:rsidP="00B23AB4">
            <w:pPr>
              <w:spacing w:before="40"/>
              <w:rPr>
                <w:sz w:val="22"/>
                <w:szCs w:val="22"/>
              </w:rPr>
            </w:pPr>
            <w:r w:rsidRPr="00DC380E">
              <w:rPr>
                <w:sz w:val="22"/>
                <w:szCs w:val="22"/>
              </w:rPr>
              <w:t>Vadim Lelic, Town Hall Mayor</w:t>
            </w:r>
          </w:p>
          <w:p w14:paraId="70CF6267" w14:textId="77777777" w:rsidR="00B23AB4" w:rsidRPr="00DC380E" w:rsidRDefault="00B23AB4" w:rsidP="00B23AB4">
            <w:pPr>
              <w:spacing w:before="40"/>
              <w:rPr>
                <w:sz w:val="22"/>
                <w:szCs w:val="22"/>
              </w:rPr>
            </w:pPr>
            <w:r w:rsidRPr="00DC380E">
              <w:rPr>
                <w:sz w:val="22"/>
                <w:szCs w:val="22"/>
              </w:rPr>
              <w:t>Nicolae Nastas, Town Hall Secretary</w:t>
            </w:r>
          </w:p>
          <w:p w14:paraId="5EFF0EA4" w14:textId="77777777" w:rsidR="00B23AB4" w:rsidRPr="00DC380E" w:rsidRDefault="00B23AB4" w:rsidP="00B23AB4">
            <w:pPr>
              <w:spacing w:before="40"/>
              <w:rPr>
                <w:sz w:val="22"/>
                <w:szCs w:val="22"/>
              </w:rPr>
            </w:pPr>
            <w:r w:rsidRPr="00DC380E">
              <w:rPr>
                <w:sz w:val="22"/>
                <w:szCs w:val="22"/>
                <w:lang w:val="fr-FR"/>
              </w:rPr>
              <w:t>Veceaslav Bulat, IDU</w:t>
            </w:r>
          </w:p>
        </w:tc>
        <w:tc>
          <w:tcPr>
            <w:tcW w:w="2488" w:type="dxa"/>
            <w:tcBorders>
              <w:top w:val="single" w:sz="4" w:space="0" w:color="auto"/>
              <w:left w:val="single" w:sz="4" w:space="0" w:color="auto"/>
              <w:bottom w:val="single" w:sz="4" w:space="0" w:color="auto"/>
              <w:right w:val="single" w:sz="4" w:space="0" w:color="auto"/>
            </w:tcBorders>
            <w:noWrap/>
          </w:tcPr>
          <w:p w14:paraId="79E181EA" w14:textId="77777777" w:rsidR="00B23AB4" w:rsidRPr="00DC380E" w:rsidRDefault="00B23AB4" w:rsidP="00B23AB4">
            <w:pPr>
              <w:spacing w:before="40"/>
              <w:rPr>
                <w:sz w:val="22"/>
                <w:szCs w:val="22"/>
                <w:lang w:val="fr-FR"/>
              </w:rPr>
            </w:pPr>
            <w:r w:rsidRPr="00DC380E">
              <w:rPr>
                <w:sz w:val="22"/>
                <w:szCs w:val="22"/>
                <w:lang w:val="fr-FR"/>
              </w:rPr>
              <w:t>Jean Joseph Bellamy</w:t>
            </w:r>
          </w:p>
          <w:p w14:paraId="0C3F753A" w14:textId="3F2BFBB7" w:rsidR="00B23AB4" w:rsidRPr="00DC380E" w:rsidRDefault="00B23AB4" w:rsidP="00B23AB4">
            <w:pPr>
              <w:spacing w:before="40"/>
              <w:rPr>
                <w:sz w:val="22"/>
                <w:szCs w:val="22"/>
                <w:lang w:val="fr-FR"/>
              </w:rPr>
            </w:pPr>
            <w:r w:rsidRPr="00DC380E">
              <w:rPr>
                <w:sz w:val="22"/>
                <w:szCs w:val="22"/>
                <w:lang w:val="fr-FR"/>
              </w:rPr>
              <w:t>Victor Cotruta</w:t>
            </w:r>
          </w:p>
        </w:tc>
        <w:tc>
          <w:tcPr>
            <w:tcW w:w="3119" w:type="dxa"/>
            <w:tcBorders>
              <w:top w:val="single" w:sz="4" w:space="0" w:color="auto"/>
              <w:left w:val="single" w:sz="4" w:space="0" w:color="auto"/>
              <w:bottom w:val="single" w:sz="4" w:space="0" w:color="auto"/>
              <w:right w:val="single" w:sz="4" w:space="0" w:color="auto"/>
            </w:tcBorders>
            <w:noWrap/>
          </w:tcPr>
          <w:p w14:paraId="7980E05F" w14:textId="77777777" w:rsidR="00B23AB4" w:rsidRPr="00DC380E" w:rsidRDefault="00B23AB4" w:rsidP="00B23AB4">
            <w:pPr>
              <w:spacing w:before="40"/>
              <w:rPr>
                <w:sz w:val="22"/>
                <w:szCs w:val="22"/>
                <w:lang w:val="en-CA"/>
              </w:rPr>
            </w:pPr>
            <w:r w:rsidRPr="00DC380E">
              <w:rPr>
                <w:sz w:val="22"/>
                <w:szCs w:val="22"/>
                <w:lang w:val="en-CA"/>
              </w:rPr>
              <w:t>Integration environmental aspects in local planning and performance based budgeting</w:t>
            </w:r>
          </w:p>
        </w:tc>
        <w:tc>
          <w:tcPr>
            <w:tcW w:w="2189" w:type="dxa"/>
            <w:tcBorders>
              <w:top w:val="single" w:sz="4" w:space="0" w:color="auto"/>
              <w:left w:val="single" w:sz="4" w:space="0" w:color="auto"/>
              <w:bottom w:val="single" w:sz="4" w:space="0" w:color="auto"/>
              <w:right w:val="single" w:sz="4" w:space="0" w:color="auto"/>
            </w:tcBorders>
          </w:tcPr>
          <w:p w14:paraId="2BFA996B" w14:textId="3E3535CA" w:rsidR="00B23AB4" w:rsidRPr="003A6E4D" w:rsidRDefault="003A6E4D" w:rsidP="003A6E4D">
            <w:pPr>
              <w:pStyle w:val="NormalWeb"/>
              <w:rPr>
                <w:rFonts w:ascii="Times New Roman" w:hAnsi="Times New Roman"/>
                <w:sz w:val="22"/>
                <w:szCs w:val="22"/>
                <w:lang w:val="en-CA"/>
              </w:rPr>
            </w:pPr>
            <w:r>
              <w:rPr>
                <w:rFonts w:ascii="Times New Roman" w:hAnsi="Times New Roman"/>
                <w:sz w:val="22"/>
                <w:szCs w:val="22"/>
                <w:lang w:val="en-CA"/>
              </w:rPr>
              <w:t>Telenesti</w:t>
            </w:r>
            <w:r>
              <w:rPr>
                <w:rFonts w:ascii="Times New Roman" w:hAnsi="Times New Roman"/>
                <w:sz w:val="22"/>
                <w:szCs w:val="22"/>
                <w:lang w:val="en-CA"/>
              </w:rPr>
              <w:br/>
              <w:t xml:space="preserve">8, 31 August str. </w:t>
            </w:r>
            <w:r>
              <w:rPr>
                <w:rFonts w:ascii="Times New Roman" w:hAnsi="Times New Roman"/>
                <w:sz w:val="22"/>
                <w:szCs w:val="22"/>
                <w:lang w:val="en-CA"/>
              </w:rPr>
              <w:br/>
              <w:t>T</w:t>
            </w:r>
            <w:r w:rsidR="00B23AB4" w:rsidRPr="00DC380E">
              <w:rPr>
                <w:rFonts w:ascii="Times New Roman" w:hAnsi="Times New Roman"/>
                <w:sz w:val="22"/>
                <w:szCs w:val="22"/>
                <w:lang w:val="en-CA"/>
              </w:rPr>
              <w:t>el: 0-258-22641</w:t>
            </w:r>
          </w:p>
        </w:tc>
        <w:tc>
          <w:tcPr>
            <w:tcW w:w="1922" w:type="dxa"/>
            <w:tcBorders>
              <w:top w:val="single" w:sz="4" w:space="0" w:color="auto"/>
              <w:left w:val="single" w:sz="4" w:space="0" w:color="auto"/>
              <w:bottom w:val="single" w:sz="4" w:space="0" w:color="auto"/>
              <w:right w:val="single" w:sz="4" w:space="0" w:color="auto"/>
            </w:tcBorders>
          </w:tcPr>
          <w:p w14:paraId="47DC5937" w14:textId="77777777" w:rsidR="00B23AB4" w:rsidRPr="00DC380E" w:rsidRDefault="00B23AB4" w:rsidP="00B23AB4">
            <w:pPr>
              <w:spacing w:before="40"/>
              <w:rPr>
                <w:b/>
                <w:sz w:val="22"/>
                <w:szCs w:val="22"/>
              </w:rPr>
            </w:pPr>
            <w:r w:rsidRPr="00DC380E">
              <w:rPr>
                <w:b/>
                <w:sz w:val="22"/>
                <w:szCs w:val="22"/>
              </w:rPr>
              <w:t>Confirmed</w:t>
            </w:r>
          </w:p>
        </w:tc>
      </w:tr>
      <w:tr w:rsidR="00B23AB4" w:rsidRPr="00DC380E" w14:paraId="6FB03FC7" w14:textId="77777777" w:rsidTr="00DC380E">
        <w:trPr>
          <w:trHeight w:val="255"/>
        </w:trPr>
        <w:tc>
          <w:tcPr>
            <w:tcW w:w="14788" w:type="dxa"/>
            <w:gridSpan w:val="6"/>
            <w:shd w:val="clear" w:color="auto" w:fill="D9D9D9" w:themeFill="background1" w:themeFillShade="D9"/>
            <w:noWrap/>
          </w:tcPr>
          <w:p w14:paraId="13278F47" w14:textId="77777777" w:rsidR="00B23AB4" w:rsidRPr="00DC380E" w:rsidRDefault="00B23AB4" w:rsidP="00B23AB4">
            <w:pPr>
              <w:spacing w:before="40"/>
              <w:rPr>
                <w:b/>
                <w:sz w:val="22"/>
                <w:szCs w:val="22"/>
              </w:rPr>
            </w:pPr>
            <w:r w:rsidRPr="00DC380E">
              <w:rPr>
                <w:b/>
                <w:sz w:val="22"/>
                <w:szCs w:val="22"/>
              </w:rPr>
              <w:t xml:space="preserve"> </w:t>
            </w:r>
            <w:r w:rsidRPr="00DC380E">
              <w:rPr>
                <w:b/>
                <w:color w:val="000080"/>
                <w:sz w:val="22"/>
                <w:szCs w:val="22"/>
              </w:rPr>
              <w:t>Friday, 4 September, 2015</w:t>
            </w:r>
          </w:p>
        </w:tc>
      </w:tr>
      <w:tr w:rsidR="006E3D8D" w:rsidRPr="00DC380E" w14:paraId="0BC17C57" w14:textId="77777777" w:rsidTr="005F74EF">
        <w:trPr>
          <w:trHeight w:val="1250"/>
        </w:trPr>
        <w:tc>
          <w:tcPr>
            <w:tcW w:w="1537" w:type="dxa"/>
            <w:noWrap/>
          </w:tcPr>
          <w:p w14:paraId="578B9CD8" w14:textId="77777777" w:rsidR="00B23AB4" w:rsidRPr="00DC380E" w:rsidRDefault="00B23AB4" w:rsidP="00B23AB4">
            <w:pPr>
              <w:spacing w:before="40"/>
              <w:rPr>
                <w:sz w:val="22"/>
                <w:szCs w:val="22"/>
              </w:rPr>
            </w:pPr>
            <w:r w:rsidRPr="00DC380E">
              <w:rPr>
                <w:sz w:val="22"/>
                <w:szCs w:val="22"/>
              </w:rPr>
              <w:t>09.00 – 10.00</w:t>
            </w:r>
          </w:p>
        </w:tc>
        <w:tc>
          <w:tcPr>
            <w:tcW w:w="3533" w:type="dxa"/>
          </w:tcPr>
          <w:p w14:paraId="220CE582" w14:textId="77777777" w:rsidR="00B23AB4" w:rsidRPr="00DC380E" w:rsidRDefault="00B23AB4" w:rsidP="00B23AB4">
            <w:pPr>
              <w:spacing w:before="40"/>
              <w:rPr>
                <w:b/>
                <w:sz w:val="22"/>
                <w:szCs w:val="22"/>
              </w:rPr>
            </w:pPr>
            <w:r w:rsidRPr="00DC380E">
              <w:rPr>
                <w:b/>
                <w:sz w:val="22"/>
                <w:szCs w:val="22"/>
              </w:rPr>
              <w:t>State Chancellery</w:t>
            </w:r>
          </w:p>
          <w:p w14:paraId="63CD7A4D" w14:textId="77777777" w:rsidR="00B23AB4" w:rsidRPr="00DC380E" w:rsidRDefault="00B23AB4" w:rsidP="00B23AB4">
            <w:pPr>
              <w:spacing w:before="40"/>
              <w:rPr>
                <w:sz w:val="22"/>
                <w:szCs w:val="22"/>
              </w:rPr>
            </w:pPr>
            <w:r w:rsidRPr="00DC380E">
              <w:rPr>
                <w:sz w:val="22"/>
                <w:szCs w:val="22"/>
              </w:rPr>
              <w:t>Mr. Sergiu Palihovici, General State Secretary</w:t>
            </w:r>
          </w:p>
          <w:p w14:paraId="5CD9C026" w14:textId="77777777" w:rsidR="00B23AB4" w:rsidRPr="00DC380E" w:rsidRDefault="00B23AB4" w:rsidP="00B23AB4">
            <w:pPr>
              <w:spacing w:before="40"/>
              <w:rPr>
                <w:b/>
                <w:sz w:val="22"/>
                <w:szCs w:val="22"/>
              </w:rPr>
            </w:pPr>
            <w:r w:rsidRPr="00DC380E">
              <w:rPr>
                <w:sz w:val="22"/>
                <w:szCs w:val="22"/>
              </w:rPr>
              <w:t>Mr. Vasile Ciorba, Consultant, member of the NEF Council</w:t>
            </w:r>
          </w:p>
        </w:tc>
        <w:tc>
          <w:tcPr>
            <w:tcW w:w="2488" w:type="dxa"/>
            <w:noWrap/>
          </w:tcPr>
          <w:p w14:paraId="28AD6C64" w14:textId="77777777" w:rsidR="00B23AB4" w:rsidRPr="00DC380E" w:rsidRDefault="00B23AB4" w:rsidP="00B23AB4">
            <w:pPr>
              <w:spacing w:before="40"/>
              <w:rPr>
                <w:sz w:val="22"/>
                <w:szCs w:val="22"/>
                <w:lang w:val="fr-FR"/>
              </w:rPr>
            </w:pPr>
            <w:r w:rsidRPr="00DC380E">
              <w:rPr>
                <w:sz w:val="22"/>
                <w:szCs w:val="22"/>
                <w:lang w:val="fr-FR"/>
              </w:rPr>
              <w:t>Jean Joseph Bellamy</w:t>
            </w:r>
          </w:p>
          <w:p w14:paraId="2023F21A"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noWrap/>
          </w:tcPr>
          <w:p w14:paraId="1E0B84A6" w14:textId="77777777" w:rsidR="00B23AB4" w:rsidRPr="00DC380E" w:rsidRDefault="00B23AB4" w:rsidP="00B23AB4">
            <w:pPr>
              <w:spacing w:before="40"/>
              <w:rPr>
                <w:sz w:val="22"/>
                <w:szCs w:val="22"/>
                <w:lang w:val="en-CA"/>
              </w:rPr>
            </w:pPr>
            <w:r w:rsidRPr="00DC380E">
              <w:rPr>
                <w:sz w:val="22"/>
                <w:szCs w:val="22"/>
                <w:lang w:val="en-CA"/>
              </w:rPr>
              <w:t>Restructuring NEF</w:t>
            </w:r>
          </w:p>
          <w:p w14:paraId="3AEC866F" w14:textId="77777777" w:rsidR="00B23AB4" w:rsidRPr="00DC380E" w:rsidRDefault="00B23AB4" w:rsidP="00B23AB4">
            <w:pPr>
              <w:spacing w:before="40"/>
              <w:rPr>
                <w:sz w:val="22"/>
                <w:szCs w:val="22"/>
                <w:lang w:val="en-CA"/>
              </w:rPr>
            </w:pPr>
            <w:r w:rsidRPr="00DC380E">
              <w:rPr>
                <w:sz w:val="22"/>
                <w:szCs w:val="22"/>
                <w:lang w:val="en-CA"/>
              </w:rPr>
              <w:t>EFR Commission</w:t>
            </w:r>
          </w:p>
        </w:tc>
        <w:tc>
          <w:tcPr>
            <w:tcW w:w="2189" w:type="dxa"/>
          </w:tcPr>
          <w:p w14:paraId="1EEE17A9" w14:textId="77777777" w:rsidR="00B23AB4" w:rsidRPr="00DC380E" w:rsidRDefault="00B23AB4" w:rsidP="00B23AB4">
            <w:pPr>
              <w:spacing w:before="40"/>
              <w:rPr>
                <w:sz w:val="22"/>
                <w:szCs w:val="22"/>
              </w:rPr>
            </w:pPr>
            <w:r w:rsidRPr="00DC380E">
              <w:rPr>
                <w:sz w:val="22"/>
                <w:szCs w:val="22"/>
              </w:rPr>
              <w:t>Government Building</w:t>
            </w:r>
          </w:p>
          <w:p w14:paraId="2F0E5EE0" w14:textId="77777777" w:rsidR="00B23AB4" w:rsidRPr="00DC380E" w:rsidRDefault="00B23AB4" w:rsidP="00B23AB4">
            <w:pPr>
              <w:spacing w:before="40"/>
              <w:rPr>
                <w:sz w:val="22"/>
                <w:szCs w:val="22"/>
              </w:rPr>
            </w:pPr>
            <w:r w:rsidRPr="00DC380E">
              <w:rPr>
                <w:sz w:val="22"/>
                <w:szCs w:val="22"/>
              </w:rPr>
              <w:t>Stefan cel Mare Bd, 1, off. 527</w:t>
            </w:r>
          </w:p>
        </w:tc>
        <w:tc>
          <w:tcPr>
            <w:tcW w:w="1922" w:type="dxa"/>
          </w:tcPr>
          <w:p w14:paraId="555A7EDB" w14:textId="77777777" w:rsidR="00B23AB4" w:rsidRPr="00DC380E" w:rsidRDefault="00B23AB4" w:rsidP="00B23AB4">
            <w:pPr>
              <w:spacing w:before="40"/>
              <w:rPr>
                <w:sz w:val="22"/>
                <w:szCs w:val="22"/>
              </w:rPr>
            </w:pPr>
            <w:r w:rsidRPr="00DC380E">
              <w:rPr>
                <w:b/>
                <w:sz w:val="22"/>
                <w:szCs w:val="22"/>
              </w:rPr>
              <w:t>Confirmed</w:t>
            </w:r>
            <w:r w:rsidRPr="00DC380E">
              <w:rPr>
                <w:sz w:val="22"/>
                <w:szCs w:val="22"/>
              </w:rPr>
              <w:t xml:space="preserve"> </w:t>
            </w:r>
          </w:p>
        </w:tc>
      </w:tr>
      <w:tr w:rsidR="006E3D8D" w:rsidRPr="00DC380E" w14:paraId="67776291" w14:textId="77777777" w:rsidTr="005F74EF">
        <w:trPr>
          <w:trHeight w:val="906"/>
        </w:trPr>
        <w:tc>
          <w:tcPr>
            <w:tcW w:w="1537" w:type="dxa"/>
            <w:noWrap/>
          </w:tcPr>
          <w:p w14:paraId="18CBD4D9" w14:textId="77777777" w:rsidR="00B23AB4" w:rsidRPr="00DC380E" w:rsidRDefault="00B23AB4" w:rsidP="00B23AB4">
            <w:pPr>
              <w:spacing w:before="40"/>
              <w:rPr>
                <w:sz w:val="22"/>
                <w:szCs w:val="22"/>
              </w:rPr>
            </w:pPr>
            <w:r w:rsidRPr="00DC380E">
              <w:rPr>
                <w:sz w:val="22"/>
                <w:szCs w:val="22"/>
              </w:rPr>
              <w:t>10.15 – 11.15</w:t>
            </w:r>
          </w:p>
        </w:tc>
        <w:tc>
          <w:tcPr>
            <w:tcW w:w="3533" w:type="dxa"/>
          </w:tcPr>
          <w:p w14:paraId="5EB147FF" w14:textId="77777777" w:rsidR="00B23AB4" w:rsidRPr="00DC380E" w:rsidRDefault="00B23AB4" w:rsidP="00B23AB4">
            <w:pPr>
              <w:spacing w:before="40"/>
              <w:rPr>
                <w:b/>
                <w:sz w:val="22"/>
                <w:szCs w:val="22"/>
              </w:rPr>
            </w:pPr>
            <w:r w:rsidRPr="00DC380E">
              <w:rPr>
                <w:b/>
                <w:sz w:val="22"/>
                <w:szCs w:val="22"/>
              </w:rPr>
              <w:t>ANRE</w:t>
            </w:r>
          </w:p>
          <w:p w14:paraId="5223E032" w14:textId="77777777" w:rsidR="00B23AB4" w:rsidRPr="00DC380E" w:rsidRDefault="00B23AB4" w:rsidP="00B23AB4">
            <w:pPr>
              <w:spacing w:before="40"/>
              <w:rPr>
                <w:sz w:val="22"/>
                <w:szCs w:val="22"/>
              </w:rPr>
            </w:pPr>
            <w:r w:rsidRPr="00DC380E">
              <w:rPr>
                <w:sz w:val="22"/>
                <w:szCs w:val="22"/>
              </w:rPr>
              <w:t xml:space="preserve">Alexandru Mija, Deputy Head of tariff and economic department </w:t>
            </w:r>
          </w:p>
        </w:tc>
        <w:tc>
          <w:tcPr>
            <w:tcW w:w="2488" w:type="dxa"/>
            <w:noWrap/>
          </w:tcPr>
          <w:p w14:paraId="455CC0D8" w14:textId="77777777" w:rsidR="00B23AB4" w:rsidRPr="00DC380E" w:rsidRDefault="00B23AB4" w:rsidP="00B23AB4">
            <w:pPr>
              <w:spacing w:before="40"/>
              <w:rPr>
                <w:sz w:val="22"/>
                <w:szCs w:val="22"/>
                <w:lang w:val="fr-FR"/>
              </w:rPr>
            </w:pPr>
            <w:r w:rsidRPr="00DC380E">
              <w:rPr>
                <w:sz w:val="22"/>
                <w:szCs w:val="22"/>
                <w:lang w:val="fr-FR"/>
              </w:rPr>
              <w:t>Jean Joseph Bellamy</w:t>
            </w:r>
          </w:p>
          <w:p w14:paraId="125F00C7"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noWrap/>
          </w:tcPr>
          <w:p w14:paraId="61AD91C1" w14:textId="77777777" w:rsidR="00B23AB4" w:rsidRPr="00DC380E" w:rsidRDefault="00B23AB4" w:rsidP="00B23AB4">
            <w:pPr>
              <w:spacing w:before="40"/>
              <w:rPr>
                <w:sz w:val="22"/>
                <w:szCs w:val="22"/>
                <w:lang w:val="en-CA"/>
              </w:rPr>
            </w:pPr>
            <w:r w:rsidRPr="00DC380E">
              <w:rPr>
                <w:sz w:val="22"/>
                <w:szCs w:val="22"/>
                <w:lang w:val="en-CA"/>
              </w:rPr>
              <w:t>Energy subsidies</w:t>
            </w:r>
          </w:p>
        </w:tc>
        <w:tc>
          <w:tcPr>
            <w:tcW w:w="2189" w:type="dxa"/>
          </w:tcPr>
          <w:p w14:paraId="161742F1" w14:textId="77777777" w:rsidR="003A6E4D" w:rsidRDefault="003A6E4D" w:rsidP="00B23AB4">
            <w:pPr>
              <w:spacing w:before="40"/>
              <w:rPr>
                <w:sz w:val="22"/>
                <w:szCs w:val="22"/>
                <w:lang w:val="en-CA"/>
              </w:rPr>
            </w:pPr>
            <w:r>
              <w:rPr>
                <w:sz w:val="22"/>
                <w:szCs w:val="22"/>
                <w:lang w:val="en-CA"/>
              </w:rPr>
              <w:t xml:space="preserve">90, Columna str. </w:t>
            </w:r>
          </w:p>
          <w:p w14:paraId="5ABD938B" w14:textId="30D48211" w:rsidR="00B23AB4" w:rsidRPr="00DC380E" w:rsidRDefault="00B23AB4" w:rsidP="00B23AB4">
            <w:pPr>
              <w:spacing w:before="40"/>
              <w:rPr>
                <w:sz w:val="22"/>
                <w:szCs w:val="22"/>
                <w:lang w:val="en-CA"/>
              </w:rPr>
            </w:pPr>
            <w:r w:rsidRPr="00DC380E">
              <w:rPr>
                <w:sz w:val="22"/>
                <w:szCs w:val="22"/>
                <w:lang w:val="en-CA"/>
              </w:rPr>
              <w:t>Ph.</w:t>
            </w:r>
            <w:r w:rsidR="003A6E4D">
              <w:rPr>
                <w:sz w:val="22"/>
                <w:szCs w:val="22"/>
                <w:lang w:val="en-CA"/>
              </w:rPr>
              <w:t xml:space="preserve"> 022 852926</w:t>
            </w:r>
          </w:p>
          <w:p w14:paraId="35D2340F" w14:textId="77777777" w:rsidR="00B23AB4" w:rsidRPr="00DC380E" w:rsidRDefault="00B23AB4" w:rsidP="00B23AB4">
            <w:pPr>
              <w:spacing w:before="40"/>
              <w:rPr>
                <w:sz w:val="22"/>
                <w:szCs w:val="22"/>
              </w:rPr>
            </w:pPr>
            <w:r w:rsidRPr="00DC380E">
              <w:rPr>
                <w:sz w:val="22"/>
                <w:szCs w:val="22"/>
                <w:lang w:val="en-CA"/>
              </w:rPr>
              <w:t>amija@anre.md</w:t>
            </w:r>
          </w:p>
        </w:tc>
        <w:tc>
          <w:tcPr>
            <w:tcW w:w="1922" w:type="dxa"/>
          </w:tcPr>
          <w:p w14:paraId="5C23E0E4"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5D0D2D94" w14:textId="77777777" w:rsidTr="00FE7544">
        <w:trPr>
          <w:trHeight w:val="1250"/>
        </w:trPr>
        <w:tc>
          <w:tcPr>
            <w:tcW w:w="1537" w:type="dxa"/>
            <w:noWrap/>
          </w:tcPr>
          <w:p w14:paraId="6A0D4969" w14:textId="77777777" w:rsidR="00B23AB4" w:rsidRPr="00DC380E" w:rsidRDefault="00B23AB4" w:rsidP="00B23AB4">
            <w:pPr>
              <w:spacing w:before="40"/>
              <w:rPr>
                <w:sz w:val="22"/>
                <w:szCs w:val="22"/>
              </w:rPr>
            </w:pPr>
            <w:r w:rsidRPr="00DC380E">
              <w:rPr>
                <w:sz w:val="22"/>
                <w:szCs w:val="22"/>
              </w:rPr>
              <w:t>11.45 – 12.45</w:t>
            </w:r>
          </w:p>
        </w:tc>
        <w:tc>
          <w:tcPr>
            <w:tcW w:w="3533" w:type="dxa"/>
            <w:tcBorders>
              <w:bottom w:val="single" w:sz="4" w:space="0" w:color="auto"/>
            </w:tcBorders>
          </w:tcPr>
          <w:p w14:paraId="1AC64133" w14:textId="77777777" w:rsidR="00B23AB4" w:rsidRPr="00DC380E" w:rsidRDefault="00B23AB4" w:rsidP="00B23AB4">
            <w:pPr>
              <w:spacing w:before="40"/>
              <w:rPr>
                <w:b/>
                <w:sz w:val="22"/>
                <w:szCs w:val="22"/>
              </w:rPr>
            </w:pPr>
            <w:r w:rsidRPr="00DC380E">
              <w:rPr>
                <w:b/>
                <w:sz w:val="22"/>
                <w:szCs w:val="22"/>
              </w:rPr>
              <w:t xml:space="preserve">Ecological Movement </w:t>
            </w:r>
          </w:p>
          <w:p w14:paraId="42C00543" w14:textId="77777777" w:rsidR="00B23AB4" w:rsidRPr="00DC380E" w:rsidRDefault="00B23AB4" w:rsidP="00B23AB4">
            <w:pPr>
              <w:spacing w:before="40"/>
              <w:rPr>
                <w:sz w:val="22"/>
                <w:szCs w:val="22"/>
              </w:rPr>
            </w:pPr>
            <w:r w:rsidRPr="00DC380E">
              <w:rPr>
                <w:sz w:val="22"/>
                <w:szCs w:val="22"/>
              </w:rPr>
              <w:t>Mr. Alecu Renita, director</w:t>
            </w:r>
          </w:p>
          <w:p w14:paraId="5B96BCF8" w14:textId="638E942D" w:rsidR="00B23AB4" w:rsidRPr="00DC380E" w:rsidRDefault="00B23AB4" w:rsidP="00B23AB4">
            <w:pPr>
              <w:spacing w:before="40"/>
              <w:rPr>
                <w:b/>
                <w:sz w:val="22"/>
                <w:szCs w:val="22"/>
              </w:rPr>
            </w:pPr>
            <w:r w:rsidRPr="00DC380E">
              <w:rPr>
                <w:b/>
                <w:sz w:val="22"/>
                <w:szCs w:val="22"/>
              </w:rPr>
              <w:t>AO EcoContact</w:t>
            </w:r>
          </w:p>
          <w:p w14:paraId="40DC69EF" w14:textId="0BC5766F" w:rsidR="00B23AB4" w:rsidRPr="00DC380E" w:rsidRDefault="003A6E4D" w:rsidP="00B23AB4">
            <w:pPr>
              <w:spacing w:before="40"/>
              <w:rPr>
                <w:b/>
                <w:sz w:val="22"/>
                <w:szCs w:val="22"/>
              </w:rPr>
            </w:pPr>
            <w:r>
              <w:rPr>
                <w:sz w:val="22"/>
                <w:szCs w:val="22"/>
              </w:rPr>
              <w:t>Ms. Iordanca Rodica Iordanov, D</w:t>
            </w:r>
            <w:r w:rsidR="00B23AB4" w:rsidRPr="00DC380E">
              <w:rPr>
                <w:sz w:val="22"/>
                <w:szCs w:val="22"/>
              </w:rPr>
              <w:t>irector</w:t>
            </w:r>
          </w:p>
        </w:tc>
        <w:tc>
          <w:tcPr>
            <w:tcW w:w="2488" w:type="dxa"/>
            <w:tcBorders>
              <w:bottom w:val="single" w:sz="4" w:space="0" w:color="auto"/>
            </w:tcBorders>
            <w:noWrap/>
          </w:tcPr>
          <w:p w14:paraId="62D8C89E" w14:textId="77777777" w:rsidR="00B23AB4" w:rsidRPr="00DC380E" w:rsidRDefault="00B23AB4" w:rsidP="00B23AB4">
            <w:pPr>
              <w:spacing w:before="40"/>
              <w:rPr>
                <w:sz w:val="22"/>
                <w:szCs w:val="22"/>
                <w:lang w:val="fr-FR"/>
              </w:rPr>
            </w:pPr>
            <w:r w:rsidRPr="00DC380E">
              <w:rPr>
                <w:sz w:val="22"/>
                <w:szCs w:val="22"/>
                <w:lang w:val="fr-FR"/>
              </w:rPr>
              <w:t>Jean Joseph Bellamy</w:t>
            </w:r>
          </w:p>
          <w:p w14:paraId="31954A96" w14:textId="77777777" w:rsidR="00B23AB4" w:rsidRPr="00DC380E" w:rsidRDefault="00B23AB4" w:rsidP="00B23AB4">
            <w:pPr>
              <w:spacing w:before="40"/>
              <w:rPr>
                <w:sz w:val="22"/>
                <w:szCs w:val="22"/>
                <w:lang w:val="fr-FR"/>
              </w:rPr>
            </w:pPr>
            <w:r w:rsidRPr="00DC380E">
              <w:rPr>
                <w:sz w:val="22"/>
                <w:szCs w:val="22"/>
                <w:lang w:val="fr-FR"/>
              </w:rPr>
              <w:t>Victor Cotruta</w:t>
            </w:r>
          </w:p>
        </w:tc>
        <w:tc>
          <w:tcPr>
            <w:tcW w:w="3119" w:type="dxa"/>
            <w:tcBorders>
              <w:bottom w:val="single" w:sz="4" w:space="0" w:color="auto"/>
            </w:tcBorders>
            <w:noWrap/>
          </w:tcPr>
          <w:p w14:paraId="475B39A1" w14:textId="77777777" w:rsidR="00B23AB4" w:rsidRPr="00DC380E" w:rsidRDefault="00B23AB4" w:rsidP="00B23AB4">
            <w:pPr>
              <w:spacing w:before="40"/>
              <w:rPr>
                <w:sz w:val="22"/>
                <w:szCs w:val="22"/>
                <w:lang w:val="en-CA"/>
              </w:rPr>
            </w:pPr>
            <w:r w:rsidRPr="00DC380E">
              <w:rPr>
                <w:sz w:val="22"/>
                <w:szCs w:val="22"/>
                <w:lang w:val="en-CA"/>
              </w:rPr>
              <w:t>Cooperation with NGOs sector in environmental policies related EFR</w:t>
            </w:r>
          </w:p>
        </w:tc>
        <w:tc>
          <w:tcPr>
            <w:tcW w:w="2189" w:type="dxa"/>
            <w:tcBorders>
              <w:bottom w:val="single" w:sz="4" w:space="0" w:color="auto"/>
            </w:tcBorders>
          </w:tcPr>
          <w:p w14:paraId="11BEA6DD" w14:textId="77777777" w:rsidR="00B23AB4" w:rsidRPr="00DC380E" w:rsidRDefault="00B23AB4" w:rsidP="00B23AB4">
            <w:pPr>
              <w:spacing w:before="40"/>
              <w:rPr>
                <w:sz w:val="22"/>
                <w:szCs w:val="22"/>
              </w:rPr>
            </w:pPr>
            <w:r w:rsidRPr="00DC380E">
              <w:rPr>
                <w:sz w:val="22"/>
                <w:szCs w:val="22"/>
              </w:rPr>
              <w:t xml:space="preserve">13, Lazo str., </w:t>
            </w:r>
          </w:p>
          <w:p w14:paraId="52947C2E" w14:textId="6FD75F8E" w:rsidR="00B23AB4" w:rsidRPr="00DC380E" w:rsidRDefault="00B23AB4" w:rsidP="00B23AB4">
            <w:pPr>
              <w:spacing w:before="40"/>
              <w:rPr>
                <w:sz w:val="22"/>
                <w:szCs w:val="22"/>
              </w:rPr>
            </w:pPr>
            <w:r w:rsidRPr="00DC380E">
              <w:rPr>
                <w:sz w:val="22"/>
                <w:szCs w:val="22"/>
              </w:rPr>
              <w:t>Tel: 022 232 408; 022 21 27 86</w:t>
            </w:r>
          </w:p>
        </w:tc>
        <w:tc>
          <w:tcPr>
            <w:tcW w:w="1922" w:type="dxa"/>
            <w:tcBorders>
              <w:bottom w:val="single" w:sz="4" w:space="0" w:color="auto"/>
            </w:tcBorders>
          </w:tcPr>
          <w:p w14:paraId="256CE155"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2EB301A4" w14:textId="77777777" w:rsidTr="003A6E4D">
        <w:tc>
          <w:tcPr>
            <w:tcW w:w="1537" w:type="dxa"/>
            <w:noWrap/>
          </w:tcPr>
          <w:p w14:paraId="5D9A6D57" w14:textId="77777777" w:rsidR="00B23AB4" w:rsidRPr="00DC380E" w:rsidRDefault="00B23AB4" w:rsidP="00B23AB4">
            <w:pPr>
              <w:spacing w:before="40"/>
              <w:rPr>
                <w:sz w:val="22"/>
                <w:szCs w:val="22"/>
              </w:rPr>
            </w:pPr>
            <w:r w:rsidRPr="00DC380E">
              <w:rPr>
                <w:sz w:val="22"/>
                <w:szCs w:val="22"/>
              </w:rPr>
              <w:t>13.00 – 13.30</w:t>
            </w:r>
          </w:p>
        </w:tc>
        <w:tc>
          <w:tcPr>
            <w:tcW w:w="3533" w:type="dxa"/>
            <w:tcBorders>
              <w:right w:val="nil"/>
            </w:tcBorders>
          </w:tcPr>
          <w:p w14:paraId="08619600" w14:textId="77777777" w:rsidR="00B23AB4" w:rsidRPr="00DC380E" w:rsidRDefault="00B23AB4" w:rsidP="00B23AB4">
            <w:pPr>
              <w:spacing w:before="40"/>
              <w:rPr>
                <w:b/>
                <w:sz w:val="22"/>
                <w:szCs w:val="22"/>
              </w:rPr>
            </w:pPr>
            <w:r w:rsidRPr="00DC380E">
              <w:rPr>
                <w:b/>
                <w:sz w:val="22"/>
                <w:szCs w:val="22"/>
              </w:rPr>
              <w:t>Lunch</w:t>
            </w:r>
          </w:p>
        </w:tc>
        <w:tc>
          <w:tcPr>
            <w:tcW w:w="2488" w:type="dxa"/>
            <w:tcBorders>
              <w:left w:val="nil"/>
              <w:right w:val="nil"/>
            </w:tcBorders>
            <w:noWrap/>
          </w:tcPr>
          <w:p w14:paraId="22C426FD" w14:textId="77777777" w:rsidR="00B23AB4" w:rsidRPr="00DC380E" w:rsidRDefault="00B23AB4" w:rsidP="00B23AB4">
            <w:pPr>
              <w:spacing w:before="40"/>
              <w:rPr>
                <w:sz w:val="22"/>
                <w:szCs w:val="22"/>
                <w:lang w:val="fr-FR"/>
              </w:rPr>
            </w:pPr>
          </w:p>
        </w:tc>
        <w:tc>
          <w:tcPr>
            <w:tcW w:w="3119" w:type="dxa"/>
            <w:tcBorders>
              <w:left w:val="nil"/>
              <w:right w:val="nil"/>
            </w:tcBorders>
            <w:noWrap/>
          </w:tcPr>
          <w:p w14:paraId="5A187919" w14:textId="77777777" w:rsidR="00B23AB4" w:rsidRPr="00FE7544" w:rsidRDefault="00B23AB4" w:rsidP="00FE7544">
            <w:pPr>
              <w:widowControl/>
              <w:autoSpaceDE/>
              <w:autoSpaceDN/>
              <w:adjustRightInd/>
              <w:spacing w:before="40"/>
              <w:rPr>
                <w:sz w:val="22"/>
                <w:szCs w:val="22"/>
                <w:lang w:val="en-CA"/>
              </w:rPr>
            </w:pPr>
          </w:p>
        </w:tc>
        <w:tc>
          <w:tcPr>
            <w:tcW w:w="2189" w:type="dxa"/>
            <w:tcBorders>
              <w:left w:val="nil"/>
              <w:right w:val="nil"/>
            </w:tcBorders>
          </w:tcPr>
          <w:p w14:paraId="77EA8EF8" w14:textId="77777777" w:rsidR="00B23AB4" w:rsidRPr="00DC380E" w:rsidRDefault="00B23AB4" w:rsidP="00B23AB4">
            <w:pPr>
              <w:spacing w:before="40"/>
              <w:rPr>
                <w:sz w:val="22"/>
                <w:szCs w:val="22"/>
              </w:rPr>
            </w:pPr>
          </w:p>
        </w:tc>
        <w:tc>
          <w:tcPr>
            <w:tcW w:w="1922" w:type="dxa"/>
            <w:tcBorders>
              <w:left w:val="nil"/>
            </w:tcBorders>
          </w:tcPr>
          <w:p w14:paraId="7C7BA698" w14:textId="77777777" w:rsidR="00B23AB4" w:rsidRPr="00DC380E" w:rsidRDefault="00B23AB4" w:rsidP="00B23AB4">
            <w:pPr>
              <w:spacing w:before="40"/>
              <w:rPr>
                <w:b/>
                <w:sz w:val="22"/>
                <w:szCs w:val="22"/>
              </w:rPr>
            </w:pPr>
          </w:p>
        </w:tc>
      </w:tr>
      <w:tr w:rsidR="006E3D8D" w:rsidRPr="00DC380E" w14:paraId="2E61C290" w14:textId="77777777" w:rsidTr="005F74EF">
        <w:trPr>
          <w:trHeight w:val="1250"/>
        </w:trPr>
        <w:tc>
          <w:tcPr>
            <w:tcW w:w="1537" w:type="dxa"/>
            <w:noWrap/>
          </w:tcPr>
          <w:p w14:paraId="2452C420" w14:textId="77777777" w:rsidR="00B23AB4" w:rsidRPr="00DC380E" w:rsidRDefault="00B23AB4" w:rsidP="00B23AB4">
            <w:pPr>
              <w:rPr>
                <w:sz w:val="22"/>
                <w:szCs w:val="22"/>
                <w:highlight w:val="yellow"/>
              </w:rPr>
            </w:pPr>
            <w:r w:rsidRPr="00DC380E">
              <w:rPr>
                <w:sz w:val="22"/>
                <w:szCs w:val="22"/>
              </w:rPr>
              <w:t>13.30-15.00</w:t>
            </w:r>
          </w:p>
        </w:tc>
        <w:tc>
          <w:tcPr>
            <w:tcW w:w="3533" w:type="dxa"/>
          </w:tcPr>
          <w:p w14:paraId="163AC769" w14:textId="77777777" w:rsidR="00B23AB4" w:rsidRPr="00DC380E" w:rsidRDefault="00B23AB4" w:rsidP="00B23AB4">
            <w:pPr>
              <w:rPr>
                <w:sz w:val="22"/>
                <w:szCs w:val="22"/>
              </w:rPr>
            </w:pPr>
            <w:r w:rsidRPr="00DC380E">
              <w:rPr>
                <w:sz w:val="22"/>
                <w:szCs w:val="22"/>
              </w:rPr>
              <w:t>Mr. Iulian Gamureac, President MoldRec NGO</w:t>
            </w:r>
          </w:p>
          <w:p w14:paraId="6800BB11" w14:textId="77777777" w:rsidR="00B23AB4" w:rsidRPr="00DC380E" w:rsidRDefault="00B23AB4" w:rsidP="00B23AB4">
            <w:pPr>
              <w:rPr>
                <w:color w:val="000000"/>
                <w:sz w:val="22"/>
                <w:szCs w:val="22"/>
              </w:rPr>
            </w:pPr>
            <w:r w:rsidRPr="00DC380E">
              <w:rPr>
                <w:color w:val="000000"/>
                <w:sz w:val="22"/>
                <w:szCs w:val="22"/>
              </w:rPr>
              <w:t xml:space="preserve">Corina Lozovanu, Metro Moldova SRL </w:t>
            </w:r>
          </w:p>
          <w:p w14:paraId="7F1576A7" w14:textId="79304DB4" w:rsidR="00B23AB4" w:rsidRPr="00DC380E" w:rsidRDefault="005F74EF" w:rsidP="00B23AB4">
            <w:pPr>
              <w:rPr>
                <w:b/>
                <w:sz w:val="22"/>
                <w:szCs w:val="22"/>
              </w:rPr>
            </w:pPr>
            <w:r>
              <w:rPr>
                <w:color w:val="000000"/>
                <w:sz w:val="22"/>
                <w:szCs w:val="22"/>
              </w:rPr>
              <w:t xml:space="preserve">Liudmila Andronic, </w:t>
            </w:r>
            <w:r w:rsidR="00B23AB4" w:rsidRPr="00DC380E">
              <w:rPr>
                <w:color w:val="000000"/>
                <w:sz w:val="22"/>
                <w:szCs w:val="22"/>
              </w:rPr>
              <w:t>EFES JSC</w:t>
            </w:r>
          </w:p>
        </w:tc>
        <w:tc>
          <w:tcPr>
            <w:tcW w:w="2488" w:type="dxa"/>
            <w:noWrap/>
          </w:tcPr>
          <w:p w14:paraId="7575F20E" w14:textId="77777777" w:rsidR="00B23AB4" w:rsidRPr="00DC380E" w:rsidRDefault="00B23AB4" w:rsidP="00B23AB4">
            <w:pPr>
              <w:spacing w:before="40"/>
              <w:rPr>
                <w:sz w:val="22"/>
                <w:szCs w:val="22"/>
                <w:lang w:val="fr-FR"/>
              </w:rPr>
            </w:pPr>
          </w:p>
        </w:tc>
        <w:tc>
          <w:tcPr>
            <w:tcW w:w="3119" w:type="dxa"/>
            <w:noWrap/>
          </w:tcPr>
          <w:p w14:paraId="48D3F9FF" w14:textId="77777777" w:rsidR="00B23AB4" w:rsidRPr="00DC380E" w:rsidRDefault="00B23AB4" w:rsidP="00B23AB4">
            <w:pPr>
              <w:spacing w:before="40"/>
              <w:rPr>
                <w:sz w:val="22"/>
                <w:szCs w:val="22"/>
                <w:lang w:val="en-CA"/>
              </w:rPr>
            </w:pPr>
            <w:r w:rsidRPr="00DC380E">
              <w:rPr>
                <w:sz w:val="22"/>
                <w:szCs w:val="22"/>
                <w:lang w:val="en-CA"/>
              </w:rPr>
              <w:t>Environmental taxes and payments from private point of view</w:t>
            </w:r>
          </w:p>
        </w:tc>
        <w:tc>
          <w:tcPr>
            <w:tcW w:w="2189" w:type="dxa"/>
          </w:tcPr>
          <w:p w14:paraId="072A8FAB" w14:textId="77777777" w:rsidR="00B23AB4" w:rsidRPr="00DC380E" w:rsidRDefault="00B23AB4" w:rsidP="00B23AB4">
            <w:pPr>
              <w:spacing w:before="40"/>
              <w:rPr>
                <w:sz w:val="22"/>
                <w:szCs w:val="22"/>
              </w:rPr>
            </w:pPr>
            <w:r w:rsidRPr="00DC380E">
              <w:rPr>
                <w:sz w:val="22"/>
                <w:szCs w:val="22"/>
              </w:rPr>
              <w:t>Iorga, 21</w:t>
            </w:r>
          </w:p>
          <w:p w14:paraId="06D65968" w14:textId="77777777" w:rsidR="00B23AB4" w:rsidRPr="00DC380E" w:rsidRDefault="00B23AB4" w:rsidP="00B23AB4">
            <w:pPr>
              <w:spacing w:before="40"/>
              <w:rPr>
                <w:sz w:val="22"/>
                <w:szCs w:val="22"/>
              </w:rPr>
            </w:pPr>
            <w:r w:rsidRPr="00DC380E">
              <w:rPr>
                <w:sz w:val="22"/>
                <w:szCs w:val="22"/>
              </w:rPr>
              <w:t>3</w:t>
            </w:r>
            <w:r w:rsidRPr="00DC380E">
              <w:rPr>
                <w:sz w:val="22"/>
                <w:szCs w:val="22"/>
                <w:vertAlign w:val="superscript"/>
              </w:rPr>
              <w:t>rd</w:t>
            </w:r>
            <w:r w:rsidRPr="00DC380E">
              <w:rPr>
                <w:sz w:val="22"/>
                <w:szCs w:val="22"/>
              </w:rPr>
              <w:t xml:space="preserve"> floor </w:t>
            </w:r>
            <w:r w:rsidRPr="00DC380E">
              <w:rPr>
                <w:color w:val="000000"/>
                <w:sz w:val="22"/>
                <w:szCs w:val="22"/>
              </w:rPr>
              <w:t>069099529 (CL) 079704622 (LA)</w:t>
            </w:r>
          </w:p>
        </w:tc>
        <w:tc>
          <w:tcPr>
            <w:tcW w:w="1922" w:type="dxa"/>
          </w:tcPr>
          <w:p w14:paraId="6830ACCA"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14291585" w14:textId="77777777" w:rsidTr="005F74EF">
        <w:tc>
          <w:tcPr>
            <w:tcW w:w="1537" w:type="dxa"/>
            <w:noWrap/>
          </w:tcPr>
          <w:p w14:paraId="7771C77B" w14:textId="77777777" w:rsidR="00B23AB4" w:rsidRPr="00DC380E" w:rsidRDefault="00B23AB4" w:rsidP="00B23AB4">
            <w:pPr>
              <w:spacing w:before="40"/>
              <w:rPr>
                <w:sz w:val="22"/>
                <w:szCs w:val="22"/>
              </w:rPr>
            </w:pPr>
            <w:r w:rsidRPr="00DC380E">
              <w:rPr>
                <w:sz w:val="22"/>
                <w:szCs w:val="22"/>
              </w:rPr>
              <w:t>15.00 – 16.00</w:t>
            </w:r>
          </w:p>
          <w:p w14:paraId="62FEAA39" w14:textId="77777777" w:rsidR="00B23AB4" w:rsidRPr="00DC380E" w:rsidRDefault="00B23AB4" w:rsidP="00B23AB4">
            <w:pPr>
              <w:spacing w:before="40"/>
              <w:rPr>
                <w:sz w:val="22"/>
                <w:szCs w:val="22"/>
              </w:rPr>
            </w:pPr>
          </w:p>
        </w:tc>
        <w:tc>
          <w:tcPr>
            <w:tcW w:w="3533" w:type="dxa"/>
          </w:tcPr>
          <w:p w14:paraId="5ED54650" w14:textId="77777777" w:rsidR="00B23AB4" w:rsidRPr="00DC380E" w:rsidRDefault="00B23AB4" w:rsidP="00B23AB4">
            <w:pPr>
              <w:spacing w:before="40"/>
              <w:rPr>
                <w:b/>
                <w:sz w:val="22"/>
                <w:szCs w:val="22"/>
              </w:rPr>
            </w:pPr>
            <w:r w:rsidRPr="00DC380E">
              <w:rPr>
                <w:b/>
                <w:sz w:val="22"/>
                <w:szCs w:val="22"/>
              </w:rPr>
              <w:t>Debriefing EFR Project’s Office</w:t>
            </w:r>
          </w:p>
          <w:p w14:paraId="36F763B3" w14:textId="77777777" w:rsidR="00B23AB4" w:rsidRPr="00DC380E" w:rsidRDefault="00B23AB4" w:rsidP="00B23AB4">
            <w:pPr>
              <w:spacing w:before="40"/>
              <w:rPr>
                <w:sz w:val="22"/>
                <w:szCs w:val="22"/>
              </w:rPr>
            </w:pPr>
          </w:p>
        </w:tc>
        <w:tc>
          <w:tcPr>
            <w:tcW w:w="2488" w:type="dxa"/>
            <w:noWrap/>
          </w:tcPr>
          <w:p w14:paraId="4BB88E70" w14:textId="77777777" w:rsidR="00B23AB4" w:rsidRPr="00DC380E" w:rsidRDefault="00B23AB4" w:rsidP="00B23AB4">
            <w:pPr>
              <w:spacing w:before="40"/>
              <w:rPr>
                <w:sz w:val="22"/>
                <w:szCs w:val="22"/>
                <w:lang w:val="en-CA"/>
              </w:rPr>
            </w:pPr>
            <w:r w:rsidRPr="00DC380E">
              <w:rPr>
                <w:sz w:val="22"/>
                <w:szCs w:val="22"/>
                <w:lang w:val="en-CA"/>
              </w:rPr>
              <w:t>Mihai Roscovan</w:t>
            </w:r>
          </w:p>
          <w:p w14:paraId="023D3250" w14:textId="77777777" w:rsidR="00B23AB4" w:rsidRPr="00DC380E" w:rsidRDefault="00B23AB4" w:rsidP="00B23AB4">
            <w:pPr>
              <w:spacing w:before="40"/>
              <w:rPr>
                <w:sz w:val="22"/>
                <w:szCs w:val="22"/>
                <w:lang w:val="en-CA"/>
              </w:rPr>
            </w:pPr>
            <w:r w:rsidRPr="00DC380E">
              <w:rPr>
                <w:sz w:val="22"/>
                <w:szCs w:val="22"/>
                <w:lang w:val="en-CA"/>
              </w:rPr>
              <w:t>Valentin Rosca</w:t>
            </w:r>
          </w:p>
          <w:p w14:paraId="00BFCF74" w14:textId="77777777" w:rsidR="00B23AB4" w:rsidRPr="00DC380E" w:rsidRDefault="00B23AB4" w:rsidP="00B23AB4">
            <w:pPr>
              <w:spacing w:before="40"/>
              <w:rPr>
                <w:sz w:val="22"/>
                <w:szCs w:val="22"/>
                <w:lang w:val="en-CA"/>
              </w:rPr>
            </w:pPr>
            <w:r w:rsidRPr="00DC380E">
              <w:rPr>
                <w:sz w:val="22"/>
                <w:szCs w:val="22"/>
                <w:lang w:val="en-CA"/>
              </w:rPr>
              <w:t>Sergiu Burca</w:t>
            </w:r>
          </w:p>
          <w:p w14:paraId="598644F2" w14:textId="77777777" w:rsidR="00B23AB4" w:rsidRPr="00DC380E" w:rsidRDefault="00B23AB4" w:rsidP="00B23AB4">
            <w:pPr>
              <w:spacing w:before="40"/>
              <w:rPr>
                <w:sz w:val="22"/>
                <w:szCs w:val="22"/>
                <w:lang w:val="en-CA"/>
              </w:rPr>
            </w:pPr>
            <w:r w:rsidRPr="00DC380E">
              <w:rPr>
                <w:sz w:val="22"/>
                <w:szCs w:val="22"/>
                <w:lang w:val="en-CA"/>
              </w:rPr>
              <w:t>Dumitru Budianschi</w:t>
            </w:r>
          </w:p>
          <w:p w14:paraId="0F0FE468" w14:textId="77777777" w:rsidR="00B23AB4" w:rsidRPr="00DC380E" w:rsidRDefault="00B23AB4" w:rsidP="00B23AB4">
            <w:pPr>
              <w:spacing w:before="40"/>
              <w:rPr>
                <w:sz w:val="22"/>
                <w:szCs w:val="22"/>
                <w:lang w:val="en-CA"/>
              </w:rPr>
            </w:pPr>
            <w:r w:rsidRPr="00DC380E">
              <w:rPr>
                <w:sz w:val="22"/>
                <w:szCs w:val="22"/>
                <w:lang w:val="en-CA"/>
              </w:rPr>
              <w:t>Jean Joseph Bellamy</w:t>
            </w:r>
          </w:p>
          <w:p w14:paraId="6FBA311C" w14:textId="77777777" w:rsidR="00B23AB4" w:rsidRPr="00DC380E" w:rsidRDefault="00B23AB4" w:rsidP="00B23AB4">
            <w:pPr>
              <w:spacing w:before="40"/>
              <w:rPr>
                <w:sz w:val="22"/>
                <w:szCs w:val="22"/>
                <w:lang w:val="en-CA"/>
              </w:rPr>
            </w:pPr>
            <w:r w:rsidRPr="00DC380E">
              <w:rPr>
                <w:sz w:val="22"/>
                <w:szCs w:val="22"/>
                <w:lang w:val="en-CA"/>
              </w:rPr>
              <w:t>Victor Cotruta</w:t>
            </w:r>
          </w:p>
        </w:tc>
        <w:tc>
          <w:tcPr>
            <w:tcW w:w="3119" w:type="dxa"/>
            <w:noWrap/>
          </w:tcPr>
          <w:p w14:paraId="54FAFC60" w14:textId="77777777" w:rsidR="00B23AB4" w:rsidRPr="00DC380E" w:rsidRDefault="00B23AB4" w:rsidP="00B23AB4">
            <w:pPr>
              <w:spacing w:before="40"/>
              <w:rPr>
                <w:sz w:val="22"/>
                <w:szCs w:val="22"/>
              </w:rPr>
            </w:pPr>
          </w:p>
        </w:tc>
        <w:tc>
          <w:tcPr>
            <w:tcW w:w="2189" w:type="dxa"/>
          </w:tcPr>
          <w:p w14:paraId="3BB0DCCC" w14:textId="77777777" w:rsidR="00B23AB4" w:rsidRPr="00DC380E" w:rsidRDefault="00B23AB4" w:rsidP="00B23AB4">
            <w:pPr>
              <w:spacing w:before="40"/>
              <w:rPr>
                <w:sz w:val="22"/>
                <w:szCs w:val="22"/>
              </w:rPr>
            </w:pPr>
            <w:r w:rsidRPr="00DC380E">
              <w:rPr>
                <w:sz w:val="22"/>
                <w:szCs w:val="22"/>
              </w:rPr>
              <w:t>Iorga, 21</w:t>
            </w:r>
          </w:p>
          <w:p w14:paraId="0B13437F" w14:textId="77777777" w:rsidR="00B23AB4" w:rsidRPr="00DC380E" w:rsidRDefault="00B23AB4" w:rsidP="00B23AB4">
            <w:pPr>
              <w:spacing w:before="40"/>
              <w:rPr>
                <w:sz w:val="22"/>
                <w:szCs w:val="22"/>
              </w:rPr>
            </w:pPr>
            <w:r w:rsidRPr="00DC380E">
              <w:rPr>
                <w:sz w:val="22"/>
                <w:szCs w:val="22"/>
              </w:rPr>
              <w:t>3</w:t>
            </w:r>
            <w:r w:rsidRPr="00DC380E">
              <w:rPr>
                <w:sz w:val="22"/>
                <w:szCs w:val="22"/>
                <w:vertAlign w:val="superscript"/>
              </w:rPr>
              <w:t>rd</w:t>
            </w:r>
            <w:r w:rsidRPr="00DC380E">
              <w:rPr>
                <w:sz w:val="22"/>
                <w:szCs w:val="22"/>
              </w:rPr>
              <w:t xml:space="preserve"> floor </w:t>
            </w:r>
          </w:p>
        </w:tc>
        <w:tc>
          <w:tcPr>
            <w:tcW w:w="1922" w:type="dxa"/>
          </w:tcPr>
          <w:p w14:paraId="7D111A40" w14:textId="77777777" w:rsidR="00B23AB4" w:rsidRPr="00DC380E" w:rsidRDefault="00B23AB4" w:rsidP="00B23AB4">
            <w:pPr>
              <w:spacing w:before="40"/>
              <w:rPr>
                <w:b/>
                <w:sz w:val="22"/>
                <w:szCs w:val="22"/>
              </w:rPr>
            </w:pPr>
            <w:r w:rsidRPr="00DC380E">
              <w:rPr>
                <w:b/>
                <w:sz w:val="22"/>
                <w:szCs w:val="22"/>
              </w:rPr>
              <w:t>Confirmed</w:t>
            </w:r>
          </w:p>
        </w:tc>
      </w:tr>
      <w:tr w:rsidR="006E3D8D" w:rsidRPr="00DC380E" w14:paraId="2B82F0C5" w14:textId="77777777" w:rsidTr="005F74EF">
        <w:trPr>
          <w:trHeight w:val="961"/>
        </w:trPr>
        <w:tc>
          <w:tcPr>
            <w:tcW w:w="1537" w:type="dxa"/>
            <w:tcBorders>
              <w:bottom w:val="single" w:sz="4" w:space="0" w:color="auto"/>
            </w:tcBorders>
            <w:noWrap/>
          </w:tcPr>
          <w:p w14:paraId="072B43FF" w14:textId="77777777" w:rsidR="00B23AB4" w:rsidRPr="00DC380E" w:rsidRDefault="00B23AB4" w:rsidP="00B23AB4">
            <w:pPr>
              <w:spacing w:before="40"/>
              <w:rPr>
                <w:sz w:val="22"/>
                <w:szCs w:val="22"/>
              </w:rPr>
            </w:pPr>
            <w:r w:rsidRPr="00DC380E">
              <w:rPr>
                <w:sz w:val="22"/>
                <w:szCs w:val="22"/>
              </w:rPr>
              <w:t>16.00 – 17.00</w:t>
            </w:r>
          </w:p>
          <w:p w14:paraId="21DC355A" w14:textId="77777777" w:rsidR="00B23AB4" w:rsidRPr="00DC380E" w:rsidRDefault="00B23AB4" w:rsidP="00B23AB4">
            <w:pPr>
              <w:spacing w:before="40"/>
              <w:rPr>
                <w:sz w:val="22"/>
                <w:szCs w:val="22"/>
              </w:rPr>
            </w:pPr>
          </w:p>
        </w:tc>
        <w:tc>
          <w:tcPr>
            <w:tcW w:w="3533" w:type="dxa"/>
            <w:tcBorders>
              <w:bottom w:val="single" w:sz="4" w:space="0" w:color="auto"/>
            </w:tcBorders>
          </w:tcPr>
          <w:p w14:paraId="17F77B84" w14:textId="77777777" w:rsidR="00B23AB4" w:rsidRPr="00DC380E" w:rsidRDefault="00B23AB4" w:rsidP="00B23AB4">
            <w:pPr>
              <w:spacing w:before="40"/>
              <w:rPr>
                <w:b/>
                <w:sz w:val="22"/>
                <w:szCs w:val="22"/>
              </w:rPr>
            </w:pPr>
            <w:r w:rsidRPr="00DC380E">
              <w:rPr>
                <w:b/>
                <w:sz w:val="22"/>
                <w:szCs w:val="22"/>
              </w:rPr>
              <w:t>Debriefing UNDP Moldova CO</w:t>
            </w:r>
          </w:p>
          <w:p w14:paraId="0C4A24D0" w14:textId="77777777" w:rsidR="00B23AB4" w:rsidRPr="00DC380E" w:rsidRDefault="00B23AB4" w:rsidP="00B23AB4">
            <w:pPr>
              <w:spacing w:before="40"/>
              <w:rPr>
                <w:sz w:val="22"/>
                <w:szCs w:val="22"/>
              </w:rPr>
            </w:pPr>
          </w:p>
        </w:tc>
        <w:tc>
          <w:tcPr>
            <w:tcW w:w="2488" w:type="dxa"/>
            <w:tcBorders>
              <w:bottom w:val="single" w:sz="4" w:space="0" w:color="auto"/>
            </w:tcBorders>
            <w:noWrap/>
          </w:tcPr>
          <w:p w14:paraId="1372F956" w14:textId="77777777" w:rsidR="00B23AB4" w:rsidRPr="00DC380E" w:rsidRDefault="00B23AB4" w:rsidP="00B23AB4">
            <w:pPr>
              <w:spacing w:before="40"/>
              <w:rPr>
                <w:sz w:val="22"/>
                <w:szCs w:val="22"/>
                <w:lang w:val="fr-FR"/>
              </w:rPr>
            </w:pPr>
            <w:r w:rsidRPr="00DC380E">
              <w:rPr>
                <w:sz w:val="22"/>
                <w:szCs w:val="22"/>
                <w:lang w:val="fr-FR"/>
              </w:rPr>
              <w:t>Narine Sahakyan</w:t>
            </w:r>
          </w:p>
          <w:p w14:paraId="3CD40D71" w14:textId="77777777" w:rsidR="00B23AB4" w:rsidRPr="00DC380E" w:rsidRDefault="00B23AB4" w:rsidP="00B23AB4">
            <w:pPr>
              <w:spacing w:before="40"/>
              <w:rPr>
                <w:sz w:val="22"/>
                <w:szCs w:val="22"/>
                <w:lang w:val="fr-FR"/>
              </w:rPr>
            </w:pPr>
            <w:r w:rsidRPr="00DC380E">
              <w:rPr>
                <w:sz w:val="22"/>
                <w:szCs w:val="22"/>
                <w:lang w:val="fr-FR"/>
              </w:rPr>
              <w:t>Valeria Ieseanu</w:t>
            </w:r>
          </w:p>
          <w:p w14:paraId="2E14808B" w14:textId="77777777" w:rsidR="00B23AB4" w:rsidRPr="00DC380E" w:rsidRDefault="00B23AB4" w:rsidP="00B23AB4">
            <w:pPr>
              <w:spacing w:before="40"/>
              <w:rPr>
                <w:sz w:val="22"/>
                <w:szCs w:val="22"/>
                <w:lang w:val="es-UY"/>
              </w:rPr>
            </w:pPr>
            <w:r w:rsidRPr="00DC380E">
              <w:rPr>
                <w:sz w:val="22"/>
                <w:szCs w:val="22"/>
                <w:lang w:val="es-UY"/>
              </w:rPr>
              <w:t>Jean Joseph Bellamy</w:t>
            </w:r>
          </w:p>
          <w:p w14:paraId="63941BD3" w14:textId="77777777" w:rsidR="00B23AB4" w:rsidRPr="00DC380E" w:rsidRDefault="00B23AB4" w:rsidP="00B23AB4">
            <w:pPr>
              <w:spacing w:before="40"/>
              <w:rPr>
                <w:sz w:val="22"/>
                <w:szCs w:val="22"/>
              </w:rPr>
            </w:pPr>
            <w:r w:rsidRPr="00DC380E">
              <w:rPr>
                <w:sz w:val="22"/>
                <w:szCs w:val="22"/>
                <w:lang w:val="es-UY"/>
              </w:rPr>
              <w:t>Victor Cotruta</w:t>
            </w:r>
          </w:p>
        </w:tc>
        <w:tc>
          <w:tcPr>
            <w:tcW w:w="3119" w:type="dxa"/>
            <w:tcBorders>
              <w:bottom w:val="single" w:sz="4" w:space="0" w:color="auto"/>
            </w:tcBorders>
            <w:noWrap/>
          </w:tcPr>
          <w:p w14:paraId="43FC6ADC" w14:textId="77777777" w:rsidR="00B23AB4" w:rsidRPr="00DC380E" w:rsidRDefault="00B23AB4" w:rsidP="00B23AB4">
            <w:pPr>
              <w:spacing w:before="40"/>
              <w:rPr>
                <w:sz w:val="22"/>
                <w:szCs w:val="22"/>
              </w:rPr>
            </w:pPr>
          </w:p>
        </w:tc>
        <w:tc>
          <w:tcPr>
            <w:tcW w:w="2189" w:type="dxa"/>
            <w:tcBorders>
              <w:bottom w:val="single" w:sz="4" w:space="0" w:color="auto"/>
            </w:tcBorders>
          </w:tcPr>
          <w:p w14:paraId="459C4167" w14:textId="77777777" w:rsidR="00B23AB4" w:rsidRPr="00DC380E" w:rsidRDefault="00B23AB4" w:rsidP="00B23AB4">
            <w:pPr>
              <w:spacing w:before="40"/>
              <w:rPr>
                <w:sz w:val="22"/>
                <w:szCs w:val="22"/>
              </w:rPr>
            </w:pPr>
            <w:r w:rsidRPr="00DC380E">
              <w:rPr>
                <w:sz w:val="22"/>
                <w:szCs w:val="22"/>
              </w:rPr>
              <w:t>UN House Conference Room</w:t>
            </w:r>
          </w:p>
        </w:tc>
        <w:tc>
          <w:tcPr>
            <w:tcW w:w="1922" w:type="dxa"/>
            <w:tcBorders>
              <w:bottom w:val="single" w:sz="4" w:space="0" w:color="auto"/>
            </w:tcBorders>
          </w:tcPr>
          <w:p w14:paraId="1685F133" w14:textId="77777777" w:rsidR="00B23AB4" w:rsidRPr="00DC380E" w:rsidRDefault="00B23AB4" w:rsidP="00B23AB4">
            <w:pPr>
              <w:spacing w:before="40"/>
              <w:rPr>
                <w:b/>
                <w:sz w:val="22"/>
                <w:szCs w:val="22"/>
              </w:rPr>
            </w:pPr>
            <w:r w:rsidRPr="00DC380E">
              <w:rPr>
                <w:b/>
                <w:sz w:val="22"/>
                <w:szCs w:val="22"/>
              </w:rPr>
              <w:t>Confirmed</w:t>
            </w:r>
          </w:p>
        </w:tc>
      </w:tr>
      <w:tr w:rsidR="00B23AB4" w:rsidRPr="00DC380E" w14:paraId="249A087F" w14:textId="77777777" w:rsidTr="00DC380E">
        <w:trPr>
          <w:trHeight w:val="255"/>
        </w:trPr>
        <w:tc>
          <w:tcPr>
            <w:tcW w:w="14788" w:type="dxa"/>
            <w:gridSpan w:val="6"/>
            <w:shd w:val="clear" w:color="auto" w:fill="D9D9D9" w:themeFill="background1" w:themeFillShade="D9"/>
            <w:noWrap/>
          </w:tcPr>
          <w:p w14:paraId="595B74BB" w14:textId="77777777" w:rsidR="00B23AB4" w:rsidRPr="00DC380E" w:rsidRDefault="00B23AB4" w:rsidP="00B23AB4">
            <w:pPr>
              <w:spacing w:before="40"/>
              <w:rPr>
                <w:b/>
                <w:sz w:val="22"/>
                <w:szCs w:val="22"/>
              </w:rPr>
            </w:pPr>
            <w:r w:rsidRPr="00DC380E">
              <w:rPr>
                <w:b/>
                <w:color w:val="000080"/>
                <w:sz w:val="22"/>
                <w:szCs w:val="22"/>
              </w:rPr>
              <w:t>Saturday, 5 September, 2015</w:t>
            </w:r>
          </w:p>
        </w:tc>
      </w:tr>
      <w:tr w:rsidR="006E3D8D" w:rsidRPr="00DC380E" w14:paraId="739824CE" w14:textId="77777777" w:rsidTr="005F74EF">
        <w:tc>
          <w:tcPr>
            <w:tcW w:w="1537" w:type="dxa"/>
            <w:noWrap/>
          </w:tcPr>
          <w:p w14:paraId="4444AC74" w14:textId="77777777" w:rsidR="00B23AB4" w:rsidRPr="00DC380E" w:rsidRDefault="00B23AB4" w:rsidP="00B23AB4">
            <w:pPr>
              <w:spacing w:before="40"/>
              <w:rPr>
                <w:sz w:val="22"/>
                <w:szCs w:val="22"/>
              </w:rPr>
            </w:pPr>
          </w:p>
        </w:tc>
        <w:tc>
          <w:tcPr>
            <w:tcW w:w="3533" w:type="dxa"/>
          </w:tcPr>
          <w:p w14:paraId="1998C073" w14:textId="77777777" w:rsidR="00B23AB4" w:rsidRPr="00DC380E" w:rsidRDefault="00B23AB4" w:rsidP="00B23AB4">
            <w:pPr>
              <w:spacing w:before="40"/>
              <w:rPr>
                <w:b/>
                <w:sz w:val="22"/>
                <w:szCs w:val="22"/>
              </w:rPr>
            </w:pPr>
          </w:p>
        </w:tc>
        <w:tc>
          <w:tcPr>
            <w:tcW w:w="2488" w:type="dxa"/>
            <w:noWrap/>
          </w:tcPr>
          <w:p w14:paraId="141BBB3F" w14:textId="77777777" w:rsidR="00B23AB4" w:rsidRPr="00DC380E" w:rsidRDefault="00B23AB4" w:rsidP="00B23AB4">
            <w:pPr>
              <w:spacing w:before="40"/>
              <w:rPr>
                <w:sz w:val="22"/>
                <w:szCs w:val="22"/>
                <w:lang w:val="fr-FR"/>
              </w:rPr>
            </w:pPr>
          </w:p>
        </w:tc>
        <w:tc>
          <w:tcPr>
            <w:tcW w:w="3119" w:type="dxa"/>
            <w:noWrap/>
          </w:tcPr>
          <w:p w14:paraId="06EB0D99" w14:textId="77777777" w:rsidR="00B23AB4" w:rsidRPr="00DC380E" w:rsidRDefault="00B23AB4" w:rsidP="00B23AB4">
            <w:pPr>
              <w:pStyle w:val="ListParagraph"/>
              <w:spacing w:before="40"/>
              <w:ind w:left="1080"/>
              <w:rPr>
                <w:sz w:val="22"/>
                <w:szCs w:val="22"/>
                <w:lang w:val="en-CA"/>
              </w:rPr>
            </w:pPr>
          </w:p>
        </w:tc>
        <w:tc>
          <w:tcPr>
            <w:tcW w:w="2189" w:type="dxa"/>
          </w:tcPr>
          <w:p w14:paraId="0275526B" w14:textId="77777777" w:rsidR="00B23AB4" w:rsidRPr="00DC380E" w:rsidRDefault="00B23AB4" w:rsidP="00B23AB4">
            <w:pPr>
              <w:spacing w:before="40"/>
              <w:rPr>
                <w:sz w:val="22"/>
                <w:szCs w:val="22"/>
              </w:rPr>
            </w:pPr>
          </w:p>
        </w:tc>
        <w:tc>
          <w:tcPr>
            <w:tcW w:w="1922" w:type="dxa"/>
          </w:tcPr>
          <w:p w14:paraId="69E7904F" w14:textId="77777777" w:rsidR="00B23AB4" w:rsidRPr="00DC380E" w:rsidRDefault="00B23AB4" w:rsidP="00B23AB4">
            <w:pPr>
              <w:spacing w:before="40"/>
              <w:rPr>
                <w:sz w:val="22"/>
                <w:szCs w:val="22"/>
              </w:rPr>
            </w:pPr>
          </w:p>
        </w:tc>
      </w:tr>
      <w:tr w:rsidR="00B23AB4" w:rsidRPr="00DC380E" w14:paraId="6A1B86AD" w14:textId="77777777" w:rsidTr="00DC380E">
        <w:trPr>
          <w:trHeight w:val="255"/>
        </w:trPr>
        <w:tc>
          <w:tcPr>
            <w:tcW w:w="14788" w:type="dxa"/>
            <w:gridSpan w:val="6"/>
            <w:shd w:val="clear" w:color="auto" w:fill="D9D9D9" w:themeFill="background1" w:themeFillShade="D9"/>
            <w:noWrap/>
          </w:tcPr>
          <w:p w14:paraId="2EC8D837" w14:textId="77777777" w:rsidR="00B23AB4" w:rsidRPr="00DC380E" w:rsidRDefault="00B23AB4" w:rsidP="00B23AB4">
            <w:pPr>
              <w:spacing w:before="40"/>
              <w:rPr>
                <w:b/>
                <w:sz w:val="22"/>
                <w:szCs w:val="22"/>
              </w:rPr>
            </w:pPr>
            <w:r w:rsidRPr="00DC380E">
              <w:rPr>
                <w:b/>
                <w:color w:val="000080"/>
                <w:sz w:val="22"/>
                <w:szCs w:val="22"/>
              </w:rPr>
              <w:t>Sunday, 6 September, 2015</w:t>
            </w:r>
          </w:p>
        </w:tc>
      </w:tr>
      <w:tr w:rsidR="00B23AB4" w:rsidRPr="00DC380E" w14:paraId="551C5F03" w14:textId="77777777" w:rsidTr="003A6E4D">
        <w:trPr>
          <w:trHeight w:val="1250"/>
        </w:trPr>
        <w:tc>
          <w:tcPr>
            <w:tcW w:w="1537" w:type="dxa"/>
            <w:noWrap/>
          </w:tcPr>
          <w:p w14:paraId="3D0A8CBD" w14:textId="77777777" w:rsidR="00B23AB4" w:rsidRPr="00DC380E" w:rsidRDefault="00B23AB4" w:rsidP="00B23AB4">
            <w:pPr>
              <w:spacing w:before="40"/>
              <w:rPr>
                <w:sz w:val="22"/>
                <w:szCs w:val="22"/>
              </w:rPr>
            </w:pPr>
            <w:r w:rsidRPr="00DC380E">
              <w:rPr>
                <w:sz w:val="22"/>
                <w:szCs w:val="22"/>
              </w:rPr>
              <w:t>10:00 pm</w:t>
            </w:r>
          </w:p>
        </w:tc>
        <w:tc>
          <w:tcPr>
            <w:tcW w:w="3533" w:type="dxa"/>
          </w:tcPr>
          <w:p w14:paraId="58C60C18" w14:textId="77777777" w:rsidR="00B23AB4" w:rsidRPr="00DC380E" w:rsidRDefault="00B23AB4" w:rsidP="003A6E4D">
            <w:pPr>
              <w:rPr>
                <w:sz w:val="22"/>
                <w:szCs w:val="22"/>
              </w:rPr>
            </w:pPr>
            <w:r w:rsidRPr="00DC380E">
              <w:rPr>
                <w:sz w:val="22"/>
                <w:szCs w:val="22"/>
              </w:rPr>
              <w:t xml:space="preserve">Departure from the </w:t>
            </w:r>
            <w:r w:rsidRPr="00DC380E">
              <w:rPr>
                <w:sz w:val="22"/>
                <w:szCs w:val="22"/>
                <w:lang w:eastAsia="ro-RO"/>
              </w:rPr>
              <w:t>Jolly Allon Hotel</w:t>
            </w:r>
          </w:p>
        </w:tc>
        <w:tc>
          <w:tcPr>
            <w:tcW w:w="2488" w:type="dxa"/>
            <w:noWrap/>
          </w:tcPr>
          <w:p w14:paraId="40CAE1F7" w14:textId="77777777" w:rsidR="00B23AB4" w:rsidRPr="00DC380E" w:rsidRDefault="00B23AB4" w:rsidP="003A6E4D">
            <w:pPr>
              <w:rPr>
                <w:sz w:val="22"/>
                <w:szCs w:val="22"/>
              </w:rPr>
            </w:pPr>
          </w:p>
        </w:tc>
        <w:tc>
          <w:tcPr>
            <w:tcW w:w="3119" w:type="dxa"/>
            <w:noWrap/>
          </w:tcPr>
          <w:p w14:paraId="424B9420" w14:textId="77777777" w:rsidR="00B23AB4" w:rsidRPr="00DC380E" w:rsidRDefault="00B23AB4" w:rsidP="003A6E4D">
            <w:pPr>
              <w:rPr>
                <w:sz w:val="22"/>
                <w:szCs w:val="22"/>
                <w:lang w:eastAsia="ro-RO"/>
              </w:rPr>
            </w:pPr>
            <w:r w:rsidRPr="00DC380E">
              <w:rPr>
                <w:sz w:val="22"/>
                <w:szCs w:val="22"/>
                <w:lang w:eastAsia="ro-RO"/>
              </w:rPr>
              <w:t xml:space="preserve">Jolly Allon Hotel </w:t>
            </w:r>
          </w:p>
        </w:tc>
        <w:tc>
          <w:tcPr>
            <w:tcW w:w="2189" w:type="dxa"/>
            <w:vAlign w:val="center"/>
          </w:tcPr>
          <w:p w14:paraId="687E6FD5" w14:textId="77777777" w:rsidR="00B23AB4" w:rsidRPr="00DC380E" w:rsidRDefault="00B23AB4" w:rsidP="00B23AB4">
            <w:pPr>
              <w:rPr>
                <w:sz w:val="22"/>
                <w:szCs w:val="22"/>
                <w:lang w:val="en-GB" w:eastAsia="ro-RO"/>
              </w:rPr>
            </w:pPr>
          </w:p>
        </w:tc>
        <w:tc>
          <w:tcPr>
            <w:tcW w:w="1922" w:type="dxa"/>
            <w:vAlign w:val="center"/>
          </w:tcPr>
          <w:p w14:paraId="559520E9" w14:textId="77777777" w:rsidR="00B23AB4" w:rsidRPr="00DC380E" w:rsidRDefault="00B23AB4" w:rsidP="00B23AB4">
            <w:pPr>
              <w:rPr>
                <w:sz w:val="22"/>
                <w:szCs w:val="22"/>
                <w:lang w:val="en-GB" w:eastAsia="ro-RO"/>
              </w:rPr>
            </w:pPr>
            <w:r w:rsidRPr="00DC380E">
              <w:rPr>
                <w:sz w:val="22"/>
                <w:szCs w:val="22"/>
              </w:rPr>
              <w:t>Departure from Chisinau International Airport</w:t>
            </w:r>
          </w:p>
        </w:tc>
      </w:tr>
    </w:tbl>
    <w:p w14:paraId="01AA1F09" w14:textId="26AB584D" w:rsidR="009D75F9" w:rsidRDefault="009D75F9">
      <w:pPr>
        <w:widowControl/>
        <w:autoSpaceDE/>
        <w:autoSpaceDN/>
        <w:adjustRightInd/>
        <w:rPr>
          <w:sz w:val="22"/>
        </w:rPr>
      </w:pPr>
    </w:p>
    <w:p w14:paraId="0F176792" w14:textId="77777777" w:rsidR="007B0DF0" w:rsidRDefault="007B0DF0" w:rsidP="009D75F9">
      <w:pPr>
        <w:pStyle w:val="Heading1"/>
        <w:spacing w:before="120" w:after="120"/>
        <w:rPr>
          <w:sz w:val="24"/>
          <w:szCs w:val="24"/>
        </w:rPr>
        <w:sectPr w:rsidR="007B0DF0" w:rsidSect="007B0DF0">
          <w:headerReference w:type="default" r:id="rId36"/>
          <w:footerReference w:type="even" r:id="rId37"/>
          <w:pgSz w:w="16820" w:h="11900" w:orient="landscape"/>
          <w:pgMar w:top="1134" w:right="1134" w:bottom="1134" w:left="1134" w:header="1134" w:footer="851" w:gutter="0"/>
          <w:cols w:space="720"/>
          <w:noEndnote/>
        </w:sectPr>
      </w:pPr>
    </w:p>
    <w:p w14:paraId="767555E3" w14:textId="4EFB05B9" w:rsidR="009D75F9" w:rsidRDefault="007319C0" w:rsidP="009D75F9">
      <w:pPr>
        <w:pStyle w:val="Heading1"/>
        <w:spacing w:before="120" w:after="120"/>
        <w:rPr>
          <w:sz w:val="24"/>
          <w:szCs w:val="24"/>
        </w:rPr>
      </w:pPr>
      <w:bookmarkStart w:id="162" w:name="_Toc308103275"/>
      <w:r>
        <w:rPr>
          <w:sz w:val="24"/>
          <w:szCs w:val="24"/>
        </w:rPr>
        <w:t>Annex 7</w:t>
      </w:r>
      <w:r w:rsidR="009D75F9" w:rsidRPr="00FB6D4E">
        <w:rPr>
          <w:sz w:val="24"/>
          <w:szCs w:val="24"/>
        </w:rPr>
        <w:t xml:space="preserve">: </w:t>
      </w:r>
      <w:r w:rsidR="009D75F9">
        <w:rPr>
          <w:sz w:val="24"/>
          <w:szCs w:val="24"/>
        </w:rPr>
        <w:t>List of People Interviewed</w:t>
      </w:r>
      <w:bookmarkEnd w:id="162"/>
    </w:p>
    <w:p w14:paraId="09B74B4E" w14:textId="77777777" w:rsidR="0029660A" w:rsidRPr="00D163B3" w:rsidRDefault="0029660A" w:rsidP="0029660A">
      <w:pPr>
        <w:spacing w:after="80"/>
        <w:rPr>
          <w:bCs/>
          <w:sz w:val="22"/>
          <w:szCs w:val="22"/>
        </w:rPr>
      </w:pPr>
      <w:r w:rsidRPr="00D163B3">
        <w:rPr>
          <w:bCs/>
          <w:sz w:val="22"/>
          <w:szCs w:val="22"/>
        </w:rPr>
        <w:t>Mr. Alecu Renita, director, Ecological Movement of Moldova, NGO</w:t>
      </w:r>
    </w:p>
    <w:p w14:paraId="1267DE99" w14:textId="2FFD1252" w:rsidR="0029660A" w:rsidRPr="00D163B3" w:rsidRDefault="0029660A" w:rsidP="0029660A">
      <w:pPr>
        <w:spacing w:after="80"/>
        <w:rPr>
          <w:bCs/>
          <w:sz w:val="22"/>
          <w:szCs w:val="22"/>
        </w:rPr>
      </w:pPr>
      <w:r w:rsidRPr="00D163B3">
        <w:rPr>
          <w:bCs/>
          <w:sz w:val="22"/>
          <w:szCs w:val="22"/>
        </w:rPr>
        <w:t>Mr. Alexandru Bos</w:t>
      </w:r>
      <w:r>
        <w:rPr>
          <w:bCs/>
          <w:sz w:val="22"/>
          <w:szCs w:val="22"/>
        </w:rPr>
        <w:t>tan, Adviser to the Minister, MO</w:t>
      </w:r>
      <w:r w:rsidRPr="00D163B3">
        <w:rPr>
          <w:bCs/>
          <w:sz w:val="22"/>
          <w:szCs w:val="22"/>
        </w:rPr>
        <w:t>E</w:t>
      </w:r>
    </w:p>
    <w:p w14:paraId="7BE9B718" w14:textId="77777777" w:rsidR="0029660A" w:rsidRPr="00D163B3" w:rsidRDefault="0029660A" w:rsidP="0029660A">
      <w:pPr>
        <w:spacing w:after="80"/>
        <w:rPr>
          <w:bCs/>
          <w:sz w:val="22"/>
          <w:szCs w:val="22"/>
        </w:rPr>
      </w:pPr>
      <w:r w:rsidRPr="00D163B3">
        <w:rPr>
          <w:bCs/>
          <w:sz w:val="22"/>
          <w:szCs w:val="22"/>
        </w:rPr>
        <w:t>Mr. Alexandru Mija, Deputy Head of tariff and economic department, ANRE</w:t>
      </w:r>
    </w:p>
    <w:p w14:paraId="2AFA2B38" w14:textId="77777777" w:rsidR="0029660A" w:rsidRPr="00D163B3" w:rsidRDefault="0029660A" w:rsidP="0029660A">
      <w:pPr>
        <w:spacing w:after="80"/>
        <w:rPr>
          <w:bCs/>
          <w:sz w:val="22"/>
          <w:szCs w:val="22"/>
        </w:rPr>
      </w:pPr>
      <w:r w:rsidRPr="00D163B3">
        <w:rPr>
          <w:bCs/>
          <w:sz w:val="22"/>
          <w:szCs w:val="22"/>
        </w:rPr>
        <w:t>Mr. Andrei Isac, Consultant, EaP GREEN &amp; UNEP RO for Europe</w:t>
      </w:r>
    </w:p>
    <w:p w14:paraId="6000526F" w14:textId="77777777" w:rsidR="0029660A" w:rsidRPr="00D163B3" w:rsidRDefault="0029660A" w:rsidP="0029660A">
      <w:pPr>
        <w:spacing w:after="80"/>
        <w:rPr>
          <w:bCs/>
          <w:sz w:val="22"/>
          <w:szCs w:val="22"/>
        </w:rPr>
      </w:pPr>
      <w:r w:rsidRPr="00D163B3">
        <w:rPr>
          <w:bCs/>
          <w:sz w:val="22"/>
          <w:szCs w:val="22"/>
        </w:rPr>
        <w:t xml:space="preserve">Mr. Andrei Juraveli, Head, Agency for Geology and Mineral Resources </w:t>
      </w:r>
    </w:p>
    <w:p w14:paraId="35ACFD9D" w14:textId="77777777" w:rsidR="0029660A" w:rsidRPr="00D163B3" w:rsidRDefault="0029660A" w:rsidP="0029660A">
      <w:pPr>
        <w:spacing w:after="80"/>
        <w:rPr>
          <w:bCs/>
          <w:sz w:val="22"/>
          <w:szCs w:val="22"/>
        </w:rPr>
      </w:pPr>
      <w:r w:rsidRPr="00D163B3">
        <w:rPr>
          <w:bCs/>
          <w:sz w:val="22"/>
          <w:szCs w:val="22"/>
        </w:rPr>
        <w:t>Ms. Carolina Eremei, Consultant of Law Devison</w:t>
      </w:r>
    </w:p>
    <w:p w14:paraId="17C2FFF6" w14:textId="77777777" w:rsidR="0029660A" w:rsidRPr="00D163B3" w:rsidRDefault="0029660A" w:rsidP="0029660A">
      <w:pPr>
        <w:spacing w:after="80"/>
        <w:rPr>
          <w:bCs/>
          <w:sz w:val="22"/>
          <w:szCs w:val="22"/>
        </w:rPr>
      </w:pPr>
      <w:r w:rsidRPr="00D163B3">
        <w:rPr>
          <w:bCs/>
          <w:sz w:val="22"/>
          <w:szCs w:val="22"/>
        </w:rPr>
        <w:t>Mr. Dumitru Budianschi, EFR consultant</w:t>
      </w:r>
    </w:p>
    <w:p w14:paraId="742F92CE" w14:textId="77777777" w:rsidR="0029660A" w:rsidRPr="00D163B3" w:rsidRDefault="0029660A" w:rsidP="0029660A">
      <w:pPr>
        <w:spacing w:after="80"/>
        <w:rPr>
          <w:bCs/>
          <w:sz w:val="22"/>
          <w:szCs w:val="22"/>
        </w:rPr>
      </w:pPr>
      <w:r w:rsidRPr="00D163B3">
        <w:rPr>
          <w:bCs/>
          <w:sz w:val="22"/>
          <w:szCs w:val="22"/>
        </w:rPr>
        <w:t>Mr. Dumitru Osipov, Head of Subdivision, State Ecological Inspectorate</w:t>
      </w:r>
    </w:p>
    <w:p w14:paraId="72B4F5D9" w14:textId="421D5B7D" w:rsidR="0029660A" w:rsidRPr="00D163B3" w:rsidRDefault="0029660A" w:rsidP="0029660A">
      <w:pPr>
        <w:spacing w:after="80"/>
        <w:rPr>
          <w:bCs/>
          <w:sz w:val="22"/>
          <w:szCs w:val="22"/>
        </w:rPr>
      </w:pPr>
      <w:r w:rsidRPr="00D163B3">
        <w:rPr>
          <w:bCs/>
          <w:sz w:val="22"/>
          <w:szCs w:val="22"/>
        </w:rPr>
        <w:t>Mr. Eduard Grama, D</w:t>
      </w:r>
      <w:r w:rsidR="009A5506">
        <w:rPr>
          <w:bCs/>
          <w:sz w:val="22"/>
          <w:szCs w:val="22"/>
        </w:rPr>
        <w:t>eputy Minister, MAFI</w:t>
      </w:r>
    </w:p>
    <w:p w14:paraId="6782C63F" w14:textId="77777777" w:rsidR="0029660A" w:rsidRPr="00D163B3" w:rsidRDefault="0029660A" w:rsidP="0029660A">
      <w:pPr>
        <w:spacing w:after="80"/>
        <w:rPr>
          <w:bCs/>
          <w:sz w:val="22"/>
          <w:szCs w:val="22"/>
        </w:rPr>
      </w:pPr>
      <w:r w:rsidRPr="00D163B3">
        <w:rPr>
          <w:bCs/>
          <w:sz w:val="22"/>
          <w:szCs w:val="22"/>
        </w:rPr>
        <w:t>Ms. Elena Creanga, Head, Accounting and Control Service, NEF</w:t>
      </w:r>
    </w:p>
    <w:p w14:paraId="4DDEB435" w14:textId="77777777" w:rsidR="0029660A" w:rsidRPr="00D163B3" w:rsidRDefault="0029660A" w:rsidP="0029660A">
      <w:pPr>
        <w:spacing w:after="80"/>
        <w:rPr>
          <w:bCs/>
          <w:sz w:val="22"/>
          <w:szCs w:val="22"/>
        </w:rPr>
      </w:pPr>
      <w:r w:rsidRPr="00D163B3">
        <w:rPr>
          <w:bCs/>
          <w:sz w:val="22"/>
          <w:szCs w:val="22"/>
        </w:rPr>
        <w:t>Ms. Emilia Cebotari,  Head, Project development Division, MOEco</w:t>
      </w:r>
    </w:p>
    <w:p w14:paraId="4251B4F0" w14:textId="77777777" w:rsidR="0029660A" w:rsidRPr="00D163B3" w:rsidRDefault="0029660A" w:rsidP="0029660A">
      <w:pPr>
        <w:spacing w:after="80"/>
        <w:rPr>
          <w:bCs/>
          <w:sz w:val="22"/>
          <w:szCs w:val="22"/>
        </w:rPr>
      </w:pPr>
      <w:r w:rsidRPr="00D163B3">
        <w:rPr>
          <w:bCs/>
          <w:sz w:val="22"/>
          <w:szCs w:val="22"/>
        </w:rPr>
        <w:t>Ms. Eugenia Veverita, consultant MBTF</w:t>
      </w:r>
    </w:p>
    <w:p w14:paraId="3F8E8CE8" w14:textId="77777777" w:rsidR="0029660A" w:rsidRPr="00D163B3" w:rsidRDefault="0029660A" w:rsidP="0029660A">
      <w:pPr>
        <w:spacing w:after="80"/>
        <w:rPr>
          <w:bCs/>
          <w:sz w:val="22"/>
          <w:szCs w:val="22"/>
        </w:rPr>
      </w:pPr>
      <w:r w:rsidRPr="00D163B3">
        <w:rPr>
          <w:bCs/>
          <w:sz w:val="22"/>
          <w:szCs w:val="22"/>
        </w:rPr>
        <w:t>Mr. Igor Gorasov, EFR Consultant on energy and agriculture subsidies</w:t>
      </w:r>
    </w:p>
    <w:p w14:paraId="0C256A0B" w14:textId="604E89CA" w:rsidR="0029660A" w:rsidRPr="00D163B3" w:rsidRDefault="0029660A" w:rsidP="0029660A">
      <w:pPr>
        <w:spacing w:after="80"/>
        <w:rPr>
          <w:bCs/>
          <w:sz w:val="22"/>
          <w:szCs w:val="22"/>
        </w:rPr>
      </w:pPr>
      <w:r w:rsidRPr="00D163B3">
        <w:rPr>
          <w:bCs/>
          <w:sz w:val="22"/>
          <w:szCs w:val="22"/>
        </w:rPr>
        <w:t>Mr</w:t>
      </w:r>
      <w:r>
        <w:rPr>
          <w:bCs/>
          <w:sz w:val="22"/>
          <w:szCs w:val="22"/>
        </w:rPr>
        <w:t>. Ion Crudu, State Secretary, MO</w:t>
      </w:r>
      <w:r w:rsidRPr="00D163B3">
        <w:rPr>
          <w:bCs/>
          <w:sz w:val="22"/>
          <w:szCs w:val="22"/>
        </w:rPr>
        <w:t>E</w:t>
      </w:r>
    </w:p>
    <w:p w14:paraId="39F09978" w14:textId="5E3C6A6E" w:rsidR="006D2173" w:rsidRPr="006D2173" w:rsidRDefault="006D2173" w:rsidP="006D2173">
      <w:pPr>
        <w:spacing w:after="80"/>
        <w:rPr>
          <w:bCs/>
          <w:sz w:val="22"/>
          <w:szCs w:val="22"/>
        </w:rPr>
      </w:pPr>
      <w:r w:rsidRPr="006D2173">
        <w:rPr>
          <w:bCs/>
          <w:sz w:val="22"/>
          <w:szCs w:val="22"/>
        </w:rPr>
        <w:t>Mr. Ion Iaconi - Head, Public A</w:t>
      </w:r>
      <w:r>
        <w:rPr>
          <w:bCs/>
          <w:sz w:val="22"/>
          <w:szCs w:val="22"/>
        </w:rPr>
        <w:t>uthorities Financial Division, MOF</w:t>
      </w:r>
    </w:p>
    <w:p w14:paraId="0073FFEE" w14:textId="77777777" w:rsidR="0029660A" w:rsidRPr="00D163B3" w:rsidRDefault="0029660A" w:rsidP="0029660A">
      <w:pPr>
        <w:spacing w:after="80"/>
        <w:rPr>
          <w:bCs/>
          <w:sz w:val="22"/>
          <w:szCs w:val="22"/>
        </w:rPr>
      </w:pPr>
      <w:r w:rsidRPr="00D163B3">
        <w:rPr>
          <w:bCs/>
          <w:sz w:val="22"/>
          <w:szCs w:val="22"/>
        </w:rPr>
        <w:t>Ms. Iordanca Rodica Iordanov, director,  EcoContact, NGO</w:t>
      </w:r>
    </w:p>
    <w:p w14:paraId="30FF4CE5" w14:textId="77777777" w:rsidR="0029660A" w:rsidRPr="00D163B3" w:rsidRDefault="0029660A" w:rsidP="0029660A">
      <w:pPr>
        <w:spacing w:after="80"/>
        <w:rPr>
          <w:bCs/>
          <w:sz w:val="22"/>
          <w:szCs w:val="22"/>
        </w:rPr>
      </w:pPr>
      <w:r w:rsidRPr="00D163B3">
        <w:rPr>
          <w:bCs/>
          <w:sz w:val="22"/>
          <w:szCs w:val="22"/>
        </w:rPr>
        <w:t>Mr. Iulian Gamureac, President, MoldRec, NGO</w:t>
      </w:r>
    </w:p>
    <w:p w14:paraId="63C0C94D" w14:textId="0AABB23B" w:rsidR="0029660A" w:rsidRPr="00D163B3" w:rsidRDefault="0029660A" w:rsidP="0029660A">
      <w:pPr>
        <w:spacing w:after="80"/>
        <w:rPr>
          <w:bCs/>
          <w:sz w:val="22"/>
          <w:szCs w:val="22"/>
        </w:rPr>
      </w:pPr>
      <w:r w:rsidRPr="00D163B3">
        <w:rPr>
          <w:bCs/>
          <w:sz w:val="22"/>
          <w:szCs w:val="22"/>
        </w:rPr>
        <w:t>Mr. Iurie Nastas</w:t>
      </w:r>
      <w:r w:rsidR="006D2173">
        <w:rPr>
          <w:bCs/>
          <w:sz w:val="22"/>
          <w:szCs w:val="22"/>
        </w:rPr>
        <w:t>e</w:t>
      </w:r>
      <w:r w:rsidRPr="00D163B3">
        <w:rPr>
          <w:bCs/>
          <w:sz w:val="22"/>
          <w:szCs w:val="22"/>
        </w:rPr>
        <w:t>, Head, Finances of National Economy Subdivision, MOF</w:t>
      </w:r>
    </w:p>
    <w:p w14:paraId="16100B00" w14:textId="3310EC75" w:rsidR="006D2173" w:rsidRPr="006D2173" w:rsidRDefault="006D2173" w:rsidP="006D2173">
      <w:pPr>
        <w:spacing w:after="80"/>
        <w:rPr>
          <w:bCs/>
          <w:sz w:val="22"/>
          <w:szCs w:val="22"/>
        </w:rPr>
      </w:pPr>
      <w:r w:rsidRPr="006D2173">
        <w:rPr>
          <w:bCs/>
          <w:sz w:val="22"/>
          <w:szCs w:val="22"/>
        </w:rPr>
        <w:t>Ms</w:t>
      </w:r>
      <w:r>
        <w:rPr>
          <w:bCs/>
          <w:sz w:val="22"/>
          <w:szCs w:val="22"/>
        </w:rPr>
        <w:t>.</w:t>
      </w:r>
      <w:r w:rsidRPr="006D2173">
        <w:rPr>
          <w:bCs/>
          <w:sz w:val="22"/>
          <w:szCs w:val="22"/>
        </w:rPr>
        <w:t xml:space="preserve"> Liliana Taban - Deputy Head, Finances of National Economy Subdivision</w:t>
      </w:r>
      <w:r>
        <w:rPr>
          <w:bCs/>
          <w:sz w:val="22"/>
          <w:szCs w:val="22"/>
        </w:rPr>
        <w:t>, MOF</w:t>
      </w:r>
    </w:p>
    <w:p w14:paraId="27D71641" w14:textId="55059F43" w:rsidR="0029660A" w:rsidRPr="00D163B3" w:rsidRDefault="0029660A" w:rsidP="0029660A">
      <w:pPr>
        <w:spacing w:after="80"/>
        <w:rPr>
          <w:bCs/>
          <w:sz w:val="22"/>
          <w:szCs w:val="22"/>
        </w:rPr>
      </w:pPr>
      <w:r>
        <w:rPr>
          <w:bCs/>
          <w:sz w:val="22"/>
          <w:szCs w:val="22"/>
        </w:rPr>
        <w:t xml:space="preserve">Ms. Liudmila Andronic, </w:t>
      </w:r>
      <w:r w:rsidRPr="00D163B3">
        <w:rPr>
          <w:bCs/>
          <w:sz w:val="22"/>
          <w:szCs w:val="22"/>
        </w:rPr>
        <w:t>EFES JSC</w:t>
      </w:r>
    </w:p>
    <w:p w14:paraId="0E8F90CE" w14:textId="77777777" w:rsidR="0029660A" w:rsidRPr="00D163B3" w:rsidRDefault="0029660A" w:rsidP="0029660A">
      <w:pPr>
        <w:spacing w:after="80"/>
        <w:rPr>
          <w:bCs/>
          <w:sz w:val="22"/>
          <w:szCs w:val="22"/>
        </w:rPr>
      </w:pPr>
      <w:r w:rsidRPr="00D163B3">
        <w:rPr>
          <w:bCs/>
          <w:sz w:val="22"/>
          <w:szCs w:val="22"/>
        </w:rPr>
        <w:t>Ms. Maia Apostu, Head, Fiscal Policy and State Budget Subdivision, MOEco</w:t>
      </w:r>
    </w:p>
    <w:p w14:paraId="58C6CEB2" w14:textId="77777777" w:rsidR="0029660A" w:rsidRPr="00D163B3" w:rsidRDefault="0029660A" w:rsidP="0029660A">
      <w:pPr>
        <w:spacing w:after="80"/>
        <w:rPr>
          <w:bCs/>
          <w:sz w:val="22"/>
          <w:szCs w:val="22"/>
        </w:rPr>
      </w:pPr>
      <w:r w:rsidRPr="00D163B3">
        <w:rPr>
          <w:bCs/>
          <w:sz w:val="22"/>
          <w:szCs w:val="22"/>
        </w:rPr>
        <w:t>Ms. Maria Malic, Deputy Head, Finance and Accounting Division, MOE</w:t>
      </w:r>
    </w:p>
    <w:p w14:paraId="16B0958A" w14:textId="77777777" w:rsidR="0029660A" w:rsidRPr="00D163B3" w:rsidRDefault="0029660A" w:rsidP="0029660A">
      <w:pPr>
        <w:spacing w:after="80"/>
        <w:rPr>
          <w:bCs/>
          <w:sz w:val="22"/>
          <w:szCs w:val="22"/>
        </w:rPr>
      </w:pPr>
      <w:r w:rsidRPr="00D163B3">
        <w:rPr>
          <w:bCs/>
          <w:sz w:val="22"/>
          <w:szCs w:val="22"/>
        </w:rPr>
        <w:t xml:space="preserve">Ms. Maria Nagornii, Head, Analysis, Monitoring and Evaluation Division, MOE </w:t>
      </w:r>
    </w:p>
    <w:p w14:paraId="53DD85C4" w14:textId="77777777" w:rsidR="0029660A" w:rsidRPr="00D163B3" w:rsidRDefault="0029660A" w:rsidP="0029660A">
      <w:pPr>
        <w:spacing w:after="80"/>
        <w:rPr>
          <w:bCs/>
          <w:sz w:val="22"/>
          <w:szCs w:val="22"/>
        </w:rPr>
      </w:pPr>
      <w:r w:rsidRPr="00D163B3">
        <w:rPr>
          <w:bCs/>
          <w:sz w:val="22"/>
          <w:szCs w:val="22"/>
        </w:rPr>
        <w:t>Ms. Mariana Botezatu, Head, General Division for Security and Energy Efficiency, MOEco</w:t>
      </w:r>
    </w:p>
    <w:p w14:paraId="5DDC46DD" w14:textId="188E60DD" w:rsidR="006D2173" w:rsidRPr="006D2173" w:rsidRDefault="0029660A" w:rsidP="006D2173">
      <w:pPr>
        <w:spacing w:after="80"/>
        <w:rPr>
          <w:bCs/>
          <w:sz w:val="22"/>
          <w:szCs w:val="22"/>
        </w:rPr>
      </w:pPr>
      <w:r w:rsidRPr="00D163B3">
        <w:rPr>
          <w:bCs/>
          <w:sz w:val="22"/>
          <w:szCs w:val="22"/>
        </w:rPr>
        <w:t>Ms. Mariana Covic, Head, Finance and Accounting Division, NEF</w:t>
      </w:r>
    </w:p>
    <w:p w14:paraId="4E88E1E8" w14:textId="6BEBCAE5" w:rsidR="00D163B3" w:rsidRPr="00D163B3" w:rsidRDefault="00D163B3" w:rsidP="00D163B3">
      <w:pPr>
        <w:spacing w:after="80"/>
        <w:rPr>
          <w:bCs/>
          <w:sz w:val="22"/>
          <w:szCs w:val="22"/>
        </w:rPr>
      </w:pPr>
      <w:r>
        <w:rPr>
          <w:bCs/>
          <w:sz w:val="22"/>
          <w:szCs w:val="22"/>
        </w:rPr>
        <w:t>Dr.</w:t>
      </w:r>
      <w:r w:rsidRPr="00D163B3">
        <w:rPr>
          <w:bCs/>
          <w:sz w:val="22"/>
          <w:szCs w:val="22"/>
        </w:rPr>
        <w:t xml:space="preserve"> Mihai Roscovan, </w:t>
      </w:r>
      <w:r w:rsidR="009159C2">
        <w:rPr>
          <w:bCs/>
          <w:sz w:val="22"/>
          <w:szCs w:val="22"/>
        </w:rPr>
        <w:t xml:space="preserve">EFR </w:t>
      </w:r>
      <w:r w:rsidRPr="00D163B3">
        <w:rPr>
          <w:bCs/>
          <w:sz w:val="22"/>
          <w:szCs w:val="22"/>
        </w:rPr>
        <w:t>Project Manager</w:t>
      </w:r>
    </w:p>
    <w:p w14:paraId="7C4637B4" w14:textId="715F8AA2" w:rsidR="0029660A" w:rsidRPr="00D163B3" w:rsidRDefault="0029660A" w:rsidP="0029660A">
      <w:pPr>
        <w:spacing w:after="80"/>
        <w:rPr>
          <w:bCs/>
          <w:sz w:val="22"/>
          <w:szCs w:val="22"/>
        </w:rPr>
      </w:pPr>
      <w:r w:rsidRPr="00D163B3">
        <w:rPr>
          <w:bCs/>
          <w:sz w:val="22"/>
          <w:szCs w:val="22"/>
        </w:rPr>
        <w:t>Ms. Monica Moldova, UNDP</w:t>
      </w:r>
      <w:r w:rsidR="009159C2">
        <w:rPr>
          <w:bCs/>
          <w:sz w:val="22"/>
          <w:szCs w:val="22"/>
        </w:rPr>
        <w:t>-Moldova</w:t>
      </w:r>
    </w:p>
    <w:p w14:paraId="42345861" w14:textId="6D2F5801" w:rsidR="006D2173" w:rsidRPr="006D2173" w:rsidRDefault="006D2173" w:rsidP="006D2173">
      <w:pPr>
        <w:spacing w:after="80"/>
        <w:rPr>
          <w:bCs/>
          <w:sz w:val="22"/>
          <w:szCs w:val="22"/>
        </w:rPr>
      </w:pPr>
      <w:r w:rsidRPr="006D2173">
        <w:rPr>
          <w:bCs/>
          <w:sz w:val="22"/>
          <w:szCs w:val="22"/>
        </w:rPr>
        <w:t>Ms. Nadejda Gorbunova - Head, Economical-Financial Division</w:t>
      </w:r>
      <w:r>
        <w:rPr>
          <w:bCs/>
          <w:sz w:val="22"/>
          <w:szCs w:val="22"/>
        </w:rPr>
        <w:t>, MOF</w:t>
      </w:r>
    </w:p>
    <w:p w14:paraId="25BFB50A" w14:textId="617F4E4D" w:rsidR="0029660A" w:rsidRPr="00D163B3" w:rsidRDefault="0029660A" w:rsidP="0029660A">
      <w:pPr>
        <w:spacing w:after="80"/>
        <w:rPr>
          <w:bCs/>
          <w:sz w:val="22"/>
          <w:szCs w:val="22"/>
        </w:rPr>
      </w:pPr>
      <w:r w:rsidRPr="00D163B3">
        <w:rPr>
          <w:bCs/>
          <w:sz w:val="22"/>
          <w:szCs w:val="22"/>
        </w:rPr>
        <w:t xml:space="preserve">Ms. Narine Sahakyan, </w:t>
      </w:r>
      <w:r w:rsidR="009159C2" w:rsidRPr="009159C2">
        <w:rPr>
          <w:bCs/>
          <w:sz w:val="22"/>
          <w:szCs w:val="22"/>
        </w:rPr>
        <w:t>Deputy Resident Representative</w:t>
      </w:r>
      <w:r w:rsidR="009159C2">
        <w:rPr>
          <w:bCs/>
          <w:sz w:val="22"/>
          <w:szCs w:val="22"/>
        </w:rPr>
        <w:t xml:space="preserve">, </w:t>
      </w:r>
      <w:r w:rsidRPr="00D163B3">
        <w:rPr>
          <w:bCs/>
          <w:sz w:val="22"/>
          <w:szCs w:val="22"/>
        </w:rPr>
        <w:t>UNDP</w:t>
      </w:r>
      <w:r w:rsidR="009159C2">
        <w:rPr>
          <w:bCs/>
          <w:sz w:val="22"/>
          <w:szCs w:val="22"/>
        </w:rPr>
        <w:t>-Moldova</w:t>
      </w:r>
    </w:p>
    <w:p w14:paraId="5B46EE5D" w14:textId="20283A14" w:rsidR="0029660A" w:rsidRPr="00D163B3" w:rsidRDefault="0029660A" w:rsidP="0029660A">
      <w:pPr>
        <w:spacing w:after="80"/>
        <w:rPr>
          <w:bCs/>
          <w:sz w:val="22"/>
          <w:szCs w:val="22"/>
        </w:rPr>
      </w:pPr>
      <w:r w:rsidRPr="00D163B3">
        <w:rPr>
          <w:bCs/>
          <w:sz w:val="22"/>
          <w:szCs w:val="22"/>
        </w:rPr>
        <w:t>Mr. Nicolae Ciubuc, Deputy Head of Agency of Intervention a</w:t>
      </w:r>
      <w:r w:rsidR="009A5506">
        <w:rPr>
          <w:bCs/>
          <w:sz w:val="22"/>
          <w:szCs w:val="22"/>
        </w:rPr>
        <w:t>nd Payments in Agriculture, MAFI</w:t>
      </w:r>
    </w:p>
    <w:p w14:paraId="7419A8F0" w14:textId="77777777" w:rsidR="0029660A" w:rsidRPr="00D163B3" w:rsidRDefault="0029660A" w:rsidP="0029660A">
      <w:pPr>
        <w:spacing w:after="80"/>
        <w:rPr>
          <w:bCs/>
          <w:sz w:val="22"/>
          <w:szCs w:val="22"/>
        </w:rPr>
      </w:pPr>
      <w:r w:rsidRPr="00D163B3">
        <w:rPr>
          <w:bCs/>
          <w:sz w:val="22"/>
          <w:szCs w:val="22"/>
        </w:rPr>
        <w:t>Mr. Sergiu Burca, Project Team</w:t>
      </w:r>
    </w:p>
    <w:p w14:paraId="15F1251C" w14:textId="77777777" w:rsidR="0029660A" w:rsidRPr="00D163B3" w:rsidRDefault="0029660A" w:rsidP="0029660A">
      <w:pPr>
        <w:spacing w:after="80"/>
        <w:rPr>
          <w:bCs/>
          <w:sz w:val="22"/>
          <w:szCs w:val="22"/>
        </w:rPr>
      </w:pPr>
      <w:r w:rsidRPr="00D163B3">
        <w:rPr>
          <w:bCs/>
          <w:sz w:val="22"/>
          <w:szCs w:val="22"/>
        </w:rPr>
        <w:t>Mr. Sergiu Palihovici, General State Secretary, State Chancellery</w:t>
      </w:r>
    </w:p>
    <w:p w14:paraId="7EBFE4A7" w14:textId="77777777" w:rsidR="0029660A" w:rsidRPr="00D163B3" w:rsidRDefault="0029660A" w:rsidP="0029660A">
      <w:pPr>
        <w:spacing w:after="80"/>
        <w:rPr>
          <w:bCs/>
          <w:sz w:val="22"/>
          <w:szCs w:val="22"/>
        </w:rPr>
      </w:pPr>
      <w:r w:rsidRPr="00D163B3">
        <w:rPr>
          <w:bCs/>
          <w:sz w:val="22"/>
          <w:szCs w:val="22"/>
        </w:rPr>
        <w:t>Ms. Svetlana Bolocan, Head, Pollution Prevention and Waste, Management Division, MOE</w:t>
      </w:r>
    </w:p>
    <w:p w14:paraId="485B42C8" w14:textId="61BDFD20" w:rsidR="0029660A" w:rsidRPr="00D163B3" w:rsidRDefault="0029660A" w:rsidP="0029660A">
      <w:pPr>
        <w:spacing w:after="80"/>
        <w:rPr>
          <w:bCs/>
          <w:sz w:val="22"/>
          <w:szCs w:val="22"/>
        </w:rPr>
      </w:pPr>
      <w:r w:rsidRPr="00D163B3">
        <w:rPr>
          <w:bCs/>
          <w:sz w:val="22"/>
          <w:szCs w:val="22"/>
        </w:rPr>
        <w:t>Mr. Vad</w:t>
      </w:r>
      <w:r>
        <w:rPr>
          <w:bCs/>
          <w:sz w:val="22"/>
          <w:szCs w:val="22"/>
        </w:rPr>
        <w:t xml:space="preserve">im Stangaciu, Deputy Director, </w:t>
      </w:r>
      <w:r w:rsidRPr="00D163B3">
        <w:rPr>
          <w:bCs/>
          <w:sz w:val="22"/>
          <w:szCs w:val="22"/>
        </w:rPr>
        <w:t>State Ecological Inspectorate</w:t>
      </w:r>
    </w:p>
    <w:p w14:paraId="744F6814" w14:textId="4FD394BF" w:rsidR="00D163B3" w:rsidRPr="00D163B3" w:rsidRDefault="00D163B3" w:rsidP="00D163B3">
      <w:pPr>
        <w:spacing w:after="80"/>
        <w:rPr>
          <w:bCs/>
          <w:sz w:val="22"/>
          <w:szCs w:val="22"/>
        </w:rPr>
      </w:pPr>
      <w:r w:rsidRPr="00D163B3">
        <w:rPr>
          <w:bCs/>
          <w:sz w:val="22"/>
          <w:szCs w:val="22"/>
        </w:rPr>
        <w:t xml:space="preserve">Mr. Valentin Rosca, </w:t>
      </w:r>
      <w:r w:rsidR="009159C2">
        <w:rPr>
          <w:bCs/>
          <w:sz w:val="22"/>
          <w:szCs w:val="22"/>
        </w:rPr>
        <w:t xml:space="preserve">EFR </w:t>
      </w:r>
      <w:r w:rsidRPr="00D163B3">
        <w:rPr>
          <w:bCs/>
          <w:sz w:val="22"/>
          <w:szCs w:val="22"/>
        </w:rPr>
        <w:t>Project Team</w:t>
      </w:r>
    </w:p>
    <w:p w14:paraId="640C4E27" w14:textId="02FE5069" w:rsidR="00D163B3" w:rsidRPr="00D163B3" w:rsidRDefault="00D163B3" w:rsidP="00D163B3">
      <w:pPr>
        <w:spacing w:after="80"/>
        <w:rPr>
          <w:bCs/>
          <w:sz w:val="22"/>
          <w:szCs w:val="22"/>
        </w:rPr>
      </w:pPr>
      <w:r w:rsidRPr="00D163B3">
        <w:rPr>
          <w:bCs/>
          <w:sz w:val="22"/>
          <w:szCs w:val="22"/>
        </w:rPr>
        <w:t>Ms. Valeria Ieseanu, UNDP</w:t>
      </w:r>
      <w:r w:rsidR="009159C2">
        <w:rPr>
          <w:bCs/>
          <w:sz w:val="22"/>
          <w:szCs w:val="22"/>
        </w:rPr>
        <w:t>-Moldova</w:t>
      </w:r>
    </w:p>
    <w:p w14:paraId="7F67716F" w14:textId="77777777" w:rsidR="0029660A" w:rsidRPr="00D163B3" w:rsidRDefault="0029660A" w:rsidP="0029660A">
      <w:pPr>
        <w:spacing w:after="80"/>
        <w:rPr>
          <w:bCs/>
          <w:sz w:val="22"/>
          <w:szCs w:val="22"/>
        </w:rPr>
      </w:pPr>
      <w:r w:rsidRPr="00D163B3">
        <w:rPr>
          <w:bCs/>
          <w:sz w:val="22"/>
          <w:szCs w:val="22"/>
        </w:rPr>
        <w:t>Mr. Valeriu Munteanu, Minister, MOE</w:t>
      </w:r>
    </w:p>
    <w:p w14:paraId="155AFE1B" w14:textId="77777777" w:rsidR="0029660A" w:rsidRPr="00D163B3" w:rsidRDefault="0029660A" w:rsidP="0029660A">
      <w:pPr>
        <w:spacing w:after="80"/>
        <w:rPr>
          <w:bCs/>
          <w:sz w:val="22"/>
          <w:szCs w:val="22"/>
        </w:rPr>
      </w:pPr>
      <w:r w:rsidRPr="00D163B3">
        <w:rPr>
          <w:bCs/>
          <w:sz w:val="22"/>
          <w:szCs w:val="22"/>
        </w:rPr>
        <w:t>Mr. Vasile Ciorba, Consultant, member of the NEF Council, State Chancellery</w:t>
      </w:r>
    </w:p>
    <w:p w14:paraId="2966988B" w14:textId="5FF6C271" w:rsidR="006D2173" w:rsidRPr="006D2173" w:rsidRDefault="006D2173" w:rsidP="006D2173">
      <w:pPr>
        <w:spacing w:after="80"/>
        <w:rPr>
          <w:bCs/>
          <w:sz w:val="22"/>
          <w:szCs w:val="22"/>
        </w:rPr>
      </w:pPr>
      <w:r w:rsidRPr="006D2173">
        <w:rPr>
          <w:bCs/>
          <w:sz w:val="22"/>
          <w:szCs w:val="22"/>
        </w:rPr>
        <w:t>Mr. Vasilii Botica - Deputy Head, Genera</w:t>
      </w:r>
      <w:r>
        <w:rPr>
          <w:bCs/>
          <w:sz w:val="22"/>
          <w:szCs w:val="22"/>
        </w:rPr>
        <w:t>l Budgetary Synthesis Division, MOF</w:t>
      </w:r>
    </w:p>
    <w:p w14:paraId="5AC70A0F" w14:textId="77777777" w:rsidR="0029660A" w:rsidRPr="00D163B3" w:rsidRDefault="0029660A" w:rsidP="0029660A">
      <w:pPr>
        <w:spacing w:after="80"/>
        <w:rPr>
          <w:bCs/>
          <w:sz w:val="22"/>
          <w:szCs w:val="22"/>
        </w:rPr>
      </w:pPr>
      <w:r w:rsidRPr="00D163B3">
        <w:rPr>
          <w:bCs/>
          <w:sz w:val="22"/>
          <w:szCs w:val="22"/>
        </w:rPr>
        <w:t>Mr. Veceaslav Bulat, IDU</w:t>
      </w:r>
    </w:p>
    <w:p w14:paraId="2D800F70" w14:textId="77777777" w:rsidR="0029660A" w:rsidRPr="00D163B3" w:rsidRDefault="0029660A" w:rsidP="0029660A">
      <w:pPr>
        <w:spacing w:after="80"/>
        <w:rPr>
          <w:bCs/>
          <w:sz w:val="22"/>
          <w:szCs w:val="22"/>
        </w:rPr>
      </w:pPr>
      <w:r w:rsidRPr="00D163B3">
        <w:rPr>
          <w:bCs/>
          <w:sz w:val="22"/>
          <w:szCs w:val="22"/>
        </w:rPr>
        <w:t>Ms. Veronica Josu, Deputy Head, Nature and Biodiversity Resources Division, MOE</w:t>
      </w:r>
    </w:p>
    <w:p w14:paraId="05E36124" w14:textId="77777777" w:rsidR="0029660A" w:rsidRPr="00D163B3" w:rsidRDefault="0029660A" w:rsidP="0029660A">
      <w:pPr>
        <w:spacing w:after="80"/>
        <w:rPr>
          <w:bCs/>
          <w:sz w:val="22"/>
          <w:szCs w:val="22"/>
        </w:rPr>
      </w:pPr>
      <w:r w:rsidRPr="00D163B3">
        <w:rPr>
          <w:bCs/>
          <w:sz w:val="22"/>
          <w:szCs w:val="22"/>
        </w:rPr>
        <w:t>Ms. Victoria Causu, Head of division, State Ecological Inspectorate</w:t>
      </w:r>
    </w:p>
    <w:p w14:paraId="6A0F568D" w14:textId="77777777" w:rsidR="00D163B3" w:rsidRPr="00D163B3" w:rsidRDefault="00D163B3" w:rsidP="00D163B3">
      <w:pPr>
        <w:spacing w:after="80"/>
        <w:rPr>
          <w:bCs/>
          <w:sz w:val="22"/>
          <w:szCs w:val="22"/>
        </w:rPr>
      </w:pPr>
      <w:r w:rsidRPr="00D163B3">
        <w:rPr>
          <w:bCs/>
          <w:sz w:val="22"/>
          <w:szCs w:val="22"/>
        </w:rPr>
        <w:t>Mr. Vitalie Secrieru, IDIS</w:t>
      </w:r>
    </w:p>
    <w:p w14:paraId="345835AF" w14:textId="77777777" w:rsidR="00D163B3" w:rsidRDefault="00D163B3" w:rsidP="00D163B3">
      <w:pPr>
        <w:spacing w:after="80"/>
        <w:rPr>
          <w:bCs/>
          <w:sz w:val="22"/>
          <w:szCs w:val="22"/>
        </w:rPr>
      </w:pPr>
      <w:r w:rsidRPr="00D163B3">
        <w:rPr>
          <w:bCs/>
          <w:sz w:val="22"/>
          <w:szCs w:val="22"/>
        </w:rPr>
        <w:t xml:space="preserve">Mr. Vitalie Grmalschi, Head, Nature and Biodiversity Resources Section, MOE  </w:t>
      </w:r>
    </w:p>
    <w:p w14:paraId="06B6DED1" w14:textId="00485551" w:rsidR="0029660A" w:rsidRPr="00D163B3" w:rsidRDefault="0029660A" w:rsidP="0029660A">
      <w:pPr>
        <w:spacing w:after="80"/>
        <w:rPr>
          <w:bCs/>
          <w:sz w:val="22"/>
          <w:szCs w:val="22"/>
        </w:rPr>
      </w:pPr>
      <w:r w:rsidRPr="00D163B3">
        <w:rPr>
          <w:bCs/>
          <w:sz w:val="22"/>
          <w:szCs w:val="22"/>
        </w:rPr>
        <w:t>Mr. Vla</w:t>
      </w:r>
      <w:r w:rsidR="009A5506">
        <w:rPr>
          <w:bCs/>
          <w:sz w:val="22"/>
          <w:szCs w:val="22"/>
        </w:rPr>
        <w:t>d Loghin, Vice Minister, MAFI</w:t>
      </w:r>
    </w:p>
    <w:p w14:paraId="7720C5C7" w14:textId="77777777" w:rsidR="00D163B3" w:rsidRPr="00D163B3" w:rsidRDefault="00D163B3" w:rsidP="00D163B3">
      <w:pPr>
        <w:spacing w:after="80"/>
        <w:rPr>
          <w:bCs/>
          <w:sz w:val="22"/>
          <w:szCs w:val="22"/>
        </w:rPr>
      </w:pPr>
    </w:p>
    <w:p w14:paraId="3F506704" w14:textId="77777777" w:rsidR="00D163B3" w:rsidRPr="00D163B3" w:rsidRDefault="00D163B3" w:rsidP="00D163B3">
      <w:pPr>
        <w:spacing w:after="120"/>
        <w:rPr>
          <w:b/>
          <w:bCs/>
          <w:i/>
          <w:sz w:val="22"/>
          <w:szCs w:val="22"/>
          <w:u w:val="single"/>
        </w:rPr>
      </w:pPr>
      <w:r w:rsidRPr="00D163B3">
        <w:rPr>
          <w:b/>
          <w:bCs/>
          <w:i/>
          <w:sz w:val="22"/>
          <w:szCs w:val="22"/>
          <w:u w:val="single"/>
        </w:rPr>
        <w:t>Meeting at Calarasi Town-Hall (Sept. 2, 2015)</w:t>
      </w:r>
    </w:p>
    <w:p w14:paraId="0D2C835B" w14:textId="77777777" w:rsidR="0029660A" w:rsidRPr="00D163B3" w:rsidRDefault="0029660A" w:rsidP="0029660A">
      <w:pPr>
        <w:spacing w:after="80"/>
        <w:rPr>
          <w:bCs/>
          <w:sz w:val="22"/>
          <w:szCs w:val="22"/>
        </w:rPr>
      </w:pPr>
      <w:r w:rsidRPr="00D163B3">
        <w:rPr>
          <w:bCs/>
          <w:sz w:val="22"/>
          <w:szCs w:val="22"/>
        </w:rPr>
        <w:t>Mr. Afanasie Prepelita, Environmental expert, IDIS</w:t>
      </w:r>
    </w:p>
    <w:p w14:paraId="2CAD3CF5" w14:textId="77777777" w:rsidR="0029660A" w:rsidRPr="00D163B3" w:rsidRDefault="0029660A" w:rsidP="0029660A">
      <w:pPr>
        <w:spacing w:after="80"/>
        <w:rPr>
          <w:bCs/>
          <w:sz w:val="22"/>
          <w:szCs w:val="22"/>
        </w:rPr>
      </w:pPr>
      <w:r w:rsidRPr="00D163B3">
        <w:rPr>
          <w:bCs/>
          <w:sz w:val="22"/>
          <w:szCs w:val="22"/>
        </w:rPr>
        <w:t>Mr. Alexandru Marian, Specialist on constructions and roads, Municipal Enterprise on Local Administration</w:t>
      </w:r>
    </w:p>
    <w:p w14:paraId="6F80C749" w14:textId="77777777" w:rsidR="0029660A" w:rsidRPr="00D163B3" w:rsidRDefault="0029660A" w:rsidP="0029660A">
      <w:pPr>
        <w:spacing w:after="80"/>
        <w:rPr>
          <w:bCs/>
          <w:sz w:val="22"/>
          <w:szCs w:val="22"/>
        </w:rPr>
      </w:pPr>
      <w:r w:rsidRPr="00D163B3">
        <w:rPr>
          <w:bCs/>
          <w:sz w:val="22"/>
          <w:szCs w:val="22"/>
        </w:rPr>
        <w:t>Ms. Ana Bejenari, Specialist on Purchasing and Trade</w:t>
      </w:r>
    </w:p>
    <w:p w14:paraId="46916167" w14:textId="77777777" w:rsidR="0029660A" w:rsidRPr="00D163B3" w:rsidRDefault="0029660A" w:rsidP="0029660A">
      <w:pPr>
        <w:spacing w:after="80"/>
        <w:rPr>
          <w:bCs/>
          <w:sz w:val="22"/>
          <w:szCs w:val="22"/>
        </w:rPr>
      </w:pPr>
      <w:r w:rsidRPr="00D163B3">
        <w:rPr>
          <w:bCs/>
          <w:sz w:val="22"/>
          <w:szCs w:val="22"/>
        </w:rPr>
        <w:t>Mr. Anatolie Moldovan, Environmental expert, IDIS</w:t>
      </w:r>
    </w:p>
    <w:p w14:paraId="3C7D1E80" w14:textId="77777777" w:rsidR="0029660A" w:rsidRPr="00D163B3" w:rsidRDefault="0029660A" w:rsidP="0029660A">
      <w:pPr>
        <w:spacing w:after="80"/>
        <w:rPr>
          <w:bCs/>
          <w:sz w:val="22"/>
          <w:szCs w:val="22"/>
        </w:rPr>
      </w:pPr>
      <w:r w:rsidRPr="00D163B3">
        <w:rPr>
          <w:bCs/>
          <w:sz w:val="22"/>
          <w:szCs w:val="22"/>
        </w:rPr>
        <w:t xml:space="preserve">Ms. Ecaterina Melnic, Secretary of the City Council </w:t>
      </w:r>
    </w:p>
    <w:p w14:paraId="28E3101D" w14:textId="77777777" w:rsidR="0029660A" w:rsidRPr="00D163B3" w:rsidRDefault="0029660A" w:rsidP="0029660A">
      <w:pPr>
        <w:spacing w:after="80"/>
        <w:rPr>
          <w:bCs/>
          <w:sz w:val="22"/>
          <w:szCs w:val="22"/>
        </w:rPr>
      </w:pPr>
      <w:r w:rsidRPr="00D163B3">
        <w:rPr>
          <w:bCs/>
          <w:sz w:val="22"/>
          <w:szCs w:val="22"/>
        </w:rPr>
        <w:t>Mr. Gheorghe Stratan, Head of the Municipal Enterprise on Local Administration</w:t>
      </w:r>
    </w:p>
    <w:p w14:paraId="6EB13C27" w14:textId="77777777" w:rsidR="0029660A" w:rsidRPr="00D163B3" w:rsidRDefault="0029660A" w:rsidP="0029660A">
      <w:pPr>
        <w:spacing w:after="80"/>
        <w:rPr>
          <w:bCs/>
          <w:sz w:val="22"/>
          <w:szCs w:val="22"/>
        </w:rPr>
      </w:pPr>
      <w:r w:rsidRPr="00D163B3">
        <w:rPr>
          <w:bCs/>
          <w:sz w:val="22"/>
          <w:szCs w:val="22"/>
        </w:rPr>
        <w:t xml:space="preserve">Mr. Iacob Mandrescu, City councilor </w:t>
      </w:r>
    </w:p>
    <w:p w14:paraId="02FC5298" w14:textId="77777777" w:rsidR="0029660A" w:rsidRPr="00D163B3" w:rsidRDefault="0029660A" w:rsidP="0029660A">
      <w:pPr>
        <w:spacing w:after="80"/>
        <w:rPr>
          <w:bCs/>
          <w:sz w:val="22"/>
          <w:szCs w:val="22"/>
        </w:rPr>
      </w:pPr>
      <w:r w:rsidRPr="00D163B3">
        <w:rPr>
          <w:bCs/>
          <w:sz w:val="22"/>
          <w:szCs w:val="22"/>
        </w:rPr>
        <w:t>Mr. Ion Badasca, Specialist on Foreign Investments</w:t>
      </w:r>
    </w:p>
    <w:p w14:paraId="789827DB" w14:textId="77777777" w:rsidR="0029660A" w:rsidRPr="00D163B3" w:rsidRDefault="0029660A" w:rsidP="0029660A">
      <w:pPr>
        <w:spacing w:after="80"/>
        <w:rPr>
          <w:bCs/>
          <w:sz w:val="22"/>
          <w:szCs w:val="22"/>
        </w:rPr>
      </w:pPr>
      <w:r w:rsidRPr="00D163B3">
        <w:rPr>
          <w:bCs/>
          <w:sz w:val="22"/>
          <w:szCs w:val="22"/>
        </w:rPr>
        <w:t>Mr. Iurie Lapp, Specialist on Legal Affairs</w:t>
      </w:r>
    </w:p>
    <w:p w14:paraId="40E08388" w14:textId="77777777" w:rsidR="0029660A" w:rsidRPr="00D163B3" w:rsidRDefault="0029660A" w:rsidP="0029660A">
      <w:pPr>
        <w:spacing w:after="80"/>
        <w:rPr>
          <w:bCs/>
          <w:sz w:val="22"/>
          <w:szCs w:val="22"/>
        </w:rPr>
      </w:pPr>
      <w:r w:rsidRPr="00D163B3">
        <w:rPr>
          <w:bCs/>
          <w:sz w:val="22"/>
          <w:szCs w:val="22"/>
        </w:rPr>
        <w:t>Mr. Nicolae Melnic, Mayor</w:t>
      </w:r>
    </w:p>
    <w:p w14:paraId="4F4D0205" w14:textId="77777777" w:rsidR="0029660A" w:rsidRPr="00D163B3" w:rsidRDefault="0029660A" w:rsidP="0029660A">
      <w:pPr>
        <w:spacing w:after="80"/>
        <w:rPr>
          <w:bCs/>
          <w:sz w:val="22"/>
          <w:szCs w:val="22"/>
        </w:rPr>
      </w:pPr>
      <w:r w:rsidRPr="00D163B3">
        <w:rPr>
          <w:bCs/>
          <w:sz w:val="22"/>
          <w:szCs w:val="22"/>
        </w:rPr>
        <w:t xml:space="preserve">Mr. Nicolae Preguza, Chief-Architect </w:t>
      </w:r>
    </w:p>
    <w:p w14:paraId="0A8CEAE2" w14:textId="77777777" w:rsidR="00D163B3" w:rsidRPr="00D163B3" w:rsidRDefault="00D163B3" w:rsidP="00D163B3">
      <w:pPr>
        <w:spacing w:after="80"/>
        <w:rPr>
          <w:bCs/>
          <w:sz w:val="22"/>
          <w:szCs w:val="22"/>
        </w:rPr>
      </w:pPr>
      <w:r w:rsidRPr="00D163B3">
        <w:rPr>
          <w:bCs/>
          <w:sz w:val="22"/>
          <w:szCs w:val="22"/>
        </w:rPr>
        <w:t>Mr. Vadim Melnic, Town Hall Mayor</w:t>
      </w:r>
    </w:p>
    <w:p w14:paraId="1AFE022B" w14:textId="77777777" w:rsidR="0029660A" w:rsidRPr="00D163B3" w:rsidRDefault="0029660A" w:rsidP="0029660A">
      <w:pPr>
        <w:spacing w:after="80"/>
        <w:rPr>
          <w:bCs/>
          <w:sz w:val="22"/>
          <w:szCs w:val="22"/>
        </w:rPr>
      </w:pPr>
      <w:r w:rsidRPr="00D163B3">
        <w:rPr>
          <w:bCs/>
          <w:sz w:val="22"/>
          <w:szCs w:val="22"/>
        </w:rPr>
        <w:t>Ms. Valentina Stratan, Specialist on Youth and Sport</w:t>
      </w:r>
    </w:p>
    <w:p w14:paraId="5B1B9F31" w14:textId="77777777" w:rsidR="00D163B3" w:rsidRPr="00D163B3" w:rsidRDefault="00D163B3" w:rsidP="00D163B3">
      <w:pPr>
        <w:spacing w:after="80"/>
        <w:rPr>
          <w:bCs/>
          <w:sz w:val="22"/>
          <w:szCs w:val="22"/>
        </w:rPr>
      </w:pPr>
      <w:r w:rsidRPr="00D163B3">
        <w:rPr>
          <w:bCs/>
          <w:sz w:val="22"/>
          <w:szCs w:val="22"/>
        </w:rPr>
        <w:t>Mr. Vitalie Secrieru, IDIS</w:t>
      </w:r>
    </w:p>
    <w:p w14:paraId="0A5F6D87" w14:textId="77777777" w:rsidR="00D163B3" w:rsidRPr="00D163B3" w:rsidRDefault="00D163B3" w:rsidP="00D163B3">
      <w:pPr>
        <w:spacing w:after="80"/>
        <w:rPr>
          <w:bCs/>
          <w:sz w:val="22"/>
          <w:szCs w:val="22"/>
        </w:rPr>
      </w:pPr>
      <w:r w:rsidRPr="00D163B3">
        <w:rPr>
          <w:bCs/>
          <w:sz w:val="22"/>
          <w:szCs w:val="22"/>
        </w:rPr>
        <w:t>Mr. Vitalie Sochirca, Environmental expert, IDIS</w:t>
      </w:r>
    </w:p>
    <w:p w14:paraId="47F156F9" w14:textId="77777777" w:rsidR="00D163B3" w:rsidRPr="00D163B3" w:rsidRDefault="00D163B3" w:rsidP="00D163B3">
      <w:pPr>
        <w:spacing w:after="80"/>
        <w:rPr>
          <w:bCs/>
          <w:sz w:val="22"/>
          <w:szCs w:val="22"/>
        </w:rPr>
      </w:pPr>
    </w:p>
    <w:p w14:paraId="10A257DA" w14:textId="77777777" w:rsidR="00D163B3" w:rsidRPr="00D163B3" w:rsidRDefault="00D163B3" w:rsidP="00D163B3">
      <w:pPr>
        <w:spacing w:after="120"/>
        <w:rPr>
          <w:b/>
          <w:bCs/>
          <w:i/>
          <w:sz w:val="22"/>
          <w:szCs w:val="22"/>
          <w:u w:val="single"/>
        </w:rPr>
      </w:pPr>
      <w:r w:rsidRPr="00D163B3">
        <w:rPr>
          <w:b/>
          <w:bCs/>
          <w:i/>
          <w:sz w:val="22"/>
          <w:szCs w:val="22"/>
          <w:u w:val="single"/>
        </w:rPr>
        <w:t>Meeting at Telenesti Town Primaria (Sept. 3, 2015)</w:t>
      </w:r>
    </w:p>
    <w:p w14:paraId="14033500" w14:textId="77777777" w:rsidR="0029660A" w:rsidRPr="00D163B3" w:rsidRDefault="0029660A" w:rsidP="0029660A">
      <w:pPr>
        <w:spacing w:after="80"/>
        <w:rPr>
          <w:bCs/>
          <w:sz w:val="22"/>
          <w:szCs w:val="22"/>
        </w:rPr>
      </w:pPr>
      <w:r w:rsidRPr="00D163B3">
        <w:rPr>
          <w:bCs/>
          <w:sz w:val="22"/>
          <w:szCs w:val="22"/>
        </w:rPr>
        <w:t>Mr. Nicolae Nastas, Town Hall Secretary</w:t>
      </w:r>
    </w:p>
    <w:p w14:paraId="3F1109A2" w14:textId="77777777" w:rsidR="00D163B3" w:rsidRPr="00D163B3" w:rsidRDefault="00D163B3" w:rsidP="00D163B3">
      <w:pPr>
        <w:spacing w:after="80"/>
        <w:rPr>
          <w:bCs/>
          <w:sz w:val="22"/>
          <w:szCs w:val="22"/>
        </w:rPr>
      </w:pPr>
      <w:r w:rsidRPr="00D163B3">
        <w:rPr>
          <w:bCs/>
          <w:sz w:val="22"/>
          <w:szCs w:val="22"/>
        </w:rPr>
        <w:t>Mr. Vadim Lelic, Town Hall Mayor</w:t>
      </w:r>
    </w:p>
    <w:p w14:paraId="62C38510" w14:textId="77777777" w:rsidR="008800A4" w:rsidRDefault="008800A4" w:rsidP="004D677C">
      <w:pPr>
        <w:spacing w:after="120"/>
        <w:rPr>
          <w:bCs/>
          <w:sz w:val="22"/>
          <w:szCs w:val="22"/>
        </w:rPr>
        <w:sectPr w:rsidR="008800A4" w:rsidSect="007B0DF0">
          <w:pgSz w:w="11900" w:h="16820"/>
          <w:pgMar w:top="1134" w:right="1134" w:bottom="1134" w:left="1134" w:header="1134" w:footer="851" w:gutter="0"/>
          <w:cols w:space="720"/>
          <w:noEndnote/>
        </w:sectPr>
      </w:pPr>
    </w:p>
    <w:p w14:paraId="5FB9E31F" w14:textId="554F6ADD" w:rsidR="000458AF" w:rsidRDefault="000458AF" w:rsidP="004D677C">
      <w:pPr>
        <w:spacing w:after="120"/>
        <w:rPr>
          <w:bCs/>
          <w:sz w:val="22"/>
          <w:szCs w:val="22"/>
        </w:rPr>
      </w:pPr>
    </w:p>
    <w:p w14:paraId="054D5BD6" w14:textId="5BCE74E3" w:rsidR="008800A4" w:rsidRDefault="008800A4" w:rsidP="008800A4">
      <w:pPr>
        <w:pStyle w:val="Heading1"/>
        <w:spacing w:before="120" w:after="120"/>
        <w:rPr>
          <w:sz w:val="24"/>
          <w:szCs w:val="24"/>
        </w:rPr>
      </w:pPr>
      <w:bookmarkStart w:id="163" w:name="_Toc308103276"/>
      <w:r>
        <w:rPr>
          <w:sz w:val="24"/>
          <w:szCs w:val="24"/>
        </w:rPr>
        <w:t>Annex 8</w:t>
      </w:r>
      <w:r w:rsidRPr="00FB6D4E">
        <w:rPr>
          <w:sz w:val="24"/>
          <w:szCs w:val="24"/>
        </w:rPr>
        <w:t xml:space="preserve">: </w:t>
      </w:r>
      <w:r w:rsidRPr="008800A4">
        <w:rPr>
          <w:sz w:val="24"/>
          <w:szCs w:val="24"/>
        </w:rPr>
        <w:t>Project Expected Results and Planned Activities</w:t>
      </w:r>
      <w:bookmarkEnd w:id="163"/>
    </w:p>
    <w:tbl>
      <w:tblPr>
        <w:tblStyle w:val="TableGrid"/>
        <w:tblW w:w="0" w:type="auto"/>
        <w:tblLook w:val="04A0" w:firstRow="1" w:lastRow="0" w:firstColumn="1" w:lastColumn="0" w:noHBand="0" w:noVBand="1"/>
      </w:tblPr>
      <w:tblGrid>
        <w:gridCol w:w="2518"/>
        <w:gridCol w:w="2977"/>
        <w:gridCol w:w="9273"/>
      </w:tblGrid>
      <w:tr w:rsidR="00D46723" w:rsidRPr="00156613" w14:paraId="24D1671E" w14:textId="77777777" w:rsidTr="00F21966">
        <w:trPr>
          <w:trHeight w:val="322"/>
          <w:tblHeader/>
        </w:trPr>
        <w:tc>
          <w:tcPr>
            <w:tcW w:w="2518" w:type="dxa"/>
            <w:shd w:val="clear" w:color="auto" w:fill="D9D9D9"/>
            <w:vAlign w:val="center"/>
          </w:tcPr>
          <w:p w14:paraId="780AC63E" w14:textId="77777777" w:rsidR="008800A4" w:rsidRPr="00156613" w:rsidRDefault="008800A4" w:rsidP="00B6274D">
            <w:pPr>
              <w:jc w:val="center"/>
              <w:rPr>
                <w:rFonts w:ascii="Garamond" w:hAnsi="Garamond"/>
                <w:b/>
                <w:sz w:val="22"/>
                <w:szCs w:val="22"/>
              </w:rPr>
            </w:pPr>
            <w:r w:rsidRPr="00156613">
              <w:rPr>
                <w:rFonts w:ascii="Garamond" w:hAnsi="Garamond"/>
                <w:b/>
                <w:sz w:val="22"/>
                <w:szCs w:val="22"/>
              </w:rPr>
              <w:t>Intended Outcomes</w:t>
            </w:r>
          </w:p>
        </w:tc>
        <w:tc>
          <w:tcPr>
            <w:tcW w:w="2977" w:type="dxa"/>
            <w:shd w:val="clear" w:color="auto" w:fill="D9D9D9"/>
            <w:vAlign w:val="center"/>
          </w:tcPr>
          <w:p w14:paraId="50642133" w14:textId="77777777" w:rsidR="008800A4" w:rsidRPr="00156613" w:rsidRDefault="008800A4" w:rsidP="00B6274D">
            <w:pPr>
              <w:jc w:val="center"/>
              <w:rPr>
                <w:rFonts w:ascii="Garamond" w:hAnsi="Garamond"/>
                <w:b/>
                <w:sz w:val="22"/>
                <w:szCs w:val="22"/>
              </w:rPr>
            </w:pPr>
            <w:r w:rsidRPr="00156613">
              <w:rPr>
                <w:rFonts w:ascii="Garamond" w:hAnsi="Garamond"/>
                <w:b/>
                <w:sz w:val="22"/>
                <w:szCs w:val="22"/>
              </w:rPr>
              <w:t>Targets</w:t>
            </w:r>
          </w:p>
        </w:tc>
        <w:tc>
          <w:tcPr>
            <w:tcW w:w="9273" w:type="dxa"/>
            <w:shd w:val="clear" w:color="auto" w:fill="D9D9D9"/>
            <w:vAlign w:val="center"/>
          </w:tcPr>
          <w:p w14:paraId="2C5A71ED" w14:textId="77777777" w:rsidR="008800A4" w:rsidRPr="00156613" w:rsidRDefault="008800A4" w:rsidP="00B6274D">
            <w:pPr>
              <w:jc w:val="center"/>
              <w:rPr>
                <w:rFonts w:ascii="Garamond" w:hAnsi="Garamond"/>
                <w:b/>
                <w:sz w:val="22"/>
                <w:szCs w:val="22"/>
              </w:rPr>
            </w:pPr>
            <w:r w:rsidRPr="00156613">
              <w:rPr>
                <w:rFonts w:ascii="Garamond" w:hAnsi="Garamond"/>
                <w:b/>
                <w:sz w:val="22"/>
                <w:szCs w:val="22"/>
              </w:rPr>
              <w:t>Indicative Activities</w:t>
            </w:r>
          </w:p>
        </w:tc>
      </w:tr>
      <w:tr w:rsidR="00D46723" w14:paraId="4E34854C" w14:textId="77777777" w:rsidTr="00F21966">
        <w:tc>
          <w:tcPr>
            <w:tcW w:w="2518" w:type="dxa"/>
          </w:tcPr>
          <w:p w14:paraId="60EB9EC5" w14:textId="77777777" w:rsidR="00B6274D" w:rsidRPr="00FB2300" w:rsidRDefault="00B6274D" w:rsidP="00B6274D">
            <w:pPr>
              <w:widowControl/>
              <w:tabs>
                <w:tab w:val="left" w:pos="-720"/>
              </w:tabs>
              <w:rPr>
                <w:rFonts w:ascii="Arial" w:hAnsi="Arial"/>
                <w:bCs/>
                <w:sz w:val="18"/>
                <w:szCs w:val="22"/>
              </w:rPr>
            </w:pPr>
            <w:r w:rsidRPr="00FB2300">
              <w:rPr>
                <w:rFonts w:ascii="Arial" w:hAnsi="Arial"/>
                <w:b/>
                <w:bCs/>
                <w:sz w:val="18"/>
                <w:szCs w:val="22"/>
              </w:rPr>
              <w:t>Outcome 1 -</w:t>
            </w:r>
            <w:r w:rsidRPr="00FB2300">
              <w:rPr>
                <w:rFonts w:ascii="Arial" w:hAnsi="Arial"/>
                <w:bCs/>
                <w:sz w:val="18"/>
                <w:szCs w:val="22"/>
              </w:rPr>
              <w:t xml:space="preserve"> Reform of environmentally harmful subsidies, green subsidies as well as environmental charges:</w:t>
            </w:r>
          </w:p>
          <w:p w14:paraId="4A36C8B4" w14:textId="77777777" w:rsidR="00B6274D" w:rsidRPr="00FB2300"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1.1: </w:t>
            </w:r>
            <w:r w:rsidRPr="00FB2300">
              <w:rPr>
                <w:rFonts w:ascii="Arial" w:hAnsi="Arial"/>
                <w:bCs/>
                <w:sz w:val="18"/>
                <w:szCs w:val="22"/>
              </w:rPr>
              <w:t xml:space="preserve">Introduce policy reform in the area of environmentally harmful subsidies </w:t>
            </w:r>
          </w:p>
          <w:p w14:paraId="198DB71E" w14:textId="77777777" w:rsidR="00B6274D"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1.2: </w:t>
            </w:r>
            <w:r w:rsidRPr="00FB2300">
              <w:rPr>
                <w:rFonts w:ascii="Arial" w:hAnsi="Arial"/>
                <w:bCs/>
                <w:sz w:val="18"/>
                <w:szCs w:val="22"/>
              </w:rPr>
              <w:t>Reform of environmental charges and facilitation of eco-technology investments</w:t>
            </w:r>
          </w:p>
          <w:p w14:paraId="19310770" w14:textId="6CB6B89C" w:rsidR="00B6274D" w:rsidRPr="00B6274D"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B6274D">
              <w:rPr>
                <w:rFonts w:ascii="Arial" w:hAnsi="Arial"/>
                <w:b/>
                <w:bCs/>
                <w:i/>
                <w:sz w:val="18"/>
                <w:szCs w:val="22"/>
              </w:rPr>
              <w:t xml:space="preserve">Output 1.3: </w:t>
            </w:r>
            <w:r w:rsidRPr="00B6274D">
              <w:rPr>
                <w:rFonts w:ascii="Arial" w:hAnsi="Arial"/>
                <w:bCs/>
                <w:sz w:val="18"/>
                <w:szCs w:val="22"/>
              </w:rPr>
              <w:t>Improved regulations and operational management of the National and Local Ecological Funds (NEF/LEFs).</w:t>
            </w:r>
          </w:p>
        </w:tc>
        <w:tc>
          <w:tcPr>
            <w:tcW w:w="2977" w:type="dxa"/>
          </w:tcPr>
          <w:p w14:paraId="0441D0FB" w14:textId="77777777" w:rsidR="00B6274D" w:rsidRPr="00FB2300"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FB2300">
              <w:rPr>
                <w:rFonts w:ascii="Arial" w:hAnsi="Arial"/>
                <w:b/>
                <w:bCs/>
                <w:i/>
                <w:sz w:val="18"/>
                <w:szCs w:val="22"/>
              </w:rPr>
              <w:t xml:space="preserve">Target (Year 1): </w:t>
            </w:r>
          </w:p>
          <w:p w14:paraId="6BFADE56"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Identification of tax and duties on energy and agriculture products </w:t>
            </w:r>
          </w:p>
          <w:p w14:paraId="12306914"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Market analysis for eco-technology solutions </w:t>
            </w:r>
          </w:p>
          <w:p w14:paraId="663BE407"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Procedures for PCM for NEF/LEFs spending areas</w:t>
            </w:r>
          </w:p>
          <w:p w14:paraId="22A7D07D" w14:textId="77777777" w:rsidR="00B6274D" w:rsidRPr="00764018"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2)</w:t>
            </w:r>
          </w:p>
          <w:p w14:paraId="1AF60D20" w14:textId="77777777" w:rsidR="00B6274D" w:rsidRPr="00FB2300" w:rsidRDefault="00B6274D"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 xml:space="preserve">Identification of options for greening and reforming subsidies and charges </w:t>
            </w:r>
          </w:p>
          <w:p w14:paraId="6C624390"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FB2300">
              <w:rPr>
                <w:rFonts w:ascii="Arial" w:hAnsi="Arial"/>
                <w:bCs/>
                <w:sz w:val="18"/>
                <w:szCs w:val="22"/>
              </w:rPr>
              <w:t>Short and long-term spending strategy of NEF/LEFs</w:t>
            </w:r>
          </w:p>
          <w:p w14:paraId="10C6DB55" w14:textId="77777777" w:rsidR="00B6274D" w:rsidRPr="00764018"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764018">
              <w:rPr>
                <w:rFonts w:ascii="Arial" w:hAnsi="Arial"/>
                <w:b/>
                <w:bCs/>
                <w:i/>
                <w:sz w:val="18"/>
                <w:szCs w:val="22"/>
              </w:rPr>
              <w:t>Targets (Year 3)</w:t>
            </w:r>
          </w:p>
          <w:p w14:paraId="2EC15746" w14:textId="37D914A3" w:rsidR="00B6274D" w:rsidRDefault="00B6274D" w:rsidP="00DC1947">
            <w:pPr>
              <w:pStyle w:val="ListParagraph"/>
              <w:widowControl/>
              <w:numPr>
                <w:ilvl w:val="0"/>
                <w:numId w:val="44"/>
              </w:numPr>
              <w:tabs>
                <w:tab w:val="left" w:pos="-720"/>
              </w:tabs>
              <w:ind w:left="309" w:hanging="141"/>
              <w:rPr>
                <w:sz w:val="22"/>
                <w:szCs w:val="22"/>
              </w:rPr>
            </w:pPr>
            <w:r w:rsidRPr="00FB2300">
              <w:rPr>
                <w:rFonts w:ascii="Arial" w:hAnsi="Arial"/>
                <w:bCs/>
                <w:sz w:val="18"/>
                <w:szCs w:val="22"/>
              </w:rPr>
              <w:t>Recommendations for legislative texts and technical guidelines elaborated and submitted for and adoption</w:t>
            </w:r>
          </w:p>
        </w:tc>
        <w:tc>
          <w:tcPr>
            <w:tcW w:w="9273" w:type="dxa"/>
          </w:tcPr>
          <w:p w14:paraId="6EA40EA5" w14:textId="6BC492CA" w:rsidR="00D46723" w:rsidRPr="00D46723" w:rsidRDefault="00D46723" w:rsidP="00DC1947">
            <w:pPr>
              <w:pStyle w:val="ListParagraph"/>
              <w:widowControl/>
              <w:numPr>
                <w:ilvl w:val="3"/>
                <w:numId w:val="32"/>
              </w:numPr>
              <w:autoSpaceDE/>
              <w:autoSpaceDN/>
              <w:adjustRightInd/>
              <w:ind w:left="318" w:hanging="318"/>
              <w:rPr>
                <w:rFonts w:ascii="Arial" w:hAnsi="Arial" w:cs="Arial"/>
                <w:b/>
                <w:sz w:val="18"/>
                <w:szCs w:val="18"/>
              </w:rPr>
            </w:pPr>
            <w:r w:rsidRPr="00D46723">
              <w:rPr>
                <w:rFonts w:ascii="Arial" w:hAnsi="Arial" w:cs="Arial"/>
                <w:b/>
                <w:sz w:val="18"/>
                <w:szCs w:val="18"/>
              </w:rPr>
              <w:t>Reform of agricultural subsidies:</w:t>
            </w:r>
          </w:p>
          <w:p w14:paraId="26D2B612" w14:textId="74919343" w:rsidR="00D46723" w:rsidRPr="00D46723" w:rsidRDefault="00D46723" w:rsidP="00DC1947">
            <w:pPr>
              <w:pStyle w:val="ListParagraph"/>
              <w:widowControl/>
              <w:numPr>
                <w:ilvl w:val="0"/>
                <w:numId w:val="58"/>
              </w:numPr>
              <w:autoSpaceDE/>
              <w:autoSpaceDN/>
              <w:adjustRightInd/>
              <w:rPr>
                <w:rFonts w:ascii="Arial" w:hAnsi="Arial" w:cs="Arial"/>
                <w:sz w:val="18"/>
                <w:szCs w:val="18"/>
              </w:rPr>
            </w:pPr>
            <w:r w:rsidRPr="00D46723">
              <w:rPr>
                <w:rFonts w:ascii="Arial" w:hAnsi="Arial" w:cs="Arial"/>
                <w:sz w:val="18"/>
                <w:szCs w:val="18"/>
              </w:rPr>
              <w:t>Identify options for greening and fundamentally reforming current agricultural subsidies, focusing on aspects such as effective and maximized contribution to targets and goals of CBD and CCD;</w:t>
            </w:r>
          </w:p>
          <w:p w14:paraId="7C9F9A31" w14:textId="00E160EE" w:rsidR="00D46723" w:rsidRPr="00D46723" w:rsidRDefault="00D46723" w:rsidP="00DC1947">
            <w:pPr>
              <w:pStyle w:val="ListParagraph"/>
              <w:widowControl/>
              <w:numPr>
                <w:ilvl w:val="0"/>
                <w:numId w:val="58"/>
              </w:numPr>
              <w:autoSpaceDE/>
              <w:autoSpaceDN/>
              <w:adjustRightInd/>
              <w:rPr>
                <w:rFonts w:ascii="Arial" w:hAnsi="Arial" w:cs="Arial"/>
                <w:sz w:val="18"/>
                <w:szCs w:val="18"/>
              </w:rPr>
            </w:pPr>
            <w:r w:rsidRPr="00D46723">
              <w:rPr>
                <w:rFonts w:ascii="Arial" w:hAnsi="Arial" w:cs="Arial"/>
                <w:sz w:val="18"/>
                <w:szCs w:val="18"/>
              </w:rPr>
              <w:t>Development of new markets for agricultural products and realizing export potentials for such products, and the realization of positive employment effects. This will be done taking especially into account relevant experience in the EU area;</w:t>
            </w:r>
          </w:p>
          <w:p w14:paraId="11EB38D9" w14:textId="262751F2" w:rsidR="00D46723" w:rsidRPr="00D46723" w:rsidRDefault="00D46723" w:rsidP="00DC1947">
            <w:pPr>
              <w:pStyle w:val="ListParagraph"/>
              <w:widowControl/>
              <w:numPr>
                <w:ilvl w:val="0"/>
                <w:numId w:val="58"/>
              </w:numPr>
              <w:autoSpaceDE/>
              <w:autoSpaceDN/>
              <w:adjustRightInd/>
              <w:rPr>
                <w:rFonts w:ascii="Arial" w:hAnsi="Arial" w:cs="Arial"/>
                <w:sz w:val="18"/>
                <w:szCs w:val="18"/>
              </w:rPr>
            </w:pPr>
            <w:r w:rsidRPr="00D46723">
              <w:rPr>
                <w:rFonts w:ascii="Arial" w:hAnsi="Arial" w:cs="Arial"/>
                <w:sz w:val="18"/>
                <w:szCs w:val="18"/>
              </w:rPr>
              <w:t>Identify which potential options are feasible and most desirable for implementation; and</w:t>
            </w:r>
          </w:p>
          <w:p w14:paraId="07F097CE" w14:textId="5A55BB22" w:rsidR="00D46723" w:rsidRPr="00D46723" w:rsidRDefault="00D46723" w:rsidP="00DC1947">
            <w:pPr>
              <w:pStyle w:val="ListParagraph"/>
              <w:widowControl/>
              <w:numPr>
                <w:ilvl w:val="0"/>
                <w:numId w:val="58"/>
              </w:numPr>
              <w:autoSpaceDE/>
              <w:autoSpaceDN/>
              <w:adjustRightInd/>
              <w:rPr>
                <w:rFonts w:ascii="Arial" w:hAnsi="Arial" w:cs="Arial"/>
                <w:sz w:val="18"/>
                <w:szCs w:val="18"/>
              </w:rPr>
            </w:pPr>
            <w:r w:rsidRPr="00D46723">
              <w:rPr>
                <w:rFonts w:ascii="Arial" w:hAnsi="Arial" w:cs="Arial"/>
                <w:sz w:val="18"/>
                <w:szCs w:val="18"/>
              </w:rPr>
              <w:t>Elaborate selected reform proposals in detail and elaborate concrete implementation measures, including relevant legislation and implementation guidelines.</w:t>
            </w:r>
          </w:p>
          <w:p w14:paraId="33FC6B71" w14:textId="7261BA75" w:rsidR="00D46723" w:rsidRPr="00D46723" w:rsidRDefault="00D46723" w:rsidP="00DC1947">
            <w:pPr>
              <w:pStyle w:val="ListParagraph"/>
              <w:widowControl/>
              <w:numPr>
                <w:ilvl w:val="3"/>
                <w:numId w:val="32"/>
              </w:numPr>
              <w:autoSpaceDE/>
              <w:autoSpaceDN/>
              <w:adjustRightInd/>
              <w:ind w:left="318" w:hanging="318"/>
              <w:rPr>
                <w:rFonts w:ascii="Arial" w:hAnsi="Arial" w:cs="Arial"/>
                <w:b/>
                <w:sz w:val="18"/>
                <w:szCs w:val="18"/>
              </w:rPr>
            </w:pPr>
            <w:r w:rsidRPr="00D46723">
              <w:rPr>
                <w:rFonts w:ascii="Arial" w:hAnsi="Arial" w:cs="Arial"/>
                <w:b/>
                <w:sz w:val="18"/>
                <w:szCs w:val="18"/>
              </w:rPr>
              <w:t xml:space="preserve">Reform of energy subsidies: </w:t>
            </w:r>
          </w:p>
          <w:p w14:paraId="75B28AF7" w14:textId="7ACFD688" w:rsidR="00D46723" w:rsidRPr="00D46723" w:rsidRDefault="00D46723" w:rsidP="00DC1947">
            <w:pPr>
              <w:pStyle w:val="ListParagraph"/>
              <w:widowControl/>
              <w:numPr>
                <w:ilvl w:val="0"/>
                <w:numId w:val="59"/>
              </w:numPr>
              <w:autoSpaceDE/>
              <w:autoSpaceDN/>
              <w:adjustRightInd/>
              <w:rPr>
                <w:rFonts w:ascii="Arial" w:hAnsi="Arial" w:cs="Arial"/>
                <w:sz w:val="18"/>
                <w:szCs w:val="18"/>
              </w:rPr>
            </w:pPr>
            <w:r w:rsidRPr="00D46723">
              <w:rPr>
                <w:rFonts w:ascii="Arial" w:hAnsi="Arial" w:cs="Arial"/>
                <w:sz w:val="18"/>
                <w:szCs w:val="18"/>
              </w:rPr>
              <w:t>Determine the economic, fiscal, social, and environmental effects of applying the maximum rates of VAT, excise taxes, custom duties and other fiscal instruments on different energy products, assuming different economic growth scenarios, different taxation shift scenarios, as well as other relevant variables;</w:t>
            </w:r>
          </w:p>
          <w:p w14:paraId="5D8A196B" w14:textId="5CC6E9A2" w:rsidR="00D46723" w:rsidRPr="00D46723" w:rsidRDefault="00D46723" w:rsidP="00DC1947">
            <w:pPr>
              <w:pStyle w:val="ListParagraph"/>
              <w:widowControl/>
              <w:numPr>
                <w:ilvl w:val="0"/>
                <w:numId w:val="59"/>
              </w:numPr>
              <w:autoSpaceDE/>
              <w:autoSpaceDN/>
              <w:adjustRightInd/>
              <w:rPr>
                <w:rFonts w:ascii="Arial" w:hAnsi="Arial" w:cs="Arial"/>
                <w:sz w:val="18"/>
                <w:szCs w:val="18"/>
              </w:rPr>
            </w:pPr>
            <w:r w:rsidRPr="00D46723">
              <w:rPr>
                <w:rFonts w:ascii="Arial" w:hAnsi="Arial" w:cs="Arial"/>
                <w:sz w:val="18"/>
                <w:szCs w:val="18"/>
              </w:rPr>
              <w:t>Identify which potential options are feasible and most desirable for implementation, focusing on issues such as effective and maximized contribution to targets and goals of FCCC, the development of new markets and cleaner technologies in the energy sector, the protection of vulnerable groups of society. This will be done taking especially into account relevant experience in the EU area; and</w:t>
            </w:r>
          </w:p>
          <w:p w14:paraId="15FE0919" w14:textId="607D9B3E" w:rsidR="00D46723" w:rsidRPr="00D46723" w:rsidRDefault="00D46723" w:rsidP="00DC1947">
            <w:pPr>
              <w:pStyle w:val="ListParagraph"/>
              <w:widowControl/>
              <w:numPr>
                <w:ilvl w:val="0"/>
                <w:numId w:val="59"/>
              </w:numPr>
              <w:autoSpaceDE/>
              <w:autoSpaceDN/>
              <w:adjustRightInd/>
              <w:rPr>
                <w:rFonts w:ascii="Arial" w:hAnsi="Arial" w:cs="Arial"/>
                <w:sz w:val="18"/>
                <w:szCs w:val="18"/>
              </w:rPr>
            </w:pPr>
            <w:r w:rsidRPr="00D46723">
              <w:rPr>
                <w:rFonts w:ascii="Arial" w:hAnsi="Arial" w:cs="Arial"/>
                <w:sz w:val="18"/>
                <w:szCs w:val="18"/>
              </w:rPr>
              <w:t>Elaborate selected reform proposals in detail and elaborate concrete implementation measures, including relevant legislation and implementation guidelines,</w:t>
            </w:r>
          </w:p>
          <w:p w14:paraId="1CF8923C" w14:textId="49F2FED3" w:rsidR="00D46723" w:rsidRPr="00D46723" w:rsidRDefault="00D46723" w:rsidP="00DC1947">
            <w:pPr>
              <w:pStyle w:val="ListParagraph"/>
              <w:widowControl/>
              <w:numPr>
                <w:ilvl w:val="3"/>
                <w:numId w:val="32"/>
              </w:numPr>
              <w:autoSpaceDE/>
              <w:autoSpaceDN/>
              <w:adjustRightInd/>
              <w:ind w:left="318" w:hanging="318"/>
              <w:rPr>
                <w:rFonts w:ascii="Arial" w:hAnsi="Arial" w:cs="Arial"/>
                <w:b/>
                <w:sz w:val="18"/>
                <w:szCs w:val="18"/>
              </w:rPr>
            </w:pPr>
            <w:r w:rsidRPr="00D46723">
              <w:rPr>
                <w:rFonts w:ascii="Arial" w:hAnsi="Arial" w:cs="Arial"/>
                <w:b/>
                <w:sz w:val="18"/>
                <w:szCs w:val="18"/>
              </w:rPr>
              <w:t>Reform of environmental charges:</w:t>
            </w:r>
          </w:p>
          <w:p w14:paraId="070EB7AE" w14:textId="447881FC" w:rsidR="00D46723" w:rsidRPr="00D46723" w:rsidRDefault="00D46723" w:rsidP="00DC1947">
            <w:pPr>
              <w:pStyle w:val="ListParagraph"/>
              <w:widowControl/>
              <w:numPr>
                <w:ilvl w:val="0"/>
                <w:numId w:val="60"/>
              </w:numPr>
              <w:autoSpaceDE/>
              <w:autoSpaceDN/>
              <w:adjustRightInd/>
              <w:rPr>
                <w:rFonts w:ascii="Arial" w:hAnsi="Arial" w:cs="Arial"/>
                <w:sz w:val="18"/>
                <w:szCs w:val="18"/>
              </w:rPr>
            </w:pPr>
            <w:r w:rsidRPr="00D46723">
              <w:rPr>
                <w:rFonts w:ascii="Arial" w:hAnsi="Arial" w:cs="Arial"/>
                <w:sz w:val="18"/>
                <w:szCs w:val="18"/>
              </w:rPr>
              <w:t>Develop a detailed reform concept for Moldova’s pollution charge system based on analyzing environmental, economic and fiscal effects of current charges, good international practice in implementing such charges (for example in Czech Republic, Poland, Western Europe), creating effective links to Moldova’s commitments under CBD, CCD, and FCCC.</w:t>
            </w:r>
          </w:p>
          <w:p w14:paraId="5AA9444F" w14:textId="1FD3B968" w:rsidR="00D46723" w:rsidRPr="00D46723" w:rsidRDefault="00D46723" w:rsidP="00DC1947">
            <w:pPr>
              <w:pStyle w:val="ListParagraph"/>
              <w:widowControl/>
              <w:numPr>
                <w:ilvl w:val="0"/>
                <w:numId w:val="60"/>
              </w:numPr>
              <w:autoSpaceDE/>
              <w:autoSpaceDN/>
              <w:adjustRightInd/>
              <w:rPr>
                <w:rFonts w:ascii="Arial" w:hAnsi="Arial" w:cs="Arial"/>
                <w:sz w:val="18"/>
                <w:szCs w:val="18"/>
              </w:rPr>
            </w:pPr>
            <w:r w:rsidRPr="00D46723">
              <w:rPr>
                <w:rFonts w:ascii="Arial" w:hAnsi="Arial" w:cs="Arial"/>
                <w:sz w:val="18"/>
                <w:szCs w:val="18"/>
              </w:rPr>
              <w:t>Review other existing –environmental charges, taking into account good international practice in implementing such instruments, and prepare detailed reform concepts to further improve the implementation of these charges, including in particular strengthened links to Moldova’s commitments under CBD, CCD, and FCCC.</w:t>
            </w:r>
          </w:p>
          <w:p w14:paraId="2AAE6A16" w14:textId="6A7F572B" w:rsidR="00D46723" w:rsidRPr="00D46723" w:rsidRDefault="00D46723" w:rsidP="00DC1947">
            <w:pPr>
              <w:pStyle w:val="ListParagraph"/>
              <w:widowControl/>
              <w:numPr>
                <w:ilvl w:val="0"/>
                <w:numId w:val="60"/>
              </w:numPr>
              <w:autoSpaceDE/>
              <w:autoSpaceDN/>
              <w:adjustRightInd/>
              <w:rPr>
                <w:rFonts w:ascii="Arial" w:hAnsi="Arial" w:cs="Arial"/>
                <w:sz w:val="18"/>
                <w:szCs w:val="18"/>
              </w:rPr>
            </w:pPr>
            <w:r w:rsidRPr="00D46723">
              <w:rPr>
                <w:rFonts w:ascii="Arial" w:hAnsi="Arial" w:cs="Arial"/>
                <w:sz w:val="18"/>
                <w:szCs w:val="18"/>
              </w:rPr>
              <w:t>Elaborate concepts and draft legislation for selected new environmental charges, related to areas covered under CBD, CCD, and FCCC.</w:t>
            </w:r>
          </w:p>
          <w:p w14:paraId="00288A3D" w14:textId="4D65BA56" w:rsidR="00D46723" w:rsidRPr="00D46723" w:rsidRDefault="00D46723" w:rsidP="00DC1947">
            <w:pPr>
              <w:pStyle w:val="ListParagraph"/>
              <w:widowControl/>
              <w:numPr>
                <w:ilvl w:val="0"/>
                <w:numId w:val="60"/>
              </w:numPr>
              <w:autoSpaceDE/>
              <w:autoSpaceDN/>
              <w:adjustRightInd/>
              <w:rPr>
                <w:rFonts w:ascii="Arial" w:hAnsi="Arial" w:cs="Arial"/>
                <w:sz w:val="18"/>
                <w:szCs w:val="18"/>
              </w:rPr>
            </w:pPr>
            <w:r w:rsidRPr="00D46723">
              <w:rPr>
                <w:rFonts w:ascii="Arial" w:hAnsi="Arial" w:cs="Arial"/>
                <w:sz w:val="18"/>
                <w:szCs w:val="18"/>
              </w:rPr>
              <w:t>Facilitate and inform the political process to implement the proposed reform.</w:t>
            </w:r>
          </w:p>
          <w:p w14:paraId="2E4BFB23" w14:textId="3D9EAC03" w:rsidR="00D46723" w:rsidRPr="00D46723" w:rsidRDefault="00D46723" w:rsidP="00DC1947">
            <w:pPr>
              <w:pStyle w:val="ListParagraph"/>
              <w:widowControl/>
              <w:numPr>
                <w:ilvl w:val="3"/>
                <w:numId w:val="32"/>
              </w:numPr>
              <w:autoSpaceDE/>
              <w:autoSpaceDN/>
              <w:adjustRightInd/>
              <w:ind w:left="318" w:hanging="318"/>
              <w:rPr>
                <w:rFonts w:ascii="Arial" w:hAnsi="Arial" w:cs="Arial"/>
                <w:b/>
                <w:sz w:val="18"/>
                <w:szCs w:val="18"/>
              </w:rPr>
            </w:pPr>
            <w:r w:rsidRPr="00D46723">
              <w:rPr>
                <w:rFonts w:ascii="Arial" w:hAnsi="Arial" w:cs="Arial"/>
                <w:b/>
                <w:sz w:val="18"/>
                <w:szCs w:val="18"/>
              </w:rPr>
              <w:t xml:space="preserve">Facilitation of increased eco-technology investments: </w:t>
            </w:r>
          </w:p>
          <w:p w14:paraId="33EE314D" w14:textId="72608DAD" w:rsidR="00D46723" w:rsidRPr="00D46723" w:rsidRDefault="00D46723" w:rsidP="00DC1947">
            <w:pPr>
              <w:pStyle w:val="ListParagraph"/>
              <w:widowControl/>
              <w:numPr>
                <w:ilvl w:val="0"/>
                <w:numId w:val="61"/>
              </w:numPr>
              <w:autoSpaceDE/>
              <w:autoSpaceDN/>
              <w:adjustRightInd/>
              <w:rPr>
                <w:rFonts w:ascii="Arial" w:hAnsi="Arial" w:cs="Arial"/>
                <w:sz w:val="18"/>
                <w:szCs w:val="18"/>
              </w:rPr>
            </w:pPr>
            <w:r w:rsidRPr="00D46723">
              <w:rPr>
                <w:rFonts w:ascii="Arial" w:hAnsi="Arial" w:cs="Arial"/>
                <w:sz w:val="18"/>
                <w:szCs w:val="18"/>
              </w:rPr>
              <w:t xml:space="preserve">Prepare a market analysis of current (financing) markets for several groups and types of eco-technology solutions that have a high potential to be mainstreamed in Moldova, focusing on eco-technologies related to issues covered by CBD, CCD, and FCCC. </w:t>
            </w:r>
          </w:p>
          <w:p w14:paraId="53E6390E" w14:textId="67EB56AF" w:rsidR="00D46723" w:rsidRPr="00D46723" w:rsidRDefault="00D46723" w:rsidP="00DC1947">
            <w:pPr>
              <w:pStyle w:val="ListParagraph"/>
              <w:widowControl/>
              <w:numPr>
                <w:ilvl w:val="0"/>
                <w:numId w:val="61"/>
              </w:numPr>
              <w:autoSpaceDE/>
              <w:autoSpaceDN/>
              <w:adjustRightInd/>
              <w:rPr>
                <w:rFonts w:ascii="Arial" w:hAnsi="Arial" w:cs="Arial"/>
                <w:sz w:val="18"/>
                <w:szCs w:val="18"/>
              </w:rPr>
            </w:pPr>
            <w:r w:rsidRPr="00D46723">
              <w:rPr>
                <w:rFonts w:ascii="Arial" w:hAnsi="Arial" w:cs="Arial"/>
                <w:sz w:val="18"/>
                <w:szCs w:val="18"/>
              </w:rPr>
              <w:t>For selected types of eco-technology solutions identified, develop detailed spending strategies, project cycle management procedures, as well as related procurement procedures that can be adopted through a suitable financing mechanism, identified or enabled by the project.</w:t>
            </w:r>
          </w:p>
          <w:p w14:paraId="1939BE53" w14:textId="1B87D7BB" w:rsidR="00D46723" w:rsidRPr="00D46723" w:rsidRDefault="00D46723" w:rsidP="00DC1947">
            <w:pPr>
              <w:pStyle w:val="ListParagraph"/>
              <w:widowControl/>
              <w:numPr>
                <w:ilvl w:val="3"/>
                <w:numId w:val="32"/>
              </w:numPr>
              <w:autoSpaceDE/>
              <w:autoSpaceDN/>
              <w:adjustRightInd/>
              <w:ind w:left="318" w:hanging="318"/>
              <w:rPr>
                <w:rFonts w:ascii="Arial" w:hAnsi="Arial" w:cs="Arial"/>
                <w:b/>
                <w:sz w:val="18"/>
                <w:szCs w:val="18"/>
              </w:rPr>
            </w:pPr>
            <w:r w:rsidRPr="00D46723">
              <w:rPr>
                <w:rFonts w:ascii="Arial" w:hAnsi="Arial" w:cs="Arial"/>
                <w:b/>
                <w:sz w:val="18"/>
                <w:szCs w:val="18"/>
              </w:rPr>
              <w:t>Improving management and operational procedures of NEF and LEFs:</w:t>
            </w:r>
          </w:p>
          <w:p w14:paraId="57473923" w14:textId="07752188" w:rsidR="00D46723" w:rsidRPr="00D46723" w:rsidRDefault="00D46723" w:rsidP="00DC1947">
            <w:pPr>
              <w:pStyle w:val="ListParagraph"/>
              <w:widowControl/>
              <w:numPr>
                <w:ilvl w:val="0"/>
                <w:numId w:val="62"/>
              </w:numPr>
              <w:autoSpaceDE/>
              <w:autoSpaceDN/>
              <w:adjustRightInd/>
              <w:rPr>
                <w:rFonts w:ascii="Arial" w:hAnsi="Arial" w:cs="Arial"/>
                <w:sz w:val="18"/>
                <w:szCs w:val="18"/>
              </w:rPr>
            </w:pPr>
            <w:r w:rsidRPr="00D46723">
              <w:rPr>
                <w:rFonts w:ascii="Arial" w:hAnsi="Arial" w:cs="Arial"/>
                <w:sz w:val="18"/>
                <w:szCs w:val="18"/>
              </w:rPr>
              <w:t>Develop transparent and detailed short-term and long-term spending strategies, based on national policy priorities, relevant EU environmental policy, as well  as priorities established by the Rio Conventions,</w:t>
            </w:r>
          </w:p>
          <w:p w14:paraId="6267DC63" w14:textId="39F790CD" w:rsidR="00D46723" w:rsidRPr="00D46723" w:rsidRDefault="00D46723" w:rsidP="00DC1947">
            <w:pPr>
              <w:pStyle w:val="ListParagraph"/>
              <w:widowControl/>
              <w:numPr>
                <w:ilvl w:val="0"/>
                <w:numId w:val="62"/>
              </w:numPr>
              <w:autoSpaceDE/>
              <w:autoSpaceDN/>
              <w:adjustRightInd/>
              <w:rPr>
                <w:rFonts w:ascii="Arial" w:hAnsi="Arial" w:cs="Arial"/>
                <w:sz w:val="18"/>
                <w:szCs w:val="18"/>
              </w:rPr>
            </w:pPr>
            <w:r w:rsidRPr="00D46723">
              <w:rPr>
                <w:rFonts w:ascii="Arial" w:hAnsi="Arial" w:cs="Arial"/>
                <w:sz w:val="18"/>
                <w:szCs w:val="18"/>
              </w:rPr>
              <w:t xml:space="preserve">Develop detailed procedures for Project Cycle Management (PCM) for 2-3 priority spending areas related to Rio Conventions, including procedures such as project identification (in particular via open, public tendering), project appraisal, project selection and approval, contracting, project implementation, and project monitoring and evaluation. </w:t>
            </w:r>
          </w:p>
          <w:p w14:paraId="457EB8A7" w14:textId="6A15A29B" w:rsidR="00D46723" w:rsidRPr="00D46723" w:rsidRDefault="00D46723" w:rsidP="00DC1947">
            <w:pPr>
              <w:pStyle w:val="ListParagraph"/>
              <w:widowControl/>
              <w:numPr>
                <w:ilvl w:val="0"/>
                <w:numId w:val="62"/>
              </w:numPr>
              <w:autoSpaceDE/>
              <w:autoSpaceDN/>
              <w:adjustRightInd/>
              <w:rPr>
                <w:rFonts w:ascii="Arial" w:hAnsi="Arial" w:cs="Arial"/>
                <w:sz w:val="18"/>
                <w:szCs w:val="18"/>
              </w:rPr>
            </w:pPr>
            <w:r w:rsidRPr="00D46723">
              <w:rPr>
                <w:rFonts w:ascii="Arial" w:hAnsi="Arial" w:cs="Arial"/>
                <w:sz w:val="18"/>
                <w:szCs w:val="18"/>
              </w:rPr>
              <w:t>Develop recommendations to further strengthen current governance structures</w:t>
            </w:r>
          </w:p>
          <w:p w14:paraId="001C0690" w14:textId="730B033B" w:rsidR="00D46723" w:rsidRPr="00D46723" w:rsidRDefault="00D46723" w:rsidP="00DC1947">
            <w:pPr>
              <w:pStyle w:val="ListParagraph"/>
              <w:widowControl/>
              <w:numPr>
                <w:ilvl w:val="0"/>
                <w:numId w:val="62"/>
              </w:numPr>
              <w:autoSpaceDE/>
              <w:autoSpaceDN/>
              <w:adjustRightInd/>
              <w:rPr>
                <w:rFonts w:ascii="Arial" w:hAnsi="Arial" w:cs="Arial"/>
                <w:sz w:val="18"/>
                <w:szCs w:val="18"/>
              </w:rPr>
            </w:pPr>
            <w:r w:rsidRPr="00D46723">
              <w:rPr>
                <w:rFonts w:ascii="Arial" w:hAnsi="Arial" w:cs="Arial"/>
                <w:sz w:val="18"/>
                <w:szCs w:val="18"/>
              </w:rPr>
              <w:t>Develop recommendations to strengthen information management needs, supervision and reporting policies and practices of the NEF and LEFs, including reporting related to their effective contributions to Moldova’s commitments under the Rio Conventions.</w:t>
            </w:r>
          </w:p>
        </w:tc>
      </w:tr>
      <w:tr w:rsidR="00D46723" w14:paraId="7C43AEA3" w14:textId="77777777" w:rsidTr="00F21966">
        <w:tc>
          <w:tcPr>
            <w:tcW w:w="2518" w:type="dxa"/>
          </w:tcPr>
          <w:p w14:paraId="60A6DD8B" w14:textId="77777777" w:rsidR="00B6274D" w:rsidRPr="00FB2300" w:rsidRDefault="00B6274D" w:rsidP="00B6274D">
            <w:pPr>
              <w:widowControl/>
              <w:tabs>
                <w:tab w:val="left" w:pos="-720"/>
              </w:tabs>
              <w:rPr>
                <w:rFonts w:ascii="Arial" w:hAnsi="Arial"/>
                <w:bCs/>
                <w:sz w:val="18"/>
                <w:szCs w:val="22"/>
              </w:rPr>
            </w:pPr>
            <w:r w:rsidRPr="00FB2300">
              <w:rPr>
                <w:rFonts w:ascii="Arial" w:hAnsi="Arial"/>
                <w:b/>
                <w:bCs/>
                <w:sz w:val="18"/>
                <w:szCs w:val="22"/>
              </w:rPr>
              <w:t>Outcome 2:</w:t>
            </w:r>
            <w:r w:rsidRPr="00FB2300">
              <w:rPr>
                <w:rFonts w:ascii="Arial" w:hAnsi="Arial"/>
                <w:bCs/>
                <w:sz w:val="18"/>
                <w:szCs w:val="22"/>
              </w:rPr>
              <w:t xml:space="preserve"> Capacity development to engage and build consensus among all stakeholders:</w:t>
            </w:r>
          </w:p>
          <w:p w14:paraId="7C8DFB87" w14:textId="77777777" w:rsidR="00B6274D" w:rsidRPr="00FB2300"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2.1: </w:t>
            </w:r>
            <w:r w:rsidRPr="00FB2300">
              <w:rPr>
                <w:rFonts w:ascii="Arial" w:hAnsi="Arial"/>
                <w:bCs/>
                <w:sz w:val="18"/>
                <w:szCs w:val="22"/>
              </w:rPr>
              <w:t>Capacity building for EFR</w:t>
            </w:r>
          </w:p>
          <w:p w14:paraId="4476CFE0" w14:textId="77777777" w:rsidR="00B6274D"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FB2300">
              <w:rPr>
                <w:rFonts w:ascii="Arial" w:hAnsi="Arial"/>
                <w:b/>
                <w:bCs/>
                <w:i/>
                <w:sz w:val="18"/>
                <w:szCs w:val="22"/>
              </w:rPr>
              <w:t xml:space="preserve">Output 2.2: </w:t>
            </w:r>
            <w:r w:rsidRPr="00FB2300">
              <w:rPr>
                <w:rFonts w:ascii="Arial" w:hAnsi="Arial"/>
                <w:bCs/>
                <w:sz w:val="18"/>
                <w:szCs w:val="22"/>
              </w:rPr>
              <w:t>Communication and awareness</w:t>
            </w:r>
          </w:p>
          <w:p w14:paraId="35427E4D" w14:textId="1D119A05" w:rsidR="00B6274D" w:rsidRPr="00B6274D"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B6274D">
              <w:rPr>
                <w:rFonts w:ascii="Arial" w:hAnsi="Arial"/>
                <w:b/>
                <w:bCs/>
                <w:i/>
                <w:sz w:val="18"/>
                <w:szCs w:val="22"/>
              </w:rPr>
              <w:t>Output 2.3:</w:t>
            </w:r>
            <w:r w:rsidRPr="00B6274D">
              <w:rPr>
                <w:rFonts w:ascii="Arial" w:hAnsi="Arial"/>
                <w:bCs/>
                <w:sz w:val="18"/>
                <w:szCs w:val="22"/>
              </w:rPr>
              <w:t xml:space="preserve"> A political dialogue is established</w:t>
            </w:r>
          </w:p>
        </w:tc>
        <w:tc>
          <w:tcPr>
            <w:tcW w:w="2977" w:type="dxa"/>
          </w:tcPr>
          <w:p w14:paraId="7187B970" w14:textId="77777777" w:rsidR="00B6274D" w:rsidRPr="00442CB2"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7EE1F306"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training needs assessment conducted</w:t>
            </w:r>
          </w:p>
          <w:p w14:paraId="3D351867"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information campaign is designed</w:t>
            </w:r>
          </w:p>
          <w:p w14:paraId="38F5FE8F"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An EFR website is developed, put </w:t>
            </w:r>
            <w:r>
              <w:rPr>
                <w:rFonts w:ascii="Arial" w:hAnsi="Arial"/>
                <w:bCs/>
                <w:sz w:val="18"/>
                <w:szCs w:val="22"/>
              </w:rPr>
              <w:t>online and continuously updated</w:t>
            </w:r>
          </w:p>
          <w:p w14:paraId="5033974E" w14:textId="77777777" w:rsidR="00B6274D" w:rsidRPr="00442CB2"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66405FA1"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set of training sessions are implemented in line with the training needs assessment</w:t>
            </w:r>
          </w:p>
          <w:p w14:paraId="4EA18A97"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A comprehensive info</w:t>
            </w:r>
            <w:r>
              <w:rPr>
                <w:rFonts w:ascii="Arial" w:hAnsi="Arial"/>
                <w:bCs/>
                <w:sz w:val="18"/>
                <w:szCs w:val="22"/>
              </w:rPr>
              <w:t>rmation campaign is implemented</w:t>
            </w:r>
          </w:p>
          <w:p w14:paraId="264E9A4C" w14:textId="77777777" w:rsidR="00B6274D" w:rsidRPr="00442CB2"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76A03034" w14:textId="77777777" w:rsidR="00B6274D"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Three case studies are published based the lessons learned related to improved national financing for CBD, CCD, and FCCC implementation through the EFR in Moldova </w:t>
            </w:r>
          </w:p>
          <w:p w14:paraId="77BC12DC" w14:textId="7A6620DD" w:rsidR="00B6274D" w:rsidRPr="00B6274D" w:rsidRDefault="00B6274D" w:rsidP="00DC1947">
            <w:pPr>
              <w:pStyle w:val="ListParagraph"/>
              <w:widowControl/>
              <w:numPr>
                <w:ilvl w:val="0"/>
                <w:numId w:val="44"/>
              </w:numPr>
              <w:tabs>
                <w:tab w:val="left" w:pos="-720"/>
              </w:tabs>
              <w:ind w:left="309" w:hanging="141"/>
              <w:rPr>
                <w:rFonts w:ascii="Arial" w:hAnsi="Arial"/>
                <w:bCs/>
                <w:sz w:val="18"/>
                <w:szCs w:val="22"/>
              </w:rPr>
            </w:pPr>
            <w:r w:rsidRPr="00B6274D">
              <w:rPr>
                <w:rFonts w:ascii="Arial" w:hAnsi="Arial"/>
                <w:bCs/>
                <w:sz w:val="18"/>
                <w:szCs w:val="22"/>
              </w:rPr>
              <w:t>Capacity Scorecard ratings show improvement at final evaluation</w:t>
            </w:r>
          </w:p>
        </w:tc>
        <w:tc>
          <w:tcPr>
            <w:tcW w:w="9273" w:type="dxa"/>
          </w:tcPr>
          <w:p w14:paraId="3CDBF179" w14:textId="2430F4D2" w:rsidR="00D46723" w:rsidRPr="00F21966" w:rsidRDefault="00D46723" w:rsidP="00DC1947">
            <w:pPr>
              <w:pStyle w:val="ListParagraph"/>
              <w:widowControl/>
              <w:numPr>
                <w:ilvl w:val="3"/>
                <w:numId w:val="63"/>
              </w:numPr>
              <w:autoSpaceDE/>
              <w:autoSpaceDN/>
              <w:adjustRightInd/>
              <w:ind w:left="317" w:hanging="317"/>
              <w:rPr>
                <w:rFonts w:ascii="Arial" w:hAnsi="Arial" w:cs="Arial"/>
                <w:b/>
                <w:sz w:val="18"/>
                <w:szCs w:val="18"/>
              </w:rPr>
            </w:pPr>
            <w:r w:rsidRPr="00F21966">
              <w:rPr>
                <w:rFonts w:ascii="Arial" w:hAnsi="Arial" w:cs="Arial"/>
                <w:b/>
                <w:sz w:val="18"/>
                <w:szCs w:val="18"/>
              </w:rPr>
              <w:t xml:space="preserve">A training needs assessment is conducted </w:t>
            </w:r>
          </w:p>
          <w:p w14:paraId="1C570867" w14:textId="4E592535" w:rsidR="00D46723" w:rsidRPr="00F21966" w:rsidRDefault="00D46723" w:rsidP="00DC1947">
            <w:pPr>
              <w:pStyle w:val="ListParagraph"/>
              <w:widowControl/>
              <w:numPr>
                <w:ilvl w:val="3"/>
                <w:numId w:val="63"/>
              </w:numPr>
              <w:autoSpaceDE/>
              <w:autoSpaceDN/>
              <w:adjustRightInd/>
              <w:ind w:left="317" w:hanging="317"/>
              <w:rPr>
                <w:rFonts w:ascii="Arial" w:hAnsi="Arial" w:cs="Arial"/>
                <w:b/>
                <w:sz w:val="18"/>
                <w:szCs w:val="18"/>
              </w:rPr>
            </w:pPr>
            <w:r w:rsidRPr="00F21966">
              <w:rPr>
                <w:rFonts w:ascii="Arial" w:hAnsi="Arial" w:cs="Arial"/>
                <w:b/>
                <w:sz w:val="18"/>
                <w:szCs w:val="18"/>
              </w:rPr>
              <w:t>Training implemented in line with national and local needs.  Particular attention will be given to how the institutionalization of EFR measures will make an impact to meeting Rio Conventions objectives.  These would include but should not be restricted to the following:</w:t>
            </w:r>
          </w:p>
          <w:p w14:paraId="51EA0A25" w14:textId="1633DD98" w:rsidR="00D46723" w:rsidRPr="00D46723" w:rsidRDefault="00D46723" w:rsidP="00DC1947">
            <w:pPr>
              <w:pStyle w:val="ListParagraph"/>
              <w:widowControl/>
              <w:numPr>
                <w:ilvl w:val="0"/>
                <w:numId w:val="64"/>
              </w:numPr>
              <w:autoSpaceDE/>
              <w:autoSpaceDN/>
              <w:adjustRightInd/>
              <w:rPr>
                <w:rFonts w:ascii="Arial" w:hAnsi="Arial" w:cs="Arial"/>
                <w:sz w:val="18"/>
                <w:szCs w:val="18"/>
              </w:rPr>
            </w:pPr>
            <w:r w:rsidRPr="00D46723">
              <w:rPr>
                <w:rFonts w:ascii="Arial" w:hAnsi="Arial" w:cs="Arial"/>
                <w:sz w:val="18"/>
                <w:szCs w:val="18"/>
              </w:rPr>
              <w:t>Training to farmers and farmer associations on the reformed subsidy schemes, aimed at facilitating subsidy implementation</w:t>
            </w:r>
          </w:p>
          <w:p w14:paraId="1A940629" w14:textId="6157EEA8" w:rsidR="00D46723" w:rsidRPr="00D46723" w:rsidRDefault="00D46723" w:rsidP="00DC1947">
            <w:pPr>
              <w:pStyle w:val="ListParagraph"/>
              <w:widowControl/>
              <w:numPr>
                <w:ilvl w:val="0"/>
                <w:numId w:val="64"/>
              </w:numPr>
              <w:autoSpaceDE/>
              <w:autoSpaceDN/>
              <w:adjustRightInd/>
              <w:rPr>
                <w:rFonts w:ascii="Arial" w:hAnsi="Arial" w:cs="Arial"/>
                <w:sz w:val="18"/>
                <w:szCs w:val="18"/>
              </w:rPr>
            </w:pPr>
            <w:r w:rsidRPr="00D46723">
              <w:rPr>
                <w:rFonts w:ascii="Arial" w:hAnsi="Arial" w:cs="Arial"/>
                <w:sz w:val="18"/>
                <w:szCs w:val="18"/>
              </w:rPr>
              <w:t>Study tour regarding the implementation and actual environmental/economic effects of emission and effluent charges in selected foreign countries (e.g., Poland, Czech Republic or certain Western European countries)</w:t>
            </w:r>
          </w:p>
          <w:p w14:paraId="3BBD08C5" w14:textId="3ADF84B9" w:rsidR="00D46723" w:rsidRPr="00D46723" w:rsidRDefault="00D46723" w:rsidP="00DC1947">
            <w:pPr>
              <w:pStyle w:val="ListParagraph"/>
              <w:widowControl/>
              <w:numPr>
                <w:ilvl w:val="0"/>
                <w:numId w:val="64"/>
              </w:numPr>
              <w:autoSpaceDE/>
              <w:autoSpaceDN/>
              <w:adjustRightInd/>
              <w:rPr>
                <w:rFonts w:ascii="Arial" w:hAnsi="Arial" w:cs="Arial"/>
                <w:sz w:val="18"/>
                <w:szCs w:val="18"/>
              </w:rPr>
            </w:pPr>
            <w:r w:rsidRPr="00D46723">
              <w:rPr>
                <w:rFonts w:ascii="Arial" w:hAnsi="Arial" w:cs="Arial"/>
                <w:sz w:val="18"/>
                <w:szCs w:val="18"/>
              </w:rPr>
              <w:t>Training of the staff of the targeted financing institutions/mechanisms in introducing, managing and marketing new eco-technologies financing schemes</w:t>
            </w:r>
          </w:p>
          <w:p w14:paraId="78327274" w14:textId="7E049E89" w:rsidR="00D46723" w:rsidRPr="00F21966" w:rsidRDefault="00D46723" w:rsidP="00DC1947">
            <w:pPr>
              <w:pStyle w:val="ListParagraph"/>
              <w:widowControl/>
              <w:numPr>
                <w:ilvl w:val="0"/>
                <w:numId w:val="64"/>
              </w:numPr>
              <w:autoSpaceDE/>
              <w:autoSpaceDN/>
              <w:adjustRightInd/>
              <w:rPr>
                <w:rFonts w:ascii="Arial" w:hAnsi="Arial" w:cs="Arial"/>
                <w:sz w:val="18"/>
                <w:szCs w:val="18"/>
              </w:rPr>
            </w:pPr>
            <w:r w:rsidRPr="00D46723">
              <w:rPr>
                <w:rFonts w:ascii="Arial" w:hAnsi="Arial" w:cs="Arial"/>
                <w:sz w:val="18"/>
                <w:szCs w:val="18"/>
              </w:rPr>
              <w:t>Training to NEF/LEF staff on new management and operational procedures, as well as governance procedures</w:t>
            </w:r>
          </w:p>
          <w:p w14:paraId="3119AFE6" w14:textId="77777777" w:rsidR="00D46723" w:rsidRPr="00F21966" w:rsidRDefault="00D46723" w:rsidP="00DC1947">
            <w:pPr>
              <w:pStyle w:val="ListParagraph"/>
              <w:widowControl/>
              <w:numPr>
                <w:ilvl w:val="3"/>
                <w:numId w:val="63"/>
              </w:numPr>
              <w:autoSpaceDE/>
              <w:autoSpaceDN/>
              <w:adjustRightInd/>
              <w:ind w:left="317" w:hanging="317"/>
              <w:rPr>
                <w:rFonts w:ascii="Arial" w:hAnsi="Arial" w:cs="Arial"/>
                <w:b/>
                <w:sz w:val="18"/>
                <w:szCs w:val="18"/>
              </w:rPr>
            </w:pPr>
            <w:r w:rsidRPr="00F21966">
              <w:rPr>
                <w:rFonts w:ascii="Arial" w:hAnsi="Arial" w:cs="Arial"/>
                <w:b/>
                <w:sz w:val="18"/>
                <w:szCs w:val="18"/>
              </w:rPr>
              <w:t>A comprehensive information campaign will be designed and implemented. It will include:</w:t>
            </w:r>
          </w:p>
          <w:p w14:paraId="577D02B3" w14:textId="77777777" w:rsidR="00D46723" w:rsidRPr="00F21966" w:rsidRDefault="00D46723"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 xml:space="preserve">An interactive and multilingual website on EFR including relevant legislation and policy; </w:t>
            </w:r>
          </w:p>
          <w:p w14:paraId="356304F1" w14:textId="77777777" w:rsidR="00D46723" w:rsidRPr="00F21966" w:rsidRDefault="00D46723"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 xml:space="preserve">Reports and news from the GEF/UNDP EFR project; </w:t>
            </w:r>
          </w:p>
          <w:p w14:paraId="600FC0AE" w14:textId="77777777" w:rsidR="00D46723" w:rsidRPr="00F21966" w:rsidRDefault="00D46723"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 xml:space="preserve">An online library including EFR related reports from Moldova and abroad; </w:t>
            </w:r>
          </w:p>
          <w:p w14:paraId="2DF1A625" w14:textId="77777777" w:rsidR="00D46723" w:rsidRPr="00F21966" w:rsidRDefault="00D46723"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 xml:space="preserve">Information on the work of the Moldovan EFR Commission; </w:t>
            </w:r>
          </w:p>
          <w:p w14:paraId="1067E3B7" w14:textId="77777777" w:rsidR="00D46723" w:rsidRPr="00F21966" w:rsidRDefault="00D46723"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 xml:space="preserve">Semi-annual e-newsletters; </w:t>
            </w:r>
          </w:p>
          <w:p w14:paraId="1457859D" w14:textId="77777777" w:rsidR="00D46723" w:rsidRPr="00F21966" w:rsidRDefault="00D46723"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 xml:space="preserve">Additional content as defined and agreed during project implementation.  </w:t>
            </w:r>
          </w:p>
          <w:p w14:paraId="7CCF2AEA" w14:textId="4D2D882D" w:rsidR="00D46723" w:rsidRPr="00F21966" w:rsidRDefault="00F21966" w:rsidP="00DC1947">
            <w:pPr>
              <w:pStyle w:val="ListParagraph"/>
              <w:widowControl/>
              <w:numPr>
                <w:ilvl w:val="0"/>
                <w:numId w:val="65"/>
              </w:numPr>
              <w:autoSpaceDE/>
              <w:autoSpaceDN/>
              <w:adjustRightInd/>
              <w:rPr>
                <w:rFonts w:ascii="Arial" w:hAnsi="Arial" w:cs="Arial"/>
                <w:sz w:val="18"/>
                <w:szCs w:val="18"/>
              </w:rPr>
            </w:pPr>
            <w:r w:rsidRPr="00F21966">
              <w:rPr>
                <w:rFonts w:ascii="Arial" w:hAnsi="Arial" w:cs="Arial"/>
                <w:sz w:val="18"/>
                <w:szCs w:val="18"/>
              </w:rPr>
              <w:t>At</w:t>
            </w:r>
            <w:r w:rsidR="00D46723" w:rsidRPr="00F21966">
              <w:rPr>
                <w:rFonts w:ascii="Arial" w:hAnsi="Arial" w:cs="Arial"/>
                <w:sz w:val="18"/>
                <w:szCs w:val="18"/>
              </w:rPr>
              <w:t xml:space="preserve"> least two publications capturing the project’s results in the form of lessons learned and case studies.  </w:t>
            </w:r>
          </w:p>
          <w:p w14:paraId="2CAB4D7A" w14:textId="77777777" w:rsidR="00F21966" w:rsidRPr="00F21966" w:rsidRDefault="00F21966" w:rsidP="00DC1947">
            <w:pPr>
              <w:pStyle w:val="ListParagraph"/>
              <w:widowControl/>
              <w:numPr>
                <w:ilvl w:val="3"/>
                <w:numId w:val="63"/>
              </w:numPr>
              <w:autoSpaceDE/>
              <w:autoSpaceDN/>
              <w:adjustRightInd/>
              <w:ind w:left="317" w:hanging="317"/>
              <w:rPr>
                <w:rFonts w:ascii="Arial" w:hAnsi="Arial" w:cs="Arial"/>
                <w:b/>
                <w:sz w:val="18"/>
                <w:szCs w:val="18"/>
              </w:rPr>
            </w:pPr>
            <w:r w:rsidRPr="00F21966">
              <w:rPr>
                <w:rFonts w:ascii="Arial" w:hAnsi="Arial" w:cs="Arial"/>
                <w:b/>
                <w:sz w:val="18"/>
                <w:szCs w:val="18"/>
              </w:rPr>
              <w:t>A Moldovan EFR Commission will be established and will be meeting on a regular basis to provide guidance and political support to the EFR process</w:t>
            </w:r>
          </w:p>
          <w:p w14:paraId="2234E7F5" w14:textId="77777777" w:rsidR="00F21966" w:rsidRPr="00F21966" w:rsidRDefault="00F21966" w:rsidP="00DC1947">
            <w:pPr>
              <w:pStyle w:val="ListParagraph"/>
              <w:widowControl/>
              <w:numPr>
                <w:ilvl w:val="0"/>
                <w:numId w:val="66"/>
              </w:numPr>
              <w:autoSpaceDE/>
              <w:autoSpaceDN/>
              <w:adjustRightInd/>
              <w:rPr>
                <w:rFonts w:ascii="Arial" w:hAnsi="Arial" w:cs="Arial"/>
                <w:sz w:val="18"/>
                <w:szCs w:val="18"/>
              </w:rPr>
            </w:pPr>
            <w:r w:rsidRPr="00F21966">
              <w:rPr>
                <w:rFonts w:ascii="Arial" w:hAnsi="Arial" w:cs="Arial"/>
                <w:sz w:val="18"/>
                <w:szCs w:val="18"/>
              </w:rPr>
              <w:t>Appropriate institutional mandate and functions will be adopted for this Commission</w:t>
            </w:r>
          </w:p>
          <w:p w14:paraId="13F6C080" w14:textId="3212882F" w:rsidR="00D46723" w:rsidRPr="00F21966" w:rsidRDefault="00F21966" w:rsidP="00DC1947">
            <w:pPr>
              <w:pStyle w:val="ListParagraph"/>
              <w:widowControl/>
              <w:numPr>
                <w:ilvl w:val="0"/>
                <w:numId w:val="66"/>
              </w:numPr>
              <w:autoSpaceDE/>
              <w:autoSpaceDN/>
              <w:adjustRightInd/>
              <w:rPr>
                <w:rFonts w:ascii="Arial" w:hAnsi="Arial" w:cs="Arial"/>
                <w:sz w:val="18"/>
                <w:szCs w:val="18"/>
              </w:rPr>
            </w:pPr>
            <w:r w:rsidRPr="00F21966">
              <w:rPr>
                <w:rFonts w:ascii="Arial" w:hAnsi="Arial" w:cs="Arial"/>
                <w:sz w:val="18"/>
                <w:szCs w:val="18"/>
              </w:rPr>
              <w:t xml:space="preserve">A series of workshops and policy dialogues with international participation to discuss the various reform proposals and related relevant international experience will be implemented.  </w:t>
            </w:r>
          </w:p>
        </w:tc>
      </w:tr>
      <w:tr w:rsidR="00D46723" w14:paraId="58F467AB" w14:textId="77777777" w:rsidTr="00F21966">
        <w:tc>
          <w:tcPr>
            <w:tcW w:w="2518" w:type="dxa"/>
          </w:tcPr>
          <w:p w14:paraId="227C698C" w14:textId="77777777" w:rsidR="00B6274D" w:rsidRPr="00764643" w:rsidRDefault="00B6274D" w:rsidP="00B6274D">
            <w:pPr>
              <w:widowControl/>
              <w:tabs>
                <w:tab w:val="left" w:pos="-720"/>
              </w:tabs>
              <w:rPr>
                <w:rFonts w:ascii="Arial" w:hAnsi="Arial"/>
                <w:bCs/>
                <w:sz w:val="18"/>
                <w:szCs w:val="22"/>
              </w:rPr>
            </w:pPr>
            <w:r w:rsidRPr="00764643">
              <w:rPr>
                <w:rFonts w:ascii="Arial" w:hAnsi="Arial"/>
                <w:b/>
                <w:bCs/>
                <w:sz w:val="18"/>
                <w:szCs w:val="22"/>
              </w:rPr>
              <w:t xml:space="preserve">Outcome 3: </w:t>
            </w:r>
            <w:r w:rsidRPr="00764643">
              <w:rPr>
                <w:rFonts w:ascii="Arial" w:hAnsi="Arial"/>
                <w:bCs/>
                <w:sz w:val="18"/>
                <w:szCs w:val="22"/>
              </w:rPr>
              <w:t>Integration of EFR in local and central planning processes:</w:t>
            </w:r>
          </w:p>
          <w:p w14:paraId="677CA1B4" w14:textId="77777777" w:rsidR="00B6274D"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764643">
              <w:rPr>
                <w:rFonts w:ascii="Arial" w:hAnsi="Arial"/>
                <w:b/>
                <w:bCs/>
                <w:i/>
                <w:sz w:val="18"/>
                <w:szCs w:val="22"/>
              </w:rPr>
              <w:t>Output 3.1:</w:t>
            </w:r>
            <w:r w:rsidRPr="00764643">
              <w:rPr>
                <w:rFonts w:ascii="Arial" w:hAnsi="Arial"/>
                <w:bCs/>
                <w:sz w:val="18"/>
                <w:szCs w:val="22"/>
              </w:rPr>
              <w:t xml:space="preserve"> Sub-Component 3.1: EFR instruments integrated in the decentralization process</w:t>
            </w:r>
          </w:p>
          <w:p w14:paraId="446BB90D" w14:textId="33547698" w:rsidR="00B6274D" w:rsidRPr="00B6274D" w:rsidRDefault="00B6274D" w:rsidP="00B6274D">
            <w:pPr>
              <w:widowControl/>
              <w:numPr>
                <w:ilvl w:val="0"/>
                <w:numId w:val="12"/>
              </w:numPr>
              <w:tabs>
                <w:tab w:val="clear" w:pos="720"/>
                <w:tab w:val="left" w:pos="-720"/>
                <w:tab w:val="num" w:pos="284"/>
              </w:tabs>
              <w:ind w:left="284" w:hanging="142"/>
              <w:rPr>
                <w:rFonts w:ascii="Arial" w:hAnsi="Arial"/>
                <w:bCs/>
                <w:sz w:val="18"/>
                <w:szCs w:val="22"/>
              </w:rPr>
            </w:pPr>
            <w:r w:rsidRPr="00B6274D">
              <w:rPr>
                <w:rFonts w:ascii="Arial" w:hAnsi="Arial"/>
                <w:b/>
                <w:bCs/>
                <w:i/>
                <w:sz w:val="18"/>
                <w:szCs w:val="22"/>
              </w:rPr>
              <w:t xml:space="preserve">Output 3.2: </w:t>
            </w:r>
            <w:r w:rsidRPr="00B6274D">
              <w:rPr>
                <w:rFonts w:ascii="Arial" w:hAnsi="Arial"/>
                <w:bCs/>
                <w:sz w:val="18"/>
                <w:szCs w:val="22"/>
              </w:rPr>
              <w:t>Sub-Component 3.2: EFR instruments integrated into governmental budgeting and MTEF processes</w:t>
            </w:r>
          </w:p>
        </w:tc>
        <w:tc>
          <w:tcPr>
            <w:tcW w:w="2977" w:type="dxa"/>
          </w:tcPr>
          <w:p w14:paraId="4A818228" w14:textId="77777777" w:rsidR="00B6274D" w:rsidRPr="00442CB2"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1)</w:t>
            </w:r>
            <w:r>
              <w:rPr>
                <w:rFonts w:ascii="Arial" w:hAnsi="Arial"/>
                <w:b/>
                <w:bCs/>
                <w:i/>
                <w:sz w:val="18"/>
                <w:szCs w:val="22"/>
              </w:rPr>
              <w:t>:</w:t>
            </w:r>
          </w:p>
          <w:p w14:paraId="656B1956"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Yearly joint work plan between the UNDP/GEF EFR project and JILDP</w:t>
            </w:r>
          </w:p>
          <w:p w14:paraId="58B7EC28"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 xml:space="preserve">Assessment of environmental management priorities within the Local Development Strategies </w:t>
            </w:r>
          </w:p>
          <w:p w14:paraId="22EB944C"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Initiate costing study and financing strategy to implement Rio Conventions</w:t>
            </w:r>
          </w:p>
          <w:p w14:paraId="42A4F250" w14:textId="77777777" w:rsidR="00B6274D" w:rsidRPr="00442CB2"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2)</w:t>
            </w:r>
            <w:r>
              <w:rPr>
                <w:rFonts w:ascii="Arial" w:hAnsi="Arial"/>
                <w:b/>
                <w:bCs/>
                <w:i/>
                <w:sz w:val="18"/>
                <w:szCs w:val="22"/>
              </w:rPr>
              <w:t>:</w:t>
            </w:r>
          </w:p>
          <w:p w14:paraId="4CF0C493"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Identification of fiscal reform for local environmental taxes that can be integrated in the PBB system</w:t>
            </w:r>
          </w:p>
          <w:p w14:paraId="4BB20941" w14:textId="77777777" w:rsidR="00B6274D" w:rsidRPr="00442CB2" w:rsidRDefault="00B6274D" w:rsidP="00DC1947">
            <w:pPr>
              <w:pStyle w:val="ListParagraph"/>
              <w:widowControl/>
              <w:numPr>
                <w:ilvl w:val="0"/>
                <w:numId w:val="44"/>
              </w:numPr>
              <w:tabs>
                <w:tab w:val="left" w:pos="-720"/>
              </w:tabs>
              <w:ind w:left="309" w:hanging="141"/>
              <w:rPr>
                <w:rFonts w:ascii="Arial" w:hAnsi="Arial"/>
                <w:bCs/>
                <w:sz w:val="18"/>
                <w:szCs w:val="22"/>
              </w:rPr>
            </w:pPr>
            <w:r w:rsidRPr="00442CB2">
              <w:rPr>
                <w:rFonts w:ascii="Arial" w:hAnsi="Arial"/>
                <w:bCs/>
                <w:sz w:val="18"/>
                <w:szCs w:val="22"/>
              </w:rPr>
              <w:t>Complete costing study and financing strategy to implement Rio Conventions</w:t>
            </w:r>
          </w:p>
          <w:p w14:paraId="0819D1E4" w14:textId="77777777" w:rsidR="00B6274D" w:rsidRPr="00442CB2" w:rsidRDefault="00B6274D" w:rsidP="00B6274D">
            <w:pPr>
              <w:widowControl/>
              <w:numPr>
                <w:ilvl w:val="0"/>
                <w:numId w:val="12"/>
              </w:numPr>
              <w:tabs>
                <w:tab w:val="clear" w:pos="720"/>
                <w:tab w:val="left" w:pos="-720"/>
                <w:tab w:val="num" w:pos="168"/>
              </w:tabs>
              <w:ind w:left="168" w:hanging="142"/>
              <w:rPr>
                <w:rFonts w:ascii="Arial" w:hAnsi="Arial"/>
                <w:b/>
                <w:bCs/>
                <w:i/>
                <w:sz w:val="18"/>
                <w:szCs w:val="22"/>
              </w:rPr>
            </w:pPr>
            <w:r w:rsidRPr="00442CB2">
              <w:rPr>
                <w:rFonts w:ascii="Arial" w:hAnsi="Arial"/>
                <w:b/>
                <w:bCs/>
                <w:i/>
                <w:sz w:val="18"/>
                <w:szCs w:val="22"/>
              </w:rPr>
              <w:t>Targets (year 3)</w:t>
            </w:r>
            <w:r>
              <w:rPr>
                <w:rFonts w:ascii="Arial" w:hAnsi="Arial"/>
                <w:b/>
                <w:bCs/>
                <w:i/>
                <w:sz w:val="18"/>
                <w:szCs w:val="22"/>
              </w:rPr>
              <w:t>:</w:t>
            </w:r>
          </w:p>
          <w:p w14:paraId="5103DD39" w14:textId="77777777" w:rsidR="00B6274D" w:rsidRDefault="00B6274D" w:rsidP="00DC1947">
            <w:pPr>
              <w:pStyle w:val="ListParagraph"/>
              <w:widowControl/>
              <w:numPr>
                <w:ilvl w:val="0"/>
                <w:numId w:val="44"/>
              </w:numPr>
              <w:tabs>
                <w:tab w:val="left" w:pos="-720"/>
              </w:tabs>
              <w:ind w:left="309" w:hanging="141"/>
              <w:rPr>
                <w:rFonts w:ascii="Arial" w:hAnsi="Arial"/>
                <w:bCs/>
                <w:sz w:val="18"/>
                <w:szCs w:val="22"/>
              </w:rPr>
            </w:pPr>
            <w:r>
              <w:rPr>
                <w:rFonts w:ascii="Arial" w:hAnsi="Arial"/>
                <w:bCs/>
                <w:sz w:val="18"/>
                <w:szCs w:val="22"/>
              </w:rPr>
              <w:t>I</w:t>
            </w:r>
            <w:r w:rsidRPr="00442CB2">
              <w:rPr>
                <w:rFonts w:ascii="Arial" w:hAnsi="Arial"/>
                <w:bCs/>
                <w:sz w:val="18"/>
                <w:szCs w:val="22"/>
              </w:rPr>
              <w:t>dentification of fiscal reform for local environmental taxes that can be integrated in the PBB system</w:t>
            </w:r>
          </w:p>
          <w:p w14:paraId="48EFD40A" w14:textId="1C4AA6A8" w:rsidR="00B6274D" w:rsidRPr="00B6274D" w:rsidRDefault="00B6274D" w:rsidP="00DC1947">
            <w:pPr>
              <w:pStyle w:val="ListParagraph"/>
              <w:widowControl/>
              <w:numPr>
                <w:ilvl w:val="0"/>
                <w:numId w:val="44"/>
              </w:numPr>
              <w:tabs>
                <w:tab w:val="left" w:pos="-720"/>
              </w:tabs>
              <w:ind w:left="309" w:hanging="141"/>
              <w:rPr>
                <w:rFonts w:ascii="Arial" w:hAnsi="Arial"/>
                <w:bCs/>
                <w:sz w:val="18"/>
                <w:szCs w:val="22"/>
              </w:rPr>
            </w:pPr>
            <w:r w:rsidRPr="00B6274D">
              <w:rPr>
                <w:rFonts w:ascii="Arial" w:hAnsi="Arial"/>
                <w:bCs/>
                <w:sz w:val="18"/>
                <w:szCs w:val="22"/>
              </w:rPr>
              <w:t>Comparative analysis of past MTEF with new and improved MTEF prepared by the end of the project to meet Rio Convention targets</w:t>
            </w:r>
          </w:p>
        </w:tc>
        <w:tc>
          <w:tcPr>
            <w:tcW w:w="9273" w:type="dxa"/>
          </w:tcPr>
          <w:p w14:paraId="3DF9FF49" w14:textId="0EE8A260" w:rsidR="00F21966" w:rsidRPr="00F21966" w:rsidRDefault="00F21966" w:rsidP="00DC1947">
            <w:pPr>
              <w:pStyle w:val="ListParagraph"/>
              <w:widowControl/>
              <w:numPr>
                <w:ilvl w:val="3"/>
                <w:numId w:val="67"/>
              </w:numPr>
              <w:autoSpaceDE/>
              <w:autoSpaceDN/>
              <w:adjustRightInd/>
              <w:ind w:left="317" w:hanging="317"/>
              <w:rPr>
                <w:rFonts w:ascii="Arial" w:hAnsi="Arial" w:cs="Arial"/>
                <w:sz w:val="18"/>
                <w:szCs w:val="18"/>
              </w:rPr>
            </w:pPr>
            <w:r w:rsidRPr="00F21966">
              <w:rPr>
                <w:rFonts w:ascii="Arial" w:hAnsi="Arial" w:cs="Arial"/>
                <w:b/>
                <w:sz w:val="18"/>
                <w:szCs w:val="18"/>
              </w:rPr>
              <w:t>Establishment of a sub-group under the working Group on Financial Decentralization</w:t>
            </w:r>
            <w:r w:rsidRPr="00F21966">
              <w:rPr>
                <w:rFonts w:ascii="Arial" w:hAnsi="Arial" w:cs="Arial"/>
                <w:sz w:val="18"/>
                <w:szCs w:val="18"/>
              </w:rPr>
              <w:t xml:space="preserve"> for the identification of sectoral strategies for collection and distribution of taxes at decentralized level to meet global environmental objectives</w:t>
            </w:r>
          </w:p>
          <w:p w14:paraId="3AC373F4" w14:textId="52EE5BEE" w:rsidR="00F21966" w:rsidRPr="00F21966" w:rsidRDefault="00F21966" w:rsidP="00DC1947">
            <w:pPr>
              <w:pStyle w:val="ListParagraph"/>
              <w:widowControl/>
              <w:numPr>
                <w:ilvl w:val="3"/>
                <w:numId w:val="67"/>
              </w:numPr>
              <w:autoSpaceDE/>
              <w:autoSpaceDN/>
              <w:adjustRightInd/>
              <w:ind w:left="317" w:hanging="317"/>
              <w:rPr>
                <w:rFonts w:ascii="Arial" w:hAnsi="Arial" w:cs="Arial"/>
                <w:sz w:val="18"/>
                <w:szCs w:val="18"/>
              </w:rPr>
            </w:pPr>
            <w:r w:rsidRPr="00F21966">
              <w:rPr>
                <w:rFonts w:ascii="Arial" w:hAnsi="Arial" w:cs="Arial"/>
                <w:b/>
                <w:sz w:val="18"/>
                <w:szCs w:val="18"/>
              </w:rPr>
              <w:t>Identification of global environmental priorities</w:t>
            </w:r>
            <w:r w:rsidRPr="00F21966">
              <w:rPr>
                <w:rFonts w:ascii="Arial" w:hAnsi="Arial" w:cs="Arial"/>
                <w:sz w:val="18"/>
                <w:szCs w:val="18"/>
              </w:rPr>
              <w:t xml:space="preserve"> within the local development strategies such as natural disaster management and green insurance, as well as strategies consistent with LECRDS</w:t>
            </w:r>
          </w:p>
          <w:p w14:paraId="774428B6" w14:textId="1D49940D" w:rsidR="00F21966" w:rsidRPr="00F21966" w:rsidRDefault="00F21966" w:rsidP="00DC1947">
            <w:pPr>
              <w:pStyle w:val="ListParagraph"/>
              <w:widowControl/>
              <w:numPr>
                <w:ilvl w:val="3"/>
                <w:numId w:val="67"/>
              </w:numPr>
              <w:autoSpaceDE/>
              <w:autoSpaceDN/>
              <w:adjustRightInd/>
              <w:ind w:left="317" w:hanging="317"/>
              <w:rPr>
                <w:rFonts w:ascii="Arial" w:hAnsi="Arial" w:cs="Arial"/>
                <w:sz w:val="18"/>
                <w:szCs w:val="18"/>
              </w:rPr>
            </w:pPr>
            <w:r w:rsidRPr="00F21966">
              <w:rPr>
                <w:rFonts w:ascii="Arial" w:hAnsi="Arial" w:cs="Arial"/>
                <w:b/>
                <w:sz w:val="18"/>
                <w:szCs w:val="18"/>
              </w:rPr>
              <w:t>Integrating global and local environmental concerns</w:t>
            </w:r>
            <w:r w:rsidRPr="00F21966">
              <w:rPr>
                <w:rFonts w:ascii="Arial" w:hAnsi="Arial" w:cs="Arial"/>
                <w:sz w:val="18"/>
                <w:szCs w:val="18"/>
              </w:rPr>
              <w:t xml:space="preserve"> in the local planning process by identifying and implementing reform in potential fiscal instruments at the local level such as natural resources extraction, land tax, and other local taxes and fees.  These activities will be closely linked to the process of performance based budgeting underway in the five pilot towns in Moldova within the JILDP  </w:t>
            </w:r>
          </w:p>
          <w:p w14:paraId="2DE60333" w14:textId="01FA7C5C" w:rsidR="00F21966" w:rsidRPr="00F21966" w:rsidRDefault="00F21966" w:rsidP="00DC1947">
            <w:pPr>
              <w:pStyle w:val="ListParagraph"/>
              <w:widowControl/>
              <w:numPr>
                <w:ilvl w:val="3"/>
                <w:numId w:val="67"/>
              </w:numPr>
              <w:autoSpaceDE/>
              <w:autoSpaceDN/>
              <w:adjustRightInd/>
              <w:ind w:left="317" w:hanging="317"/>
              <w:rPr>
                <w:rFonts w:ascii="Arial" w:hAnsi="Arial" w:cs="Arial"/>
                <w:sz w:val="18"/>
                <w:szCs w:val="18"/>
              </w:rPr>
            </w:pPr>
            <w:r w:rsidRPr="00F21966">
              <w:rPr>
                <w:rFonts w:ascii="Arial" w:hAnsi="Arial" w:cs="Arial"/>
                <w:b/>
                <w:sz w:val="18"/>
                <w:szCs w:val="18"/>
              </w:rPr>
              <w:t>Training on green budgeting and planning</w:t>
            </w:r>
            <w:r w:rsidRPr="00F21966">
              <w:rPr>
                <w:rFonts w:ascii="Arial" w:hAnsi="Arial" w:cs="Arial"/>
                <w:sz w:val="18"/>
                <w:szCs w:val="18"/>
              </w:rPr>
              <w:t xml:space="preserve"> in line with OECD guidelines </w:t>
            </w:r>
            <w:r>
              <w:rPr>
                <w:rFonts w:ascii="Arial" w:hAnsi="Arial" w:cs="Arial"/>
                <w:sz w:val="18"/>
                <w:szCs w:val="18"/>
              </w:rPr>
              <w:t>and good practices to</w:t>
            </w:r>
            <w:r w:rsidRPr="00F21966">
              <w:rPr>
                <w:rFonts w:ascii="Arial" w:hAnsi="Arial" w:cs="Arial"/>
                <w:sz w:val="18"/>
                <w:szCs w:val="18"/>
              </w:rPr>
              <w:t xml:space="preserve"> integrate global environmental priorities in Moldova's Medium-Term Expenditure Framework (MTEF).</w:t>
            </w:r>
          </w:p>
          <w:p w14:paraId="6C158208" w14:textId="344DA55E" w:rsidR="00F21966" w:rsidRPr="00F21966" w:rsidRDefault="00F21966" w:rsidP="00DC1947">
            <w:pPr>
              <w:pStyle w:val="ListParagraph"/>
              <w:widowControl/>
              <w:numPr>
                <w:ilvl w:val="3"/>
                <w:numId w:val="67"/>
              </w:numPr>
              <w:autoSpaceDE/>
              <w:autoSpaceDN/>
              <w:adjustRightInd/>
              <w:ind w:left="317" w:hanging="317"/>
              <w:rPr>
                <w:rFonts w:ascii="Arial" w:hAnsi="Arial" w:cs="Arial"/>
                <w:sz w:val="18"/>
                <w:szCs w:val="18"/>
              </w:rPr>
            </w:pPr>
            <w:r w:rsidRPr="00F21966">
              <w:rPr>
                <w:rFonts w:ascii="Arial" w:hAnsi="Arial" w:cs="Arial"/>
                <w:b/>
                <w:sz w:val="18"/>
                <w:szCs w:val="18"/>
              </w:rPr>
              <w:t>Support the MOE in elaborating their budgets and MTEF submissions</w:t>
            </w:r>
            <w:r w:rsidRPr="00F21966">
              <w:rPr>
                <w:rFonts w:ascii="Arial" w:hAnsi="Arial" w:cs="Arial"/>
                <w:sz w:val="18"/>
                <w:szCs w:val="18"/>
              </w:rPr>
              <w:t xml:space="preserve"> and evalu</w:t>
            </w:r>
            <w:r>
              <w:rPr>
                <w:rFonts w:ascii="Arial" w:hAnsi="Arial" w:cs="Arial"/>
                <w:sz w:val="18"/>
                <w:szCs w:val="18"/>
              </w:rPr>
              <w:t>ate the extent to which the MO</w:t>
            </w:r>
            <w:r w:rsidRPr="00F21966">
              <w:rPr>
                <w:rFonts w:ascii="Arial" w:hAnsi="Arial" w:cs="Arial"/>
                <w:sz w:val="18"/>
                <w:szCs w:val="18"/>
              </w:rPr>
              <w:t>E's budgeting process uses EFRs to better meet targeted environmental objectives, with particular emphasis on meeting Rio Convention objectives</w:t>
            </w:r>
          </w:p>
          <w:p w14:paraId="0E54740A" w14:textId="6FF57992" w:rsidR="00B6274D" w:rsidRPr="00F21966" w:rsidRDefault="00F21966" w:rsidP="00DC1947">
            <w:pPr>
              <w:pStyle w:val="ListParagraph"/>
              <w:widowControl/>
              <w:numPr>
                <w:ilvl w:val="3"/>
                <w:numId w:val="67"/>
              </w:numPr>
              <w:autoSpaceDE/>
              <w:autoSpaceDN/>
              <w:adjustRightInd/>
              <w:ind w:left="317" w:hanging="317"/>
              <w:rPr>
                <w:rFonts w:ascii="Arial" w:hAnsi="Arial" w:cs="Arial"/>
                <w:sz w:val="18"/>
                <w:szCs w:val="18"/>
              </w:rPr>
            </w:pPr>
            <w:r w:rsidRPr="00F21966">
              <w:rPr>
                <w:rFonts w:ascii="Arial" w:hAnsi="Arial" w:cs="Arial"/>
                <w:b/>
                <w:sz w:val="18"/>
                <w:szCs w:val="18"/>
              </w:rPr>
              <w:t>Update existing assessments and financing strategies</w:t>
            </w:r>
            <w:r w:rsidRPr="00F21966">
              <w:rPr>
                <w:rFonts w:ascii="Arial" w:hAnsi="Arial" w:cs="Arial"/>
                <w:sz w:val="18"/>
                <w:szCs w:val="18"/>
              </w:rPr>
              <w:t xml:space="preserve"> wi</w:t>
            </w:r>
            <w:r>
              <w:rPr>
                <w:rFonts w:ascii="Arial" w:hAnsi="Arial" w:cs="Arial"/>
                <w:sz w:val="18"/>
                <w:szCs w:val="18"/>
              </w:rPr>
              <w:t xml:space="preserve">thin the framework of the MTEF </w:t>
            </w:r>
            <w:r w:rsidRPr="00F21966">
              <w:rPr>
                <w:rFonts w:ascii="Arial" w:hAnsi="Arial" w:cs="Arial"/>
                <w:sz w:val="18"/>
                <w:szCs w:val="18"/>
              </w:rPr>
              <w:t>to implement the Rio Conventions, including the identification of realistic sources of funds through EFRs</w:t>
            </w:r>
          </w:p>
        </w:tc>
      </w:tr>
    </w:tbl>
    <w:p w14:paraId="794B0FB9" w14:textId="64AAFE3F" w:rsidR="00BC05F1" w:rsidRPr="00F21966" w:rsidRDefault="00F21966" w:rsidP="000458AF">
      <w:pPr>
        <w:spacing w:after="120"/>
        <w:rPr>
          <w:bCs/>
          <w:i/>
          <w:sz w:val="18"/>
          <w:szCs w:val="18"/>
        </w:rPr>
        <w:sectPr w:rsidR="00BC05F1" w:rsidRPr="00F21966" w:rsidSect="008800A4">
          <w:pgSz w:w="16820" w:h="11900" w:orient="landscape"/>
          <w:pgMar w:top="1134" w:right="1134" w:bottom="1134" w:left="1134" w:header="1134" w:footer="851" w:gutter="0"/>
          <w:cols w:space="720"/>
          <w:noEndnote/>
        </w:sectPr>
      </w:pPr>
      <w:r w:rsidRPr="00F21966">
        <w:rPr>
          <w:bCs/>
          <w:i/>
          <w:sz w:val="18"/>
          <w:szCs w:val="18"/>
        </w:rPr>
        <w:t>Source: Project Document</w:t>
      </w:r>
    </w:p>
    <w:p w14:paraId="22235C2F" w14:textId="697D72F5" w:rsidR="00140CF8" w:rsidRPr="00FB6D4E" w:rsidRDefault="008800A4" w:rsidP="00140CF8">
      <w:pPr>
        <w:pStyle w:val="Heading1"/>
        <w:spacing w:before="120" w:after="120"/>
        <w:rPr>
          <w:sz w:val="24"/>
          <w:szCs w:val="24"/>
        </w:rPr>
      </w:pPr>
      <w:bookmarkStart w:id="164" w:name="_Toc308103277"/>
      <w:r w:rsidRPr="00343A42">
        <w:rPr>
          <w:sz w:val="24"/>
          <w:szCs w:val="24"/>
        </w:rPr>
        <w:t>Annex 9</w:t>
      </w:r>
      <w:r w:rsidR="00140CF8" w:rsidRPr="00343A42">
        <w:rPr>
          <w:sz w:val="24"/>
          <w:szCs w:val="24"/>
        </w:rPr>
        <w:t xml:space="preserve">:  </w:t>
      </w:r>
      <w:r w:rsidR="00F032D9" w:rsidRPr="00343A42">
        <w:rPr>
          <w:sz w:val="24"/>
          <w:szCs w:val="24"/>
        </w:rPr>
        <w:t xml:space="preserve">Summary of </w:t>
      </w:r>
      <w:r w:rsidR="00B924D2" w:rsidRPr="00343A42">
        <w:rPr>
          <w:sz w:val="24"/>
          <w:szCs w:val="24"/>
        </w:rPr>
        <w:t>Grants Given to 6 Towns</w:t>
      </w:r>
      <w:bookmarkEnd w:id="164"/>
    </w:p>
    <w:p w14:paraId="41944B5E" w14:textId="77777777" w:rsidR="00224AD0" w:rsidRPr="00343A42" w:rsidRDefault="00224AD0">
      <w:pPr>
        <w:rPr>
          <w:b/>
          <w:bCs/>
          <w:sz w:val="22"/>
          <w:szCs w:val="22"/>
        </w:rPr>
      </w:pPr>
    </w:p>
    <w:tbl>
      <w:tblPr>
        <w:tblStyle w:val="TableGrid"/>
        <w:tblW w:w="0" w:type="auto"/>
        <w:tblLayout w:type="fixed"/>
        <w:tblLook w:val="04A0" w:firstRow="1" w:lastRow="0" w:firstColumn="1" w:lastColumn="0" w:noHBand="0" w:noVBand="1"/>
      </w:tblPr>
      <w:tblGrid>
        <w:gridCol w:w="1134"/>
        <w:gridCol w:w="2376"/>
        <w:gridCol w:w="6129"/>
      </w:tblGrid>
      <w:tr w:rsidR="007E4CF6" w:rsidRPr="007E4CF6" w14:paraId="46291660" w14:textId="77777777" w:rsidTr="00B336FD">
        <w:trPr>
          <w:trHeight w:val="374"/>
        </w:trPr>
        <w:tc>
          <w:tcPr>
            <w:tcW w:w="1134" w:type="dxa"/>
            <w:shd w:val="clear" w:color="auto" w:fill="D9D9D9"/>
            <w:vAlign w:val="center"/>
          </w:tcPr>
          <w:p w14:paraId="0E920B2D" w14:textId="77777777" w:rsidR="007E4CF6" w:rsidRPr="007E4CF6" w:rsidRDefault="007E4CF6" w:rsidP="007E4CF6">
            <w:pPr>
              <w:jc w:val="center"/>
              <w:rPr>
                <w:rFonts w:ascii="Arial" w:hAnsi="Arial" w:cs="Arial"/>
                <w:b/>
                <w:sz w:val="18"/>
                <w:szCs w:val="18"/>
              </w:rPr>
            </w:pPr>
            <w:r w:rsidRPr="007E4CF6">
              <w:rPr>
                <w:rFonts w:ascii="Arial" w:hAnsi="Arial" w:cs="Arial"/>
                <w:b/>
                <w:sz w:val="18"/>
                <w:szCs w:val="18"/>
              </w:rPr>
              <w:t>Town</w:t>
            </w:r>
          </w:p>
        </w:tc>
        <w:tc>
          <w:tcPr>
            <w:tcW w:w="2376" w:type="dxa"/>
            <w:shd w:val="clear" w:color="auto" w:fill="D9D9D9"/>
            <w:vAlign w:val="center"/>
          </w:tcPr>
          <w:p w14:paraId="13C387FB" w14:textId="77777777" w:rsidR="007E4CF6" w:rsidRPr="007E4CF6" w:rsidRDefault="007E4CF6" w:rsidP="007E4CF6">
            <w:pPr>
              <w:jc w:val="center"/>
              <w:rPr>
                <w:rFonts w:ascii="Arial" w:hAnsi="Arial" w:cs="Arial"/>
                <w:b/>
                <w:sz w:val="18"/>
                <w:szCs w:val="18"/>
              </w:rPr>
            </w:pPr>
            <w:r w:rsidRPr="007E4CF6">
              <w:rPr>
                <w:rFonts w:ascii="Arial" w:hAnsi="Arial" w:cs="Arial"/>
                <w:b/>
                <w:sz w:val="18"/>
                <w:szCs w:val="18"/>
              </w:rPr>
              <w:t>Project Title</w:t>
            </w:r>
          </w:p>
        </w:tc>
        <w:tc>
          <w:tcPr>
            <w:tcW w:w="6129" w:type="dxa"/>
            <w:shd w:val="clear" w:color="auto" w:fill="D9D9D9"/>
            <w:vAlign w:val="center"/>
          </w:tcPr>
          <w:p w14:paraId="4F44585D" w14:textId="77777777" w:rsidR="007E4CF6" w:rsidRPr="007E4CF6" w:rsidRDefault="007E4CF6" w:rsidP="007E4CF6">
            <w:pPr>
              <w:jc w:val="center"/>
              <w:rPr>
                <w:rFonts w:ascii="Arial" w:hAnsi="Arial" w:cs="Arial"/>
                <w:b/>
                <w:sz w:val="18"/>
                <w:szCs w:val="18"/>
              </w:rPr>
            </w:pPr>
            <w:r w:rsidRPr="007E4CF6">
              <w:rPr>
                <w:rFonts w:ascii="Arial" w:hAnsi="Arial" w:cs="Arial"/>
                <w:b/>
                <w:sz w:val="18"/>
                <w:szCs w:val="18"/>
              </w:rPr>
              <w:t>Description</w:t>
            </w:r>
          </w:p>
        </w:tc>
      </w:tr>
      <w:tr w:rsidR="007E4CF6" w:rsidRPr="007E4CF6" w14:paraId="4B227DB5" w14:textId="77777777" w:rsidTr="00B336FD">
        <w:tc>
          <w:tcPr>
            <w:tcW w:w="1134" w:type="dxa"/>
            <w:vAlign w:val="center"/>
          </w:tcPr>
          <w:p w14:paraId="55FF1E6F" w14:textId="77777777" w:rsidR="007E4CF6" w:rsidRPr="007E4CF6" w:rsidRDefault="007E4CF6" w:rsidP="00B336FD">
            <w:pPr>
              <w:jc w:val="center"/>
              <w:rPr>
                <w:rFonts w:ascii="Arial" w:hAnsi="Arial" w:cs="Arial"/>
                <w:b/>
                <w:sz w:val="18"/>
                <w:szCs w:val="18"/>
              </w:rPr>
            </w:pPr>
            <w:r w:rsidRPr="007E4CF6">
              <w:rPr>
                <w:rFonts w:ascii="Arial" w:hAnsi="Arial" w:cs="Arial"/>
                <w:b/>
                <w:sz w:val="18"/>
                <w:szCs w:val="18"/>
              </w:rPr>
              <w:t>Ungheni</w:t>
            </w:r>
          </w:p>
        </w:tc>
        <w:tc>
          <w:tcPr>
            <w:tcW w:w="2376" w:type="dxa"/>
            <w:vAlign w:val="center"/>
          </w:tcPr>
          <w:p w14:paraId="373F6C94" w14:textId="77777777" w:rsidR="007E4CF6" w:rsidRPr="007E4CF6" w:rsidRDefault="007E4CF6" w:rsidP="00B336FD">
            <w:pPr>
              <w:rPr>
                <w:rFonts w:ascii="Arial" w:hAnsi="Arial" w:cs="Arial"/>
                <w:sz w:val="18"/>
                <w:szCs w:val="18"/>
              </w:rPr>
            </w:pPr>
            <w:r w:rsidRPr="007E4CF6">
              <w:rPr>
                <w:rFonts w:ascii="Arial" w:hAnsi="Arial" w:cs="Arial"/>
                <w:sz w:val="18"/>
                <w:szCs w:val="18"/>
              </w:rPr>
              <w:t>Arrangement of the Youth Square in Ungheni Town</w:t>
            </w:r>
          </w:p>
        </w:tc>
        <w:tc>
          <w:tcPr>
            <w:tcW w:w="6129" w:type="dxa"/>
          </w:tcPr>
          <w:p w14:paraId="173544F5" w14:textId="77777777" w:rsidR="007E4CF6" w:rsidRPr="007E4CF6" w:rsidRDefault="007E4CF6" w:rsidP="00F654DF">
            <w:pPr>
              <w:jc w:val="both"/>
              <w:rPr>
                <w:rFonts w:ascii="Arial" w:hAnsi="Arial" w:cs="Arial"/>
                <w:sz w:val="18"/>
                <w:szCs w:val="18"/>
              </w:rPr>
            </w:pPr>
            <w:r w:rsidRPr="007E4CF6">
              <w:rPr>
                <w:rFonts w:ascii="Arial" w:hAnsi="Arial" w:cs="Arial"/>
                <w:sz w:val="18"/>
                <w:szCs w:val="18"/>
              </w:rPr>
              <w:t xml:space="preserve">Arrangement of green spaces and modernization of the infrastructure of the Youth Square by improving leisure/amusement conditions for the residents of Ungheni town. </w:t>
            </w:r>
          </w:p>
          <w:p w14:paraId="4D83CB85" w14:textId="77777777" w:rsidR="00B336FD" w:rsidRDefault="00B336FD" w:rsidP="00F654DF">
            <w:pPr>
              <w:jc w:val="both"/>
              <w:rPr>
                <w:rFonts w:ascii="Arial" w:hAnsi="Arial" w:cs="Arial"/>
                <w:sz w:val="18"/>
                <w:szCs w:val="18"/>
              </w:rPr>
            </w:pPr>
          </w:p>
          <w:p w14:paraId="71A320A6" w14:textId="6A4B172F" w:rsidR="007E4CF6" w:rsidRPr="007E4CF6" w:rsidRDefault="00B336FD" w:rsidP="00F654DF">
            <w:pPr>
              <w:jc w:val="both"/>
              <w:rPr>
                <w:rFonts w:ascii="Arial" w:hAnsi="Arial" w:cs="Arial"/>
                <w:sz w:val="18"/>
                <w:szCs w:val="18"/>
              </w:rPr>
            </w:pPr>
            <w:r w:rsidRPr="00B336FD">
              <w:rPr>
                <w:rFonts w:ascii="Arial" w:hAnsi="Arial" w:cs="Arial"/>
                <w:b/>
                <w:sz w:val="18"/>
                <w:szCs w:val="18"/>
              </w:rPr>
              <w:t>Budget</w:t>
            </w:r>
            <w:r>
              <w:rPr>
                <w:rFonts w:ascii="Arial" w:hAnsi="Arial" w:cs="Arial"/>
                <w:sz w:val="18"/>
                <w:szCs w:val="18"/>
              </w:rPr>
              <w:t>: 328,460</w:t>
            </w:r>
            <w:r w:rsidR="007E4CF6" w:rsidRPr="007E4CF6">
              <w:rPr>
                <w:rFonts w:ascii="Arial" w:hAnsi="Arial" w:cs="Arial"/>
                <w:sz w:val="18"/>
                <w:szCs w:val="18"/>
              </w:rPr>
              <w:t xml:space="preserve"> MDL</w:t>
            </w:r>
          </w:p>
          <w:p w14:paraId="1A28829C" w14:textId="760904F5" w:rsidR="007E4CF6" w:rsidRPr="007E4CF6" w:rsidRDefault="007E4CF6" w:rsidP="00F654DF">
            <w:pPr>
              <w:jc w:val="both"/>
              <w:rPr>
                <w:rFonts w:ascii="Arial" w:hAnsi="Arial" w:cs="Arial"/>
                <w:sz w:val="18"/>
                <w:szCs w:val="18"/>
              </w:rPr>
            </w:pPr>
            <w:r w:rsidRPr="007E4CF6">
              <w:rPr>
                <w:rFonts w:ascii="Arial" w:hAnsi="Arial" w:cs="Arial"/>
                <w:sz w:val="18"/>
                <w:szCs w:val="18"/>
              </w:rPr>
              <w:t>EF</w:t>
            </w:r>
            <w:r w:rsidR="00B336FD">
              <w:rPr>
                <w:rFonts w:ascii="Arial" w:hAnsi="Arial" w:cs="Arial"/>
                <w:sz w:val="18"/>
                <w:szCs w:val="18"/>
              </w:rPr>
              <w:t>RP/UNDP Contribution: 160,000</w:t>
            </w:r>
          </w:p>
          <w:p w14:paraId="1F27495B" w14:textId="4C90EBBF" w:rsidR="007E4CF6" w:rsidRPr="007E4CF6" w:rsidRDefault="00B336FD" w:rsidP="00F654DF">
            <w:pPr>
              <w:jc w:val="both"/>
              <w:rPr>
                <w:rFonts w:ascii="Arial" w:hAnsi="Arial" w:cs="Arial"/>
                <w:sz w:val="18"/>
                <w:szCs w:val="18"/>
              </w:rPr>
            </w:pPr>
            <w:r>
              <w:rPr>
                <w:rFonts w:ascii="Arial" w:hAnsi="Arial" w:cs="Arial"/>
                <w:sz w:val="18"/>
                <w:szCs w:val="18"/>
              </w:rPr>
              <w:t>Community Contribution: 167,960</w:t>
            </w:r>
          </w:p>
        </w:tc>
      </w:tr>
      <w:tr w:rsidR="007E4CF6" w:rsidRPr="007E4CF6" w14:paraId="2761A66E" w14:textId="77777777" w:rsidTr="00B336FD">
        <w:tc>
          <w:tcPr>
            <w:tcW w:w="1134" w:type="dxa"/>
            <w:vAlign w:val="center"/>
          </w:tcPr>
          <w:p w14:paraId="1F668E1C" w14:textId="77777777" w:rsidR="007E4CF6" w:rsidRPr="007E4CF6" w:rsidRDefault="007E4CF6" w:rsidP="00B336FD">
            <w:pPr>
              <w:jc w:val="center"/>
              <w:rPr>
                <w:rFonts w:ascii="Arial" w:hAnsi="Arial" w:cs="Arial"/>
                <w:b/>
                <w:sz w:val="18"/>
                <w:szCs w:val="18"/>
              </w:rPr>
            </w:pPr>
            <w:r w:rsidRPr="007E4CF6">
              <w:rPr>
                <w:rFonts w:ascii="Arial" w:hAnsi="Arial" w:cs="Arial"/>
                <w:b/>
                <w:sz w:val="18"/>
                <w:szCs w:val="18"/>
              </w:rPr>
              <w:t>Telenesti</w:t>
            </w:r>
          </w:p>
        </w:tc>
        <w:tc>
          <w:tcPr>
            <w:tcW w:w="2376" w:type="dxa"/>
            <w:vAlign w:val="center"/>
          </w:tcPr>
          <w:p w14:paraId="3C667C2C" w14:textId="77777777" w:rsidR="007E4CF6" w:rsidRPr="007E4CF6" w:rsidRDefault="007E4CF6" w:rsidP="00B336FD">
            <w:pPr>
              <w:rPr>
                <w:rFonts w:ascii="Arial" w:hAnsi="Arial" w:cs="Arial"/>
                <w:sz w:val="18"/>
                <w:szCs w:val="18"/>
              </w:rPr>
            </w:pPr>
            <w:r w:rsidRPr="007E4CF6">
              <w:rPr>
                <w:rFonts w:ascii="Arial" w:hAnsi="Arial" w:cs="Arial"/>
                <w:sz w:val="18"/>
                <w:szCs w:val="18"/>
              </w:rPr>
              <w:t>“Central Park of Telenesti town –green oasis of ambience and entertainment”</w:t>
            </w:r>
          </w:p>
        </w:tc>
        <w:tc>
          <w:tcPr>
            <w:tcW w:w="6129" w:type="dxa"/>
          </w:tcPr>
          <w:p w14:paraId="42B68012" w14:textId="79987852" w:rsidR="007E4CF6" w:rsidRPr="007E4CF6" w:rsidRDefault="007E4CF6" w:rsidP="00F654DF">
            <w:pPr>
              <w:jc w:val="both"/>
              <w:rPr>
                <w:rFonts w:ascii="Arial" w:hAnsi="Arial" w:cs="Arial"/>
                <w:sz w:val="18"/>
                <w:szCs w:val="18"/>
              </w:rPr>
            </w:pPr>
            <w:r w:rsidRPr="007E4CF6">
              <w:rPr>
                <w:rFonts w:ascii="Arial" w:hAnsi="Arial" w:cs="Arial"/>
                <w:sz w:val="18"/>
                <w:szCs w:val="18"/>
              </w:rPr>
              <w:t>Improving the quality of urban life, arran</w:t>
            </w:r>
            <w:r w:rsidR="00B336FD">
              <w:rPr>
                <w:rFonts w:ascii="Arial" w:hAnsi="Arial" w:cs="Arial"/>
                <w:sz w:val="18"/>
                <w:szCs w:val="18"/>
              </w:rPr>
              <w:t xml:space="preserve">gement of Central Public Park, </w:t>
            </w:r>
            <w:r w:rsidRPr="007E4CF6">
              <w:rPr>
                <w:rFonts w:ascii="Arial" w:hAnsi="Arial" w:cs="Arial"/>
                <w:sz w:val="18"/>
                <w:szCs w:val="18"/>
              </w:rPr>
              <w:t xml:space="preserve">Stefan cel Mare Street, Telenesti town. Floristic enrichment and park planning with </w:t>
            </w:r>
            <w:r w:rsidR="00B336FD">
              <w:rPr>
                <w:rFonts w:ascii="Arial" w:hAnsi="Arial" w:cs="Arial"/>
                <w:sz w:val="18"/>
                <w:szCs w:val="18"/>
              </w:rPr>
              <w:t>creation</w:t>
            </w:r>
            <w:r w:rsidRPr="007E4CF6">
              <w:rPr>
                <w:rFonts w:ascii="Arial" w:hAnsi="Arial" w:cs="Arial"/>
                <w:sz w:val="18"/>
                <w:szCs w:val="18"/>
              </w:rPr>
              <w:t xml:space="preserve"> of several distinct areas to satisfy all the visitors of different ages, and different concerns of visitors in leisure time.</w:t>
            </w:r>
          </w:p>
          <w:p w14:paraId="542395C4" w14:textId="77777777" w:rsidR="00B336FD" w:rsidRDefault="00B336FD" w:rsidP="00F654DF">
            <w:pPr>
              <w:jc w:val="both"/>
              <w:rPr>
                <w:rFonts w:ascii="Arial" w:hAnsi="Arial" w:cs="Arial"/>
                <w:sz w:val="18"/>
                <w:szCs w:val="18"/>
              </w:rPr>
            </w:pPr>
          </w:p>
          <w:p w14:paraId="6E5C1571" w14:textId="16A4C5DE" w:rsidR="007E4CF6" w:rsidRPr="007E4CF6" w:rsidRDefault="00B336FD" w:rsidP="00F654DF">
            <w:pPr>
              <w:jc w:val="both"/>
              <w:rPr>
                <w:rFonts w:ascii="Arial" w:hAnsi="Arial" w:cs="Arial"/>
                <w:sz w:val="18"/>
                <w:szCs w:val="18"/>
              </w:rPr>
            </w:pPr>
            <w:r w:rsidRPr="00B336FD">
              <w:rPr>
                <w:rFonts w:ascii="Arial" w:hAnsi="Arial" w:cs="Arial"/>
                <w:b/>
                <w:sz w:val="18"/>
                <w:szCs w:val="18"/>
              </w:rPr>
              <w:t>Budget</w:t>
            </w:r>
            <w:r>
              <w:rPr>
                <w:rFonts w:ascii="Arial" w:hAnsi="Arial" w:cs="Arial"/>
                <w:sz w:val="18"/>
                <w:szCs w:val="18"/>
              </w:rPr>
              <w:t>: 200,000</w:t>
            </w:r>
            <w:r w:rsidR="007E4CF6" w:rsidRPr="007E4CF6">
              <w:rPr>
                <w:rFonts w:ascii="Arial" w:hAnsi="Arial" w:cs="Arial"/>
                <w:sz w:val="18"/>
                <w:szCs w:val="18"/>
              </w:rPr>
              <w:t xml:space="preserve"> MDL</w:t>
            </w:r>
          </w:p>
          <w:p w14:paraId="5DAF8743" w14:textId="149A15C2" w:rsidR="007E4CF6" w:rsidRPr="007E4CF6" w:rsidRDefault="007E4CF6" w:rsidP="00F654DF">
            <w:pPr>
              <w:jc w:val="both"/>
              <w:rPr>
                <w:rFonts w:ascii="Arial" w:hAnsi="Arial" w:cs="Arial"/>
                <w:sz w:val="18"/>
                <w:szCs w:val="18"/>
              </w:rPr>
            </w:pPr>
            <w:r w:rsidRPr="007E4CF6">
              <w:rPr>
                <w:rFonts w:ascii="Arial" w:hAnsi="Arial" w:cs="Arial"/>
                <w:sz w:val="18"/>
                <w:szCs w:val="18"/>
              </w:rPr>
              <w:t>EF</w:t>
            </w:r>
            <w:r w:rsidR="00B336FD">
              <w:rPr>
                <w:rFonts w:ascii="Arial" w:hAnsi="Arial" w:cs="Arial"/>
                <w:sz w:val="18"/>
                <w:szCs w:val="18"/>
              </w:rPr>
              <w:t>RP/UNDP Contribution: 160,000</w:t>
            </w:r>
          </w:p>
          <w:p w14:paraId="31E4EEE1" w14:textId="21A4C7BC" w:rsidR="007E4CF6" w:rsidRPr="007E4CF6" w:rsidRDefault="00B336FD" w:rsidP="00F654DF">
            <w:pPr>
              <w:jc w:val="both"/>
              <w:rPr>
                <w:rFonts w:ascii="Arial" w:hAnsi="Arial" w:cs="Arial"/>
                <w:sz w:val="18"/>
                <w:szCs w:val="18"/>
              </w:rPr>
            </w:pPr>
            <w:r>
              <w:rPr>
                <w:rFonts w:ascii="Arial" w:hAnsi="Arial" w:cs="Arial"/>
                <w:sz w:val="18"/>
                <w:szCs w:val="18"/>
              </w:rPr>
              <w:t>Community Contribution: 40,000</w:t>
            </w:r>
          </w:p>
        </w:tc>
      </w:tr>
      <w:tr w:rsidR="007E4CF6" w:rsidRPr="007E4CF6" w14:paraId="12E4A9BC" w14:textId="77777777" w:rsidTr="00B336FD">
        <w:tc>
          <w:tcPr>
            <w:tcW w:w="1134" w:type="dxa"/>
            <w:vAlign w:val="center"/>
          </w:tcPr>
          <w:p w14:paraId="2AB3B7C7" w14:textId="77777777" w:rsidR="007E4CF6" w:rsidRPr="007E4CF6" w:rsidRDefault="007E4CF6" w:rsidP="00B336FD">
            <w:pPr>
              <w:jc w:val="center"/>
              <w:rPr>
                <w:rFonts w:ascii="Arial" w:hAnsi="Arial" w:cs="Arial"/>
                <w:b/>
                <w:sz w:val="18"/>
                <w:szCs w:val="18"/>
              </w:rPr>
            </w:pPr>
            <w:r w:rsidRPr="007E4CF6">
              <w:rPr>
                <w:rFonts w:ascii="Arial" w:hAnsi="Arial" w:cs="Arial"/>
                <w:b/>
                <w:sz w:val="18"/>
                <w:szCs w:val="18"/>
              </w:rPr>
              <w:t>Soroca</w:t>
            </w:r>
          </w:p>
        </w:tc>
        <w:tc>
          <w:tcPr>
            <w:tcW w:w="2376" w:type="dxa"/>
            <w:vAlign w:val="center"/>
          </w:tcPr>
          <w:p w14:paraId="4B9E1EF7" w14:textId="77777777" w:rsidR="007E4CF6" w:rsidRPr="007E4CF6" w:rsidRDefault="007E4CF6" w:rsidP="00B336FD">
            <w:pPr>
              <w:rPr>
                <w:rFonts w:ascii="Arial" w:hAnsi="Arial" w:cs="Arial"/>
                <w:sz w:val="18"/>
                <w:szCs w:val="18"/>
              </w:rPr>
            </w:pPr>
            <w:r w:rsidRPr="007E4CF6">
              <w:rPr>
                <w:rFonts w:ascii="Arial" w:hAnsi="Arial" w:cs="Arial"/>
                <w:sz w:val="18"/>
                <w:szCs w:val="18"/>
              </w:rPr>
              <w:t>A new life for the Park "Paradis" in New Sector in Soroca town.</w:t>
            </w:r>
          </w:p>
        </w:tc>
        <w:tc>
          <w:tcPr>
            <w:tcW w:w="6129" w:type="dxa"/>
          </w:tcPr>
          <w:p w14:paraId="0C16C320" w14:textId="77777777" w:rsidR="007E4CF6" w:rsidRPr="007E4CF6" w:rsidRDefault="007E4CF6" w:rsidP="00F654DF">
            <w:pPr>
              <w:jc w:val="both"/>
              <w:rPr>
                <w:rFonts w:ascii="Arial" w:hAnsi="Arial" w:cs="Arial"/>
                <w:sz w:val="18"/>
                <w:szCs w:val="18"/>
              </w:rPr>
            </w:pPr>
            <w:r w:rsidRPr="007E4CF6">
              <w:rPr>
                <w:rFonts w:ascii="Arial" w:hAnsi="Arial" w:cs="Arial"/>
                <w:sz w:val="18"/>
                <w:szCs w:val="18"/>
              </w:rPr>
              <w:t xml:space="preserve">Arrangement of approximately 3000 m² of green spaces in the park of the New District of Soroca town. Creating an ecological leisure and entertainment space for residents and guests. Greening and enrichment of the flora of the park in the New District of Soroca town. </w:t>
            </w:r>
          </w:p>
          <w:p w14:paraId="743561FB" w14:textId="77777777" w:rsidR="00B336FD" w:rsidRDefault="00B336FD" w:rsidP="00F654DF">
            <w:pPr>
              <w:jc w:val="both"/>
              <w:rPr>
                <w:rFonts w:ascii="Arial" w:hAnsi="Arial" w:cs="Arial"/>
                <w:sz w:val="18"/>
                <w:szCs w:val="18"/>
              </w:rPr>
            </w:pPr>
          </w:p>
          <w:p w14:paraId="60484A7C" w14:textId="38E819D2" w:rsidR="007E4CF6" w:rsidRPr="007E4CF6" w:rsidRDefault="00B336FD" w:rsidP="00F654DF">
            <w:pPr>
              <w:jc w:val="both"/>
              <w:rPr>
                <w:rFonts w:ascii="Arial" w:hAnsi="Arial" w:cs="Arial"/>
                <w:sz w:val="18"/>
                <w:szCs w:val="18"/>
              </w:rPr>
            </w:pPr>
            <w:r w:rsidRPr="00B336FD">
              <w:rPr>
                <w:rFonts w:ascii="Arial" w:hAnsi="Arial" w:cs="Arial"/>
                <w:b/>
                <w:sz w:val="18"/>
                <w:szCs w:val="18"/>
              </w:rPr>
              <w:t>Budget:</w:t>
            </w:r>
            <w:r>
              <w:rPr>
                <w:rFonts w:ascii="Arial" w:hAnsi="Arial" w:cs="Arial"/>
                <w:sz w:val="18"/>
                <w:szCs w:val="18"/>
              </w:rPr>
              <w:t xml:space="preserve"> 200,000</w:t>
            </w:r>
            <w:r w:rsidR="007E4CF6" w:rsidRPr="007E4CF6">
              <w:rPr>
                <w:rFonts w:ascii="Arial" w:hAnsi="Arial" w:cs="Arial"/>
                <w:sz w:val="18"/>
                <w:szCs w:val="18"/>
              </w:rPr>
              <w:t xml:space="preserve"> MDL</w:t>
            </w:r>
          </w:p>
          <w:p w14:paraId="505E6929" w14:textId="3A61F8B1" w:rsidR="007E4CF6" w:rsidRPr="007E4CF6" w:rsidRDefault="007E4CF6" w:rsidP="00F654DF">
            <w:pPr>
              <w:jc w:val="both"/>
              <w:rPr>
                <w:rFonts w:ascii="Arial" w:hAnsi="Arial" w:cs="Arial"/>
                <w:sz w:val="18"/>
                <w:szCs w:val="18"/>
              </w:rPr>
            </w:pPr>
            <w:r w:rsidRPr="007E4CF6">
              <w:rPr>
                <w:rFonts w:ascii="Arial" w:hAnsi="Arial" w:cs="Arial"/>
                <w:sz w:val="18"/>
                <w:szCs w:val="18"/>
              </w:rPr>
              <w:t>EF</w:t>
            </w:r>
            <w:r w:rsidR="00B336FD">
              <w:rPr>
                <w:rFonts w:ascii="Arial" w:hAnsi="Arial" w:cs="Arial"/>
                <w:sz w:val="18"/>
                <w:szCs w:val="18"/>
              </w:rPr>
              <w:t>RP/UNDP Contribution: 160,000</w:t>
            </w:r>
          </w:p>
          <w:p w14:paraId="50F53C3C" w14:textId="46385CB7" w:rsidR="007E4CF6" w:rsidRPr="007E4CF6" w:rsidRDefault="00B336FD" w:rsidP="00F654DF">
            <w:pPr>
              <w:jc w:val="both"/>
              <w:rPr>
                <w:rFonts w:ascii="Arial" w:hAnsi="Arial" w:cs="Arial"/>
                <w:sz w:val="18"/>
                <w:szCs w:val="18"/>
              </w:rPr>
            </w:pPr>
            <w:r>
              <w:rPr>
                <w:rFonts w:ascii="Arial" w:hAnsi="Arial" w:cs="Arial"/>
                <w:sz w:val="18"/>
                <w:szCs w:val="18"/>
              </w:rPr>
              <w:t>Community Contribution: 40,000</w:t>
            </w:r>
          </w:p>
        </w:tc>
      </w:tr>
      <w:tr w:rsidR="007E4CF6" w:rsidRPr="007E4CF6" w14:paraId="4EA083EC" w14:textId="77777777" w:rsidTr="00B336FD">
        <w:tc>
          <w:tcPr>
            <w:tcW w:w="1134" w:type="dxa"/>
            <w:vAlign w:val="center"/>
          </w:tcPr>
          <w:p w14:paraId="46CA38D8" w14:textId="40DBD3EA" w:rsidR="007E4CF6" w:rsidRPr="007E4CF6" w:rsidRDefault="007E4CF6" w:rsidP="00B336FD">
            <w:pPr>
              <w:jc w:val="center"/>
              <w:rPr>
                <w:rFonts w:ascii="Arial" w:hAnsi="Arial" w:cs="Arial"/>
                <w:b/>
                <w:sz w:val="18"/>
                <w:szCs w:val="18"/>
              </w:rPr>
            </w:pPr>
            <w:r w:rsidRPr="007E4CF6">
              <w:rPr>
                <w:rFonts w:ascii="Arial" w:hAnsi="Arial" w:cs="Arial"/>
                <w:b/>
                <w:sz w:val="18"/>
                <w:szCs w:val="18"/>
              </w:rPr>
              <w:t>Cahul</w:t>
            </w:r>
          </w:p>
        </w:tc>
        <w:tc>
          <w:tcPr>
            <w:tcW w:w="2376" w:type="dxa"/>
            <w:vAlign w:val="center"/>
          </w:tcPr>
          <w:p w14:paraId="56F39075" w14:textId="77777777" w:rsidR="007E4CF6" w:rsidRPr="007E4CF6" w:rsidRDefault="007E4CF6" w:rsidP="00B336FD">
            <w:pPr>
              <w:rPr>
                <w:rFonts w:ascii="Arial" w:hAnsi="Arial" w:cs="Arial"/>
                <w:sz w:val="18"/>
                <w:szCs w:val="18"/>
              </w:rPr>
            </w:pPr>
            <w:r w:rsidRPr="007E4CF6">
              <w:rPr>
                <w:rFonts w:ascii="Arial" w:hAnsi="Arial" w:cs="Arial"/>
                <w:sz w:val="18"/>
                <w:szCs w:val="18"/>
              </w:rPr>
              <w:t xml:space="preserve">Improving waste collection network in the town of Cahul </w:t>
            </w:r>
          </w:p>
          <w:p w14:paraId="58F9B81C" w14:textId="77777777" w:rsidR="007E4CF6" w:rsidRPr="007E4CF6" w:rsidRDefault="007E4CF6" w:rsidP="00B336FD">
            <w:pPr>
              <w:rPr>
                <w:rFonts w:ascii="Arial" w:hAnsi="Arial" w:cs="Arial"/>
                <w:sz w:val="18"/>
                <w:szCs w:val="18"/>
              </w:rPr>
            </w:pPr>
            <w:r w:rsidRPr="007E4CF6">
              <w:rPr>
                <w:rFonts w:ascii="Arial" w:hAnsi="Arial" w:cs="Arial"/>
                <w:sz w:val="18"/>
                <w:szCs w:val="18"/>
              </w:rPr>
              <w:t>(Cahul District)</w:t>
            </w:r>
          </w:p>
        </w:tc>
        <w:tc>
          <w:tcPr>
            <w:tcW w:w="6129" w:type="dxa"/>
          </w:tcPr>
          <w:p w14:paraId="74482EB4" w14:textId="77777777" w:rsidR="00B336FD" w:rsidRDefault="007E4CF6" w:rsidP="00F654DF">
            <w:pPr>
              <w:jc w:val="both"/>
              <w:rPr>
                <w:rFonts w:ascii="Arial" w:hAnsi="Arial" w:cs="Arial"/>
                <w:sz w:val="18"/>
                <w:szCs w:val="18"/>
              </w:rPr>
            </w:pPr>
            <w:r w:rsidRPr="007E4CF6">
              <w:rPr>
                <w:rFonts w:ascii="Arial" w:hAnsi="Arial" w:cs="Arial"/>
                <w:sz w:val="18"/>
                <w:szCs w:val="18"/>
              </w:rPr>
              <w:t xml:space="preserve">The goal of the project consist in purchasing and installing trash bins on the central streets of the city, purchase bins, bags for garbage to be used by the workers to evacuate it in order to improve sanitation of the city. As a result, waste collection network will cover most central streets, public places and </w:t>
            </w:r>
            <w:r w:rsidR="00B336FD">
              <w:rPr>
                <w:rFonts w:ascii="Arial" w:hAnsi="Arial" w:cs="Arial"/>
                <w:sz w:val="18"/>
                <w:szCs w:val="18"/>
              </w:rPr>
              <w:t xml:space="preserve">institutions. </w:t>
            </w:r>
          </w:p>
          <w:p w14:paraId="3EFCDBF6" w14:textId="77777777" w:rsidR="00B336FD" w:rsidRDefault="00B336FD" w:rsidP="00F654DF">
            <w:pPr>
              <w:jc w:val="both"/>
              <w:rPr>
                <w:rFonts w:ascii="Arial" w:hAnsi="Arial" w:cs="Arial"/>
                <w:sz w:val="18"/>
                <w:szCs w:val="18"/>
              </w:rPr>
            </w:pPr>
          </w:p>
          <w:p w14:paraId="7F1901AE" w14:textId="10349D50" w:rsidR="007E4CF6" w:rsidRPr="007E4CF6" w:rsidRDefault="00B336FD" w:rsidP="00F654DF">
            <w:pPr>
              <w:jc w:val="both"/>
              <w:rPr>
                <w:rFonts w:ascii="Arial" w:hAnsi="Arial" w:cs="Arial"/>
                <w:sz w:val="18"/>
                <w:szCs w:val="18"/>
              </w:rPr>
            </w:pPr>
            <w:r w:rsidRPr="00B336FD">
              <w:rPr>
                <w:rFonts w:ascii="Arial" w:hAnsi="Arial" w:cs="Arial"/>
                <w:b/>
                <w:sz w:val="18"/>
                <w:szCs w:val="18"/>
              </w:rPr>
              <w:t>Budget:</w:t>
            </w:r>
            <w:r>
              <w:rPr>
                <w:rFonts w:ascii="Arial" w:hAnsi="Arial" w:cs="Arial"/>
                <w:sz w:val="18"/>
                <w:szCs w:val="18"/>
              </w:rPr>
              <w:t xml:space="preserve"> 238,075</w:t>
            </w:r>
            <w:r w:rsidR="007E4CF6" w:rsidRPr="007E4CF6">
              <w:rPr>
                <w:rFonts w:ascii="Arial" w:hAnsi="Arial" w:cs="Arial"/>
                <w:sz w:val="18"/>
                <w:szCs w:val="18"/>
              </w:rPr>
              <w:t xml:space="preserve"> MDL</w:t>
            </w:r>
          </w:p>
          <w:p w14:paraId="7D62658C" w14:textId="325F9830" w:rsidR="007E4CF6" w:rsidRPr="007E4CF6" w:rsidRDefault="007E4CF6" w:rsidP="00F654DF">
            <w:pPr>
              <w:jc w:val="both"/>
              <w:rPr>
                <w:rFonts w:ascii="Arial" w:hAnsi="Arial" w:cs="Arial"/>
                <w:sz w:val="18"/>
                <w:szCs w:val="18"/>
              </w:rPr>
            </w:pPr>
            <w:r w:rsidRPr="007E4CF6">
              <w:rPr>
                <w:rFonts w:ascii="Arial" w:hAnsi="Arial" w:cs="Arial"/>
                <w:sz w:val="18"/>
                <w:szCs w:val="18"/>
              </w:rPr>
              <w:t>EF</w:t>
            </w:r>
            <w:r w:rsidR="00B336FD">
              <w:rPr>
                <w:rFonts w:ascii="Arial" w:hAnsi="Arial" w:cs="Arial"/>
                <w:sz w:val="18"/>
                <w:szCs w:val="18"/>
              </w:rPr>
              <w:t>RP/UNDP Contribution: 160,000</w:t>
            </w:r>
          </w:p>
          <w:p w14:paraId="42DE9715" w14:textId="7709B5A7" w:rsidR="007E4CF6" w:rsidRPr="007E4CF6" w:rsidRDefault="00B336FD" w:rsidP="00F654DF">
            <w:pPr>
              <w:jc w:val="both"/>
              <w:rPr>
                <w:rFonts w:ascii="Arial" w:hAnsi="Arial" w:cs="Arial"/>
                <w:sz w:val="18"/>
                <w:szCs w:val="18"/>
              </w:rPr>
            </w:pPr>
            <w:r>
              <w:rPr>
                <w:rFonts w:ascii="Arial" w:hAnsi="Arial" w:cs="Arial"/>
                <w:sz w:val="18"/>
                <w:szCs w:val="18"/>
              </w:rPr>
              <w:t>Community Contribution: 78,075</w:t>
            </w:r>
          </w:p>
        </w:tc>
      </w:tr>
      <w:tr w:rsidR="007E4CF6" w:rsidRPr="007E4CF6" w14:paraId="67582E07" w14:textId="77777777" w:rsidTr="00B336FD">
        <w:tc>
          <w:tcPr>
            <w:tcW w:w="1134" w:type="dxa"/>
            <w:vAlign w:val="center"/>
          </w:tcPr>
          <w:p w14:paraId="1CBFB863" w14:textId="77777777" w:rsidR="007E4CF6" w:rsidRPr="007E4CF6" w:rsidRDefault="007E4CF6" w:rsidP="00B336FD">
            <w:pPr>
              <w:jc w:val="center"/>
              <w:rPr>
                <w:rFonts w:ascii="Arial" w:hAnsi="Arial" w:cs="Arial"/>
                <w:b/>
                <w:sz w:val="18"/>
                <w:szCs w:val="18"/>
              </w:rPr>
            </w:pPr>
            <w:r w:rsidRPr="007E4CF6">
              <w:rPr>
                <w:rFonts w:ascii="Arial" w:hAnsi="Arial" w:cs="Arial"/>
                <w:b/>
                <w:sz w:val="18"/>
                <w:szCs w:val="18"/>
              </w:rPr>
              <w:t>Calarasi</w:t>
            </w:r>
          </w:p>
        </w:tc>
        <w:tc>
          <w:tcPr>
            <w:tcW w:w="2376" w:type="dxa"/>
            <w:vAlign w:val="center"/>
          </w:tcPr>
          <w:p w14:paraId="02117D51" w14:textId="4737A7C7" w:rsidR="007E4CF6" w:rsidRPr="007E4CF6" w:rsidRDefault="007E4CF6" w:rsidP="00B336FD">
            <w:pPr>
              <w:rPr>
                <w:rFonts w:ascii="Arial" w:hAnsi="Arial" w:cs="Arial"/>
                <w:sz w:val="18"/>
                <w:szCs w:val="18"/>
              </w:rPr>
            </w:pPr>
            <w:r w:rsidRPr="007E4CF6">
              <w:rPr>
                <w:rFonts w:ascii="Arial" w:hAnsi="Arial" w:cs="Arial"/>
                <w:sz w:val="18"/>
                <w:szCs w:val="18"/>
              </w:rPr>
              <w:t>Renovation and maintenanc</w:t>
            </w:r>
            <w:r w:rsidR="00B336FD">
              <w:rPr>
                <w:rFonts w:ascii="Arial" w:hAnsi="Arial" w:cs="Arial"/>
                <w:sz w:val="18"/>
                <w:szCs w:val="18"/>
              </w:rPr>
              <w:t xml:space="preserve">e of the central square of the </w:t>
            </w:r>
            <w:r w:rsidRPr="007E4CF6">
              <w:rPr>
                <w:rFonts w:ascii="Arial" w:hAnsi="Arial" w:cs="Arial"/>
                <w:sz w:val="18"/>
                <w:szCs w:val="18"/>
              </w:rPr>
              <w:t>Calarasi town</w:t>
            </w:r>
          </w:p>
        </w:tc>
        <w:tc>
          <w:tcPr>
            <w:tcW w:w="6129" w:type="dxa"/>
          </w:tcPr>
          <w:p w14:paraId="74014D9C" w14:textId="77777777" w:rsidR="007E4CF6" w:rsidRPr="007E4CF6" w:rsidRDefault="007E4CF6" w:rsidP="00F654DF">
            <w:pPr>
              <w:jc w:val="both"/>
              <w:rPr>
                <w:rFonts w:ascii="Arial" w:hAnsi="Arial" w:cs="Arial"/>
                <w:sz w:val="18"/>
                <w:szCs w:val="18"/>
              </w:rPr>
            </w:pPr>
            <w:r w:rsidRPr="007E4CF6">
              <w:rPr>
                <w:rFonts w:ascii="Arial" w:hAnsi="Arial" w:cs="Arial"/>
                <w:sz w:val="18"/>
                <w:szCs w:val="18"/>
              </w:rPr>
              <w:t>Renovation and repair of the square focusing on repairing the stairs, landscaping ramps for people with disabilities, paving the access, greening land, etc., in order to improve recreational and aesthetic conditions for the inhabitants of the city.</w:t>
            </w:r>
          </w:p>
          <w:p w14:paraId="058F36ED" w14:textId="77777777" w:rsidR="00B336FD" w:rsidRDefault="00B336FD" w:rsidP="00F654DF">
            <w:pPr>
              <w:jc w:val="both"/>
              <w:rPr>
                <w:rFonts w:ascii="Arial" w:hAnsi="Arial" w:cs="Arial"/>
                <w:sz w:val="18"/>
                <w:szCs w:val="18"/>
              </w:rPr>
            </w:pPr>
          </w:p>
          <w:p w14:paraId="710B5AEC" w14:textId="4642A8DE" w:rsidR="007E4CF6" w:rsidRPr="007E4CF6" w:rsidRDefault="00B336FD" w:rsidP="00F654DF">
            <w:pPr>
              <w:jc w:val="both"/>
              <w:rPr>
                <w:rFonts w:ascii="Arial" w:hAnsi="Arial" w:cs="Arial"/>
                <w:sz w:val="18"/>
                <w:szCs w:val="18"/>
              </w:rPr>
            </w:pPr>
            <w:r w:rsidRPr="00B336FD">
              <w:rPr>
                <w:rFonts w:ascii="Arial" w:hAnsi="Arial" w:cs="Arial"/>
                <w:b/>
                <w:sz w:val="18"/>
                <w:szCs w:val="18"/>
              </w:rPr>
              <w:t>Budget:</w:t>
            </w:r>
            <w:r>
              <w:rPr>
                <w:rFonts w:ascii="Arial" w:hAnsi="Arial" w:cs="Arial"/>
                <w:sz w:val="18"/>
                <w:szCs w:val="18"/>
              </w:rPr>
              <w:t xml:space="preserve"> 280,615</w:t>
            </w:r>
            <w:r w:rsidR="007E4CF6" w:rsidRPr="007E4CF6">
              <w:rPr>
                <w:rFonts w:ascii="Arial" w:hAnsi="Arial" w:cs="Arial"/>
                <w:sz w:val="18"/>
                <w:szCs w:val="18"/>
              </w:rPr>
              <w:t xml:space="preserve"> MDL</w:t>
            </w:r>
          </w:p>
          <w:p w14:paraId="5BAC0D3D" w14:textId="09CC90F1" w:rsidR="007E4CF6" w:rsidRPr="007E4CF6" w:rsidRDefault="007E4CF6" w:rsidP="00F654DF">
            <w:pPr>
              <w:jc w:val="both"/>
              <w:rPr>
                <w:rFonts w:ascii="Arial" w:hAnsi="Arial" w:cs="Arial"/>
                <w:sz w:val="18"/>
                <w:szCs w:val="18"/>
              </w:rPr>
            </w:pPr>
            <w:r w:rsidRPr="007E4CF6">
              <w:rPr>
                <w:rFonts w:ascii="Arial" w:hAnsi="Arial" w:cs="Arial"/>
                <w:sz w:val="18"/>
                <w:szCs w:val="18"/>
              </w:rPr>
              <w:t>EFRP/U</w:t>
            </w:r>
            <w:r w:rsidR="00B336FD">
              <w:rPr>
                <w:rFonts w:ascii="Arial" w:hAnsi="Arial" w:cs="Arial"/>
                <w:sz w:val="18"/>
                <w:szCs w:val="18"/>
              </w:rPr>
              <w:t>NDP Contribution: 160,000</w:t>
            </w:r>
          </w:p>
          <w:p w14:paraId="7284C096" w14:textId="7446D863" w:rsidR="007E4CF6" w:rsidRPr="007E4CF6" w:rsidRDefault="007E4CF6" w:rsidP="00F654DF">
            <w:pPr>
              <w:jc w:val="both"/>
              <w:rPr>
                <w:rFonts w:ascii="Arial" w:hAnsi="Arial" w:cs="Arial"/>
                <w:sz w:val="18"/>
                <w:szCs w:val="18"/>
              </w:rPr>
            </w:pPr>
            <w:r w:rsidRPr="007E4CF6">
              <w:rPr>
                <w:rFonts w:ascii="Arial" w:hAnsi="Arial" w:cs="Arial"/>
                <w:sz w:val="18"/>
                <w:szCs w:val="18"/>
              </w:rPr>
              <w:t>C</w:t>
            </w:r>
            <w:r w:rsidR="00B336FD">
              <w:rPr>
                <w:rFonts w:ascii="Arial" w:hAnsi="Arial" w:cs="Arial"/>
                <w:sz w:val="18"/>
                <w:szCs w:val="18"/>
              </w:rPr>
              <w:t>ommunity Contribution: 120,615</w:t>
            </w:r>
          </w:p>
        </w:tc>
      </w:tr>
      <w:tr w:rsidR="007E4CF6" w:rsidRPr="007E4CF6" w14:paraId="1B272307" w14:textId="77777777" w:rsidTr="00B336FD">
        <w:tc>
          <w:tcPr>
            <w:tcW w:w="1134" w:type="dxa"/>
            <w:vAlign w:val="center"/>
          </w:tcPr>
          <w:p w14:paraId="114738B7" w14:textId="77777777" w:rsidR="007E4CF6" w:rsidRPr="007E4CF6" w:rsidRDefault="007E4CF6" w:rsidP="00B336FD">
            <w:pPr>
              <w:jc w:val="center"/>
              <w:rPr>
                <w:rFonts w:ascii="Arial" w:hAnsi="Arial" w:cs="Arial"/>
                <w:b/>
                <w:sz w:val="18"/>
                <w:szCs w:val="18"/>
              </w:rPr>
            </w:pPr>
            <w:r w:rsidRPr="007E4CF6">
              <w:rPr>
                <w:rFonts w:ascii="Arial" w:hAnsi="Arial" w:cs="Arial"/>
                <w:b/>
                <w:sz w:val="18"/>
                <w:szCs w:val="18"/>
              </w:rPr>
              <w:t>Floresti</w:t>
            </w:r>
          </w:p>
        </w:tc>
        <w:tc>
          <w:tcPr>
            <w:tcW w:w="2376" w:type="dxa"/>
            <w:vAlign w:val="center"/>
          </w:tcPr>
          <w:p w14:paraId="7457746F" w14:textId="77777777" w:rsidR="007E4CF6" w:rsidRPr="007E4CF6" w:rsidRDefault="007E4CF6" w:rsidP="00B336FD">
            <w:pPr>
              <w:rPr>
                <w:rFonts w:ascii="Arial" w:hAnsi="Arial" w:cs="Arial"/>
                <w:sz w:val="18"/>
                <w:szCs w:val="18"/>
              </w:rPr>
            </w:pPr>
            <w:r w:rsidRPr="007E4CF6">
              <w:rPr>
                <w:rFonts w:ascii="Arial" w:hAnsi="Arial" w:cs="Arial"/>
                <w:sz w:val="18"/>
                <w:szCs w:val="18"/>
              </w:rPr>
              <w:t>Strengthening the capacity and the extension of sanitation service of Floresti town</w:t>
            </w:r>
          </w:p>
        </w:tc>
        <w:tc>
          <w:tcPr>
            <w:tcW w:w="6129" w:type="dxa"/>
          </w:tcPr>
          <w:p w14:paraId="5A1AA9C1" w14:textId="77777777" w:rsidR="007E4CF6" w:rsidRPr="007E4CF6" w:rsidRDefault="007E4CF6" w:rsidP="00F654DF">
            <w:pPr>
              <w:jc w:val="both"/>
              <w:rPr>
                <w:rFonts w:ascii="Arial" w:hAnsi="Arial" w:cs="Arial"/>
                <w:sz w:val="18"/>
                <w:szCs w:val="18"/>
              </w:rPr>
            </w:pPr>
            <w:r w:rsidRPr="007E4CF6">
              <w:rPr>
                <w:rFonts w:ascii="Arial" w:hAnsi="Arial" w:cs="Arial"/>
                <w:sz w:val="18"/>
                <w:szCs w:val="18"/>
              </w:rPr>
              <w:t>The project aims to purchase 80 containers, which will be placed on existing platforms and the arrangement of 4 other new platforms for waste collection in town.</w:t>
            </w:r>
          </w:p>
          <w:p w14:paraId="623ACB4E" w14:textId="77777777" w:rsidR="00B336FD" w:rsidRDefault="00B336FD" w:rsidP="00F654DF">
            <w:pPr>
              <w:jc w:val="both"/>
              <w:rPr>
                <w:rFonts w:ascii="Arial" w:hAnsi="Arial" w:cs="Arial"/>
                <w:sz w:val="18"/>
                <w:szCs w:val="18"/>
              </w:rPr>
            </w:pPr>
          </w:p>
          <w:p w14:paraId="4BEF2C73" w14:textId="240BD070" w:rsidR="007E4CF6" w:rsidRPr="007E4CF6" w:rsidRDefault="00B336FD" w:rsidP="00F654DF">
            <w:pPr>
              <w:jc w:val="both"/>
              <w:rPr>
                <w:rFonts w:ascii="Arial" w:hAnsi="Arial" w:cs="Arial"/>
                <w:sz w:val="18"/>
                <w:szCs w:val="18"/>
              </w:rPr>
            </w:pPr>
            <w:r w:rsidRPr="00B336FD">
              <w:rPr>
                <w:rFonts w:ascii="Arial" w:hAnsi="Arial" w:cs="Arial"/>
                <w:b/>
                <w:sz w:val="18"/>
                <w:szCs w:val="18"/>
              </w:rPr>
              <w:t>Budget:</w:t>
            </w:r>
            <w:r>
              <w:rPr>
                <w:rFonts w:ascii="Arial" w:hAnsi="Arial" w:cs="Arial"/>
                <w:sz w:val="18"/>
                <w:szCs w:val="18"/>
              </w:rPr>
              <w:t xml:space="preserve"> 200,000</w:t>
            </w:r>
            <w:r w:rsidR="007E4CF6" w:rsidRPr="007E4CF6">
              <w:rPr>
                <w:rFonts w:ascii="Arial" w:hAnsi="Arial" w:cs="Arial"/>
                <w:sz w:val="18"/>
                <w:szCs w:val="18"/>
              </w:rPr>
              <w:t xml:space="preserve"> MDL</w:t>
            </w:r>
          </w:p>
          <w:p w14:paraId="318921BA" w14:textId="53A7806C" w:rsidR="007E4CF6" w:rsidRPr="007E4CF6" w:rsidRDefault="007E4CF6" w:rsidP="00F654DF">
            <w:pPr>
              <w:jc w:val="both"/>
              <w:rPr>
                <w:rFonts w:ascii="Arial" w:hAnsi="Arial" w:cs="Arial"/>
                <w:sz w:val="18"/>
                <w:szCs w:val="18"/>
              </w:rPr>
            </w:pPr>
            <w:r w:rsidRPr="007E4CF6">
              <w:rPr>
                <w:rFonts w:ascii="Arial" w:hAnsi="Arial" w:cs="Arial"/>
                <w:sz w:val="18"/>
                <w:szCs w:val="18"/>
              </w:rPr>
              <w:t>EF</w:t>
            </w:r>
            <w:r w:rsidR="00B336FD">
              <w:rPr>
                <w:rFonts w:ascii="Arial" w:hAnsi="Arial" w:cs="Arial"/>
                <w:sz w:val="18"/>
                <w:szCs w:val="18"/>
              </w:rPr>
              <w:t>RP/UNDP Contribution: 160,000</w:t>
            </w:r>
          </w:p>
          <w:p w14:paraId="74DFB043" w14:textId="1F792719" w:rsidR="007E4CF6" w:rsidRPr="007E4CF6" w:rsidRDefault="007E4CF6" w:rsidP="00F654DF">
            <w:pPr>
              <w:jc w:val="both"/>
              <w:rPr>
                <w:rFonts w:ascii="Arial" w:hAnsi="Arial" w:cs="Arial"/>
                <w:sz w:val="18"/>
                <w:szCs w:val="18"/>
              </w:rPr>
            </w:pPr>
            <w:r w:rsidRPr="007E4CF6">
              <w:rPr>
                <w:rFonts w:ascii="Arial" w:hAnsi="Arial" w:cs="Arial"/>
                <w:sz w:val="18"/>
                <w:szCs w:val="18"/>
              </w:rPr>
              <w:t>C</w:t>
            </w:r>
            <w:r w:rsidR="00B336FD">
              <w:rPr>
                <w:rFonts w:ascii="Arial" w:hAnsi="Arial" w:cs="Arial"/>
                <w:sz w:val="18"/>
                <w:szCs w:val="18"/>
              </w:rPr>
              <w:t>ommunity Contribution: 40,000</w:t>
            </w:r>
          </w:p>
          <w:p w14:paraId="4479F66C" w14:textId="77777777" w:rsidR="007E4CF6" w:rsidRPr="007E4CF6" w:rsidRDefault="007E4CF6" w:rsidP="00F654DF">
            <w:pPr>
              <w:jc w:val="both"/>
              <w:rPr>
                <w:rFonts w:ascii="Arial" w:hAnsi="Arial" w:cs="Arial"/>
                <w:sz w:val="18"/>
                <w:szCs w:val="18"/>
              </w:rPr>
            </w:pPr>
          </w:p>
        </w:tc>
      </w:tr>
    </w:tbl>
    <w:p w14:paraId="6D3204AE" w14:textId="77777777" w:rsidR="007E4CF6" w:rsidRDefault="007E4CF6" w:rsidP="00C20C36">
      <w:pPr>
        <w:rPr>
          <w:b/>
          <w:bCs/>
          <w:sz w:val="22"/>
          <w:szCs w:val="22"/>
        </w:rPr>
      </w:pPr>
    </w:p>
    <w:p w14:paraId="32EA6E9D" w14:textId="77777777" w:rsidR="007E4CF6" w:rsidRDefault="007E4CF6" w:rsidP="00C20C36">
      <w:pPr>
        <w:rPr>
          <w:b/>
          <w:bCs/>
          <w:sz w:val="22"/>
          <w:szCs w:val="22"/>
        </w:rPr>
      </w:pPr>
    </w:p>
    <w:p w14:paraId="66A249FC" w14:textId="77777777" w:rsidR="007E4CF6" w:rsidRDefault="007E4CF6" w:rsidP="00C20C36">
      <w:pPr>
        <w:rPr>
          <w:b/>
          <w:bCs/>
          <w:sz w:val="22"/>
          <w:szCs w:val="22"/>
        </w:rPr>
      </w:pPr>
    </w:p>
    <w:p w14:paraId="7AFD374A" w14:textId="77777777" w:rsidR="007E4CF6" w:rsidRPr="00C20C36" w:rsidRDefault="007E4CF6" w:rsidP="00C20C36">
      <w:pPr>
        <w:rPr>
          <w:b/>
          <w:bCs/>
          <w:sz w:val="22"/>
          <w:szCs w:val="22"/>
        </w:rPr>
      </w:pPr>
    </w:p>
    <w:p w14:paraId="64E2011D" w14:textId="77777777" w:rsidR="00EA7528" w:rsidRDefault="00EA7528">
      <w:pPr>
        <w:widowControl/>
        <w:autoSpaceDE/>
        <w:autoSpaceDN/>
        <w:adjustRightInd/>
        <w:sectPr w:rsidR="00EA7528" w:rsidSect="00140CF8">
          <w:footerReference w:type="even" r:id="rId38"/>
          <w:pgSz w:w="11900" w:h="16820" w:code="9"/>
          <w:pgMar w:top="1134" w:right="1134" w:bottom="1134" w:left="1134" w:header="851" w:footer="851" w:gutter="0"/>
          <w:cols w:space="720"/>
          <w:noEndnote/>
        </w:sectPr>
      </w:pPr>
    </w:p>
    <w:p w14:paraId="34184F05" w14:textId="5A420E70" w:rsidR="00EA7528" w:rsidRPr="00EA7528" w:rsidRDefault="00EA7528" w:rsidP="00EA7528">
      <w:pPr>
        <w:pStyle w:val="Heading1"/>
        <w:spacing w:before="120" w:after="120"/>
        <w:rPr>
          <w:sz w:val="24"/>
          <w:szCs w:val="24"/>
        </w:rPr>
      </w:pPr>
      <w:bookmarkStart w:id="165" w:name="_Toc285139927"/>
      <w:bookmarkStart w:id="166" w:name="_Toc285218168"/>
      <w:bookmarkStart w:id="167" w:name="_Toc422230744"/>
      <w:bookmarkStart w:id="168" w:name="_Toc308103278"/>
      <w:r w:rsidRPr="00EA7528">
        <w:rPr>
          <w:sz w:val="24"/>
          <w:szCs w:val="24"/>
        </w:rPr>
        <w:t>Annex 10:  Capacity Development Monitoring Scorecard</w:t>
      </w:r>
      <w:bookmarkEnd w:id="165"/>
      <w:bookmarkEnd w:id="166"/>
      <w:bookmarkEnd w:id="167"/>
      <w:bookmarkEnd w:id="168"/>
    </w:p>
    <w:p w14:paraId="3DDF5E95" w14:textId="29EBDA02" w:rsidR="00EA7528" w:rsidRPr="00A22C62" w:rsidRDefault="00EA7528" w:rsidP="00EA7528">
      <w:pPr>
        <w:rPr>
          <w:b/>
          <w:sz w:val="22"/>
          <w:szCs w:val="22"/>
          <w:u w:val="single"/>
        </w:rPr>
      </w:pPr>
      <w:r w:rsidRPr="00A22C62">
        <w:rPr>
          <w:sz w:val="22"/>
          <w:szCs w:val="22"/>
        </w:rPr>
        <w:t>Project/Programme Name:</w:t>
      </w:r>
      <w:r w:rsidRPr="00A22C62">
        <w:rPr>
          <w:sz w:val="22"/>
          <w:szCs w:val="22"/>
          <w:u w:val="single"/>
        </w:rPr>
        <w:t xml:space="preserve">  </w:t>
      </w:r>
      <w:r w:rsidR="00A22C62" w:rsidRPr="00A22C62">
        <w:rPr>
          <w:b/>
          <w:sz w:val="20"/>
          <w:szCs w:val="20"/>
          <w:u w:val="single"/>
        </w:rPr>
        <w:t>Strengthening capacities to undertake environmental fiscal reform to meet national and global environmental priorities (</w:t>
      </w:r>
      <w:r w:rsidR="00A22C62" w:rsidRPr="00A22C62">
        <w:rPr>
          <w:b/>
          <w:i/>
          <w:sz w:val="20"/>
          <w:szCs w:val="20"/>
          <w:u w:val="single"/>
        </w:rPr>
        <w:t>Moldova</w:t>
      </w:r>
      <w:r w:rsidR="00A22C62" w:rsidRPr="00A22C62">
        <w:rPr>
          <w:b/>
          <w:sz w:val="20"/>
          <w:szCs w:val="20"/>
          <w:u w:val="single"/>
        </w:rPr>
        <w:t>)</w:t>
      </w:r>
    </w:p>
    <w:p w14:paraId="3D3C5C10" w14:textId="4DFCC0BE" w:rsidR="00EA7528" w:rsidRPr="00A22C62" w:rsidRDefault="00EA7528" w:rsidP="00EA7528">
      <w:pPr>
        <w:rPr>
          <w:sz w:val="22"/>
          <w:szCs w:val="22"/>
          <w:u w:val="single"/>
        </w:rPr>
      </w:pPr>
      <w:r w:rsidRPr="00A22C62">
        <w:rPr>
          <w:sz w:val="22"/>
          <w:szCs w:val="22"/>
        </w:rPr>
        <w:t>Project/Programme Cycle Phase:</w:t>
      </w:r>
      <w:r w:rsidRPr="00A22C62">
        <w:rPr>
          <w:sz w:val="22"/>
          <w:szCs w:val="22"/>
          <w:u w:val="single"/>
        </w:rPr>
        <w:tab/>
      </w:r>
      <w:r w:rsidR="00A22C62">
        <w:rPr>
          <w:sz w:val="22"/>
          <w:szCs w:val="22"/>
          <w:u w:val="single"/>
        </w:rPr>
        <w:t>Terminal Evaluation</w:t>
      </w:r>
      <w:r w:rsidRPr="00A22C62">
        <w:rPr>
          <w:sz w:val="22"/>
          <w:szCs w:val="22"/>
          <w:u w:val="single"/>
        </w:rPr>
        <w:t xml:space="preserve"> </w:t>
      </w:r>
      <w:r w:rsidRPr="00A22C62">
        <w:rPr>
          <w:sz w:val="22"/>
          <w:szCs w:val="22"/>
          <w:u w:val="single"/>
        </w:rPr>
        <w:tab/>
      </w:r>
      <w:r w:rsidRPr="00A22C62">
        <w:rPr>
          <w:sz w:val="22"/>
          <w:szCs w:val="22"/>
          <w:u w:val="single"/>
        </w:rPr>
        <w:tab/>
      </w:r>
      <w:r w:rsidRPr="00A22C62">
        <w:rPr>
          <w:sz w:val="22"/>
          <w:szCs w:val="22"/>
          <w:u w:val="single"/>
        </w:rPr>
        <w:tab/>
      </w:r>
      <w:r w:rsidRPr="00A22C62">
        <w:rPr>
          <w:sz w:val="22"/>
          <w:szCs w:val="22"/>
          <w:u w:val="single"/>
        </w:rPr>
        <w:tab/>
      </w:r>
      <w:r w:rsidRPr="00A22C62">
        <w:rPr>
          <w:sz w:val="22"/>
          <w:szCs w:val="22"/>
          <w:u w:val="single"/>
        </w:rPr>
        <w:tab/>
      </w:r>
      <w:r w:rsidRPr="00A22C62">
        <w:rPr>
          <w:sz w:val="22"/>
          <w:szCs w:val="22"/>
          <w:u w:val="single"/>
        </w:rPr>
        <w:tab/>
      </w:r>
      <w:r w:rsidRPr="00A22C62">
        <w:rPr>
          <w:sz w:val="22"/>
          <w:szCs w:val="22"/>
        </w:rPr>
        <w:t>Date:</w:t>
      </w:r>
      <w:r w:rsidRPr="00A22C62">
        <w:rPr>
          <w:sz w:val="22"/>
          <w:szCs w:val="22"/>
          <w:u w:val="single"/>
        </w:rPr>
        <w:tab/>
      </w:r>
      <w:r w:rsidR="00A22C62">
        <w:rPr>
          <w:sz w:val="22"/>
          <w:szCs w:val="22"/>
          <w:u w:val="single"/>
        </w:rPr>
        <w:t xml:space="preserve">September </w:t>
      </w:r>
      <w:r w:rsidRPr="00A22C62">
        <w:rPr>
          <w:sz w:val="22"/>
          <w:szCs w:val="22"/>
          <w:u w:val="single"/>
        </w:rPr>
        <w:t>201</w:t>
      </w:r>
      <w:r w:rsidR="00A22C62">
        <w:rPr>
          <w:sz w:val="22"/>
          <w:szCs w:val="22"/>
          <w:u w:val="single"/>
        </w:rPr>
        <w:t>5</w:t>
      </w:r>
    </w:p>
    <w:p w14:paraId="4FA494CC" w14:textId="77777777" w:rsidR="00EA7528" w:rsidRPr="008E516B" w:rsidRDefault="00EA7528" w:rsidP="00EA7528">
      <w:pPr>
        <w:rPr>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5387"/>
        <w:gridCol w:w="737"/>
        <w:gridCol w:w="718"/>
        <w:gridCol w:w="808"/>
        <w:gridCol w:w="3686"/>
        <w:gridCol w:w="1418"/>
      </w:tblGrid>
      <w:tr w:rsidR="002264C9" w:rsidRPr="008E516B" w14:paraId="49AFE269" w14:textId="77777777" w:rsidTr="00A34F87">
        <w:trPr>
          <w:trHeight w:val="373"/>
          <w:tblHeader/>
          <w:jc w:val="center"/>
        </w:trPr>
        <w:tc>
          <w:tcPr>
            <w:tcW w:w="1636" w:type="dxa"/>
            <w:tcBorders>
              <w:bottom w:val="single" w:sz="4" w:space="0" w:color="auto"/>
            </w:tcBorders>
            <w:shd w:val="clear" w:color="auto" w:fill="000000"/>
            <w:vAlign w:val="center"/>
          </w:tcPr>
          <w:p w14:paraId="77ED3EC8" w14:textId="77777777" w:rsidR="002264C9" w:rsidRPr="008E516B" w:rsidRDefault="002264C9" w:rsidP="0058696A">
            <w:pPr>
              <w:jc w:val="center"/>
              <w:rPr>
                <w:b/>
                <w:color w:val="FFFFFF"/>
                <w:sz w:val="18"/>
                <w:szCs w:val="22"/>
              </w:rPr>
            </w:pPr>
            <w:r w:rsidRPr="008E516B">
              <w:rPr>
                <w:b/>
                <w:color w:val="FFFFFF"/>
                <w:sz w:val="18"/>
                <w:szCs w:val="22"/>
              </w:rPr>
              <w:t>Capacity Result / Indicator</w:t>
            </w:r>
          </w:p>
        </w:tc>
        <w:tc>
          <w:tcPr>
            <w:tcW w:w="5387" w:type="dxa"/>
            <w:tcBorders>
              <w:bottom w:val="single" w:sz="4" w:space="0" w:color="auto"/>
            </w:tcBorders>
            <w:shd w:val="clear" w:color="auto" w:fill="000000"/>
            <w:vAlign w:val="center"/>
          </w:tcPr>
          <w:p w14:paraId="638E7557" w14:textId="77777777" w:rsidR="002264C9" w:rsidRPr="008E516B" w:rsidRDefault="002264C9" w:rsidP="0058696A">
            <w:pPr>
              <w:jc w:val="center"/>
              <w:rPr>
                <w:b/>
                <w:color w:val="FFFFFF"/>
                <w:sz w:val="18"/>
                <w:szCs w:val="22"/>
              </w:rPr>
            </w:pPr>
            <w:r w:rsidRPr="008E516B">
              <w:rPr>
                <w:b/>
                <w:color w:val="FFFFFF"/>
                <w:sz w:val="18"/>
                <w:szCs w:val="22"/>
              </w:rPr>
              <w:t>Staged Indicators</w:t>
            </w:r>
          </w:p>
        </w:tc>
        <w:tc>
          <w:tcPr>
            <w:tcW w:w="737" w:type="dxa"/>
            <w:tcBorders>
              <w:bottom w:val="single" w:sz="4" w:space="0" w:color="auto"/>
            </w:tcBorders>
            <w:shd w:val="clear" w:color="auto" w:fill="000000"/>
            <w:vAlign w:val="center"/>
          </w:tcPr>
          <w:p w14:paraId="6B388004" w14:textId="77777777" w:rsidR="002264C9" w:rsidRPr="008E516B" w:rsidRDefault="002264C9" w:rsidP="0058696A">
            <w:pPr>
              <w:jc w:val="center"/>
              <w:rPr>
                <w:b/>
                <w:color w:val="FFFFFF"/>
                <w:sz w:val="18"/>
                <w:szCs w:val="22"/>
              </w:rPr>
            </w:pPr>
            <w:r w:rsidRPr="008E516B">
              <w:rPr>
                <w:b/>
                <w:color w:val="FFFFFF"/>
                <w:sz w:val="18"/>
                <w:szCs w:val="22"/>
              </w:rPr>
              <w:t>Rating</w:t>
            </w:r>
          </w:p>
        </w:tc>
        <w:tc>
          <w:tcPr>
            <w:tcW w:w="718" w:type="dxa"/>
            <w:tcBorders>
              <w:bottom w:val="single" w:sz="4" w:space="0" w:color="auto"/>
            </w:tcBorders>
            <w:shd w:val="clear" w:color="auto" w:fill="000000"/>
            <w:vAlign w:val="center"/>
          </w:tcPr>
          <w:p w14:paraId="71940B7E" w14:textId="44A68BBF" w:rsidR="002264C9" w:rsidRPr="008E516B" w:rsidRDefault="002264C9" w:rsidP="0058696A">
            <w:pPr>
              <w:jc w:val="center"/>
              <w:rPr>
                <w:b/>
                <w:color w:val="FFFFFF"/>
                <w:sz w:val="18"/>
                <w:szCs w:val="22"/>
              </w:rPr>
            </w:pPr>
            <w:r>
              <w:rPr>
                <w:b/>
                <w:color w:val="FFFFFF"/>
                <w:sz w:val="18"/>
                <w:szCs w:val="22"/>
              </w:rPr>
              <w:t xml:space="preserve">Start </w:t>
            </w:r>
            <w:r w:rsidRPr="008E516B">
              <w:rPr>
                <w:b/>
                <w:color w:val="FFFFFF"/>
                <w:sz w:val="18"/>
                <w:szCs w:val="22"/>
              </w:rPr>
              <w:t>Score</w:t>
            </w:r>
          </w:p>
        </w:tc>
        <w:tc>
          <w:tcPr>
            <w:tcW w:w="808" w:type="dxa"/>
            <w:tcBorders>
              <w:bottom w:val="single" w:sz="4" w:space="0" w:color="auto"/>
            </w:tcBorders>
            <w:shd w:val="clear" w:color="auto" w:fill="000000"/>
            <w:vAlign w:val="center"/>
          </w:tcPr>
          <w:p w14:paraId="735FF753" w14:textId="5122F1E4" w:rsidR="002264C9" w:rsidRPr="009F382A" w:rsidRDefault="002264C9" w:rsidP="001C7AEA">
            <w:pPr>
              <w:jc w:val="center"/>
              <w:rPr>
                <w:b/>
                <w:color w:val="FFFFFF"/>
                <w:sz w:val="18"/>
                <w:szCs w:val="22"/>
              </w:rPr>
            </w:pPr>
            <w:r w:rsidRPr="009F382A">
              <w:rPr>
                <w:b/>
                <w:color w:val="FFFFFF"/>
                <w:sz w:val="18"/>
                <w:szCs w:val="22"/>
              </w:rPr>
              <w:t>TE Score</w:t>
            </w:r>
          </w:p>
        </w:tc>
        <w:tc>
          <w:tcPr>
            <w:tcW w:w="3686" w:type="dxa"/>
            <w:tcBorders>
              <w:bottom w:val="single" w:sz="4" w:space="0" w:color="auto"/>
            </w:tcBorders>
            <w:shd w:val="clear" w:color="auto" w:fill="000000"/>
            <w:vAlign w:val="center"/>
          </w:tcPr>
          <w:p w14:paraId="5789CC4B" w14:textId="73893FC2" w:rsidR="002264C9" w:rsidRPr="008E516B" w:rsidRDefault="002264C9" w:rsidP="0058696A">
            <w:pPr>
              <w:jc w:val="center"/>
              <w:rPr>
                <w:b/>
                <w:color w:val="FFFFFF"/>
                <w:sz w:val="18"/>
                <w:szCs w:val="22"/>
              </w:rPr>
            </w:pPr>
            <w:r w:rsidRPr="008E516B">
              <w:rPr>
                <w:b/>
                <w:color w:val="FFFFFF"/>
                <w:sz w:val="18"/>
                <w:szCs w:val="22"/>
              </w:rPr>
              <w:t>Comments</w:t>
            </w:r>
          </w:p>
        </w:tc>
        <w:tc>
          <w:tcPr>
            <w:tcW w:w="1418" w:type="dxa"/>
            <w:tcBorders>
              <w:bottom w:val="single" w:sz="4" w:space="0" w:color="auto"/>
            </w:tcBorders>
            <w:shd w:val="clear" w:color="auto" w:fill="000000"/>
            <w:vAlign w:val="center"/>
          </w:tcPr>
          <w:p w14:paraId="34CD7936" w14:textId="77777777" w:rsidR="002264C9" w:rsidRPr="00D43463" w:rsidRDefault="002264C9" w:rsidP="0058696A">
            <w:pPr>
              <w:jc w:val="center"/>
              <w:rPr>
                <w:b/>
                <w:color w:val="FFFFFF"/>
                <w:sz w:val="18"/>
                <w:szCs w:val="22"/>
              </w:rPr>
            </w:pPr>
            <w:r w:rsidRPr="00D43463">
              <w:rPr>
                <w:b/>
                <w:color w:val="FFFFFF"/>
                <w:sz w:val="18"/>
                <w:szCs w:val="22"/>
              </w:rPr>
              <w:t>Contribution to Outcome</w:t>
            </w:r>
          </w:p>
        </w:tc>
      </w:tr>
      <w:tr w:rsidR="002264C9" w:rsidRPr="008E516B" w14:paraId="4CFA2146" w14:textId="77777777" w:rsidTr="00A34F87">
        <w:trPr>
          <w:trHeight w:val="454"/>
          <w:jc w:val="center"/>
        </w:trPr>
        <w:tc>
          <w:tcPr>
            <w:tcW w:w="7760" w:type="dxa"/>
            <w:gridSpan w:val="3"/>
            <w:tcBorders>
              <w:bottom w:val="single" w:sz="4" w:space="0" w:color="auto"/>
              <w:right w:val="nil"/>
            </w:tcBorders>
            <w:vAlign w:val="center"/>
          </w:tcPr>
          <w:p w14:paraId="7B8DAF28" w14:textId="77777777" w:rsidR="002264C9" w:rsidRPr="008E516B" w:rsidRDefault="002264C9" w:rsidP="0058696A">
            <w:pPr>
              <w:rPr>
                <w:b/>
                <w:color w:val="0000FF"/>
                <w:sz w:val="22"/>
                <w:szCs w:val="22"/>
              </w:rPr>
            </w:pPr>
            <w:r w:rsidRPr="008E516B">
              <w:rPr>
                <w:b/>
                <w:color w:val="0000FF"/>
                <w:sz w:val="22"/>
                <w:szCs w:val="22"/>
              </w:rPr>
              <w:t>CR 1: Capacities for engagement</w:t>
            </w:r>
          </w:p>
        </w:tc>
        <w:tc>
          <w:tcPr>
            <w:tcW w:w="718" w:type="dxa"/>
            <w:tcBorders>
              <w:left w:val="nil"/>
              <w:right w:val="nil"/>
            </w:tcBorders>
            <w:vAlign w:val="center"/>
          </w:tcPr>
          <w:p w14:paraId="058589A5" w14:textId="77777777" w:rsidR="002264C9" w:rsidRPr="008E516B" w:rsidRDefault="002264C9" w:rsidP="0058696A">
            <w:pPr>
              <w:spacing w:before="120"/>
              <w:jc w:val="center"/>
              <w:rPr>
                <w:sz w:val="18"/>
                <w:szCs w:val="22"/>
              </w:rPr>
            </w:pPr>
          </w:p>
        </w:tc>
        <w:tc>
          <w:tcPr>
            <w:tcW w:w="808" w:type="dxa"/>
            <w:tcBorders>
              <w:left w:val="nil"/>
              <w:right w:val="nil"/>
            </w:tcBorders>
            <w:vAlign w:val="center"/>
          </w:tcPr>
          <w:p w14:paraId="716FE207" w14:textId="77777777" w:rsidR="002264C9" w:rsidRPr="009F382A" w:rsidRDefault="002264C9" w:rsidP="001C7AEA">
            <w:pPr>
              <w:spacing w:before="120"/>
              <w:jc w:val="center"/>
              <w:rPr>
                <w:b/>
                <w:sz w:val="18"/>
                <w:szCs w:val="22"/>
              </w:rPr>
            </w:pPr>
          </w:p>
        </w:tc>
        <w:tc>
          <w:tcPr>
            <w:tcW w:w="3686" w:type="dxa"/>
            <w:tcBorders>
              <w:left w:val="nil"/>
              <w:right w:val="nil"/>
            </w:tcBorders>
          </w:tcPr>
          <w:p w14:paraId="6EFE3902" w14:textId="43A0231D" w:rsidR="002264C9" w:rsidRPr="008E516B" w:rsidRDefault="002264C9" w:rsidP="0058696A">
            <w:pPr>
              <w:spacing w:before="120"/>
              <w:rPr>
                <w:sz w:val="18"/>
                <w:szCs w:val="22"/>
              </w:rPr>
            </w:pPr>
          </w:p>
        </w:tc>
        <w:tc>
          <w:tcPr>
            <w:tcW w:w="1418" w:type="dxa"/>
            <w:tcBorders>
              <w:left w:val="nil"/>
            </w:tcBorders>
            <w:vAlign w:val="center"/>
          </w:tcPr>
          <w:p w14:paraId="43AC886A" w14:textId="77777777" w:rsidR="002264C9" w:rsidRPr="00D43463" w:rsidRDefault="002264C9" w:rsidP="0058696A">
            <w:pPr>
              <w:spacing w:before="120"/>
              <w:jc w:val="center"/>
              <w:rPr>
                <w:b/>
                <w:sz w:val="18"/>
                <w:szCs w:val="22"/>
              </w:rPr>
            </w:pPr>
          </w:p>
        </w:tc>
      </w:tr>
      <w:tr w:rsidR="002264C9" w:rsidRPr="008E516B" w14:paraId="6916EAAF" w14:textId="77777777" w:rsidTr="00A34F87">
        <w:trPr>
          <w:jc w:val="center"/>
        </w:trPr>
        <w:tc>
          <w:tcPr>
            <w:tcW w:w="1636" w:type="dxa"/>
            <w:vMerge w:val="restart"/>
            <w:tcBorders>
              <w:top w:val="single" w:sz="4" w:space="0" w:color="auto"/>
            </w:tcBorders>
            <w:shd w:val="clear" w:color="auto" w:fill="E6E6E6"/>
          </w:tcPr>
          <w:p w14:paraId="32DB614F" w14:textId="77777777" w:rsidR="002264C9" w:rsidRPr="008E516B" w:rsidRDefault="002264C9" w:rsidP="0058696A">
            <w:pPr>
              <w:rPr>
                <w:sz w:val="18"/>
                <w:szCs w:val="22"/>
              </w:rPr>
            </w:pPr>
            <w:r w:rsidRPr="008E516B">
              <w:rPr>
                <w:sz w:val="18"/>
                <w:szCs w:val="22"/>
              </w:rPr>
              <w:t>Indicator 1 – Degree of legitimacy/mandate of lead environmental organizations</w:t>
            </w:r>
          </w:p>
        </w:tc>
        <w:tc>
          <w:tcPr>
            <w:tcW w:w="5387" w:type="dxa"/>
            <w:tcBorders>
              <w:top w:val="single" w:sz="4" w:space="0" w:color="auto"/>
            </w:tcBorders>
            <w:shd w:val="clear" w:color="auto" w:fill="E6E6E6"/>
          </w:tcPr>
          <w:p w14:paraId="2530D63D" w14:textId="77777777" w:rsidR="002264C9" w:rsidRPr="008E516B" w:rsidRDefault="002264C9" w:rsidP="0058696A">
            <w:pPr>
              <w:rPr>
                <w:sz w:val="18"/>
                <w:szCs w:val="22"/>
              </w:rPr>
            </w:pPr>
            <w:r w:rsidRPr="008E516B">
              <w:rPr>
                <w:sz w:val="18"/>
                <w:szCs w:val="22"/>
              </w:rPr>
              <w:t>Institutional responsibilities for environmental management are not clearly defined</w:t>
            </w:r>
          </w:p>
        </w:tc>
        <w:tc>
          <w:tcPr>
            <w:tcW w:w="737" w:type="dxa"/>
            <w:tcBorders>
              <w:top w:val="single" w:sz="4" w:space="0" w:color="auto"/>
            </w:tcBorders>
            <w:vAlign w:val="center"/>
          </w:tcPr>
          <w:p w14:paraId="5D97A106"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1D094C3B" w14:textId="69876C60" w:rsidR="002264C9" w:rsidRPr="008E516B" w:rsidRDefault="002264C9" w:rsidP="0058696A">
            <w:pPr>
              <w:jc w:val="center"/>
              <w:rPr>
                <w:sz w:val="18"/>
                <w:szCs w:val="22"/>
              </w:rPr>
            </w:pPr>
            <w:r w:rsidRPr="008E516B">
              <w:rPr>
                <w:b/>
                <w:sz w:val="18"/>
                <w:szCs w:val="22"/>
              </w:rPr>
              <w:t>1</w:t>
            </w:r>
          </w:p>
        </w:tc>
        <w:tc>
          <w:tcPr>
            <w:tcW w:w="808" w:type="dxa"/>
            <w:vMerge w:val="restart"/>
            <w:vAlign w:val="center"/>
          </w:tcPr>
          <w:p w14:paraId="4DAA1FF7" w14:textId="5435BEB4" w:rsidR="002264C9" w:rsidRPr="009F382A" w:rsidRDefault="002264C9" w:rsidP="001C7AEA">
            <w:pPr>
              <w:jc w:val="center"/>
              <w:rPr>
                <w:b/>
                <w:sz w:val="18"/>
                <w:szCs w:val="22"/>
              </w:rPr>
            </w:pPr>
            <w:r w:rsidRPr="009F382A">
              <w:rPr>
                <w:b/>
                <w:sz w:val="18"/>
                <w:szCs w:val="22"/>
              </w:rPr>
              <w:t>2</w:t>
            </w:r>
          </w:p>
        </w:tc>
        <w:tc>
          <w:tcPr>
            <w:tcW w:w="3686" w:type="dxa"/>
            <w:vMerge w:val="restart"/>
            <w:vAlign w:val="center"/>
          </w:tcPr>
          <w:p w14:paraId="08BE403D" w14:textId="6D5A2BCC" w:rsidR="002264C9" w:rsidRPr="008E516B" w:rsidRDefault="00026ABC" w:rsidP="00D43463">
            <w:pPr>
              <w:rPr>
                <w:sz w:val="18"/>
                <w:szCs w:val="22"/>
              </w:rPr>
            </w:pPr>
            <w:r>
              <w:rPr>
                <w:sz w:val="18"/>
                <w:szCs w:val="22"/>
              </w:rPr>
              <w:t>Through political dialogues, MOE has a greater authority and legitimacy to manage the environment</w:t>
            </w:r>
            <w:r w:rsidR="00D43463">
              <w:rPr>
                <w:sz w:val="18"/>
                <w:szCs w:val="22"/>
              </w:rPr>
              <w:t xml:space="preserve"> that is recognized by stakeholders.</w:t>
            </w:r>
          </w:p>
        </w:tc>
        <w:tc>
          <w:tcPr>
            <w:tcW w:w="1418" w:type="dxa"/>
            <w:vMerge w:val="restart"/>
            <w:vAlign w:val="center"/>
          </w:tcPr>
          <w:p w14:paraId="43A9EDDC" w14:textId="374F1DE8" w:rsidR="002264C9" w:rsidRPr="00D43463" w:rsidRDefault="00D43463" w:rsidP="0058696A">
            <w:pPr>
              <w:jc w:val="center"/>
              <w:rPr>
                <w:b/>
                <w:sz w:val="18"/>
                <w:szCs w:val="22"/>
              </w:rPr>
            </w:pPr>
            <w:r w:rsidRPr="00D43463">
              <w:rPr>
                <w:b/>
                <w:sz w:val="18"/>
                <w:szCs w:val="22"/>
              </w:rPr>
              <w:t>2</w:t>
            </w:r>
          </w:p>
        </w:tc>
      </w:tr>
      <w:tr w:rsidR="002264C9" w:rsidRPr="008E516B" w14:paraId="7DF70B56" w14:textId="77777777" w:rsidTr="00A34F87">
        <w:trPr>
          <w:jc w:val="center"/>
        </w:trPr>
        <w:tc>
          <w:tcPr>
            <w:tcW w:w="1636" w:type="dxa"/>
            <w:vMerge/>
            <w:shd w:val="clear" w:color="auto" w:fill="E6E6E6"/>
          </w:tcPr>
          <w:p w14:paraId="2F362CA4" w14:textId="77777777" w:rsidR="002264C9" w:rsidRPr="008E516B" w:rsidRDefault="002264C9" w:rsidP="0058696A">
            <w:pPr>
              <w:spacing w:before="120"/>
              <w:rPr>
                <w:sz w:val="18"/>
                <w:szCs w:val="22"/>
              </w:rPr>
            </w:pPr>
          </w:p>
        </w:tc>
        <w:tc>
          <w:tcPr>
            <w:tcW w:w="5387" w:type="dxa"/>
            <w:shd w:val="clear" w:color="auto" w:fill="E6E6E6"/>
          </w:tcPr>
          <w:p w14:paraId="4C5B6D17" w14:textId="77777777" w:rsidR="002264C9" w:rsidRPr="008E516B" w:rsidRDefault="002264C9" w:rsidP="0058696A">
            <w:pPr>
              <w:rPr>
                <w:sz w:val="18"/>
                <w:szCs w:val="22"/>
              </w:rPr>
            </w:pPr>
            <w:r w:rsidRPr="008E516B">
              <w:rPr>
                <w:sz w:val="18"/>
                <w:szCs w:val="22"/>
              </w:rPr>
              <w:t>Institutional responsibilities for environmental management are identified</w:t>
            </w:r>
          </w:p>
        </w:tc>
        <w:tc>
          <w:tcPr>
            <w:tcW w:w="737" w:type="dxa"/>
            <w:vAlign w:val="center"/>
          </w:tcPr>
          <w:p w14:paraId="6A74D934"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1FBD9588" w14:textId="68A0526F" w:rsidR="002264C9" w:rsidRPr="008E516B" w:rsidRDefault="002264C9" w:rsidP="0058696A">
            <w:pPr>
              <w:jc w:val="center"/>
              <w:rPr>
                <w:b/>
                <w:sz w:val="18"/>
                <w:szCs w:val="22"/>
              </w:rPr>
            </w:pPr>
          </w:p>
        </w:tc>
        <w:tc>
          <w:tcPr>
            <w:tcW w:w="808" w:type="dxa"/>
            <w:vMerge/>
            <w:vAlign w:val="center"/>
          </w:tcPr>
          <w:p w14:paraId="1607E3C9" w14:textId="77777777" w:rsidR="002264C9" w:rsidRPr="009F382A" w:rsidRDefault="002264C9" w:rsidP="001C7AEA">
            <w:pPr>
              <w:spacing w:before="120"/>
              <w:jc w:val="center"/>
              <w:rPr>
                <w:b/>
                <w:sz w:val="18"/>
                <w:szCs w:val="22"/>
              </w:rPr>
            </w:pPr>
          </w:p>
        </w:tc>
        <w:tc>
          <w:tcPr>
            <w:tcW w:w="3686" w:type="dxa"/>
            <w:vMerge/>
          </w:tcPr>
          <w:p w14:paraId="471E3CA0" w14:textId="129916AF" w:rsidR="002264C9" w:rsidRPr="008E516B" w:rsidRDefault="002264C9" w:rsidP="0058696A">
            <w:pPr>
              <w:spacing w:before="120"/>
              <w:rPr>
                <w:sz w:val="18"/>
                <w:szCs w:val="22"/>
              </w:rPr>
            </w:pPr>
          </w:p>
        </w:tc>
        <w:tc>
          <w:tcPr>
            <w:tcW w:w="1418" w:type="dxa"/>
            <w:vMerge/>
            <w:vAlign w:val="center"/>
          </w:tcPr>
          <w:p w14:paraId="5CB3EF7A" w14:textId="77777777" w:rsidR="002264C9" w:rsidRPr="00D43463" w:rsidRDefault="002264C9" w:rsidP="0058696A">
            <w:pPr>
              <w:spacing w:before="120"/>
              <w:jc w:val="center"/>
              <w:rPr>
                <w:b/>
                <w:sz w:val="18"/>
                <w:szCs w:val="22"/>
              </w:rPr>
            </w:pPr>
          </w:p>
        </w:tc>
      </w:tr>
      <w:tr w:rsidR="002264C9" w:rsidRPr="008E516B" w14:paraId="5909BFAD" w14:textId="77777777" w:rsidTr="00A34F87">
        <w:trPr>
          <w:jc w:val="center"/>
        </w:trPr>
        <w:tc>
          <w:tcPr>
            <w:tcW w:w="1636" w:type="dxa"/>
            <w:vMerge/>
            <w:shd w:val="clear" w:color="auto" w:fill="E6E6E6"/>
          </w:tcPr>
          <w:p w14:paraId="097AD14A" w14:textId="77777777" w:rsidR="002264C9" w:rsidRPr="008E516B" w:rsidRDefault="002264C9" w:rsidP="0058696A">
            <w:pPr>
              <w:spacing w:before="120"/>
              <w:rPr>
                <w:sz w:val="18"/>
                <w:szCs w:val="22"/>
              </w:rPr>
            </w:pPr>
          </w:p>
        </w:tc>
        <w:tc>
          <w:tcPr>
            <w:tcW w:w="5387" w:type="dxa"/>
            <w:shd w:val="clear" w:color="auto" w:fill="E6E6E6"/>
          </w:tcPr>
          <w:p w14:paraId="47BBBEDA" w14:textId="77777777" w:rsidR="002264C9" w:rsidRPr="008E516B" w:rsidRDefault="002264C9" w:rsidP="0058696A">
            <w:pPr>
              <w:rPr>
                <w:sz w:val="18"/>
                <w:szCs w:val="22"/>
              </w:rPr>
            </w:pPr>
            <w:r w:rsidRPr="008E516B">
              <w:rPr>
                <w:sz w:val="18"/>
                <w:szCs w:val="22"/>
              </w:rPr>
              <w:t>Authority and legitimacy of all lead organizations responsible for environmental management are partially recognized by stakeholders</w:t>
            </w:r>
          </w:p>
        </w:tc>
        <w:tc>
          <w:tcPr>
            <w:tcW w:w="737" w:type="dxa"/>
            <w:vAlign w:val="center"/>
          </w:tcPr>
          <w:p w14:paraId="0895892A" w14:textId="77777777" w:rsidR="002264C9" w:rsidRPr="008E516B" w:rsidRDefault="002264C9" w:rsidP="0058696A">
            <w:pPr>
              <w:jc w:val="center"/>
              <w:rPr>
                <w:sz w:val="18"/>
                <w:szCs w:val="22"/>
              </w:rPr>
            </w:pPr>
            <w:r w:rsidRPr="008E516B">
              <w:rPr>
                <w:sz w:val="18"/>
                <w:szCs w:val="22"/>
              </w:rPr>
              <w:t>2</w:t>
            </w:r>
          </w:p>
        </w:tc>
        <w:tc>
          <w:tcPr>
            <w:tcW w:w="718" w:type="dxa"/>
            <w:vMerge/>
          </w:tcPr>
          <w:p w14:paraId="6BBBCD2C" w14:textId="77777777" w:rsidR="002264C9" w:rsidRPr="008E516B" w:rsidRDefault="002264C9" w:rsidP="0058696A">
            <w:pPr>
              <w:spacing w:before="120"/>
              <w:rPr>
                <w:sz w:val="18"/>
                <w:szCs w:val="22"/>
              </w:rPr>
            </w:pPr>
          </w:p>
        </w:tc>
        <w:tc>
          <w:tcPr>
            <w:tcW w:w="808" w:type="dxa"/>
            <w:vMerge/>
            <w:vAlign w:val="center"/>
          </w:tcPr>
          <w:p w14:paraId="519993B0" w14:textId="77777777" w:rsidR="002264C9" w:rsidRPr="009F382A" w:rsidRDefault="002264C9" w:rsidP="001C7AEA">
            <w:pPr>
              <w:spacing w:before="120"/>
              <w:jc w:val="center"/>
              <w:rPr>
                <w:b/>
                <w:sz w:val="18"/>
                <w:szCs w:val="22"/>
              </w:rPr>
            </w:pPr>
          </w:p>
        </w:tc>
        <w:tc>
          <w:tcPr>
            <w:tcW w:w="3686" w:type="dxa"/>
            <w:vMerge/>
          </w:tcPr>
          <w:p w14:paraId="1EBB04AD" w14:textId="47BA4FF0" w:rsidR="002264C9" w:rsidRPr="008E516B" w:rsidRDefault="002264C9" w:rsidP="0058696A">
            <w:pPr>
              <w:spacing w:before="120"/>
              <w:rPr>
                <w:sz w:val="18"/>
                <w:szCs w:val="22"/>
              </w:rPr>
            </w:pPr>
          </w:p>
        </w:tc>
        <w:tc>
          <w:tcPr>
            <w:tcW w:w="1418" w:type="dxa"/>
            <w:vMerge/>
            <w:vAlign w:val="center"/>
          </w:tcPr>
          <w:p w14:paraId="654667D2" w14:textId="77777777" w:rsidR="002264C9" w:rsidRPr="00D43463" w:rsidRDefault="002264C9" w:rsidP="0058696A">
            <w:pPr>
              <w:spacing w:before="120"/>
              <w:jc w:val="center"/>
              <w:rPr>
                <w:b/>
                <w:sz w:val="18"/>
                <w:szCs w:val="22"/>
              </w:rPr>
            </w:pPr>
          </w:p>
        </w:tc>
      </w:tr>
      <w:tr w:rsidR="002264C9" w:rsidRPr="008E516B" w14:paraId="2090F32D" w14:textId="77777777" w:rsidTr="00A34F87">
        <w:trPr>
          <w:jc w:val="center"/>
        </w:trPr>
        <w:tc>
          <w:tcPr>
            <w:tcW w:w="1636" w:type="dxa"/>
            <w:vMerge/>
            <w:shd w:val="clear" w:color="auto" w:fill="E6E6E6"/>
          </w:tcPr>
          <w:p w14:paraId="660B2843" w14:textId="77777777" w:rsidR="002264C9" w:rsidRPr="008E516B" w:rsidRDefault="002264C9" w:rsidP="0058696A">
            <w:pPr>
              <w:spacing w:before="120"/>
              <w:rPr>
                <w:sz w:val="18"/>
                <w:szCs w:val="22"/>
              </w:rPr>
            </w:pPr>
          </w:p>
        </w:tc>
        <w:tc>
          <w:tcPr>
            <w:tcW w:w="5387" w:type="dxa"/>
            <w:shd w:val="clear" w:color="auto" w:fill="E6E6E6"/>
          </w:tcPr>
          <w:p w14:paraId="55147911" w14:textId="77777777" w:rsidR="002264C9" w:rsidRPr="008E516B" w:rsidRDefault="002264C9" w:rsidP="0058696A">
            <w:pPr>
              <w:rPr>
                <w:sz w:val="18"/>
                <w:szCs w:val="22"/>
              </w:rPr>
            </w:pPr>
            <w:r w:rsidRPr="008E516B">
              <w:rPr>
                <w:sz w:val="18"/>
                <w:szCs w:val="22"/>
              </w:rPr>
              <w:t>Authority and legitimacy of all lead organizations responsible for environmental management recognized by stakeholders</w:t>
            </w:r>
          </w:p>
        </w:tc>
        <w:tc>
          <w:tcPr>
            <w:tcW w:w="737" w:type="dxa"/>
            <w:vAlign w:val="center"/>
          </w:tcPr>
          <w:p w14:paraId="0D755C24" w14:textId="77777777" w:rsidR="002264C9" w:rsidRPr="008E516B" w:rsidRDefault="002264C9" w:rsidP="0058696A">
            <w:pPr>
              <w:jc w:val="center"/>
              <w:rPr>
                <w:sz w:val="18"/>
                <w:szCs w:val="22"/>
              </w:rPr>
            </w:pPr>
            <w:r w:rsidRPr="008E516B">
              <w:rPr>
                <w:sz w:val="18"/>
                <w:szCs w:val="22"/>
              </w:rPr>
              <w:t>3</w:t>
            </w:r>
          </w:p>
        </w:tc>
        <w:tc>
          <w:tcPr>
            <w:tcW w:w="718" w:type="dxa"/>
            <w:vMerge/>
          </w:tcPr>
          <w:p w14:paraId="6A5C982F" w14:textId="77777777" w:rsidR="002264C9" w:rsidRPr="008E516B" w:rsidRDefault="002264C9" w:rsidP="0058696A">
            <w:pPr>
              <w:spacing w:before="120"/>
              <w:rPr>
                <w:sz w:val="18"/>
                <w:szCs w:val="22"/>
              </w:rPr>
            </w:pPr>
          </w:p>
        </w:tc>
        <w:tc>
          <w:tcPr>
            <w:tcW w:w="808" w:type="dxa"/>
            <w:vMerge/>
            <w:vAlign w:val="center"/>
          </w:tcPr>
          <w:p w14:paraId="698BD484" w14:textId="77777777" w:rsidR="002264C9" w:rsidRPr="009F382A" w:rsidRDefault="002264C9" w:rsidP="001C7AEA">
            <w:pPr>
              <w:spacing w:before="120"/>
              <w:jc w:val="center"/>
              <w:rPr>
                <w:b/>
                <w:sz w:val="18"/>
                <w:szCs w:val="22"/>
              </w:rPr>
            </w:pPr>
          </w:p>
        </w:tc>
        <w:tc>
          <w:tcPr>
            <w:tcW w:w="3686" w:type="dxa"/>
            <w:vMerge/>
          </w:tcPr>
          <w:p w14:paraId="7D472B5F" w14:textId="0BC39730" w:rsidR="002264C9" w:rsidRPr="008E516B" w:rsidRDefault="002264C9" w:rsidP="0058696A">
            <w:pPr>
              <w:spacing w:before="120"/>
              <w:rPr>
                <w:sz w:val="18"/>
                <w:szCs w:val="22"/>
              </w:rPr>
            </w:pPr>
          </w:p>
        </w:tc>
        <w:tc>
          <w:tcPr>
            <w:tcW w:w="1418" w:type="dxa"/>
            <w:vMerge/>
            <w:vAlign w:val="center"/>
          </w:tcPr>
          <w:p w14:paraId="7AAED792" w14:textId="77777777" w:rsidR="002264C9" w:rsidRPr="00D43463" w:rsidRDefault="002264C9" w:rsidP="0058696A">
            <w:pPr>
              <w:spacing w:before="120"/>
              <w:jc w:val="center"/>
              <w:rPr>
                <w:b/>
                <w:sz w:val="18"/>
                <w:szCs w:val="22"/>
              </w:rPr>
            </w:pPr>
          </w:p>
        </w:tc>
      </w:tr>
      <w:tr w:rsidR="002264C9" w:rsidRPr="008E516B" w14:paraId="149EF98B" w14:textId="77777777" w:rsidTr="00A34F87">
        <w:trPr>
          <w:jc w:val="center"/>
        </w:trPr>
        <w:tc>
          <w:tcPr>
            <w:tcW w:w="1636" w:type="dxa"/>
            <w:vMerge w:val="restart"/>
            <w:shd w:val="clear" w:color="auto" w:fill="E6E6E6"/>
          </w:tcPr>
          <w:p w14:paraId="73CDD7FE" w14:textId="77777777" w:rsidR="002264C9" w:rsidRPr="008E516B" w:rsidRDefault="002264C9" w:rsidP="0058696A">
            <w:pPr>
              <w:rPr>
                <w:sz w:val="18"/>
                <w:szCs w:val="22"/>
              </w:rPr>
            </w:pPr>
            <w:r w:rsidRPr="008E516B">
              <w:rPr>
                <w:sz w:val="18"/>
                <w:szCs w:val="22"/>
              </w:rPr>
              <w:t>Indicator 2 – Existence of operational co-management mechanisms</w:t>
            </w:r>
          </w:p>
        </w:tc>
        <w:tc>
          <w:tcPr>
            <w:tcW w:w="5387" w:type="dxa"/>
            <w:shd w:val="clear" w:color="auto" w:fill="E6E6E6"/>
          </w:tcPr>
          <w:p w14:paraId="3AE41286" w14:textId="77777777" w:rsidR="002264C9" w:rsidRPr="008E516B" w:rsidRDefault="002264C9" w:rsidP="0058696A">
            <w:pPr>
              <w:rPr>
                <w:sz w:val="18"/>
                <w:szCs w:val="22"/>
              </w:rPr>
            </w:pPr>
            <w:r w:rsidRPr="008E516B">
              <w:rPr>
                <w:sz w:val="18"/>
                <w:szCs w:val="22"/>
              </w:rPr>
              <w:t>No co-management mechanisms are in place</w:t>
            </w:r>
          </w:p>
        </w:tc>
        <w:tc>
          <w:tcPr>
            <w:tcW w:w="737" w:type="dxa"/>
            <w:vAlign w:val="center"/>
          </w:tcPr>
          <w:p w14:paraId="5AA78435"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6787C3D0" w14:textId="0390E06B" w:rsidR="002264C9" w:rsidRPr="008E516B" w:rsidRDefault="002264C9" w:rsidP="0058696A">
            <w:pPr>
              <w:jc w:val="center"/>
              <w:rPr>
                <w:sz w:val="18"/>
                <w:szCs w:val="22"/>
              </w:rPr>
            </w:pPr>
            <w:r>
              <w:rPr>
                <w:b/>
                <w:sz w:val="18"/>
                <w:szCs w:val="22"/>
              </w:rPr>
              <w:t>0</w:t>
            </w:r>
          </w:p>
        </w:tc>
        <w:tc>
          <w:tcPr>
            <w:tcW w:w="808" w:type="dxa"/>
            <w:vMerge w:val="restart"/>
            <w:vAlign w:val="center"/>
          </w:tcPr>
          <w:p w14:paraId="1877BD89" w14:textId="2CE1E5BF" w:rsidR="002264C9" w:rsidRPr="009F382A" w:rsidRDefault="002264C9" w:rsidP="001C7AEA">
            <w:pPr>
              <w:jc w:val="center"/>
              <w:rPr>
                <w:b/>
                <w:sz w:val="18"/>
                <w:szCs w:val="22"/>
              </w:rPr>
            </w:pPr>
            <w:r>
              <w:rPr>
                <w:b/>
                <w:sz w:val="18"/>
                <w:szCs w:val="22"/>
              </w:rPr>
              <w:t>2</w:t>
            </w:r>
          </w:p>
        </w:tc>
        <w:tc>
          <w:tcPr>
            <w:tcW w:w="3686" w:type="dxa"/>
            <w:vMerge w:val="restart"/>
            <w:vAlign w:val="center"/>
          </w:tcPr>
          <w:p w14:paraId="5E6FE53E" w14:textId="03DD3302" w:rsidR="002264C9" w:rsidRPr="008E516B" w:rsidRDefault="00D43463" w:rsidP="00D43463">
            <w:pPr>
              <w:rPr>
                <w:sz w:val="18"/>
                <w:szCs w:val="22"/>
              </w:rPr>
            </w:pPr>
            <w:r>
              <w:rPr>
                <w:sz w:val="18"/>
                <w:szCs w:val="22"/>
              </w:rPr>
              <w:t>Project supported the development of several inter-ministerial committees and working groups including few that were formalized by Ministries</w:t>
            </w:r>
          </w:p>
        </w:tc>
        <w:tc>
          <w:tcPr>
            <w:tcW w:w="1418" w:type="dxa"/>
            <w:vMerge w:val="restart"/>
            <w:vAlign w:val="center"/>
          </w:tcPr>
          <w:p w14:paraId="59AE73D8" w14:textId="57FA8DCB" w:rsidR="002264C9" w:rsidRPr="00D43463" w:rsidRDefault="00D43463" w:rsidP="0058696A">
            <w:pPr>
              <w:jc w:val="center"/>
              <w:rPr>
                <w:b/>
                <w:sz w:val="18"/>
                <w:szCs w:val="22"/>
              </w:rPr>
            </w:pPr>
            <w:r w:rsidRPr="00D43463">
              <w:rPr>
                <w:b/>
                <w:sz w:val="18"/>
                <w:szCs w:val="22"/>
              </w:rPr>
              <w:t>1, 3</w:t>
            </w:r>
          </w:p>
        </w:tc>
      </w:tr>
      <w:tr w:rsidR="002264C9" w:rsidRPr="008E516B" w14:paraId="0CF9DEC1" w14:textId="77777777" w:rsidTr="00A34F87">
        <w:trPr>
          <w:jc w:val="center"/>
        </w:trPr>
        <w:tc>
          <w:tcPr>
            <w:tcW w:w="1636" w:type="dxa"/>
            <w:vMerge/>
            <w:shd w:val="clear" w:color="auto" w:fill="E6E6E6"/>
          </w:tcPr>
          <w:p w14:paraId="31D7F555" w14:textId="77777777" w:rsidR="002264C9" w:rsidRPr="008E516B" w:rsidRDefault="002264C9" w:rsidP="0058696A">
            <w:pPr>
              <w:spacing w:before="120"/>
              <w:rPr>
                <w:sz w:val="18"/>
                <w:szCs w:val="22"/>
              </w:rPr>
            </w:pPr>
          </w:p>
        </w:tc>
        <w:tc>
          <w:tcPr>
            <w:tcW w:w="5387" w:type="dxa"/>
            <w:shd w:val="clear" w:color="auto" w:fill="E6E6E6"/>
          </w:tcPr>
          <w:p w14:paraId="44EB7B52" w14:textId="77777777" w:rsidR="002264C9" w:rsidRPr="008E516B" w:rsidRDefault="002264C9" w:rsidP="0058696A">
            <w:pPr>
              <w:rPr>
                <w:sz w:val="18"/>
                <w:szCs w:val="22"/>
              </w:rPr>
            </w:pPr>
            <w:r w:rsidRPr="008E516B">
              <w:rPr>
                <w:sz w:val="18"/>
                <w:szCs w:val="22"/>
              </w:rPr>
              <w:t>Some co-management mechanisms are in place and operational</w:t>
            </w:r>
          </w:p>
        </w:tc>
        <w:tc>
          <w:tcPr>
            <w:tcW w:w="737" w:type="dxa"/>
            <w:vAlign w:val="center"/>
          </w:tcPr>
          <w:p w14:paraId="18E6D088"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69DABFC7" w14:textId="0DC96E15" w:rsidR="002264C9" w:rsidRPr="008E516B" w:rsidRDefault="002264C9" w:rsidP="0058696A">
            <w:pPr>
              <w:jc w:val="center"/>
              <w:rPr>
                <w:b/>
                <w:sz w:val="18"/>
                <w:szCs w:val="22"/>
              </w:rPr>
            </w:pPr>
          </w:p>
        </w:tc>
        <w:tc>
          <w:tcPr>
            <w:tcW w:w="808" w:type="dxa"/>
            <w:vMerge/>
            <w:vAlign w:val="center"/>
          </w:tcPr>
          <w:p w14:paraId="06AA7D37" w14:textId="77777777" w:rsidR="002264C9" w:rsidRPr="009F382A" w:rsidRDefault="002264C9" w:rsidP="001C7AEA">
            <w:pPr>
              <w:jc w:val="center"/>
              <w:rPr>
                <w:b/>
                <w:sz w:val="18"/>
                <w:szCs w:val="22"/>
              </w:rPr>
            </w:pPr>
          </w:p>
        </w:tc>
        <w:tc>
          <w:tcPr>
            <w:tcW w:w="3686" w:type="dxa"/>
            <w:vMerge/>
          </w:tcPr>
          <w:p w14:paraId="07FC3559" w14:textId="44AEF2EE" w:rsidR="002264C9" w:rsidRPr="008E516B" w:rsidRDefault="002264C9" w:rsidP="0058696A">
            <w:pPr>
              <w:rPr>
                <w:sz w:val="18"/>
                <w:szCs w:val="22"/>
              </w:rPr>
            </w:pPr>
          </w:p>
        </w:tc>
        <w:tc>
          <w:tcPr>
            <w:tcW w:w="1418" w:type="dxa"/>
            <w:vMerge/>
            <w:vAlign w:val="center"/>
          </w:tcPr>
          <w:p w14:paraId="568D7CCE" w14:textId="77777777" w:rsidR="002264C9" w:rsidRPr="00D43463" w:rsidRDefault="002264C9" w:rsidP="0058696A">
            <w:pPr>
              <w:spacing w:before="120"/>
              <w:jc w:val="center"/>
              <w:rPr>
                <w:b/>
                <w:sz w:val="18"/>
                <w:szCs w:val="22"/>
              </w:rPr>
            </w:pPr>
          </w:p>
        </w:tc>
      </w:tr>
      <w:tr w:rsidR="002264C9" w:rsidRPr="008E516B" w14:paraId="49CB1F12" w14:textId="77777777" w:rsidTr="00A34F87">
        <w:trPr>
          <w:jc w:val="center"/>
        </w:trPr>
        <w:tc>
          <w:tcPr>
            <w:tcW w:w="1636" w:type="dxa"/>
            <w:vMerge/>
            <w:shd w:val="clear" w:color="auto" w:fill="E6E6E6"/>
          </w:tcPr>
          <w:p w14:paraId="68E34583" w14:textId="77777777" w:rsidR="002264C9" w:rsidRPr="008E516B" w:rsidRDefault="002264C9" w:rsidP="0058696A">
            <w:pPr>
              <w:spacing w:before="120"/>
              <w:rPr>
                <w:sz w:val="18"/>
                <w:szCs w:val="22"/>
              </w:rPr>
            </w:pPr>
          </w:p>
        </w:tc>
        <w:tc>
          <w:tcPr>
            <w:tcW w:w="5387" w:type="dxa"/>
            <w:shd w:val="clear" w:color="auto" w:fill="E6E6E6"/>
          </w:tcPr>
          <w:p w14:paraId="71EEA3A7" w14:textId="77777777" w:rsidR="002264C9" w:rsidRPr="008E516B" w:rsidRDefault="002264C9" w:rsidP="0058696A">
            <w:pPr>
              <w:rPr>
                <w:sz w:val="18"/>
                <w:szCs w:val="22"/>
              </w:rPr>
            </w:pPr>
            <w:r w:rsidRPr="008E516B">
              <w:rPr>
                <w:sz w:val="18"/>
                <w:szCs w:val="22"/>
              </w:rPr>
              <w:t>Some co-management mechanisms are formally established through agreements, MOUs, etc.</w:t>
            </w:r>
          </w:p>
        </w:tc>
        <w:tc>
          <w:tcPr>
            <w:tcW w:w="737" w:type="dxa"/>
            <w:vAlign w:val="center"/>
          </w:tcPr>
          <w:p w14:paraId="6B09418A" w14:textId="77777777" w:rsidR="002264C9" w:rsidRPr="008E516B" w:rsidRDefault="002264C9" w:rsidP="0058696A">
            <w:pPr>
              <w:jc w:val="center"/>
              <w:rPr>
                <w:sz w:val="18"/>
                <w:szCs w:val="22"/>
              </w:rPr>
            </w:pPr>
            <w:r w:rsidRPr="008E516B">
              <w:rPr>
                <w:sz w:val="18"/>
                <w:szCs w:val="22"/>
              </w:rPr>
              <w:t>2</w:t>
            </w:r>
          </w:p>
        </w:tc>
        <w:tc>
          <w:tcPr>
            <w:tcW w:w="718" w:type="dxa"/>
            <w:vMerge/>
          </w:tcPr>
          <w:p w14:paraId="5D243F58" w14:textId="77777777" w:rsidR="002264C9" w:rsidRPr="008E516B" w:rsidRDefault="002264C9" w:rsidP="0058696A">
            <w:pPr>
              <w:spacing w:before="120"/>
              <w:rPr>
                <w:sz w:val="18"/>
                <w:szCs w:val="22"/>
              </w:rPr>
            </w:pPr>
          </w:p>
        </w:tc>
        <w:tc>
          <w:tcPr>
            <w:tcW w:w="808" w:type="dxa"/>
            <w:vMerge/>
            <w:vAlign w:val="center"/>
          </w:tcPr>
          <w:p w14:paraId="6A435092" w14:textId="77777777" w:rsidR="002264C9" w:rsidRPr="009F382A" w:rsidRDefault="002264C9" w:rsidP="001C7AEA">
            <w:pPr>
              <w:spacing w:before="120"/>
              <w:jc w:val="center"/>
              <w:rPr>
                <w:b/>
                <w:sz w:val="18"/>
                <w:szCs w:val="22"/>
              </w:rPr>
            </w:pPr>
          </w:p>
        </w:tc>
        <w:tc>
          <w:tcPr>
            <w:tcW w:w="3686" w:type="dxa"/>
            <w:vMerge/>
          </w:tcPr>
          <w:p w14:paraId="529F08AE" w14:textId="559257E8" w:rsidR="002264C9" w:rsidRPr="008E516B" w:rsidRDefault="002264C9" w:rsidP="0058696A">
            <w:pPr>
              <w:spacing w:before="120"/>
              <w:rPr>
                <w:sz w:val="18"/>
                <w:szCs w:val="22"/>
              </w:rPr>
            </w:pPr>
          </w:p>
        </w:tc>
        <w:tc>
          <w:tcPr>
            <w:tcW w:w="1418" w:type="dxa"/>
            <w:vMerge/>
            <w:vAlign w:val="center"/>
          </w:tcPr>
          <w:p w14:paraId="01342DBB" w14:textId="77777777" w:rsidR="002264C9" w:rsidRPr="00D43463" w:rsidRDefault="002264C9" w:rsidP="0058696A">
            <w:pPr>
              <w:spacing w:before="120"/>
              <w:jc w:val="center"/>
              <w:rPr>
                <w:b/>
                <w:sz w:val="18"/>
                <w:szCs w:val="22"/>
              </w:rPr>
            </w:pPr>
          </w:p>
        </w:tc>
      </w:tr>
      <w:tr w:rsidR="002264C9" w:rsidRPr="008E516B" w14:paraId="70857BEC" w14:textId="77777777" w:rsidTr="00A34F87">
        <w:trPr>
          <w:jc w:val="center"/>
        </w:trPr>
        <w:tc>
          <w:tcPr>
            <w:tcW w:w="1636" w:type="dxa"/>
            <w:vMerge/>
            <w:shd w:val="clear" w:color="auto" w:fill="E6E6E6"/>
          </w:tcPr>
          <w:p w14:paraId="1073E1F7" w14:textId="77777777" w:rsidR="002264C9" w:rsidRPr="008E516B" w:rsidRDefault="002264C9" w:rsidP="0058696A">
            <w:pPr>
              <w:spacing w:before="120"/>
              <w:rPr>
                <w:sz w:val="18"/>
                <w:szCs w:val="22"/>
              </w:rPr>
            </w:pPr>
          </w:p>
        </w:tc>
        <w:tc>
          <w:tcPr>
            <w:tcW w:w="5387" w:type="dxa"/>
            <w:shd w:val="clear" w:color="auto" w:fill="E6E6E6"/>
          </w:tcPr>
          <w:p w14:paraId="48B0794D" w14:textId="77777777" w:rsidR="002264C9" w:rsidRPr="008E516B" w:rsidRDefault="002264C9" w:rsidP="0058696A">
            <w:pPr>
              <w:rPr>
                <w:sz w:val="18"/>
                <w:szCs w:val="22"/>
              </w:rPr>
            </w:pPr>
            <w:r w:rsidRPr="008E516B">
              <w:rPr>
                <w:sz w:val="18"/>
                <w:szCs w:val="22"/>
              </w:rPr>
              <w:t>Comprehensive co-management mechanisms are formally established and are operational/functional</w:t>
            </w:r>
          </w:p>
        </w:tc>
        <w:tc>
          <w:tcPr>
            <w:tcW w:w="737" w:type="dxa"/>
            <w:vAlign w:val="center"/>
          </w:tcPr>
          <w:p w14:paraId="352A5E22" w14:textId="77777777" w:rsidR="002264C9" w:rsidRPr="008E516B" w:rsidRDefault="002264C9" w:rsidP="0058696A">
            <w:pPr>
              <w:jc w:val="center"/>
              <w:rPr>
                <w:sz w:val="18"/>
                <w:szCs w:val="22"/>
              </w:rPr>
            </w:pPr>
            <w:r w:rsidRPr="008E516B">
              <w:rPr>
                <w:sz w:val="18"/>
                <w:szCs w:val="22"/>
              </w:rPr>
              <w:t>3</w:t>
            </w:r>
          </w:p>
        </w:tc>
        <w:tc>
          <w:tcPr>
            <w:tcW w:w="718" w:type="dxa"/>
            <w:vMerge/>
          </w:tcPr>
          <w:p w14:paraId="356A0C0E" w14:textId="77777777" w:rsidR="002264C9" w:rsidRPr="008E516B" w:rsidRDefault="002264C9" w:rsidP="0058696A">
            <w:pPr>
              <w:spacing w:before="120"/>
              <w:rPr>
                <w:sz w:val="18"/>
                <w:szCs w:val="22"/>
              </w:rPr>
            </w:pPr>
          </w:p>
        </w:tc>
        <w:tc>
          <w:tcPr>
            <w:tcW w:w="808" w:type="dxa"/>
            <w:vMerge/>
            <w:vAlign w:val="center"/>
          </w:tcPr>
          <w:p w14:paraId="7300C0FD" w14:textId="77777777" w:rsidR="002264C9" w:rsidRPr="009F382A" w:rsidRDefault="002264C9" w:rsidP="001C7AEA">
            <w:pPr>
              <w:spacing w:before="120"/>
              <w:jc w:val="center"/>
              <w:rPr>
                <w:b/>
                <w:sz w:val="18"/>
                <w:szCs w:val="22"/>
              </w:rPr>
            </w:pPr>
          </w:p>
        </w:tc>
        <w:tc>
          <w:tcPr>
            <w:tcW w:w="3686" w:type="dxa"/>
            <w:vMerge/>
          </w:tcPr>
          <w:p w14:paraId="405D366C" w14:textId="3376E375" w:rsidR="002264C9" w:rsidRPr="008E516B" w:rsidRDefault="002264C9" w:rsidP="0058696A">
            <w:pPr>
              <w:spacing w:before="120"/>
              <w:rPr>
                <w:sz w:val="18"/>
                <w:szCs w:val="22"/>
              </w:rPr>
            </w:pPr>
          </w:p>
        </w:tc>
        <w:tc>
          <w:tcPr>
            <w:tcW w:w="1418" w:type="dxa"/>
            <w:vMerge/>
            <w:vAlign w:val="center"/>
          </w:tcPr>
          <w:p w14:paraId="6A3E3BB5" w14:textId="77777777" w:rsidR="002264C9" w:rsidRPr="00D43463" w:rsidRDefault="002264C9" w:rsidP="0058696A">
            <w:pPr>
              <w:spacing w:before="120"/>
              <w:jc w:val="center"/>
              <w:rPr>
                <w:b/>
                <w:sz w:val="18"/>
                <w:szCs w:val="22"/>
              </w:rPr>
            </w:pPr>
          </w:p>
        </w:tc>
      </w:tr>
      <w:tr w:rsidR="002264C9" w:rsidRPr="008E516B" w14:paraId="14A963DC" w14:textId="77777777" w:rsidTr="00A34F87">
        <w:trPr>
          <w:jc w:val="center"/>
        </w:trPr>
        <w:tc>
          <w:tcPr>
            <w:tcW w:w="1636" w:type="dxa"/>
            <w:vMerge w:val="restart"/>
            <w:shd w:val="clear" w:color="auto" w:fill="E6E6E6"/>
          </w:tcPr>
          <w:p w14:paraId="4BEFFF86" w14:textId="77777777" w:rsidR="002264C9" w:rsidRPr="008E516B" w:rsidRDefault="002264C9" w:rsidP="0058696A">
            <w:pPr>
              <w:rPr>
                <w:sz w:val="18"/>
                <w:szCs w:val="22"/>
              </w:rPr>
            </w:pPr>
            <w:r w:rsidRPr="008E516B">
              <w:rPr>
                <w:sz w:val="18"/>
                <w:szCs w:val="22"/>
              </w:rPr>
              <w:t>Indicator 3 – Existence of cooperation with stakeholder</w:t>
            </w:r>
          </w:p>
        </w:tc>
        <w:tc>
          <w:tcPr>
            <w:tcW w:w="5387" w:type="dxa"/>
            <w:shd w:val="clear" w:color="auto" w:fill="E6E6E6"/>
          </w:tcPr>
          <w:p w14:paraId="512A9C02" w14:textId="77777777" w:rsidR="002264C9" w:rsidRPr="008E516B" w:rsidRDefault="002264C9" w:rsidP="0058696A">
            <w:pPr>
              <w:rPr>
                <w:sz w:val="18"/>
                <w:szCs w:val="22"/>
              </w:rPr>
            </w:pPr>
            <w:r w:rsidRPr="008E516B">
              <w:rPr>
                <w:sz w:val="18"/>
                <w:szCs w:val="22"/>
              </w:rPr>
              <w:t>Identification of stakeholders and their participation/involvement in decision-making is poor</w:t>
            </w:r>
          </w:p>
        </w:tc>
        <w:tc>
          <w:tcPr>
            <w:tcW w:w="737" w:type="dxa"/>
            <w:vAlign w:val="center"/>
          </w:tcPr>
          <w:p w14:paraId="6AAFDAE1"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776CE7FD" w14:textId="0361548D" w:rsidR="002264C9" w:rsidRPr="008E516B" w:rsidRDefault="002264C9" w:rsidP="001C7AEA">
            <w:pPr>
              <w:jc w:val="center"/>
              <w:rPr>
                <w:sz w:val="18"/>
                <w:szCs w:val="22"/>
              </w:rPr>
            </w:pPr>
            <w:r w:rsidRPr="008E516B">
              <w:rPr>
                <w:b/>
                <w:sz w:val="18"/>
                <w:szCs w:val="22"/>
              </w:rPr>
              <w:t>1</w:t>
            </w:r>
          </w:p>
        </w:tc>
        <w:tc>
          <w:tcPr>
            <w:tcW w:w="808" w:type="dxa"/>
            <w:vMerge w:val="restart"/>
            <w:vAlign w:val="center"/>
          </w:tcPr>
          <w:p w14:paraId="2338BC94" w14:textId="49CA1175" w:rsidR="002264C9" w:rsidRPr="009F382A" w:rsidRDefault="00D43463" w:rsidP="001C7AEA">
            <w:pPr>
              <w:jc w:val="center"/>
              <w:rPr>
                <w:b/>
                <w:sz w:val="18"/>
                <w:szCs w:val="22"/>
              </w:rPr>
            </w:pPr>
            <w:r>
              <w:rPr>
                <w:b/>
                <w:sz w:val="18"/>
                <w:szCs w:val="22"/>
              </w:rPr>
              <w:t>3</w:t>
            </w:r>
          </w:p>
        </w:tc>
        <w:tc>
          <w:tcPr>
            <w:tcW w:w="3686" w:type="dxa"/>
            <w:vMerge w:val="restart"/>
            <w:vAlign w:val="center"/>
          </w:tcPr>
          <w:p w14:paraId="280CD796" w14:textId="4A46C471" w:rsidR="002264C9" w:rsidRPr="008E516B" w:rsidRDefault="00D43463" w:rsidP="00D43463">
            <w:pPr>
              <w:rPr>
                <w:sz w:val="18"/>
                <w:szCs w:val="22"/>
              </w:rPr>
            </w:pPr>
            <w:r>
              <w:rPr>
                <w:sz w:val="18"/>
                <w:szCs w:val="22"/>
              </w:rPr>
              <w:t xml:space="preserve">The strong participative approach used by the project to develop a series of proposals led to a good identification of stakeholders and their engagement through working groups and committees and other events such as workshops, seminars and conferences. </w:t>
            </w:r>
          </w:p>
        </w:tc>
        <w:tc>
          <w:tcPr>
            <w:tcW w:w="1418" w:type="dxa"/>
            <w:vMerge w:val="restart"/>
            <w:vAlign w:val="center"/>
          </w:tcPr>
          <w:p w14:paraId="09F4F00A" w14:textId="421E9C2F" w:rsidR="002264C9" w:rsidRPr="00D43463" w:rsidRDefault="00D43463" w:rsidP="0058696A">
            <w:pPr>
              <w:jc w:val="center"/>
              <w:rPr>
                <w:b/>
                <w:sz w:val="18"/>
                <w:szCs w:val="22"/>
              </w:rPr>
            </w:pPr>
            <w:r>
              <w:rPr>
                <w:b/>
                <w:sz w:val="18"/>
                <w:szCs w:val="22"/>
              </w:rPr>
              <w:t>1, 3</w:t>
            </w:r>
          </w:p>
        </w:tc>
      </w:tr>
      <w:tr w:rsidR="002264C9" w:rsidRPr="008E516B" w14:paraId="248EB32A" w14:textId="77777777" w:rsidTr="00A34F87">
        <w:trPr>
          <w:jc w:val="center"/>
        </w:trPr>
        <w:tc>
          <w:tcPr>
            <w:tcW w:w="1636" w:type="dxa"/>
            <w:vMerge/>
            <w:shd w:val="clear" w:color="auto" w:fill="E6E6E6"/>
          </w:tcPr>
          <w:p w14:paraId="4168B98D" w14:textId="77777777" w:rsidR="002264C9" w:rsidRPr="008E516B" w:rsidRDefault="002264C9" w:rsidP="0058696A">
            <w:pPr>
              <w:spacing w:before="120"/>
              <w:rPr>
                <w:sz w:val="18"/>
                <w:szCs w:val="22"/>
              </w:rPr>
            </w:pPr>
          </w:p>
        </w:tc>
        <w:tc>
          <w:tcPr>
            <w:tcW w:w="5387" w:type="dxa"/>
            <w:shd w:val="clear" w:color="auto" w:fill="E6E6E6"/>
          </w:tcPr>
          <w:p w14:paraId="69A32CC3" w14:textId="77777777" w:rsidR="002264C9" w:rsidRPr="008E516B" w:rsidRDefault="002264C9" w:rsidP="0058696A">
            <w:pPr>
              <w:rPr>
                <w:sz w:val="18"/>
                <w:szCs w:val="22"/>
              </w:rPr>
            </w:pPr>
            <w:r w:rsidRPr="008E516B">
              <w:rPr>
                <w:sz w:val="18"/>
                <w:szCs w:val="22"/>
              </w:rPr>
              <w:t>Stakeholders are identified but their participation in decision-making is limited</w:t>
            </w:r>
          </w:p>
        </w:tc>
        <w:tc>
          <w:tcPr>
            <w:tcW w:w="737" w:type="dxa"/>
            <w:vAlign w:val="center"/>
          </w:tcPr>
          <w:p w14:paraId="33F92D2D"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7946E63E" w14:textId="69588132" w:rsidR="002264C9" w:rsidRPr="008E516B" w:rsidRDefault="002264C9" w:rsidP="0058696A">
            <w:pPr>
              <w:jc w:val="center"/>
              <w:rPr>
                <w:b/>
                <w:sz w:val="18"/>
                <w:szCs w:val="22"/>
              </w:rPr>
            </w:pPr>
          </w:p>
        </w:tc>
        <w:tc>
          <w:tcPr>
            <w:tcW w:w="808" w:type="dxa"/>
            <w:vMerge/>
            <w:vAlign w:val="center"/>
          </w:tcPr>
          <w:p w14:paraId="76900660" w14:textId="77777777" w:rsidR="002264C9" w:rsidRPr="009F382A" w:rsidRDefault="002264C9" w:rsidP="001C7AEA">
            <w:pPr>
              <w:spacing w:before="120"/>
              <w:jc w:val="center"/>
              <w:rPr>
                <w:b/>
                <w:sz w:val="18"/>
                <w:szCs w:val="22"/>
              </w:rPr>
            </w:pPr>
          </w:p>
        </w:tc>
        <w:tc>
          <w:tcPr>
            <w:tcW w:w="3686" w:type="dxa"/>
            <w:vMerge/>
          </w:tcPr>
          <w:p w14:paraId="2FFBE2FE" w14:textId="52A7485D" w:rsidR="002264C9" w:rsidRPr="008E516B" w:rsidRDefault="002264C9" w:rsidP="0058696A">
            <w:pPr>
              <w:spacing w:before="120"/>
              <w:rPr>
                <w:sz w:val="18"/>
                <w:szCs w:val="22"/>
              </w:rPr>
            </w:pPr>
          </w:p>
        </w:tc>
        <w:tc>
          <w:tcPr>
            <w:tcW w:w="1418" w:type="dxa"/>
            <w:vMerge/>
            <w:vAlign w:val="center"/>
          </w:tcPr>
          <w:p w14:paraId="4A07B3EF" w14:textId="77777777" w:rsidR="002264C9" w:rsidRPr="00D43463" w:rsidRDefault="002264C9" w:rsidP="0058696A">
            <w:pPr>
              <w:spacing w:before="120"/>
              <w:jc w:val="center"/>
              <w:rPr>
                <w:b/>
                <w:sz w:val="18"/>
                <w:szCs w:val="22"/>
              </w:rPr>
            </w:pPr>
          </w:p>
        </w:tc>
      </w:tr>
      <w:tr w:rsidR="002264C9" w:rsidRPr="008E516B" w14:paraId="130BE44C" w14:textId="77777777" w:rsidTr="00A34F87">
        <w:trPr>
          <w:jc w:val="center"/>
        </w:trPr>
        <w:tc>
          <w:tcPr>
            <w:tcW w:w="1636" w:type="dxa"/>
            <w:vMerge/>
            <w:shd w:val="clear" w:color="auto" w:fill="E6E6E6"/>
          </w:tcPr>
          <w:p w14:paraId="117C15D9" w14:textId="77777777" w:rsidR="002264C9" w:rsidRPr="008E516B" w:rsidRDefault="002264C9" w:rsidP="0058696A">
            <w:pPr>
              <w:spacing w:before="120"/>
              <w:rPr>
                <w:sz w:val="18"/>
                <w:szCs w:val="22"/>
              </w:rPr>
            </w:pPr>
          </w:p>
        </w:tc>
        <w:tc>
          <w:tcPr>
            <w:tcW w:w="5387" w:type="dxa"/>
            <w:shd w:val="clear" w:color="auto" w:fill="E6E6E6"/>
          </w:tcPr>
          <w:p w14:paraId="605ED329" w14:textId="77777777" w:rsidR="002264C9" w:rsidRPr="008E516B" w:rsidRDefault="002264C9" w:rsidP="0058696A">
            <w:pPr>
              <w:rPr>
                <w:sz w:val="18"/>
                <w:szCs w:val="22"/>
              </w:rPr>
            </w:pPr>
            <w:r w:rsidRPr="008E516B">
              <w:rPr>
                <w:sz w:val="18"/>
                <w:szCs w:val="22"/>
              </w:rPr>
              <w:t>Stakeholders are identified and regular consultations mechanisms are established</w:t>
            </w:r>
          </w:p>
        </w:tc>
        <w:tc>
          <w:tcPr>
            <w:tcW w:w="737" w:type="dxa"/>
            <w:vAlign w:val="center"/>
          </w:tcPr>
          <w:p w14:paraId="30D7C7FA" w14:textId="77777777" w:rsidR="002264C9" w:rsidRPr="008E516B" w:rsidRDefault="002264C9" w:rsidP="0058696A">
            <w:pPr>
              <w:jc w:val="center"/>
              <w:rPr>
                <w:sz w:val="18"/>
                <w:szCs w:val="22"/>
              </w:rPr>
            </w:pPr>
            <w:r w:rsidRPr="008E516B">
              <w:rPr>
                <w:sz w:val="18"/>
                <w:szCs w:val="22"/>
              </w:rPr>
              <w:t>2</w:t>
            </w:r>
          </w:p>
        </w:tc>
        <w:tc>
          <w:tcPr>
            <w:tcW w:w="718" w:type="dxa"/>
            <w:vMerge/>
          </w:tcPr>
          <w:p w14:paraId="611F93DD" w14:textId="77777777" w:rsidR="002264C9" w:rsidRPr="008E516B" w:rsidRDefault="002264C9" w:rsidP="0058696A">
            <w:pPr>
              <w:spacing w:before="120"/>
              <w:rPr>
                <w:sz w:val="18"/>
                <w:szCs w:val="22"/>
              </w:rPr>
            </w:pPr>
          </w:p>
        </w:tc>
        <w:tc>
          <w:tcPr>
            <w:tcW w:w="808" w:type="dxa"/>
            <w:vMerge/>
            <w:vAlign w:val="center"/>
          </w:tcPr>
          <w:p w14:paraId="6ACCF749" w14:textId="77777777" w:rsidR="002264C9" w:rsidRPr="009F382A" w:rsidRDefault="002264C9" w:rsidP="001C7AEA">
            <w:pPr>
              <w:spacing w:before="120"/>
              <w:jc w:val="center"/>
              <w:rPr>
                <w:b/>
                <w:sz w:val="18"/>
                <w:szCs w:val="22"/>
              </w:rPr>
            </w:pPr>
          </w:p>
        </w:tc>
        <w:tc>
          <w:tcPr>
            <w:tcW w:w="3686" w:type="dxa"/>
            <w:vMerge/>
          </w:tcPr>
          <w:p w14:paraId="13788185" w14:textId="0E5194FA" w:rsidR="002264C9" w:rsidRPr="008E516B" w:rsidRDefault="002264C9" w:rsidP="0058696A">
            <w:pPr>
              <w:spacing w:before="120"/>
              <w:rPr>
                <w:sz w:val="18"/>
                <w:szCs w:val="22"/>
              </w:rPr>
            </w:pPr>
          </w:p>
        </w:tc>
        <w:tc>
          <w:tcPr>
            <w:tcW w:w="1418" w:type="dxa"/>
            <w:vMerge/>
            <w:vAlign w:val="center"/>
          </w:tcPr>
          <w:p w14:paraId="4EB1B8D0" w14:textId="77777777" w:rsidR="002264C9" w:rsidRPr="00D43463" w:rsidRDefault="002264C9" w:rsidP="0058696A">
            <w:pPr>
              <w:spacing w:before="120"/>
              <w:jc w:val="center"/>
              <w:rPr>
                <w:b/>
                <w:sz w:val="18"/>
                <w:szCs w:val="22"/>
              </w:rPr>
            </w:pPr>
          </w:p>
        </w:tc>
      </w:tr>
      <w:tr w:rsidR="002264C9" w:rsidRPr="008E516B" w14:paraId="21CDCFCF" w14:textId="77777777" w:rsidTr="00A34F87">
        <w:trPr>
          <w:jc w:val="center"/>
        </w:trPr>
        <w:tc>
          <w:tcPr>
            <w:tcW w:w="1636" w:type="dxa"/>
            <w:vMerge/>
            <w:tcBorders>
              <w:bottom w:val="single" w:sz="4" w:space="0" w:color="auto"/>
            </w:tcBorders>
            <w:shd w:val="clear" w:color="auto" w:fill="E6E6E6"/>
          </w:tcPr>
          <w:p w14:paraId="4A41FE31" w14:textId="77777777" w:rsidR="002264C9" w:rsidRPr="008E516B" w:rsidRDefault="002264C9" w:rsidP="0058696A">
            <w:pPr>
              <w:spacing w:before="120"/>
              <w:rPr>
                <w:sz w:val="18"/>
                <w:szCs w:val="22"/>
              </w:rPr>
            </w:pPr>
          </w:p>
        </w:tc>
        <w:tc>
          <w:tcPr>
            <w:tcW w:w="5387" w:type="dxa"/>
            <w:tcBorders>
              <w:bottom w:val="single" w:sz="4" w:space="0" w:color="auto"/>
            </w:tcBorders>
            <w:shd w:val="clear" w:color="auto" w:fill="E6E6E6"/>
          </w:tcPr>
          <w:p w14:paraId="60C17BAF" w14:textId="77777777" w:rsidR="002264C9" w:rsidRPr="008E516B" w:rsidRDefault="002264C9" w:rsidP="0058696A">
            <w:pPr>
              <w:rPr>
                <w:sz w:val="18"/>
                <w:szCs w:val="22"/>
              </w:rPr>
            </w:pPr>
            <w:r w:rsidRPr="008E516B">
              <w:rPr>
                <w:sz w:val="18"/>
                <w:szCs w:val="22"/>
              </w:rPr>
              <w:t>Stakeholders are identified and they actively contribute to established participative decision-making processes</w:t>
            </w:r>
          </w:p>
        </w:tc>
        <w:tc>
          <w:tcPr>
            <w:tcW w:w="737" w:type="dxa"/>
            <w:tcBorders>
              <w:bottom w:val="single" w:sz="4" w:space="0" w:color="auto"/>
            </w:tcBorders>
            <w:vAlign w:val="center"/>
          </w:tcPr>
          <w:p w14:paraId="79B2D943" w14:textId="77777777" w:rsidR="002264C9" w:rsidRPr="008E516B" w:rsidRDefault="002264C9" w:rsidP="0058696A">
            <w:pPr>
              <w:jc w:val="center"/>
              <w:rPr>
                <w:sz w:val="18"/>
                <w:szCs w:val="22"/>
              </w:rPr>
            </w:pPr>
            <w:r w:rsidRPr="008E516B">
              <w:rPr>
                <w:sz w:val="18"/>
                <w:szCs w:val="22"/>
              </w:rPr>
              <w:t>3</w:t>
            </w:r>
          </w:p>
        </w:tc>
        <w:tc>
          <w:tcPr>
            <w:tcW w:w="718" w:type="dxa"/>
            <w:vMerge/>
            <w:tcBorders>
              <w:bottom w:val="single" w:sz="4" w:space="0" w:color="auto"/>
            </w:tcBorders>
          </w:tcPr>
          <w:p w14:paraId="5D45E6BC" w14:textId="77777777" w:rsidR="002264C9" w:rsidRPr="008E516B" w:rsidRDefault="002264C9" w:rsidP="0058696A">
            <w:pPr>
              <w:spacing w:before="120"/>
              <w:rPr>
                <w:sz w:val="18"/>
                <w:szCs w:val="22"/>
              </w:rPr>
            </w:pPr>
          </w:p>
        </w:tc>
        <w:tc>
          <w:tcPr>
            <w:tcW w:w="808" w:type="dxa"/>
            <w:vMerge/>
            <w:tcBorders>
              <w:bottom w:val="single" w:sz="4" w:space="0" w:color="auto"/>
            </w:tcBorders>
            <w:vAlign w:val="center"/>
          </w:tcPr>
          <w:p w14:paraId="745F6593" w14:textId="77777777" w:rsidR="002264C9" w:rsidRPr="009F382A" w:rsidRDefault="002264C9" w:rsidP="001C7AEA">
            <w:pPr>
              <w:spacing w:before="120"/>
              <w:jc w:val="center"/>
              <w:rPr>
                <w:b/>
                <w:sz w:val="18"/>
                <w:szCs w:val="22"/>
              </w:rPr>
            </w:pPr>
          </w:p>
        </w:tc>
        <w:tc>
          <w:tcPr>
            <w:tcW w:w="3686" w:type="dxa"/>
            <w:vMerge/>
            <w:tcBorders>
              <w:bottom w:val="single" w:sz="4" w:space="0" w:color="auto"/>
            </w:tcBorders>
          </w:tcPr>
          <w:p w14:paraId="5DB19CD3" w14:textId="54379BC3" w:rsidR="002264C9" w:rsidRPr="008E516B" w:rsidRDefault="002264C9" w:rsidP="0058696A">
            <w:pPr>
              <w:spacing w:before="120"/>
              <w:rPr>
                <w:sz w:val="18"/>
                <w:szCs w:val="22"/>
              </w:rPr>
            </w:pPr>
          </w:p>
        </w:tc>
        <w:tc>
          <w:tcPr>
            <w:tcW w:w="1418" w:type="dxa"/>
            <w:vMerge/>
            <w:tcBorders>
              <w:bottom w:val="single" w:sz="4" w:space="0" w:color="auto"/>
            </w:tcBorders>
            <w:vAlign w:val="center"/>
          </w:tcPr>
          <w:p w14:paraId="2DA4AEAC" w14:textId="77777777" w:rsidR="002264C9" w:rsidRPr="00D43463" w:rsidRDefault="002264C9" w:rsidP="0058696A">
            <w:pPr>
              <w:spacing w:before="120"/>
              <w:jc w:val="center"/>
              <w:rPr>
                <w:b/>
                <w:sz w:val="18"/>
                <w:szCs w:val="22"/>
              </w:rPr>
            </w:pPr>
          </w:p>
        </w:tc>
      </w:tr>
      <w:tr w:rsidR="002264C9" w:rsidRPr="008E516B" w14:paraId="7A598A79" w14:textId="77777777" w:rsidTr="00A34F87">
        <w:trPr>
          <w:trHeight w:val="444"/>
          <w:jc w:val="center"/>
        </w:trPr>
        <w:tc>
          <w:tcPr>
            <w:tcW w:w="12972" w:type="dxa"/>
            <w:gridSpan w:val="6"/>
            <w:tcBorders>
              <w:right w:val="nil"/>
            </w:tcBorders>
            <w:vAlign w:val="center"/>
          </w:tcPr>
          <w:p w14:paraId="6FAA0213" w14:textId="0AC89B29" w:rsidR="002264C9" w:rsidRPr="009F382A" w:rsidRDefault="002264C9" w:rsidP="001C7AEA">
            <w:pPr>
              <w:rPr>
                <w:b/>
                <w:sz w:val="18"/>
                <w:szCs w:val="22"/>
              </w:rPr>
            </w:pPr>
            <w:r w:rsidRPr="009F382A">
              <w:rPr>
                <w:b/>
                <w:color w:val="0000FF"/>
                <w:sz w:val="22"/>
                <w:szCs w:val="22"/>
              </w:rPr>
              <w:br w:type="page"/>
              <w:t>CR 2: Capacities to generate, access and use information and knowledge</w:t>
            </w:r>
          </w:p>
        </w:tc>
        <w:tc>
          <w:tcPr>
            <w:tcW w:w="1418" w:type="dxa"/>
            <w:tcBorders>
              <w:left w:val="nil"/>
            </w:tcBorders>
            <w:vAlign w:val="center"/>
          </w:tcPr>
          <w:p w14:paraId="788DFE16" w14:textId="77777777" w:rsidR="002264C9" w:rsidRPr="00D43463" w:rsidRDefault="002264C9" w:rsidP="0058696A">
            <w:pPr>
              <w:spacing w:before="120"/>
              <w:jc w:val="center"/>
              <w:rPr>
                <w:b/>
                <w:sz w:val="18"/>
                <w:szCs w:val="22"/>
              </w:rPr>
            </w:pPr>
          </w:p>
        </w:tc>
      </w:tr>
      <w:tr w:rsidR="002264C9" w:rsidRPr="008E516B" w14:paraId="02D030DA" w14:textId="77777777" w:rsidTr="00A34F87">
        <w:trPr>
          <w:trHeight w:val="440"/>
          <w:jc w:val="center"/>
        </w:trPr>
        <w:tc>
          <w:tcPr>
            <w:tcW w:w="1636" w:type="dxa"/>
            <w:vMerge w:val="restart"/>
            <w:shd w:val="clear" w:color="auto" w:fill="E6E6E6"/>
          </w:tcPr>
          <w:p w14:paraId="58224728" w14:textId="77777777" w:rsidR="002264C9" w:rsidRPr="008E516B" w:rsidRDefault="002264C9" w:rsidP="0058696A">
            <w:pPr>
              <w:rPr>
                <w:sz w:val="18"/>
                <w:szCs w:val="22"/>
              </w:rPr>
            </w:pPr>
            <w:r w:rsidRPr="008E516B">
              <w:rPr>
                <w:sz w:val="18"/>
                <w:szCs w:val="22"/>
              </w:rPr>
              <w:t>Indicator 4 – Degree of environmental awareness of stakeholders</w:t>
            </w:r>
          </w:p>
        </w:tc>
        <w:tc>
          <w:tcPr>
            <w:tcW w:w="5387" w:type="dxa"/>
            <w:shd w:val="clear" w:color="auto" w:fill="E6E6E6"/>
          </w:tcPr>
          <w:p w14:paraId="3610A578" w14:textId="77777777" w:rsidR="002264C9" w:rsidRPr="008E516B" w:rsidRDefault="002264C9" w:rsidP="0058696A">
            <w:pPr>
              <w:rPr>
                <w:sz w:val="18"/>
                <w:szCs w:val="22"/>
              </w:rPr>
            </w:pPr>
            <w:r w:rsidRPr="008E516B">
              <w:rPr>
                <w:sz w:val="18"/>
                <w:szCs w:val="22"/>
              </w:rPr>
              <w:t>Stakeholders are not aware about global environmental issues and their related possible solutions (MEAs)</w:t>
            </w:r>
          </w:p>
        </w:tc>
        <w:tc>
          <w:tcPr>
            <w:tcW w:w="737" w:type="dxa"/>
            <w:vAlign w:val="center"/>
          </w:tcPr>
          <w:p w14:paraId="37A8C190"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60168A67" w14:textId="08160AC7" w:rsidR="002264C9" w:rsidRPr="008E516B" w:rsidRDefault="002264C9" w:rsidP="001C7AEA">
            <w:pPr>
              <w:jc w:val="center"/>
              <w:rPr>
                <w:sz w:val="18"/>
                <w:szCs w:val="22"/>
              </w:rPr>
            </w:pPr>
            <w:r>
              <w:rPr>
                <w:b/>
                <w:sz w:val="18"/>
                <w:szCs w:val="22"/>
              </w:rPr>
              <w:t>1</w:t>
            </w:r>
          </w:p>
        </w:tc>
        <w:tc>
          <w:tcPr>
            <w:tcW w:w="808" w:type="dxa"/>
            <w:vMerge w:val="restart"/>
            <w:vAlign w:val="center"/>
          </w:tcPr>
          <w:p w14:paraId="1478A2B9" w14:textId="42E9E390" w:rsidR="002264C9" w:rsidRPr="009F382A" w:rsidRDefault="002264C9" w:rsidP="001C7AEA">
            <w:pPr>
              <w:jc w:val="center"/>
              <w:rPr>
                <w:b/>
                <w:sz w:val="18"/>
                <w:szCs w:val="18"/>
              </w:rPr>
            </w:pPr>
            <w:r>
              <w:rPr>
                <w:b/>
                <w:sz w:val="18"/>
                <w:szCs w:val="18"/>
              </w:rPr>
              <w:t>2</w:t>
            </w:r>
          </w:p>
        </w:tc>
        <w:tc>
          <w:tcPr>
            <w:tcW w:w="3686" w:type="dxa"/>
            <w:vMerge w:val="restart"/>
            <w:vAlign w:val="center"/>
          </w:tcPr>
          <w:p w14:paraId="5BC86A22" w14:textId="1F7160E7" w:rsidR="002264C9" w:rsidRPr="008E516B" w:rsidRDefault="00B014DA" w:rsidP="00B014DA">
            <w:pPr>
              <w:rPr>
                <w:sz w:val="18"/>
                <w:szCs w:val="18"/>
              </w:rPr>
            </w:pPr>
            <w:r>
              <w:rPr>
                <w:sz w:val="18"/>
                <w:szCs w:val="18"/>
              </w:rPr>
              <w:t>Through project activities, particularly its communication activities, stakeholders were made more aware about global environmental issues and possible solutions.</w:t>
            </w:r>
          </w:p>
        </w:tc>
        <w:tc>
          <w:tcPr>
            <w:tcW w:w="1418" w:type="dxa"/>
            <w:vMerge w:val="restart"/>
            <w:vAlign w:val="center"/>
          </w:tcPr>
          <w:p w14:paraId="377E4956" w14:textId="0D8462E9" w:rsidR="002264C9" w:rsidRPr="00D43463" w:rsidRDefault="003A6835" w:rsidP="0058696A">
            <w:pPr>
              <w:jc w:val="center"/>
              <w:rPr>
                <w:b/>
                <w:sz w:val="18"/>
                <w:szCs w:val="22"/>
              </w:rPr>
            </w:pPr>
            <w:r>
              <w:rPr>
                <w:b/>
                <w:sz w:val="18"/>
                <w:szCs w:val="22"/>
              </w:rPr>
              <w:t>2</w:t>
            </w:r>
          </w:p>
        </w:tc>
      </w:tr>
      <w:tr w:rsidR="002264C9" w:rsidRPr="008E516B" w14:paraId="195690A7" w14:textId="77777777" w:rsidTr="00A34F87">
        <w:trPr>
          <w:jc w:val="center"/>
        </w:trPr>
        <w:tc>
          <w:tcPr>
            <w:tcW w:w="1636" w:type="dxa"/>
            <w:vMerge/>
            <w:shd w:val="clear" w:color="auto" w:fill="E6E6E6"/>
          </w:tcPr>
          <w:p w14:paraId="07EECF0D" w14:textId="77777777" w:rsidR="002264C9" w:rsidRPr="008E516B" w:rsidRDefault="002264C9" w:rsidP="0058696A">
            <w:pPr>
              <w:spacing w:before="120"/>
              <w:rPr>
                <w:sz w:val="18"/>
                <w:szCs w:val="22"/>
              </w:rPr>
            </w:pPr>
          </w:p>
        </w:tc>
        <w:tc>
          <w:tcPr>
            <w:tcW w:w="5387" w:type="dxa"/>
            <w:shd w:val="clear" w:color="auto" w:fill="E6E6E6"/>
          </w:tcPr>
          <w:p w14:paraId="6F89CD82" w14:textId="77777777" w:rsidR="002264C9" w:rsidRPr="008E516B" w:rsidRDefault="002264C9" w:rsidP="0058696A">
            <w:pPr>
              <w:rPr>
                <w:sz w:val="18"/>
                <w:szCs w:val="22"/>
              </w:rPr>
            </w:pPr>
            <w:r w:rsidRPr="008E516B">
              <w:rPr>
                <w:sz w:val="18"/>
                <w:szCs w:val="22"/>
              </w:rPr>
              <w:t>Stakeholders are aware about global environmental issues but not about the possible solutions (MEAs)</w:t>
            </w:r>
          </w:p>
        </w:tc>
        <w:tc>
          <w:tcPr>
            <w:tcW w:w="737" w:type="dxa"/>
            <w:vAlign w:val="center"/>
          </w:tcPr>
          <w:p w14:paraId="149DF65F"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0B015256" w14:textId="40C60762" w:rsidR="002264C9" w:rsidRPr="008E516B" w:rsidRDefault="002264C9" w:rsidP="0058696A">
            <w:pPr>
              <w:jc w:val="center"/>
              <w:rPr>
                <w:b/>
                <w:sz w:val="18"/>
                <w:szCs w:val="22"/>
              </w:rPr>
            </w:pPr>
          </w:p>
        </w:tc>
        <w:tc>
          <w:tcPr>
            <w:tcW w:w="808" w:type="dxa"/>
            <w:vMerge/>
            <w:vAlign w:val="center"/>
          </w:tcPr>
          <w:p w14:paraId="7D6288E0" w14:textId="77777777" w:rsidR="002264C9" w:rsidRPr="009F382A" w:rsidRDefault="002264C9" w:rsidP="001C7AEA">
            <w:pPr>
              <w:spacing w:before="120"/>
              <w:jc w:val="center"/>
              <w:rPr>
                <w:b/>
                <w:sz w:val="18"/>
                <w:szCs w:val="22"/>
              </w:rPr>
            </w:pPr>
          </w:p>
        </w:tc>
        <w:tc>
          <w:tcPr>
            <w:tcW w:w="3686" w:type="dxa"/>
            <w:vMerge/>
          </w:tcPr>
          <w:p w14:paraId="4CC06D15" w14:textId="730762B4" w:rsidR="002264C9" w:rsidRPr="008E516B" w:rsidRDefault="002264C9" w:rsidP="0058696A">
            <w:pPr>
              <w:spacing w:before="120"/>
              <w:rPr>
                <w:sz w:val="18"/>
                <w:szCs w:val="22"/>
              </w:rPr>
            </w:pPr>
          </w:p>
        </w:tc>
        <w:tc>
          <w:tcPr>
            <w:tcW w:w="1418" w:type="dxa"/>
            <w:vMerge/>
            <w:vAlign w:val="center"/>
          </w:tcPr>
          <w:p w14:paraId="74F2954D" w14:textId="77777777" w:rsidR="002264C9" w:rsidRPr="00D43463" w:rsidRDefault="002264C9" w:rsidP="0058696A">
            <w:pPr>
              <w:spacing w:before="120"/>
              <w:jc w:val="center"/>
              <w:rPr>
                <w:b/>
                <w:sz w:val="18"/>
                <w:szCs w:val="22"/>
              </w:rPr>
            </w:pPr>
          </w:p>
        </w:tc>
      </w:tr>
      <w:tr w:rsidR="002264C9" w:rsidRPr="008E516B" w14:paraId="0E394C4C" w14:textId="77777777" w:rsidTr="00A34F87">
        <w:trPr>
          <w:jc w:val="center"/>
        </w:trPr>
        <w:tc>
          <w:tcPr>
            <w:tcW w:w="1636" w:type="dxa"/>
            <w:vMerge/>
            <w:shd w:val="clear" w:color="auto" w:fill="E6E6E6"/>
          </w:tcPr>
          <w:p w14:paraId="28F81CE1" w14:textId="77777777" w:rsidR="002264C9" w:rsidRPr="008E516B" w:rsidRDefault="002264C9" w:rsidP="0058696A">
            <w:pPr>
              <w:spacing w:before="120"/>
              <w:rPr>
                <w:sz w:val="18"/>
                <w:szCs w:val="22"/>
              </w:rPr>
            </w:pPr>
          </w:p>
        </w:tc>
        <w:tc>
          <w:tcPr>
            <w:tcW w:w="5387" w:type="dxa"/>
            <w:shd w:val="clear" w:color="auto" w:fill="E6E6E6"/>
          </w:tcPr>
          <w:p w14:paraId="51789EC8" w14:textId="77777777" w:rsidR="002264C9" w:rsidRPr="008E516B" w:rsidRDefault="002264C9" w:rsidP="0058696A">
            <w:pPr>
              <w:rPr>
                <w:sz w:val="18"/>
                <w:szCs w:val="22"/>
              </w:rPr>
            </w:pPr>
            <w:r w:rsidRPr="008E516B">
              <w:rPr>
                <w:sz w:val="18"/>
                <w:szCs w:val="22"/>
              </w:rPr>
              <w:t>Stakeholders are aware about global environmental issues and the possible solutions but do not know how to participate</w:t>
            </w:r>
          </w:p>
        </w:tc>
        <w:tc>
          <w:tcPr>
            <w:tcW w:w="737" w:type="dxa"/>
            <w:vAlign w:val="center"/>
          </w:tcPr>
          <w:p w14:paraId="1B703D98" w14:textId="77777777" w:rsidR="002264C9" w:rsidRPr="008E516B" w:rsidRDefault="002264C9" w:rsidP="0058696A">
            <w:pPr>
              <w:jc w:val="center"/>
              <w:rPr>
                <w:sz w:val="18"/>
                <w:szCs w:val="22"/>
              </w:rPr>
            </w:pPr>
            <w:r w:rsidRPr="008E516B">
              <w:rPr>
                <w:sz w:val="18"/>
                <w:szCs w:val="22"/>
              </w:rPr>
              <w:t>2</w:t>
            </w:r>
          </w:p>
        </w:tc>
        <w:tc>
          <w:tcPr>
            <w:tcW w:w="718" w:type="dxa"/>
            <w:vMerge/>
            <w:vAlign w:val="center"/>
          </w:tcPr>
          <w:p w14:paraId="3BF7A904" w14:textId="486EF47E" w:rsidR="002264C9" w:rsidRPr="008E516B" w:rsidRDefault="002264C9" w:rsidP="0058696A">
            <w:pPr>
              <w:jc w:val="center"/>
              <w:rPr>
                <w:b/>
                <w:sz w:val="18"/>
                <w:szCs w:val="22"/>
              </w:rPr>
            </w:pPr>
          </w:p>
        </w:tc>
        <w:tc>
          <w:tcPr>
            <w:tcW w:w="808" w:type="dxa"/>
            <w:vMerge/>
            <w:vAlign w:val="center"/>
          </w:tcPr>
          <w:p w14:paraId="0C4480EE" w14:textId="77777777" w:rsidR="002264C9" w:rsidRPr="009F382A" w:rsidRDefault="002264C9" w:rsidP="001C7AEA">
            <w:pPr>
              <w:spacing w:before="120"/>
              <w:jc w:val="center"/>
              <w:rPr>
                <w:b/>
                <w:sz w:val="18"/>
                <w:szCs w:val="22"/>
              </w:rPr>
            </w:pPr>
          </w:p>
        </w:tc>
        <w:tc>
          <w:tcPr>
            <w:tcW w:w="3686" w:type="dxa"/>
            <w:vMerge/>
          </w:tcPr>
          <w:p w14:paraId="271BCC28" w14:textId="4829F262" w:rsidR="002264C9" w:rsidRPr="008E516B" w:rsidRDefault="002264C9" w:rsidP="0058696A">
            <w:pPr>
              <w:spacing w:before="120"/>
              <w:rPr>
                <w:sz w:val="18"/>
                <w:szCs w:val="22"/>
              </w:rPr>
            </w:pPr>
          </w:p>
        </w:tc>
        <w:tc>
          <w:tcPr>
            <w:tcW w:w="1418" w:type="dxa"/>
            <w:vMerge/>
            <w:vAlign w:val="center"/>
          </w:tcPr>
          <w:p w14:paraId="27C6BC7A" w14:textId="77777777" w:rsidR="002264C9" w:rsidRPr="00D43463" w:rsidRDefault="002264C9" w:rsidP="0058696A">
            <w:pPr>
              <w:spacing w:before="120"/>
              <w:jc w:val="center"/>
              <w:rPr>
                <w:b/>
                <w:sz w:val="18"/>
                <w:szCs w:val="22"/>
              </w:rPr>
            </w:pPr>
          </w:p>
        </w:tc>
      </w:tr>
      <w:tr w:rsidR="002264C9" w:rsidRPr="008E516B" w14:paraId="1456E798" w14:textId="77777777" w:rsidTr="00A34F87">
        <w:trPr>
          <w:jc w:val="center"/>
        </w:trPr>
        <w:tc>
          <w:tcPr>
            <w:tcW w:w="1636" w:type="dxa"/>
            <w:vMerge/>
            <w:tcBorders>
              <w:bottom w:val="single" w:sz="4" w:space="0" w:color="auto"/>
            </w:tcBorders>
            <w:shd w:val="clear" w:color="auto" w:fill="E6E6E6"/>
          </w:tcPr>
          <w:p w14:paraId="4730A706" w14:textId="77777777" w:rsidR="002264C9" w:rsidRPr="008E516B" w:rsidRDefault="002264C9" w:rsidP="0058696A">
            <w:pPr>
              <w:spacing w:before="120"/>
              <w:rPr>
                <w:sz w:val="18"/>
                <w:szCs w:val="22"/>
              </w:rPr>
            </w:pPr>
          </w:p>
        </w:tc>
        <w:tc>
          <w:tcPr>
            <w:tcW w:w="5387" w:type="dxa"/>
            <w:shd w:val="clear" w:color="auto" w:fill="E6E6E6"/>
          </w:tcPr>
          <w:p w14:paraId="3084597D" w14:textId="77777777" w:rsidR="002264C9" w:rsidRPr="008E516B" w:rsidRDefault="002264C9" w:rsidP="0058696A">
            <w:pPr>
              <w:rPr>
                <w:sz w:val="18"/>
                <w:szCs w:val="22"/>
              </w:rPr>
            </w:pPr>
            <w:r w:rsidRPr="008E516B">
              <w:rPr>
                <w:sz w:val="18"/>
                <w:szCs w:val="22"/>
              </w:rPr>
              <w:t>Stakeholders are aware about global environmental issues and are actively participating in the implementation of related solutions</w:t>
            </w:r>
          </w:p>
        </w:tc>
        <w:tc>
          <w:tcPr>
            <w:tcW w:w="737" w:type="dxa"/>
            <w:vAlign w:val="center"/>
          </w:tcPr>
          <w:p w14:paraId="6069CEC0" w14:textId="77777777" w:rsidR="002264C9" w:rsidRPr="008E516B" w:rsidRDefault="002264C9" w:rsidP="0058696A">
            <w:pPr>
              <w:jc w:val="center"/>
              <w:rPr>
                <w:sz w:val="18"/>
                <w:szCs w:val="22"/>
              </w:rPr>
            </w:pPr>
            <w:r w:rsidRPr="008E516B">
              <w:rPr>
                <w:sz w:val="18"/>
                <w:szCs w:val="22"/>
              </w:rPr>
              <w:t>3</w:t>
            </w:r>
          </w:p>
        </w:tc>
        <w:tc>
          <w:tcPr>
            <w:tcW w:w="718" w:type="dxa"/>
            <w:vMerge/>
          </w:tcPr>
          <w:p w14:paraId="562D7A62" w14:textId="77777777" w:rsidR="002264C9" w:rsidRPr="008E516B" w:rsidRDefault="002264C9" w:rsidP="0058696A">
            <w:pPr>
              <w:spacing w:before="120"/>
              <w:rPr>
                <w:sz w:val="18"/>
                <w:szCs w:val="22"/>
              </w:rPr>
            </w:pPr>
          </w:p>
        </w:tc>
        <w:tc>
          <w:tcPr>
            <w:tcW w:w="808" w:type="dxa"/>
            <w:vMerge/>
            <w:vAlign w:val="center"/>
          </w:tcPr>
          <w:p w14:paraId="609F11EA" w14:textId="77777777" w:rsidR="002264C9" w:rsidRPr="009F382A" w:rsidRDefault="002264C9" w:rsidP="001C7AEA">
            <w:pPr>
              <w:spacing w:before="120"/>
              <w:jc w:val="center"/>
              <w:rPr>
                <w:b/>
                <w:sz w:val="18"/>
                <w:szCs w:val="22"/>
              </w:rPr>
            </w:pPr>
          </w:p>
        </w:tc>
        <w:tc>
          <w:tcPr>
            <w:tcW w:w="3686" w:type="dxa"/>
            <w:vMerge/>
          </w:tcPr>
          <w:p w14:paraId="29BCEB41" w14:textId="3B12F072" w:rsidR="002264C9" w:rsidRPr="008E516B" w:rsidRDefault="002264C9" w:rsidP="0058696A">
            <w:pPr>
              <w:spacing w:before="120"/>
              <w:rPr>
                <w:sz w:val="18"/>
                <w:szCs w:val="22"/>
              </w:rPr>
            </w:pPr>
          </w:p>
        </w:tc>
        <w:tc>
          <w:tcPr>
            <w:tcW w:w="1418" w:type="dxa"/>
            <w:vMerge/>
            <w:vAlign w:val="center"/>
          </w:tcPr>
          <w:p w14:paraId="5B778C86" w14:textId="77777777" w:rsidR="002264C9" w:rsidRPr="00D43463" w:rsidRDefault="002264C9" w:rsidP="0058696A">
            <w:pPr>
              <w:spacing w:before="120"/>
              <w:jc w:val="center"/>
              <w:rPr>
                <w:b/>
                <w:sz w:val="18"/>
                <w:szCs w:val="22"/>
              </w:rPr>
            </w:pPr>
          </w:p>
        </w:tc>
      </w:tr>
      <w:tr w:rsidR="002264C9" w:rsidRPr="008E516B" w14:paraId="32571814" w14:textId="77777777" w:rsidTr="00A34F87">
        <w:trPr>
          <w:jc w:val="center"/>
        </w:trPr>
        <w:tc>
          <w:tcPr>
            <w:tcW w:w="1636" w:type="dxa"/>
            <w:vMerge w:val="restart"/>
            <w:shd w:val="clear" w:color="auto" w:fill="E6E6E6"/>
          </w:tcPr>
          <w:p w14:paraId="64FF6FCF" w14:textId="77777777" w:rsidR="002264C9" w:rsidRPr="008E516B" w:rsidRDefault="002264C9" w:rsidP="0058696A">
            <w:pPr>
              <w:rPr>
                <w:sz w:val="18"/>
                <w:szCs w:val="22"/>
              </w:rPr>
            </w:pPr>
            <w:r w:rsidRPr="008E516B">
              <w:rPr>
                <w:sz w:val="18"/>
                <w:szCs w:val="22"/>
              </w:rPr>
              <w:t>Indicator 5 – Access and sharing of environmental information by stakeholders</w:t>
            </w:r>
          </w:p>
        </w:tc>
        <w:tc>
          <w:tcPr>
            <w:tcW w:w="5387" w:type="dxa"/>
            <w:shd w:val="clear" w:color="auto" w:fill="E6E6E6"/>
          </w:tcPr>
          <w:p w14:paraId="36713DE1" w14:textId="77777777" w:rsidR="002264C9" w:rsidRPr="008E516B" w:rsidRDefault="002264C9" w:rsidP="0058696A">
            <w:pPr>
              <w:rPr>
                <w:sz w:val="18"/>
                <w:szCs w:val="22"/>
              </w:rPr>
            </w:pPr>
            <w:r w:rsidRPr="008E516B">
              <w:rPr>
                <w:sz w:val="18"/>
                <w:szCs w:val="22"/>
              </w:rPr>
              <w:t>The environmental information needs are not identified and the information management infrastructure is inadequate</w:t>
            </w:r>
          </w:p>
        </w:tc>
        <w:tc>
          <w:tcPr>
            <w:tcW w:w="737" w:type="dxa"/>
            <w:vAlign w:val="center"/>
          </w:tcPr>
          <w:p w14:paraId="315FA6DF"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3D919373" w14:textId="4C511664" w:rsidR="002264C9" w:rsidRPr="008E516B" w:rsidRDefault="002264C9" w:rsidP="001C7AEA">
            <w:pPr>
              <w:jc w:val="center"/>
              <w:rPr>
                <w:sz w:val="18"/>
                <w:szCs w:val="22"/>
              </w:rPr>
            </w:pPr>
            <w:r>
              <w:rPr>
                <w:b/>
                <w:sz w:val="18"/>
                <w:szCs w:val="22"/>
              </w:rPr>
              <w:t>2</w:t>
            </w:r>
          </w:p>
        </w:tc>
        <w:tc>
          <w:tcPr>
            <w:tcW w:w="808" w:type="dxa"/>
            <w:vMerge w:val="restart"/>
            <w:vAlign w:val="center"/>
          </w:tcPr>
          <w:p w14:paraId="16607360" w14:textId="64C0783F" w:rsidR="002264C9" w:rsidRPr="009F382A" w:rsidRDefault="007B32E3" w:rsidP="001C7AEA">
            <w:pPr>
              <w:jc w:val="center"/>
              <w:rPr>
                <w:b/>
                <w:sz w:val="18"/>
                <w:szCs w:val="22"/>
              </w:rPr>
            </w:pPr>
            <w:r>
              <w:rPr>
                <w:b/>
                <w:sz w:val="18"/>
                <w:szCs w:val="22"/>
              </w:rPr>
              <w:t>2</w:t>
            </w:r>
          </w:p>
        </w:tc>
        <w:tc>
          <w:tcPr>
            <w:tcW w:w="3686" w:type="dxa"/>
            <w:vMerge w:val="restart"/>
            <w:vAlign w:val="center"/>
          </w:tcPr>
          <w:p w14:paraId="6B651B29" w14:textId="6902C316" w:rsidR="002264C9" w:rsidRPr="008E516B" w:rsidRDefault="00B014DA" w:rsidP="00B014DA">
            <w:pPr>
              <w:rPr>
                <w:sz w:val="18"/>
                <w:szCs w:val="22"/>
              </w:rPr>
            </w:pPr>
            <w:r>
              <w:rPr>
                <w:sz w:val="18"/>
                <w:szCs w:val="22"/>
              </w:rPr>
              <w:t xml:space="preserve">Environmental information exists and is available to the public and particularly to Decision Makers through the web. </w:t>
            </w:r>
            <w:r w:rsidR="007B32E3">
              <w:rPr>
                <w:sz w:val="18"/>
                <w:szCs w:val="22"/>
              </w:rPr>
              <w:t>However, it is not comprehensive and questions still remain around the information management infrastructure.</w:t>
            </w:r>
          </w:p>
        </w:tc>
        <w:tc>
          <w:tcPr>
            <w:tcW w:w="1418" w:type="dxa"/>
            <w:vMerge w:val="restart"/>
            <w:vAlign w:val="center"/>
          </w:tcPr>
          <w:p w14:paraId="6389A3A0" w14:textId="2AD344C9" w:rsidR="002264C9" w:rsidRPr="00D43463" w:rsidRDefault="003A6835" w:rsidP="0058696A">
            <w:pPr>
              <w:jc w:val="center"/>
              <w:rPr>
                <w:b/>
                <w:sz w:val="18"/>
                <w:szCs w:val="22"/>
              </w:rPr>
            </w:pPr>
            <w:r>
              <w:rPr>
                <w:b/>
                <w:sz w:val="18"/>
                <w:szCs w:val="22"/>
              </w:rPr>
              <w:t>2</w:t>
            </w:r>
          </w:p>
        </w:tc>
      </w:tr>
      <w:tr w:rsidR="002264C9" w:rsidRPr="008E516B" w14:paraId="5CED56C8" w14:textId="77777777" w:rsidTr="00A34F87">
        <w:trPr>
          <w:jc w:val="center"/>
        </w:trPr>
        <w:tc>
          <w:tcPr>
            <w:tcW w:w="1636" w:type="dxa"/>
            <w:vMerge/>
            <w:shd w:val="clear" w:color="auto" w:fill="E6E6E6"/>
          </w:tcPr>
          <w:p w14:paraId="524380C5" w14:textId="77777777" w:rsidR="002264C9" w:rsidRPr="008E516B" w:rsidRDefault="002264C9" w:rsidP="0058696A">
            <w:pPr>
              <w:spacing w:before="120"/>
              <w:rPr>
                <w:sz w:val="18"/>
                <w:szCs w:val="22"/>
              </w:rPr>
            </w:pPr>
          </w:p>
        </w:tc>
        <w:tc>
          <w:tcPr>
            <w:tcW w:w="5387" w:type="dxa"/>
            <w:shd w:val="clear" w:color="auto" w:fill="E6E6E6"/>
          </w:tcPr>
          <w:p w14:paraId="02AFE6AD" w14:textId="77777777" w:rsidR="002264C9" w:rsidRPr="008E516B" w:rsidRDefault="002264C9" w:rsidP="0058696A">
            <w:pPr>
              <w:rPr>
                <w:sz w:val="18"/>
                <w:szCs w:val="22"/>
              </w:rPr>
            </w:pPr>
            <w:r w:rsidRPr="008E516B">
              <w:rPr>
                <w:sz w:val="18"/>
                <w:szCs w:val="22"/>
              </w:rPr>
              <w:t>The environmental information needs are identified but the information management infrastructure is inadequate</w:t>
            </w:r>
          </w:p>
        </w:tc>
        <w:tc>
          <w:tcPr>
            <w:tcW w:w="737" w:type="dxa"/>
            <w:vAlign w:val="center"/>
          </w:tcPr>
          <w:p w14:paraId="31313DE9"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4920DCED" w14:textId="09E25E87" w:rsidR="002264C9" w:rsidRPr="008E516B" w:rsidRDefault="002264C9" w:rsidP="0058696A">
            <w:pPr>
              <w:jc w:val="center"/>
              <w:rPr>
                <w:b/>
                <w:sz w:val="18"/>
                <w:szCs w:val="22"/>
              </w:rPr>
            </w:pPr>
          </w:p>
        </w:tc>
        <w:tc>
          <w:tcPr>
            <w:tcW w:w="808" w:type="dxa"/>
            <w:vMerge/>
            <w:vAlign w:val="center"/>
          </w:tcPr>
          <w:p w14:paraId="0C9A3A16" w14:textId="77777777" w:rsidR="002264C9" w:rsidRPr="009F382A" w:rsidRDefault="002264C9" w:rsidP="001C7AEA">
            <w:pPr>
              <w:spacing w:before="120"/>
              <w:jc w:val="center"/>
              <w:rPr>
                <w:b/>
                <w:sz w:val="18"/>
                <w:szCs w:val="22"/>
              </w:rPr>
            </w:pPr>
          </w:p>
        </w:tc>
        <w:tc>
          <w:tcPr>
            <w:tcW w:w="3686" w:type="dxa"/>
            <w:vMerge/>
          </w:tcPr>
          <w:p w14:paraId="0CC8534E" w14:textId="0D36DBC8" w:rsidR="002264C9" w:rsidRPr="008E516B" w:rsidRDefault="002264C9" w:rsidP="0058696A">
            <w:pPr>
              <w:spacing w:before="120"/>
              <w:rPr>
                <w:sz w:val="18"/>
                <w:szCs w:val="22"/>
              </w:rPr>
            </w:pPr>
          </w:p>
        </w:tc>
        <w:tc>
          <w:tcPr>
            <w:tcW w:w="1418" w:type="dxa"/>
            <w:vMerge/>
            <w:vAlign w:val="center"/>
          </w:tcPr>
          <w:p w14:paraId="701E7EA4" w14:textId="77777777" w:rsidR="002264C9" w:rsidRPr="00D43463" w:rsidRDefault="002264C9" w:rsidP="0058696A">
            <w:pPr>
              <w:spacing w:before="120"/>
              <w:jc w:val="center"/>
              <w:rPr>
                <w:b/>
                <w:sz w:val="18"/>
                <w:szCs w:val="22"/>
              </w:rPr>
            </w:pPr>
          </w:p>
        </w:tc>
      </w:tr>
      <w:tr w:rsidR="002264C9" w:rsidRPr="008E516B" w14:paraId="0E24C038" w14:textId="77777777" w:rsidTr="00A34F87">
        <w:trPr>
          <w:jc w:val="center"/>
        </w:trPr>
        <w:tc>
          <w:tcPr>
            <w:tcW w:w="1636" w:type="dxa"/>
            <w:vMerge/>
            <w:shd w:val="clear" w:color="auto" w:fill="E6E6E6"/>
          </w:tcPr>
          <w:p w14:paraId="18272494" w14:textId="77777777" w:rsidR="002264C9" w:rsidRPr="008E516B" w:rsidRDefault="002264C9" w:rsidP="0058696A">
            <w:pPr>
              <w:spacing w:before="120"/>
              <w:rPr>
                <w:sz w:val="18"/>
                <w:szCs w:val="22"/>
              </w:rPr>
            </w:pPr>
          </w:p>
        </w:tc>
        <w:tc>
          <w:tcPr>
            <w:tcW w:w="5387" w:type="dxa"/>
            <w:shd w:val="clear" w:color="auto" w:fill="E6E6E6"/>
          </w:tcPr>
          <w:p w14:paraId="30B30727" w14:textId="77777777" w:rsidR="002264C9" w:rsidRPr="008E516B" w:rsidRDefault="002264C9" w:rsidP="0058696A">
            <w:pPr>
              <w:rPr>
                <w:sz w:val="18"/>
                <w:szCs w:val="22"/>
              </w:rPr>
            </w:pPr>
            <w:r w:rsidRPr="008E516B">
              <w:rPr>
                <w:sz w:val="18"/>
                <w:szCs w:val="22"/>
              </w:rPr>
              <w:t>The environmental information is partially available and shared among stakeholders but is not covering all focal areas and/or the information management infrastructure to manage and give information access to the public is limited</w:t>
            </w:r>
          </w:p>
        </w:tc>
        <w:tc>
          <w:tcPr>
            <w:tcW w:w="737" w:type="dxa"/>
            <w:vAlign w:val="center"/>
          </w:tcPr>
          <w:p w14:paraId="5F261E49" w14:textId="77777777" w:rsidR="002264C9" w:rsidRPr="008E516B" w:rsidRDefault="002264C9" w:rsidP="0058696A">
            <w:pPr>
              <w:jc w:val="center"/>
              <w:rPr>
                <w:sz w:val="18"/>
                <w:szCs w:val="22"/>
              </w:rPr>
            </w:pPr>
            <w:r w:rsidRPr="008E516B">
              <w:rPr>
                <w:sz w:val="18"/>
                <w:szCs w:val="22"/>
              </w:rPr>
              <w:t>2</w:t>
            </w:r>
          </w:p>
        </w:tc>
        <w:tc>
          <w:tcPr>
            <w:tcW w:w="718" w:type="dxa"/>
            <w:vMerge/>
          </w:tcPr>
          <w:p w14:paraId="5464BC6C" w14:textId="77777777" w:rsidR="002264C9" w:rsidRPr="008E516B" w:rsidRDefault="002264C9" w:rsidP="0058696A">
            <w:pPr>
              <w:spacing w:before="120"/>
              <w:rPr>
                <w:sz w:val="18"/>
                <w:szCs w:val="22"/>
              </w:rPr>
            </w:pPr>
          </w:p>
        </w:tc>
        <w:tc>
          <w:tcPr>
            <w:tcW w:w="808" w:type="dxa"/>
            <w:vMerge/>
            <w:vAlign w:val="center"/>
          </w:tcPr>
          <w:p w14:paraId="59194A19" w14:textId="77777777" w:rsidR="002264C9" w:rsidRPr="009F382A" w:rsidRDefault="002264C9" w:rsidP="001C7AEA">
            <w:pPr>
              <w:spacing w:before="120"/>
              <w:jc w:val="center"/>
              <w:rPr>
                <w:b/>
                <w:sz w:val="18"/>
                <w:szCs w:val="22"/>
              </w:rPr>
            </w:pPr>
          </w:p>
        </w:tc>
        <w:tc>
          <w:tcPr>
            <w:tcW w:w="3686" w:type="dxa"/>
            <w:vMerge/>
          </w:tcPr>
          <w:p w14:paraId="379D5646" w14:textId="13B31AD6" w:rsidR="002264C9" w:rsidRPr="008E516B" w:rsidRDefault="002264C9" w:rsidP="0058696A">
            <w:pPr>
              <w:spacing w:before="120"/>
              <w:rPr>
                <w:sz w:val="18"/>
                <w:szCs w:val="22"/>
              </w:rPr>
            </w:pPr>
          </w:p>
        </w:tc>
        <w:tc>
          <w:tcPr>
            <w:tcW w:w="1418" w:type="dxa"/>
            <w:vMerge/>
            <w:vAlign w:val="center"/>
          </w:tcPr>
          <w:p w14:paraId="64BEFE0A" w14:textId="77777777" w:rsidR="002264C9" w:rsidRPr="00D43463" w:rsidRDefault="002264C9" w:rsidP="0058696A">
            <w:pPr>
              <w:spacing w:before="120"/>
              <w:jc w:val="center"/>
              <w:rPr>
                <w:b/>
                <w:sz w:val="18"/>
                <w:szCs w:val="22"/>
              </w:rPr>
            </w:pPr>
          </w:p>
        </w:tc>
      </w:tr>
      <w:tr w:rsidR="002264C9" w:rsidRPr="008E516B" w14:paraId="68466D2C" w14:textId="77777777" w:rsidTr="00A34F87">
        <w:trPr>
          <w:jc w:val="center"/>
        </w:trPr>
        <w:tc>
          <w:tcPr>
            <w:tcW w:w="1636" w:type="dxa"/>
            <w:vMerge/>
            <w:tcBorders>
              <w:bottom w:val="single" w:sz="4" w:space="0" w:color="auto"/>
            </w:tcBorders>
            <w:shd w:val="clear" w:color="auto" w:fill="E6E6E6"/>
          </w:tcPr>
          <w:p w14:paraId="32EEDE1D" w14:textId="77777777" w:rsidR="002264C9" w:rsidRPr="008E516B" w:rsidRDefault="002264C9" w:rsidP="0058696A">
            <w:pPr>
              <w:spacing w:before="120"/>
              <w:rPr>
                <w:sz w:val="18"/>
                <w:szCs w:val="22"/>
              </w:rPr>
            </w:pPr>
          </w:p>
        </w:tc>
        <w:tc>
          <w:tcPr>
            <w:tcW w:w="5387" w:type="dxa"/>
            <w:shd w:val="clear" w:color="auto" w:fill="E6E6E6"/>
          </w:tcPr>
          <w:p w14:paraId="10CBDA1A" w14:textId="77777777" w:rsidR="002264C9" w:rsidRPr="008E516B" w:rsidRDefault="002264C9" w:rsidP="0058696A">
            <w:pPr>
              <w:rPr>
                <w:sz w:val="18"/>
                <w:szCs w:val="22"/>
              </w:rPr>
            </w:pPr>
            <w:r w:rsidRPr="008E516B">
              <w:rPr>
                <w:sz w:val="18"/>
                <w:szCs w:val="22"/>
              </w:rPr>
              <w:t>Comprehensive environmental information is available and shared through an adequate information management infrastructure</w:t>
            </w:r>
          </w:p>
        </w:tc>
        <w:tc>
          <w:tcPr>
            <w:tcW w:w="737" w:type="dxa"/>
            <w:vAlign w:val="center"/>
          </w:tcPr>
          <w:p w14:paraId="777AC992" w14:textId="77777777" w:rsidR="002264C9" w:rsidRPr="008E516B" w:rsidRDefault="002264C9" w:rsidP="0058696A">
            <w:pPr>
              <w:jc w:val="center"/>
              <w:rPr>
                <w:sz w:val="18"/>
                <w:szCs w:val="22"/>
              </w:rPr>
            </w:pPr>
            <w:r w:rsidRPr="008E516B">
              <w:rPr>
                <w:sz w:val="18"/>
                <w:szCs w:val="22"/>
              </w:rPr>
              <w:t>3</w:t>
            </w:r>
          </w:p>
        </w:tc>
        <w:tc>
          <w:tcPr>
            <w:tcW w:w="718" w:type="dxa"/>
            <w:vMerge/>
          </w:tcPr>
          <w:p w14:paraId="3C93D3BC" w14:textId="77777777" w:rsidR="002264C9" w:rsidRPr="008E516B" w:rsidRDefault="002264C9" w:rsidP="0058696A">
            <w:pPr>
              <w:spacing w:before="120"/>
              <w:rPr>
                <w:sz w:val="18"/>
                <w:szCs w:val="22"/>
              </w:rPr>
            </w:pPr>
          </w:p>
        </w:tc>
        <w:tc>
          <w:tcPr>
            <w:tcW w:w="808" w:type="dxa"/>
            <w:vMerge/>
            <w:vAlign w:val="center"/>
          </w:tcPr>
          <w:p w14:paraId="407D7C4A" w14:textId="77777777" w:rsidR="002264C9" w:rsidRPr="009F382A" w:rsidRDefault="002264C9" w:rsidP="001C7AEA">
            <w:pPr>
              <w:spacing w:before="120"/>
              <w:jc w:val="center"/>
              <w:rPr>
                <w:b/>
                <w:sz w:val="18"/>
                <w:szCs w:val="22"/>
              </w:rPr>
            </w:pPr>
          </w:p>
        </w:tc>
        <w:tc>
          <w:tcPr>
            <w:tcW w:w="3686" w:type="dxa"/>
            <w:vMerge/>
          </w:tcPr>
          <w:p w14:paraId="0E2EAA24" w14:textId="3A3C906D" w:rsidR="002264C9" w:rsidRPr="008E516B" w:rsidRDefault="002264C9" w:rsidP="0058696A">
            <w:pPr>
              <w:spacing w:before="120"/>
              <w:rPr>
                <w:sz w:val="18"/>
                <w:szCs w:val="22"/>
              </w:rPr>
            </w:pPr>
          </w:p>
        </w:tc>
        <w:tc>
          <w:tcPr>
            <w:tcW w:w="1418" w:type="dxa"/>
            <w:vMerge/>
            <w:vAlign w:val="center"/>
          </w:tcPr>
          <w:p w14:paraId="0F69C8BB" w14:textId="77777777" w:rsidR="002264C9" w:rsidRPr="00D43463" w:rsidRDefault="002264C9" w:rsidP="0058696A">
            <w:pPr>
              <w:spacing w:before="120"/>
              <w:jc w:val="center"/>
              <w:rPr>
                <w:b/>
                <w:sz w:val="18"/>
                <w:szCs w:val="22"/>
              </w:rPr>
            </w:pPr>
          </w:p>
        </w:tc>
      </w:tr>
      <w:tr w:rsidR="002264C9" w:rsidRPr="008E516B" w14:paraId="758B23E4" w14:textId="77777777" w:rsidTr="00A34F87">
        <w:trPr>
          <w:jc w:val="center"/>
        </w:trPr>
        <w:tc>
          <w:tcPr>
            <w:tcW w:w="1636" w:type="dxa"/>
            <w:vMerge w:val="restart"/>
            <w:shd w:val="clear" w:color="auto" w:fill="E6E6E6"/>
          </w:tcPr>
          <w:p w14:paraId="70D71682" w14:textId="77777777" w:rsidR="002264C9" w:rsidRPr="008E516B" w:rsidRDefault="002264C9" w:rsidP="0058696A">
            <w:pPr>
              <w:rPr>
                <w:sz w:val="18"/>
                <w:szCs w:val="22"/>
              </w:rPr>
            </w:pPr>
            <w:r w:rsidRPr="008E516B">
              <w:rPr>
                <w:sz w:val="18"/>
                <w:szCs w:val="22"/>
              </w:rPr>
              <w:t>Indicator 6 – Existence of environmental education programmes</w:t>
            </w:r>
          </w:p>
        </w:tc>
        <w:tc>
          <w:tcPr>
            <w:tcW w:w="5387" w:type="dxa"/>
            <w:shd w:val="clear" w:color="auto" w:fill="E6E6E6"/>
          </w:tcPr>
          <w:p w14:paraId="06877E27" w14:textId="77777777" w:rsidR="002264C9" w:rsidRPr="008E516B" w:rsidRDefault="002264C9" w:rsidP="0058696A">
            <w:pPr>
              <w:rPr>
                <w:sz w:val="18"/>
                <w:szCs w:val="22"/>
              </w:rPr>
            </w:pPr>
            <w:r w:rsidRPr="008E516B">
              <w:rPr>
                <w:sz w:val="18"/>
                <w:szCs w:val="22"/>
              </w:rPr>
              <w:t>No environmental education programmes are in place</w:t>
            </w:r>
          </w:p>
        </w:tc>
        <w:tc>
          <w:tcPr>
            <w:tcW w:w="737" w:type="dxa"/>
            <w:vAlign w:val="center"/>
          </w:tcPr>
          <w:p w14:paraId="16FF5AA3"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5D44E918" w14:textId="62EEBEE7" w:rsidR="002264C9" w:rsidRPr="008E516B" w:rsidRDefault="002264C9" w:rsidP="001C7AEA">
            <w:pPr>
              <w:jc w:val="center"/>
              <w:rPr>
                <w:sz w:val="18"/>
                <w:szCs w:val="22"/>
              </w:rPr>
            </w:pPr>
            <w:r w:rsidRPr="008E516B">
              <w:rPr>
                <w:b/>
                <w:sz w:val="18"/>
                <w:szCs w:val="22"/>
              </w:rPr>
              <w:t>1</w:t>
            </w:r>
          </w:p>
        </w:tc>
        <w:tc>
          <w:tcPr>
            <w:tcW w:w="808" w:type="dxa"/>
            <w:vMerge w:val="restart"/>
            <w:vAlign w:val="center"/>
          </w:tcPr>
          <w:p w14:paraId="4C75EC67" w14:textId="26D7F2B2" w:rsidR="002264C9" w:rsidRPr="009F382A" w:rsidRDefault="002264C9" w:rsidP="001C7AEA">
            <w:pPr>
              <w:jc w:val="center"/>
              <w:rPr>
                <w:b/>
                <w:sz w:val="18"/>
                <w:szCs w:val="18"/>
              </w:rPr>
            </w:pPr>
            <w:r>
              <w:rPr>
                <w:b/>
                <w:sz w:val="18"/>
                <w:szCs w:val="18"/>
              </w:rPr>
              <w:t>1</w:t>
            </w:r>
          </w:p>
        </w:tc>
        <w:tc>
          <w:tcPr>
            <w:tcW w:w="3686" w:type="dxa"/>
            <w:vMerge w:val="restart"/>
            <w:vAlign w:val="center"/>
          </w:tcPr>
          <w:p w14:paraId="53B75427" w14:textId="04BC8BEC" w:rsidR="002264C9" w:rsidRPr="008E516B" w:rsidRDefault="00B014DA" w:rsidP="00D61671">
            <w:pPr>
              <w:rPr>
                <w:sz w:val="18"/>
                <w:szCs w:val="18"/>
              </w:rPr>
            </w:pPr>
            <w:r>
              <w:rPr>
                <w:sz w:val="18"/>
                <w:szCs w:val="18"/>
              </w:rPr>
              <w:t>Project did support the development of some training material on environmental economic instruments</w:t>
            </w:r>
            <w:r w:rsidR="00D61671">
              <w:rPr>
                <w:sz w:val="18"/>
                <w:szCs w:val="18"/>
              </w:rPr>
              <w:t xml:space="preserve"> for several workshops but their impact is limited at the national level.</w:t>
            </w:r>
          </w:p>
        </w:tc>
        <w:tc>
          <w:tcPr>
            <w:tcW w:w="1418" w:type="dxa"/>
            <w:vMerge w:val="restart"/>
            <w:vAlign w:val="center"/>
          </w:tcPr>
          <w:p w14:paraId="7AC51387" w14:textId="04AFB08C" w:rsidR="002264C9" w:rsidRPr="00D43463" w:rsidRDefault="00D61671" w:rsidP="0058696A">
            <w:pPr>
              <w:jc w:val="center"/>
              <w:rPr>
                <w:b/>
                <w:sz w:val="18"/>
                <w:szCs w:val="22"/>
              </w:rPr>
            </w:pPr>
            <w:r>
              <w:rPr>
                <w:b/>
                <w:sz w:val="18"/>
                <w:szCs w:val="22"/>
              </w:rPr>
              <w:t>2</w:t>
            </w:r>
          </w:p>
        </w:tc>
      </w:tr>
      <w:tr w:rsidR="002264C9" w:rsidRPr="008E516B" w14:paraId="6EDDE594" w14:textId="77777777" w:rsidTr="00A34F87">
        <w:trPr>
          <w:jc w:val="center"/>
        </w:trPr>
        <w:tc>
          <w:tcPr>
            <w:tcW w:w="1636" w:type="dxa"/>
            <w:vMerge/>
            <w:shd w:val="clear" w:color="auto" w:fill="E6E6E6"/>
          </w:tcPr>
          <w:p w14:paraId="75ECD9C9" w14:textId="77777777" w:rsidR="002264C9" w:rsidRPr="008E516B" w:rsidRDefault="002264C9" w:rsidP="0058696A">
            <w:pPr>
              <w:spacing w:before="120"/>
              <w:rPr>
                <w:sz w:val="18"/>
                <w:szCs w:val="22"/>
              </w:rPr>
            </w:pPr>
          </w:p>
        </w:tc>
        <w:tc>
          <w:tcPr>
            <w:tcW w:w="5387" w:type="dxa"/>
            <w:shd w:val="clear" w:color="auto" w:fill="E6E6E6"/>
          </w:tcPr>
          <w:p w14:paraId="1A6BECE2" w14:textId="77777777" w:rsidR="002264C9" w:rsidRPr="008E516B" w:rsidRDefault="002264C9" w:rsidP="0058696A">
            <w:pPr>
              <w:rPr>
                <w:sz w:val="18"/>
                <w:szCs w:val="22"/>
              </w:rPr>
            </w:pPr>
            <w:r w:rsidRPr="008E516B">
              <w:rPr>
                <w:sz w:val="18"/>
                <w:szCs w:val="22"/>
              </w:rPr>
              <w:t>Environmental education programmes are partially developed and partially delivered</w:t>
            </w:r>
          </w:p>
        </w:tc>
        <w:tc>
          <w:tcPr>
            <w:tcW w:w="737" w:type="dxa"/>
            <w:vAlign w:val="center"/>
          </w:tcPr>
          <w:p w14:paraId="396B4D21"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647AB936" w14:textId="05F6AA45" w:rsidR="002264C9" w:rsidRPr="008E516B" w:rsidRDefault="002264C9" w:rsidP="0058696A">
            <w:pPr>
              <w:jc w:val="center"/>
              <w:rPr>
                <w:b/>
                <w:sz w:val="18"/>
                <w:szCs w:val="22"/>
              </w:rPr>
            </w:pPr>
          </w:p>
        </w:tc>
        <w:tc>
          <w:tcPr>
            <w:tcW w:w="808" w:type="dxa"/>
            <w:vMerge/>
            <w:vAlign w:val="center"/>
          </w:tcPr>
          <w:p w14:paraId="54AC13A3" w14:textId="77777777" w:rsidR="002264C9" w:rsidRPr="009F382A" w:rsidRDefault="002264C9" w:rsidP="001C7AEA">
            <w:pPr>
              <w:spacing w:before="120"/>
              <w:jc w:val="center"/>
              <w:rPr>
                <w:b/>
                <w:sz w:val="18"/>
                <w:szCs w:val="22"/>
              </w:rPr>
            </w:pPr>
          </w:p>
        </w:tc>
        <w:tc>
          <w:tcPr>
            <w:tcW w:w="3686" w:type="dxa"/>
            <w:vMerge/>
          </w:tcPr>
          <w:p w14:paraId="53203EBB" w14:textId="62FB1045" w:rsidR="002264C9" w:rsidRPr="008E516B" w:rsidRDefault="002264C9" w:rsidP="0058696A">
            <w:pPr>
              <w:spacing w:before="120"/>
              <w:rPr>
                <w:sz w:val="18"/>
                <w:szCs w:val="22"/>
              </w:rPr>
            </w:pPr>
          </w:p>
        </w:tc>
        <w:tc>
          <w:tcPr>
            <w:tcW w:w="1418" w:type="dxa"/>
            <w:vMerge/>
            <w:vAlign w:val="center"/>
          </w:tcPr>
          <w:p w14:paraId="61E0244F" w14:textId="77777777" w:rsidR="002264C9" w:rsidRPr="00D43463" w:rsidRDefault="002264C9" w:rsidP="0058696A">
            <w:pPr>
              <w:spacing w:before="120"/>
              <w:jc w:val="center"/>
              <w:rPr>
                <w:b/>
                <w:sz w:val="18"/>
                <w:szCs w:val="22"/>
              </w:rPr>
            </w:pPr>
          </w:p>
        </w:tc>
      </w:tr>
      <w:tr w:rsidR="002264C9" w:rsidRPr="008E516B" w14:paraId="426E6C36" w14:textId="77777777" w:rsidTr="00A34F87">
        <w:trPr>
          <w:jc w:val="center"/>
        </w:trPr>
        <w:tc>
          <w:tcPr>
            <w:tcW w:w="1636" w:type="dxa"/>
            <w:vMerge/>
            <w:shd w:val="clear" w:color="auto" w:fill="E6E6E6"/>
          </w:tcPr>
          <w:p w14:paraId="51BD5AC5" w14:textId="77777777" w:rsidR="002264C9" w:rsidRPr="008E516B" w:rsidRDefault="002264C9" w:rsidP="0058696A">
            <w:pPr>
              <w:spacing w:before="120"/>
              <w:rPr>
                <w:sz w:val="18"/>
                <w:szCs w:val="22"/>
              </w:rPr>
            </w:pPr>
          </w:p>
        </w:tc>
        <w:tc>
          <w:tcPr>
            <w:tcW w:w="5387" w:type="dxa"/>
            <w:shd w:val="clear" w:color="auto" w:fill="E6E6E6"/>
          </w:tcPr>
          <w:p w14:paraId="68502915" w14:textId="77777777" w:rsidR="002264C9" w:rsidRPr="008E516B" w:rsidRDefault="002264C9" w:rsidP="0058696A">
            <w:pPr>
              <w:rPr>
                <w:sz w:val="18"/>
                <w:szCs w:val="22"/>
              </w:rPr>
            </w:pPr>
            <w:r w:rsidRPr="008E516B">
              <w:rPr>
                <w:sz w:val="18"/>
                <w:szCs w:val="22"/>
              </w:rPr>
              <w:t>Environmental education programmes are fully developed but partially delivered</w:t>
            </w:r>
          </w:p>
        </w:tc>
        <w:tc>
          <w:tcPr>
            <w:tcW w:w="737" w:type="dxa"/>
            <w:vAlign w:val="center"/>
          </w:tcPr>
          <w:p w14:paraId="6644EB96" w14:textId="77777777" w:rsidR="002264C9" w:rsidRPr="008E516B" w:rsidRDefault="002264C9" w:rsidP="0058696A">
            <w:pPr>
              <w:jc w:val="center"/>
              <w:rPr>
                <w:sz w:val="18"/>
                <w:szCs w:val="22"/>
              </w:rPr>
            </w:pPr>
            <w:r w:rsidRPr="008E516B">
              <w:rPr>
                <w:sz w:val="18"/>
                <w:szCs w:val="22"/>
              </w:rPr>
              <w:t>2</w:t>
            </w:r>
          </w:p>
        </w:tc>
        <w:tc>
          <w:tcPr>
            <w:tcW w:w="718" w:type="dxa"/>
            <w:vMerge/>
          </w:tcPr>
          <w:p w14:paraId="7D0EB4FA" w14:textId="77777777" w:rsidR="002264C9" w:rsidRPr="008E516B" w:rsidRDefault="002264C9" w:rsidP="0058696A">
            <w:pPr>
              <w:spacing w:before="120"/>
              <w:rPr>
                <w:sz w:val="18"/>
                <w:szCs w:val="22"/>
              </w:rPr>
            </w:pPr>
          </w:p>
        </w:tc>
        <w:tc>
          <w:tcPr>
            <w:tcW w:w="808" w:type="dxa"/>
            <w:vMerge/>
            <w:vAlign w:val="center"/>
          </w:tcPr>
          <w:p w14:paraId="3367F3B2" w14:textId="77777777" w:rsidR="002264C9" w:rsidRPr="009F382A" w:rsidRDefault="002264C9" w:rsidP="001C7AEA">
            <w:pPr>
              <w:spacing w:before="120"/>
              <w:jc w:val="center"/>
              <w:rPr>
                <w:b/>
                <w:sz w:val="18"/>
                <w:szCs w:val="22"/>
              </w:rPr>
            </w:pPr>
          </w:p>
        </w:tc>
        <w:tc>
          <w:tcPr>
            <w:tcW w:w="3686" w:type="dxa"/>
            <w:vMerge/>
          </w:tcPr>
          <w:p w14:paraId="3841D2B5" w14:textId="687A359F" w:rsidR="002264C9" w:rsidRPr="008E516B" w:rsidRDefault="002264C9" w:rsidP="0058696A">
            <w:pPr>
              <w:spacing w:before="120"/>
              <w:rPr>
                <w:sz w:val="18"/>
                <w:szCs w:val="22"/>
              </w:rPr>
            </w:pPr>
          </w:p>
        </w:tc>
        <w:tc>
          <w:tcPr>
            <w:tcW w:w="1418" w:type="dxa"/>
            <w:vMerge/>
            <w:vAlign w:val="center"/>
          </w:tcPr>
          <w:p w14:paraId="572F08B8" w14:textId="77777777" w:rsidR="002264C9" w:rsidRPr="00D43463" w:rsidRDefault="002264C9" w:rsidP="0058696A">
            <w:pPr>
              <w:spacing w:before="120"/>
              <w:jc w:val="center"/>
              <w:rPr>
                <w:b/>
                <w:sz w:val="18"/>
                <w:szCs w:val="22"/>
              </w:rPr>
            </w:pPr>
          </w:p>
        </w:tc>
      </w:tr>
      <w:tr w:rsidR="002264C9" w:rsidRPr="008E516B" w14:paraId="50AA8B00" w14:textId="77777777" w:rsidTr="00A34F87">
        <w:trPr>
          <w:jc w:val="center"/>
        </w:trPr>
        <w:tc>
          <w:tcPr>
            <w:tcW w:w="1636" w:type="dxa"/>
            <w:vMerge/>
            <w:tcBorders>
              <w:bottom w:val="single" w:sz="4" w:space="0" w:color="auto"/>
            </w:tcBorders>
            <w:shd w:val="clear" w:color="auto" w:fill="E6E6E6"/>
          </w:tcPr>
          <w:p w14:paraId="213A26A4" w14:textId="77777777" w:rsidR="002264C9" w:rsidRPr="008E516B" w:rsidRDefault="002264C9" w:rsidP="0058696A">
            <w:pPr>
              <w:spacing w:before="120"/>
              <w:rPr>
                <w:sz w:val="18"/>
                <w:szCs w:val="22"/>
              </w:rPr>
            </w:pPr>
          </w:p>
        </w:tc>
        <w:tc>
          <w:tcPr>
            <w:tcW w:w="5387" w:type="dxa"/>
            <w:shd w:val="clear" w:color="auto" w:fill="E6E6E6"/>
          </w:tcPr>
          <w:p w14:paraId="4EE91EF2" w14:textId="77777777" w:rsidR="002264C9" w:rsidRPr="008E516B" w:rsidRDefault="002264C9" w:rsidP="0058696A">
            <w:pPr>
              <w:rPr>
                <w:sz w:val="18"/>
                <w:szCs w:val="22"/>
              </w:rPr>
            </w:pPr>
            <w:r w:rsidRPr="008E516B">
              <w:rPr>
                <w:sz w:val="18"/>
                <w:szCs w:val="22"/>
              </w:rPr>
              <w:t>Comprehensive environmental education programmes exist and are being delivered</w:t>
            </w:r>
          </w:p>
        </w:tc>
        <w:tc>
          <w:tcPr>
            <w:tcW w:w="737" w:type="dxa"/>
            <w:vAlign w:val="center"/>
          </w:tcPr>
          <w:p w14:paraId="6054FAAF" w14:textId="77777777" w:rsidR="002264C9" w:rsidRPr="008E516B" w:rsidRDefault="002264C9" w:rsidP="0058696A">
            <w:pPr>
              <w:jc w:val="center"/>
              <w:rPr>
                <w:sz w:val="18"/>
                <w:szCs w:val="22"/>
              </w:rPr>
            </w:pPr>
            <w:r w:rsidRPr="008E516B">
              <w:rPr>
                <w:sz w:val="18"/>
                <w:szCs w:val="22"/>
              </w:rPr>
              <w:t>3</w:t>
            </w:r>
          </w:p>
        </w:tc>
        <w:tc>
          <w:tcPr>
            <w:tcW w:w="718" w:type="dxa"/>
            <w:vMerge/>
          </w:tcPr>
          <w:p w14:paraId="3722046F" w14:textId="77777777" w:rsidR="002264C9" w:rsidRPr="008E516B" w:rsidRDefault="002264C9" w:rsidP="0058696A">
            <w:pPr>
              <w:spacing w:before="120"/>
              <w:rPr>
                <w:sz w:val="18"/>
                <w:szCs w:val="22"/>
              </w:rPr>
            </w:pPr>
          </w:p>
        </w:tc>
        <w:tc>
          <w:tcPr>
            <w:tcW w:w="808" w:type="dxa"/>
            <w:vMerge/>
            <w:vAlign w:val="center"/>
          </w:tcPr>
          <w:p w14:paraId="3F30B65A" w14:textId="77777777" w:rsidR="002264C9" w:rsidRPr="009F382A" w:rsidRDefault="002264C9" w:rsidP="001C7AEA">
            <w:pPr>
              <w:spacing w:before="120"/>
              <w:jc w:val="center"/>
              <w:rPr>
                <w:b/>
                <w:sz w:val="18"/>
                <w:szCs w:val="22"/>
              </w:rPr>
            </w:pPr>
          </w:p>
        </w:tc>
        <w:tc>
          <w:tcPr>
            <w:tcW w:w="3686" w:type="dxa"/>
            <w:vMerge/>
          </w:tcPr>
          <w:p w14:paraId="2F10EFA4" w14:textId="35FCD2D3" w:rsidR="002264C9" w:rsidRPr="008E516B" w:rsidRDefault="002264C9" w:rsidP="0058696A">
            <w:pPr>
              <w:spacing w:before="120"/>
              <w:rPr>
                <w:sz w:val="18"/>
                <w:szCs w:val="22"/>
              </w:rPr>
            </w:pPr>
          </w:p>
        </w:tc>
        <w:tc>
          <w:tcPr>
            <w:tcW w:w="1418" w:type="dxa"/>
            <w:vMerge/>
            <w:vAlign w:val="center"/>
          </w:tcPr>
          <w:p w14:paraId="48D93A9E" w14:textId="77777777" w:rsidR="002264C9" w:rsidRPr="00D43463" w:rsidRDefault="002264C9" w:rsidP="0058696A">
            <w:pPr>
              <w:spacing w:before="120"/>
              <w:jc w:val="center"/>
              <w:rPr>
                <w:b/>
                <w:sz w:val="18"/>
                <w:szCs w:val="22"/>
              </w:rPr>
            </w:pPr>
          </w:p>
        </w:tc>
      </w:tr>
      <w:tr w:rsidR="002264C9" w:rsidRPr="008E516B" w14:paraId="612CFCB0" w14:textId="77777777" w:rsidTr="00A34F87">
        <w:trPr>
          <w:jc w:val="center"/>
        </w:trPr>
        <w:tc>
          <w:tcPr>
            <w:tcW w:w="1636" w:type="dxa"/>
            <w:vMerge w:val="restart"/>
            <w:shd w:val="clear" w:color="auto" w:fill="E6E6E6"/>
          </w:tcPr>
          <w:p w14:paraId="39A36368" w14:textId="77777777" w:rsidR="002264C9" w:rsidRPr="008E516B" w:rsidRDefault="002264C9" w:rsidP="0058696A">
            <w:pPr>
              <w:rPr>
                <w:sz w:val="18"/>
                <w:szCs w:val="22"/>
              </w:rPr>
            </w:pPr>
            <w:r w:rsidRPr="008E516B">
              <w:rPr>
                <w:sz w:val="18"/>
                <w:szCs w:val="22"/>
              </w:rPr>
              <w:t>Indicator 7 – Extent of the linkage between environmental research/science and policy development</w:t>
            </w:r>
          </w:p>
        </w:tc>
        <w:tc>
          <w:tcPr>
            <w:tcW w:w="5387" w:type="dxa"/>
            <w:shd w:val="clear" w:color="auto" w:fill="E6E6E6"/>
          </w:tcPr>
          <w:p w14:paraId="4C294F8B" w14:textId="77777777" w:rsidR="002264C9" w:rsidRPr="008E516B" w:rsidRDefault="002264C9" w:rsidP="0058696A">
            <w:pPr>
              <w:rPr>
                <w:sz w:val="18"/>
                <w:szCs w:val="22"/>
              </w:rPr>
            </w:pPr>
            <w:r w:rsidRPr="008E516B">
              <w:rPr>
                <w:sz w:val="18"/>
                <w:szCs w:val="22"/>
              </w:rPr>
              <w:t>No linkage exist between environmental policy development and science/research strategies and programmes</w:t>
            </w:r>
          </w:p>
        </w:tc>
        <w:tc>
          <w:tcPr>
            <w:tcW w:w="737" w:type="dxa"/>
            <w:vAlign w:val="center"/>
          </w:tcPr>
          <w:p w14:paraId="67DD5B44"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32031C64" w14:textId="07C2B4A9" w:rsidR="002264C9" w:rsidRPr="001C7AEA" w:rsidRDefault="002264C9" w:rsidP="001C7AEA">
            <w:pPr>
              <w:jc w:val="center"/>
              <w:rPr>
                <w:b/>
                <w:sz w:val="18"/>
                <w:szCs w:val="22"/>
              </w:rPr>
            </w:pPr>
            <w:r w:rsidRPr="001C7AEA">
              <w:rPr>
                <w:b/>
                <w:sz w:val="18"/>
                <w:szCs w:val="22"/>
              </w:rPr>
              <w:t>0</w:t>
            </w:r>
          </w:p>
        </w:tc>
        <w:tc>
          <w:tcPr>
            <w:tcW w:w="808" w:type="dxa"/>
            <w:vMerge w:val="restart"/>
            <w:vAlign w:val="center"/>
          </w:tcPr>
          <w:p w14:paraId="3C274584" w14:textId="4586529B" w:rsidR="002264C9" w:rsidRPr="009F382A" w:rsidRDefault="002264C9" w:rsidP="001C7AEA">
            <w:pPr>
              <w:jc w:val="center"/>
              <w:rPr>
                <w:b/>
                <w:sz w:val="18"/>
                <w:szCs w:val="18"/>
              </w:rPr>
            </w:pPr>
            <w:r w:rsidRPr="009F382A">
              <w:rPr>
                <w:b/>
                <w:sz w:val="18"/>
                <w:szCs w:val="18"/>
              </w:rPr>
              <w:t>2</w:t>
            </w:r>
          </w:p>
        </w:tc>
        <w:tc>
          <w:tcPr>
            <w:tcW w:w="3686" w:type="dxa"/>
            <w:vMerge w:val="restart"/>
            <w:vAlign w:val="center"/>
          </w:tcPr>
          <w:p w14:paraId="4B163B05" w14:textId="0394903C" w:rsidR="002264C9" w:rsidRPr="00FF25E4" w:rsidRDefault="00D61671" w:rsidP="0058696A">
            <w:pPr>
              <w:rPr>
                <w:sz w:val="18"/>
                <w:szCs w:val="18"/>
              </w:rPr>
            </w:pPr>
            <w:r w:rsidRPr="00FF25E4">
              <w:rPr>
                <w:sz w:val="18"/>
                <w:szCs w:val="18"/>
              </w:rPr>
              <w:t xml:space="preserve">The project supported </w:t>
            </w:r>
            <w:r w:rsidR="00FF25E4">
              <w:rPr>
                <w:sz w:val="18"/>
                <w:szCs w:val="18"/>
              </w:rPr>
              <w:t xml:space="preserve">numerous studies, research, analyses that were all used for policies development. However, more is needed to fulfill the policy research needs. </w:t>
            </w:r>
          </w:p>
        </w:tc>
        <w:tc>
          <w:tcPr>
            <w:tcW w:w="1418" w:type="dxa"/>
            <w:vMerge w:val="restart"/>
            <w:vAlign w:val="center"/>
          </w:tcPr>
          <w:p w14:paraId="57A49D22" w14:textId="1A6432E3" w:rsidR="002264C9" w:rsidRPr="00D43463" w:rsidRDefault="00FF25E4" w:rsidP="0058696A">
            <w:pPr>
              <w:jc w:val="center"/>
              <w:rPr>
                <w:b/>
                <w:sz w:val="18"/>
                <w:szCs w:val="22"/>
              </w:rPr>
            </w:pPr>
            <w:r>
              <w:rPr>
                <w:b/>
                <w:sz w:val="18"/>
                <w:szCs w:val="22"/>
              </w:rPr>
              <w:t>1, 2, 3</w:t>
            </w:r>
          </w:p>
        </w:tc>
      </w:tr>
      <w:tr w:rsidR="002264C9" w:rsidRPr="008E516B" w14:paraId="2CDD5A67" w14:textId="77777777" w:rsidTr="00A34F87">
        <w:trPr>
          <w:jc w:val="center"/>
        </w:trPr>
        <w:tc>
          <w:tcPr>
            <w:tcW w:w="1636" w:type="dxa"/>
            <w:vMerge/>
            <w:shd w:val="clear" w:color="auto" w:fill="E6E6E6"/>
          </w:tcPr>
          <w:p w14:paraId="15E6D5E4" w14:textId="77777777" w:rsidR="002264C9" w:rsidRPr="008E516B" w:rsidRDefault="002264C9" w:rsidP="0058696A">
            <w:pPr>
              <w:spacing w:before="120"/>
              <w:rPr>
                <w:sz w:val="18"/>
                <w:szCs w:val="22"/>
              </w:rPr>
            </w:pPr>
          </w:p>
        </w:tc>
        <w:tc>
          <w:tcPr>
            <w:tcW w:w="5387" w:type="dxa"/>
            <w:shd w:val="clear" w:color="auto" w:fill="E6E6E6"/>
          </w:tcPr>
          <w:p w14:paraId="53A83929" w14:textId="77777777" w:rsidR="002264C9" w:rsidRPr="008E516B" w:rsidRDefault="002264C9" w:rsidP="0058696A">
            <w:pPr>
              <w:rPr>
                <w:sz w:val="18"/>
                <w:szCs w:val="22"/>
              </w:rPr>
            </w:pPr>
            <w:r w:rsidRPr="008E516B">
              <w:rPr>
                <w:sz w:val="18"/>
                <w:szCs w:val="22"/>
              </w:rPr>
              <w:t>Research needs for environmental policy development are identified but are not translated into relevant research strategies and programmes</w:t>
            </w:r>
          </w:p>
        </w:tc>
        <w:tc>
          <w:tcPr>
            <w:tcW w:w="737" w:type="dxa"/>
            <w:vAlign w:val="center"/>
          </w:tcPr>
          <w:p w14:paraId="77A5AF9C" w14:textId="77777777" w:rsidR="002264C9" w:rsidRPr="008E516B" w:rsidRDefault="002264C9" w:rsidP="0058696A">
            <w:pPr>
              <w:jc w:val="center"/>
              <w:rPr>
                <w:sz w:val="18"/>
                <w:szCs w:val="22"/>
              </w:rPr>
            </w:pPr>
            <w:r w:rsidRPr="008E516B">
              <w:rPr>
                <w:sz w:val="18"/>
                <w:szCs w:val="22"/>
              </w:rPr>
              <w:t>1</w:t>
            </w:r>
          </w:p>
        </w:tc>
        <w:tc>
          <w:tcPr>
            <w:tcW w:w="718" w:type="dxa"/>
            <w:vMerge/>
          </w:tcPr>
          <w:p w14:paraId="2A4EEC15" w14:textId="03239974" w:rsidR="002264C9" w:rsidRPr="008E516B" w:rsidRDefault="002264C9" w:rsidP="0058696A">
            <w:pPr>
              <w:rPr>
                <w:sz w:val="18"/>
                <w:szCs w:val="22"/>
              </w:rPr>
            </w:pPr>
          </w:p>
        </w:tc>
        <w:tc>
          <w:tcPr>
            <w:tcW w:w="808" w:type="dxa"/>
            <w:vMerge/>
            <w:vAlign w:val="center"/>
          </w:tcPr>
          <w:p w14:paraId="025B7FCB" w14:textId="77777777" w:rsidR="002264C9" w:rsidRPr="009F382A" w:rsidRDefault="002264C9" w:rsidP="001C7AEA">
            <w:pPr>
              <w:spacing w:before="120"/>
              <w:jc w:val="center"/>
              <w:rPr>
                <w:b/>
                <w:sz w:val="18"/>
                <w:szCs w:val="22"/>
              </w:rPr>
            </w:pPr>
          </w:p>
        </w:tc>
        <w:tc>
          <w:tcPr>
            <w:tcW w:w="3686" w:type="dxa"/>
            <w:vMerge/>
          </w:tcPr>
          <w:p w14:paraId="30C3B793" w14:textId="49A2B736" w:rsidR="002264C9" w:rsidRPr="008E516B" w:rsidRDefault="002264C9" w:rsidP="0058696A">
            <w:pPr>
              <w:spacing w:before="120"/>
              <w:rPr>
                <w:sz w:val="18"/>
                <w:szCs w:val="22"/>
              </w:rPr>
            </w:pPr>
          </w:p>
        </w:tc>
        <w:tc>
          <w:tcPr>
            <w:tcW w:w="1418" w:type="dxa"/>
            <w:vMerge/>
            <w:vAlign w:val="center"/>
          </w:tcPr>
          <w:p w14:paraId="7124D3C7" w14:textId="77777777" w:rsidR="002264C9" w:rsidRPr="00D43463" w:rsidRDefault="002264C9" w:rsidP="0058696A">
            <w:pPr>
              <w:spacing w:before="120"/>
              <w:jc w:val="center"/>
              <w:rPr>
                <w:b/>
                <w:sz w:val="18"/>
                <w:szCs w:val="22"/>
              </w:rPr>
            </w:pPr>
          </w:p>
        </w:tc>
      </w:tr>
      <w:tr w:rsidR="002264C9" w:rsidRPr="008E516B" w14:paraId="1B996C20" w14:textId="77777777" w:rsidTr="00A34F87">
        <w:trPr>
          <w:jc w:val="center"/>
        </w:trPr>
        <w:tc>
          <w:tcPr>
            <w:tcW w:w="1636" w:type="dxa"/>
            <w:vMerge/>
            <w:tcBorders>
              <w:bottom w:val="nil"/>
            </w:tcBorders>
            <w:shd w:val="clear" w:color="auto" w:fill="E6E6E6"/>
          </w:tcPr>
          <w:p w14:paraId="42E1E47B" w14:textId="77777777" w:rsidR="002264C9" w:rsidRPr="008E516B" w:rsidRDefault="002264C9" w:rsidP="0058696A">
            <w:pPr>
              <w:spacing w:before="120"/>
              <w:rPr>
                <w:sz w:val="18"/>
                <w:szCs w:val="22"/>
              </w:rPr>
            </w:pPr>
          </w:p>
        </w:tc>
        <w:tc>
          <w:tcPr>
            <w:tcW w:w="5387" w:type="dxa"/>
            <w:shd w:val="clear" w:color="auto" w:fill="E6E6E6"/>
          </w:tcPr>
          <w:p w14:paraId="6F070BF6" w14:textId="77777777" w:rsidR="002264C9" w:rsidRPr="008E516B" w:rsidRDefault="002264C9" w:rsidP="0058696A">
            <w:pPr>
              <w:rPr>
                <w:sz w:val="18"/>
                <w:szCs w:val="22"/>
              </w:rPr>
            </w:pPr>
            <w:r w:rsidRPr="008E516B">
              <w:rPr>
                <w:sz w:val="18"/>
                <w:szCs w:val="22"/>
              </w:rPr>
              <w:t>Relevant research strategies and programmes for environmental policy development exist but the research information is not responding fully to the policy research needs</w:t>
            </w:r>
          </w:p>
        </w:tc>
        <w:tc>
          <w:tcPr>
            <w:tcW w:w="737" w:type="dxa"/>
            <w:vAlign w:val="center"/>
          </w:tcPr>
          <w:p w14:paraId="7C62CEEE" w14:textId="77777777" w:rsidR="002264C9" w:rsidRPr="008E516B" w:rsidRDefault="002264C9" w:rsidP="0058696A">
            <w:pPr>
              <w:jc w:val="center"/>
              <w:rPr>
                <w:sz w:val="18"/>
                <w:szCs w:val="22"/>
              </w:rPr>
            </w:pPr>
            <w:r w:rsidRPr="008E516B">
              <w:rPr>
                <w:sz w:val="18"/>
                <w:szCs w:val="22"/>
              </w:rPr>
              <w:t>2</w:t>
            </w:r>
          </w:p>
        </w:tc>
        <w:tc>
          <w:tcPr>
            <w:tcW w:w="718" w:type="dxa"/>
            <w:vMerge/>
            <w:vAlign w:val="center"/>
          </w:tcPr>
          <w:p w14:paraId="75A97652" w14:textId="68351E2D" w:rsidR="002264C9" w:rsidRPr="008E516B" w:rsidRDefault="002264C9" w:rsidP="0058696A">
            <w:pPr>
              <w:rPr>
                <w:sz w:val="18"/>
                <w:szCs w:val="22"/>
              </w:rPr>
            </w:pPr>
          </w:p>
        </w:tc>
        <w:tc>
          <w:tcPr>
            <w:tcW w:w="808" w:type="dxa"/>
            <w:vMerge/>
            <w:vAlign w:val="center"/>
          </w:tcPr>
          <w:p w14:paraId="05F0CD89" w14:textId="77777777" w:rsidR="002264C9" w:rsidRPr="009F382A" w:rsidRDefault="002264C9" w:rsidP="001C7AEA">
            <w:pPr>
              <w:spacing w:before="120"/>
              <w:jc w:val="center"/>
              <w:rPr>
                <w:b/>
                <w:sz w:val="18"/>
                <w:szCs w:val="22"/>
              </w:rPr>
            </w:pPr>
          </w:p>
        </w:tc>
        <w:tc>
          <w:tcPr>
            <w:tcW w:w="3686" w:type="dxa"/>
            <w:vMerge/>
          </w:tcPr>
          <w:p w14:paraId="012D1D5B" w14:textId="0B4234D0" w:rsidR="002264C9" w:rsidRPr="008E516B" w:rsidRDefault="002264C9" w:rsidP="0058696A">
            <w:pPr>
              <w:spacing w:before="120"/>
              <w:rPr>
                <w:sz w:val="18"/>
                <w:szCs w:val="22"/>
              </w:rPr>
            </w:pPr>
          </w:p>
        </w:tc>
        <w:tc>
          <w:tcPr>
            <w:tcW w:w="1418" w:type="dxa"/>
            <w:vMerge/>
            <w:vAlign w:val="center"/>
          </w:tcPr>
          <w:p w14:paraId="3A459CB4" w14:textId="77777777" w:rsidR="002264C9" w:rsidRPr="00D43463" w:rsidRDefault="002264C9" w:rsidP="0058696A">
            <w:pPr>
              <w:spacing w:before="120"/>
              <w:jc w:val="center"/>
              <w:rPr>
                <w:b/>
                <w:sz w:val="18"/>
                <w:szCs w:val="22"/>
              </w:rPr>
            </w:pPr>
          </w:p>
        </w:tc>
      </w:tr>
      <w:tr w:rsidR="002264C9" w:rsidRPr="008E516B" w14:paraId="68ED69D3" w14:textId="77777777" w:rsidTr="00A34F87">
        <w:trPr>
          <w:jc w:val="center"/>
        </w:trPr>
        <w:tc>
          <w:tcPr>
            <w:tcW w:w="1636" w:type="dxa"/>
            <w:tcBorders>
              <w:top w:val="nil"/>
              <w:bottom w:val="single" w:sz="4" w:space="0" w:color="auto"/>
            </w:tcBorders>
            <w:shd w:val="clear" w:color="auto" w:fill="E6E6E6"/>
          </w:tcPr>
          <w:p w14:paraId="67D5CD15" w14:textId="77777777" w:rsidR="002264C9" w:rsidRPr="008E516B" w:rsidRDefault="002264C9" w:rsidP="0058696A">
            <w:pPr>
              <w:spacing w:before="120"/>
              <w:rPr>
                <w:sz w:val="18"/>
                <w:szCs w:val="22"/>
              </w:rPr>
            </w:pPr>
          </w:p>
        </w:tc>
        <w:tc>
          <w:tcPr>
            <w:tcW w:w="5387" w:type="dxa"/>
            <w:shd w:val="clear" w:color="auto" w:fill="E6E6E6"/>
          </w:tcPr>
          <w:p w14:paraId="10298715" w14:textId="77777777" w:rsidR="002264C9" w:rsidRPr="008E516B" w:rsidRDefault="002264C9" w:rsidP="0058696A">
            <w:pPr>
              <w:rPr>
                <w:sz w:val="18"/>
                <w:szCs w:val="22"/>
              </w:rPr>
            </w:pPr>
            <w:r w:rsidRPr="008E516B">
              <w:rPr>
                <w:sz w:val="18"/>
                <w:szCs w:val="22"/>
              </w:rPr>
              <w:t>Relevant research results are available for environmental policy development</w:t>
            </w:r>
          </w:p>
        </w:tc>
        <w:tc>
          <w:tcPr>
            <w:tcW w:w="737" w:type="dxa"/>
            <w:vAlign w:val="center"/>
          </w:tcPr>
          <w:p w14:paraId="242FEC0D" w14:textId="77777777" w:rsidR="002264C9" w:rsidRPr="008E516B" w:rsidRDefault="002264C9" w:rsidP="0058696A">
            <w:pPr>
              <w:jc w:val="center"/>
              <w:rPr>
                <w:sz w:val="18"/>
                <w:szCs w:val="22"/>
              </w:rPr>
            </w:pPr>
            <w:r w:rsidRPr="008E516B">
              <w:rPr>
                <w:sz w:val="18"/>
                <w:szCs w:val="22"/>
              </w:rPr>
              <w:t>3</w:t>
            </w:r>
          </w:p>
        </w:tc>
        <w:tc>
          <w:tcPr>
            <w:tcW w:w="718" w:type="dxa"/>
            <w:vMerge/>
          </w:tcPr>
          <w:p w14:paraId="5D7F63C5" w14:textId="77777777" w:rsidR="002264C9" w:rsidRPr="008E516B" w:rsidRDefault="002264C9" w:rsidP="0058696A">
            <w:pPr>
              <w:rPr>
                <w:sz w:val="18"/>
                <w:szCs w:val="22"/>
              </w:rPr>
            </w:pPr>
          </w:p>
        </w:tc>
        <w:tc>
          <w:tcPr>
            <w:tcW w:w="808" w:type="dxa"/>
            <w:vMerge/>
            <w:vAlign w:val="center"/>
          </w:tcPr>
          <w:p w14:paraId="484616BB" w14:textId="77777777" w:rsidR="002264C9" w:rsidRPr="009F382A" w:rsidRDefault="002264C9" w:rsidP="001C7AEA">
            <w:pPr>
              <w:spacing w:before="120"/>
              <w:jc w:val="center"/>
              <w:rPr>
                <w:b/>
                <w:sz w:val="18"/>
                <w:szCs w:val="22"/>
              </w:rPr>
            </w:pPr>
          </w:p>
        </w:tc>
        <w:tc>
          <w:tcPr>
            <w:tcW w:w="3686" w:type="dxa"/>
            <w:vMerge/>
          </w:tcPr>
          <w:p w14:paraId="7B236D7B" w14:textId="0209AD32" w:rsidR="002264C9" w:rsidRPr="008E516B" w:rsidRDefault="002264C9" w:rsidP="0058696A">
            <w:pPr>
              <w:spacing w:before="120"/>
              <w:rPr>
                <w:sz w:val="18"/>
                <w:szCs w:val="22"/>
              </w:rPr>
            </w:pPr>
          </w:p>
        </w:tc>
        <w:tc>
          <w:tcPr>
            <w:tcW w:w="1418" w:type="dxa"/>
            <w:vMerge/>
            <w:vAlign w:val="center"/>
          </w:tcPr>
          <w:p w14:paraId="47AD9301" w14:textId="77777777" w:rsidR="002264C9" w:rsidRPr="00D43463" w:rsidRDefault="002264C9" w:rsidP="0058696A">
            <w:pPr>
              <w:spacing w:before="120"/>
              <w:jc w:val="center"/>
              <w:rPr>
                <w:b/>
                <w:sz w:val="18"/>
                <w:szCs w:val="22"/>
              </w:rPr>
            </w:pPr>
          </w:p>
        </w:tc>
      </w:tr>
      <w:tr w:rsidR="002264C9" w:rsidRPr="008E516B" w14:paraId="3C33F70D" w14:textId="77777777" w:rsidTr="00A34F87">
        <w:trPr>
          <w:jc w:val="center"/>
        </w:trPr>
        <w:tc>
          <w:tcPr>
            <w:tcW w:w="1636" w:type="dxa"/>
            <w:vMerge w:val="restart"/>
            <w:shd w:val="clear" w:color="auto" w:fill="E6E6E6"/>
          </w:tcPr>
          <w:p w14:paraId="7701A308" w14:textId="77777777" w:rsidR="002264C9" w:rsidRPr="008E516B" w:rsidRDefault="002264C9" w:rsidP="0058696A">
            <w:pPr>
              <w:rPr>
                <w:sz w:val="18"/>
                <w:szCs w:val="22"/>
              </w:rPr>
            </w:pPr>
            <w:r w:rsidRPr="008E516B">
              <w:rPr>
                <w:sz w:val="18"/>
                <w:szCs w:val="22"/>
              </w:rPr>
              <w:t>Indicator 8 – Extent of inclusion/use of traditional knowledge in environmental decision-making</w:t>
            </w:r>
          </w:p>
        </w:tc>
        <w:tc>
          <w:tcPr>
            <w:tcW w:w="5387" w:type="dxa"/>
            <w:shd w:val="clear" w:color="auto" w:fill="E6E6E6"/>
          </w:tcPr>
          <w:p w14:paraId="14D872E1" w14:textId="77777777" w:rsidR="002264C9" w:rsidRPr="008E516B" w:rsidRDefault="002264C9" w:rsidP="0058696A">
            <w:pPr>
              <w:rPr>
                <w:sz w:val="18"/>
                <w:szCs w:val="22"/>
              </w:rPr>
            </w:pPr>
            <w:r w:rsidRPr="008E516B">
              <w:rPr>
                <w:sz w:val="18"/>
                <w:szCs w:val="22"/>
              </w:rPr>
              <w:t>Traditional knowledge is ignored and not taken into account into relevant participative decision-making processes</w:t>
            </w:r>
          </w:p>
        </w:tc>
        <w:tc>
          <w:tcPr>
            <w:tcW w:w="737" w:type="dxa"/>
            <w:vAlign w:val="center"/>
          </w:tcPr>
          <w:p w14:paraId="4EBBD6B6"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1728EE12" w14:textId="449FF12E" w:rsidR="002264C9" w:rsidRPr="008E516B" w:rsidRDefault="002264C9" w:rsidP="001C7AEA">
            <w:pPr>
              <w:jc w:val="center"/>
              <w:rPr>
                <w:sz w:val="18"/>
                <w:szCs w:val="22"/>
              </w:rPr>
            </w:pPr>
            <w:r w:rsidRPr="001C7AEA">
              <w:rPr>
                <w:b/>
                <w:sz w:val="18"/>
                <w:szCs w:val="22"/>
              </w:rPr>
              <w:t>1</w:t>
            </w:r>
          </w:p>
        </w:tc>
        <w:tc>
          <w:tcPr>
            <w:tcW w:w="808" w:type="dxa"/>
            <w:vMerge w:val="restart"/>
            <w:vAlign w:val="center"/>
          </w:tcPr>
          <w:p w14:paraId="72AD12B8" w14:textId="3CB1DD0F" w:rsidR="002264C9" w:rsidRPr="009F382A" w:rsidRDefault="003029E7" w:rsidP="001C7AEA">
            <w:pPr>
              <w:jc w:val="center"/>
              <w:rPr>
                <w:b/>
                <w:sz w:val="18"/>
                <w:szCs w:val="22"/>
              </w:rPr>
            </w:pPr>
            <w:r>
              <w:rPr>
                <w:b/>
                <w:sz w:val="18"/>
                <w:szCs w:val="22"/>
              </w:rPr>
              <w:t>2</w:t>
            </w:r>
          </w:p>
        </w:tc>
        <w:tc>
          <w:tcPr>
            <w:tcW w:w="3686" w:type="dxa"/>
            <w:vMerge w:val="restart"/>
            <w:vAlign w:val="center"/>
          </w:tcPr>
          <w:p w14:paraId="1841D5E0" w14:textId="77BDAF11" w:rsidR="002264C9" w:rsidRPr="008E516B" w:rsidRDefault="003029E7" w:rsidP="003029E7">
            <w:pPr>
              <w:rPr>
                <w:sz w:val="18"/>
                <w:szCs w:val="22"/>
              </w:rPr>
            </w:pPr>
            <w:r>
              <w:rPr>
                <w:sz w:val="18"/>
                <w:szCs w:val="22"/>
              </w:rPr>
              <w:t>The project supported the planning process at the local level in 6 towns, including budgetary support to implement the MTEF guidelines locally and identify environmental issues and integrate solutions to address these issues into the local planning process. This approach needs now to be systematized and replicated nation-wide.</w:t>
            </w:r>
          </w:p>
        </w:tc>
        <w:tc>
          <w:tcPr>
            <w:tcW w:w="1418" w:type="dxa"/>
            <w:vMerge w:val="restart"/>
            <w:vAlign w:val="center"/>
          </w:tcPr>
          <w:p w14:paraId="696754FA" w14:textId="0994F17D" w:rsidR="002264C9" w:rsidRPr="00D43463" w:rsidRDefault="003029E7" w:rsidP="0058696A">
            <w:pPr>
              <w:spacing w:before="120"/>
              <w:jc w:val="center"/>
              <w:rPr>
                <w:b/>
                <w:sz w:val="18"/>
                <w:szCs w:val="22"/>
              </w:rPr>
            </w:pPr>
            <w:r>
              <w:rPr>
                <w:b/>
                <w:sz w:val="18"/>
                <w:szCs w:val="22"/>
              </w:rPr>
              <w:t>2, 3</w:t>
            </w:r>
          </w:p>
        </w:tc>
      </w:tr>
      <w:tr w:rsidR="002264C9" w:rsidRPr="008E516B" w14:paraId="1A631FFE" w14:textId="77777777" w:rsidTr="00A34F87">
        <w:trPr>
          <w:jc w:val="center"/>
        </w:trPr>
        <w:tc>
          <w:tcPr>
            <w:tcW w:w="1636" w:type="dxa"/>
            <w:vMerge/>
            <w:shd w:val="clear" w:color="auto" w:fill="E6E6E6"/>
          </w:tcPr>
          <w:p w14:paraId="30998DB5" w14:textId="77777777" w:rsidR="002264C9" w:rsidRPr="008E516B" w:rsidRDefault="002264C9" w:rsidP="0058696A">
            <w:pPr>
              <w:spacing w:before="120"/>
              <w:rPr>
                <w:sz w:val="18"/>
                <w:szCs w:val="22"/>
              </w:rPr>
            </w:pPr>
          </w:p>
        </w:tc>
        <w:tc>
          <w:tcPr>
            <w:tcW w:w="5387" w:type="dxa"/>
            <w:shd w:val="clear" w:color="auto" w:fill="E6E6E6"/>
          </w:tcPr>
          <w:p w14:paraId="0DDE2662" w14:textId="77777777" w:rsidR="002264C9" w:rsidRPr="008E516B" w:rsidRDefault="002264C9" w:rsidP="0058696A">
            <w:pPr>
              <w:rPr>
                <w:sz w:val="18"/>
                <w:szCs w:val="22"/>
              </w:rPr>
            </w:pPr>
            <w:r w:rsidRPr="008E516B">
              <w:rPr>
                <w:sz w:val="18"/>
                <w:szCs w:val="22"/>
              </w:rPr>
              <w:t>Traditional knowledge is identified and recognized as important but is not collected and used in relevant participative decision-making processes</w:t>
            </w:r>
          </w:p>
        </w:tc>
        <w:tc>
          <w:tcPr>
            <w:tcW w:w="737" w:type="dxa"/>
            <w:vAlign w:val="center"/>
          </w:tcPr>
          <w:p w14:paraId="1E7337F9" w14:textId="77777777" w:rsidR="002264C9" w:rsidRPr="008E516B" w:rsidRDefault="002264C9" w:rsidP="0058696A">
            <w:pPr>
              <w:jc w:val="center"/>
              <w:rPr>
                <w:sz w:val="18"/>
                <w:szCs w:val="22"/>
              </w:rPr>
            </w:pPr>
            <w:r w:rsidRPr="008E516B">
              <w:rPr>
                <w:sz w:val="18"/>
                <w:szCs w:val="22"/>
              </w:rPr>
              <w:t>1</w:t>
            </w:r>
          </w:p>
        </w:tc>
        <w:tc>
          <w:tcPr>
            <w:tcW w:w="718" w:type="dxa"/>
            <w:vMerge/>
          </w:tcPr>
          <w:p w14:paraId="4537120A" w14:textId="125AE8C1" w:rsidR="002264C9" w:rsidRPr="001C7AEA" w:rsidRDefault="002264C9" w:rsidP="0058696A">
            <w:pPr>
              <w:spacing w:before="120"/>
              <w:rPr>
                <w:b/>
                <w:sz w:val="18"/>
                <w:szCs w:val="22"/>
              </w:rPr>
            </w:pPr>
          </w:p>
        </w:tc>
        <w:tc>
          <w:tcPr>
            <w:tcW w:w="808" w:type="dxa"/>
            <w:vMerge/>
            <w:vAlign w:val="center"/>
          </w:tcPr>
          <w:p w14:paraId="3905528F" w14:textId="77777777" w:rsidR="002264C9" w:rsidRPr="009F382A" w:rsidRDefault="002264C9" w:rsidP="001C7AEA">
            <w:pPr>
              <w:spacing w:before="120"/>
              <w:jc w:val="center"/>
              <w:rPr>
                <w:b/>
                <w:sz w:val="18"/>
                <w:szCs w:val="22"/>
              </w:rPr>
            </w:pPr>
          </w:p>
        </w:tc>
        <w:tc>
          <w:tcPr>
            <w:tcW w:w="3686" w:type="dxa"/>
            <w:vMerge/>
          </w:tcPr>
          <w:p w14:paraId="6CBBE784" w14:textId="74B403DE" w:rsidR="002264C9" w:rsidRPr="008E516B" w:rsidRDefault="002264C9" w:rsidP="0058696A">
            <w:pPr>
              <w:spacing w:before="120"/>
              <w:rPr>
                <w:sz w:val="18"/>
                <w:szCs w:val="22"/>
              </w:rPr>
            </w:pPr>
          </w:p>
        </w:tc>
        <w:tc>
          <w:tcPr>
            <w:tcW w:w="1418" w:type="dxa"/>
            <w:vMerge/>
            <w:vAlign w:val="center"/>
          </w:tcPr>
          <w:p w14:paraId="436BD1F9" w14:textId="77777777" w:rsidR="002264C9" w:rsidRPr="00D43463" w:rsidRDefault="002264C9" w:rsidP="0058696A">
            <w:pPr>
              <w:spacing w:before="120"/>
              <w:jc w:val="center"/>
              <w:rPr>
                <w:b/>
                <w:sz w:val="18"/>
                <w:szCs w:val="22"/>
              </w:rPr>
            </w:pPr>
          </w:p>
        </w:tc>
      </w:tr>
      <w:tr w:rsidR="002264C9" w:rsidRPr="008E516B" w14:paraId="7988BA27" w14:textId="77777777" w:rsidTr="00A34F87">
        <w:trPr>
          <w:jc w:val="center"/>
        </w:trPr>
        <w:tc>
          <w:tcPr>
            <w:tcW w:w="1636" w:type="dxa"/>
            <w:vMerge/>
            <w:tcBorders>
              <w:bottom w:val="nil"/>
            </w:tcBorders>
            <w:shd w:val="clear" w:color="auto" w:fill="E6E6E6"/>
          </w:tcPr>
          <w:p w14:paraId="67CF0147" w14:textId="77777777" w:rsidR="002264C9" w:rsidRPr="008E516B" w:rsidRDefault="002264C9" w:rsidP="0058696A">
            <w:pPr>
              <w:spacing w:before="120"/>
              <w:rPr>
                <w:sz w:val="18"/>
                <w:szCs w:val="22"/>
              </w:rPr>
            </w:pPr>
          </w:p>
        </w:tc>
        <w:tc>
          <w:tcPr>
            <w:tcW w:w="5387" w:type="dxa"/>
            <w:shd w:val="clear" w:color="auto" w:fill="E6E6E6"/>
          </w:tcPr>
          <w:p w14:paraId="0B70EEDE" w14:textId="77777777" w:rsidR="002264C9" w:rsidRPr="008E516B" w:rsidRDefault="002264C9" w:rsidP="0058696A">
            <w:pPr>
              <w:rPr>
                <w:sz w:val="18"/>
                <w:szCs w:val="22"/>
              </w:rPr>
            </w:pPr>
            <w:r w:rsidRPr="008E516B">
              <w:rPr>
                <w:sz w:val="18"/>
                <w:szCs w:val="22"/>
              </w:rPr>
              <w:t>Traditional knowledge is collected but is not used systematically into relevant participative decision-making processes</w:t>
            </w:r>
          </w:p>
        </w:tc>
        <w:tc>
          <w:tcPr>
            <w:tcW w:w="737" w:type="dxa"/>
            <w:vAlign w:val="center"/>
          </w:tcPr>
          <w:p w14:paraId="0688679C" w14:textId="77777777" w:rsidR="002264C9" w:rsidRPr="008E516B" w:rsidRDefault="002264C9" w:rsidP="0058696A">
            <w:pPr>
              <w:jc w:val="center"/>
              <w:rPr>
                <w:sz w:val="18"/>
                <w:szCs w:val="22"/>
              </w:rPr>
            </w:pPr>
            <w:r w:rsidRPr="008E516B">
              <w:rPr>
                <w:sz w:val="18"/>
                <w:szCs w:val="22"/>
              </w:rPr>
              <w:t>2</w:t>
            </w:r>
          </w:p>
        </w:tc>
        <w:tc>
          <w:tcPr>
            <w:tcW w:w="718" w:type="dxa"/>
            <w:vMerge/>
          </w:tcPr>
          <w:p w14:paraId="39FB7E8D" w14:textId="77777777" w:rsidR="002264C9" w:rsidRPr="008E516B" w:rsidRDefault="002264C9" w:rsidP="0058696A">
            <w:pPr>
              <w:spacing w:before="120"/>
              <w:rPr>
                <w:sz w:val="18"/>
                <w:szCs w:val="22"/>
              </w:rPr>
            </w:pPr>
          </w:p>
        </w:tc>
        <w:tc>
          <w:tcPr>
            <w:tcW w:w="808" w:type="dxa"/>
            <w:vMerge/>
            <w:vAlign w:val="center"/>
          </w:tcPr>
          <w:p w14:paraId="6F673277" w14:textId="77777777" w:rsidR="002264C9" w:rsidRPr="009F382A" w:rsidRDefault="002264C9" w:rsidP="001C7AEA">
            <w:pPr>
              <w:spacing w:before="120"/>
              <w:jc w:val="center"/>
              <w:rPr>
                <w:b/>
                <w:sz w:val="18"/>
                <w:szCs w:val="22"/>
              </w:rPr>
            </w:pPr>
          </w:p>
        </w:tc>
        <w:tc>
          <w:tcPr>
            <w:tcW w:w="3686" w:type="dxa"/>
            <w:vMerge/>
          </w:tcPr>
          <w:p w14:paraId="0032A784" w14:textId="1C3D1BFB" w:rsidR="002264C9" w:rsidRPr="008E516B" w:rsidRDefault="002264C9" w:rsidP="0058696A">
            <w:pPr>
              <w:spacing w:before="120"/>
              <w:rPr>
                <w:sz w:val="18"/>
                <w:szCs w:val="22"/>
              </w:rPr>
            </w:pPr>
          </w:p>
        </w:tc>
        <w:tc>
          <w:tcPr>
            <w:tcW w:w="1418" w:type="dxa"/>
            <w:vMerge/>
            <w:vAlign w:val="center"/>
          </w:tcPr>
          <w:p w14:paraId="6D5BE5B8" w14:textId="77777777" w:rsidR="002264C9" w:rsidRPr="00D43463" w:rsidRDefault="002264C9" w:rsidP="0058696A">
            <w:pPr>
              <w:spacing w:before="120"/>
              <w:jc w:val="center"/>
              <w:rPr>
                <w:b/>
                <w:sz w:val="18"/>
                <w:szCs w:val="22"/>
              </w:rPr>
            </w:pPr>
          </w:p>
        </w:tc>
      </w:tr>
      <w:tr w:rsidR="002264C9" w:rsidRPr="008E516B" w14:paraId="182E7004" w14:textId="77777777" w:rsidTr="00A34F87">
        <w:trPr>
          <w:jc w:val="center"/>
        </w:trPr>
        <w:tc>
          <w:tcPr>
            <w:tcW w:w="1636" w:type="dxa"/>
            <w:tcBorders>
              <w:top w:val="nil"/>
              <w:bottom w:val="single" w:sz="4" w:space="0" w:color="auto"/>
            </w:tcBorders>
            <w:shd w:val="clear" w:color="auto" w:fill="E6E6E6"/>
          </w:tcPr>
          <w:p w14:paraId="0D5A632E" w14:textId="77777777" w:rsidR="002264C9" w:rsidRPr="008E516B" w:rsidRDefault="002264C9" w:rsidP="0058696A">
            <w:pPr>
              <w:spacing w:before="120"/>
              <w:rPr>
                <w:sz w:val="18"/>
                <w:szCs w:val="22"/>
              </w:rPr>
            </w:pPr>
          </w:p>
        </w:tc>
        <w:tc>
          <w:tcPr>
            <w:tcW w:w="5387" w:type="dxa"/>
            <w:tcBorders>
              <w:bottom w:val="single" w:sz="4" w:space="0" w:color="auto"/>
            </w:tcBorders>
            <w:shd w:val="clear" w:color="auto" w:fill="E6E6E6"/>
          </w:tcPr>
          <w:p w14:paraId="5F9B9CAC" w14:textId="77777777" w:rsidR="002264C9" w:rsidRPr="008E516B" w:rsidRDefault="002264C9" w:rsidP="0058696A">
            <w:pPr>
              <w:rPr>
                <w:sz w:val="18"/>
                <w:szCs w:val="22"/>
              </w:rPr>
            </w:pPr>
            <w:r w:rsidRPr="008E516B">
              <w:rPr>
                <w:sz w:val="18"/>
                <w:szCs w:val="22"/>
              </w:rPr>
              <w:t>Traditional knowledge is collected, used and shared for effective participative decision-making processes</w:t>
            </w:r>
          </w:p>
        </w:tc>
        <w:tc>
          <w:tcPr>
            <w:tcW w:w="737" w:type="dxa"/>
            <w:tcBorders>
              <w:bottom w:val="single" w:sz="4" w:space="0" w:color="auto"/>
            </w:tcBorders>
            <w:vAlign w:val="center"/>
          </w:tcPr>
          <w:p w14:paraId="6FD65ED4" w14:textId="77777777" w:rsidR="002264C9" w:rsidRPr="008E516B" w:rsidRDefault="002264C9" w:rsidP="0058696A">
            <w:pPr>
              <w:jc w:val="center"/>
              <w:rPr>
                <w:sz w:val="18"/>
                <w:szCs w:val="22"/>
              </w:rPr>
            </w:pPr>
            <w:r w:rsidRPr="008E516B">
              <w:rPr>
                <w:sz w:val="18"/>
                <w:szCs w:val="22"/>
              </w:rPr>
              <w:t>3</w:t>
            </w:r>
          </w:p>
        </w:tc>
        <w:tc>
          <w:tcPr>
            <w:tcW w:w="718" w:type="dxa"/>
            <w:vMerge/>
            <w:tcBorders>
              <w:bottom w:val="single" w:sz="4" w:space="0" w:color="auto"/>
            </w:tcBorders>
          </w:tcPr>
          <w:p w14:paraId="0E00DDE2" w14:textId="77777777" w:rsidR="002264C9" w:rsidRPr="008E516B" w:rsidRDefault="002264C9" w:rsidP="0058696A">
            <w:pPr>
              <w:spacing w:before="120"/>
              <w:rPr>
                <w:sz w:val="18"/>
                <w:szCs w:val="22"/>
              </w:rPr>
            </w:pPr>
          </w:p>
        </w:tc>
        <w:tc>
          <w:tcPr>
            <w:tcW w:w="808" w:type="dxa"/>
            <w:vMerge/>
            <w:tcBorders>
              <w:bottom w:val="single" w:sz="4" w:space="0" w:color="auto"/>
            </w:tcBorders>
            <w:vAlign w:val="center"/>
          </w:tcPr>
          <w:p w14:paraId="7B4D0031" w14:textId="77777777" w:rsidR="002264C9" w:rsidRPr="009F382A" w:rsidRDefault="002264C9" w:rsidP="001C7AEA">
            <w:pPr>
              <w:spacing w:before="120"/>
              <w:jc w:val="center"/>
              <w:rPr>
                <w:b/>
                <w:sz w:val="18"/>
                <w:szCs w:val="22"/>
              </w:rPr>
            </w:pPr>
          </w:p>
        </w:tc>
        <w:tc>
          <w:tcPr>
            <w:tcW w:w="3686" w:type="dxa"/>
            <w:vMerge/>
            <w:tcBorders>
              <w:bottom w:val="single" w:sz="4" w:space="0" w:color="auto"/>
            </w:tcBorders>
          </w:tcPr>
          <w:p w14:paraId="524CEC1C" w14:textId="6507E79B" w:rsidR="002264C9" w:rsidRPr="008E516B" w:rsidRDefault="002264C9" w:rsidP="0058696A">
            <w:pPr>
              <w:spacing w:before="120"/>
              <w:rPr>
                <w:sz w:val="18"/>
                <w:szCs w:val="22"/>
              </w:rPr>
            </w:pPr>
          </w:p>
        </w:tc>
        <w:tc>
          <w:tcPr>
            <w:tcW w:w="1418" w:type="dxa"/>
            <w:vMerge/>
            <w:tcBorders>
              <w:bottom w:val="single" w:sz="4" w:space="0" w:color="auto"/>
            </w:tcBorders>
            <w:vAlign w:val="center"/>
          </w:tcPr>
          <w:p w14:paraId="7654397D" w14:textId="77777777" w:rsidR="002264C9" w:rsidRPr="00D43463" w:rsidRDefault="002264C9" w:rsidP="0058696A">
            <w:pPr>
              <w:spacing w:before="120"/>
              <w:jc w:val="center"/>
              <w:rPr>
                <w:b/>
                <w:sz w:val="18"/>
                <w:szCs w:val="22"/>
              </w:rPr>
            </w:pPr>
          </w:p>
        </w:tc>
      </w:tr>
      <w:tr w:rsidR="002264C9" w:rsidRPr="008E516B" w14:paraId="75F2FF1F" w14:textId="77777777" w:rsidTr="00A34F87">
        <w:trPr>
          <w:trHeight w:val="454"/>
          <w:jc w:val="center"/>
        </w:trPr>
        <w:tc>
          <w:tcPr>
            <w:tcW w:w="12972" w:type="dxa"/>
            <w:gridSpan w:val="6"/>
            <w:tcBorders>
              <w:right w:val="nil"/>
            </w:tcBorders>
            <w:vAlign w:val="center"/>
          </w:tcPr>
          <w:p w14:paraId="488C09D1" w14:textId="540D64AA" w:rsidR="002264C9" w:rsidRPr="009F382A" w:rsidRDefault="002264C9" w:rsidP="001C7AEA">
            <w:pPr>
              <w:rPr>
                <w:b/>
                <w:sz w:val="18"/>
                <w:szCs w:val="18"/>
              </w:rPr>
            </w:pPr>
            <w:r w:rsidRPr="009F382A">
              <w:rPr>
                <w:b/>
                <w:color w:val="0000FF"/>
                <w:sz w:val="22"/>
                <w:szCs w:val="22"/>
              </w:rPr>
              <w:t>CR 3: Capacities for strategy, policy and legislation development</w:t>
            </w:r>
          </w:p>
        </w:tc>
        <w:tc>
          <w:tcPr>
            <w:tcW w:w="1418" w:type="dxa"/>
            <w:tcBorders>
              <w:left w:val="nil"/>
            </w:tcBorders>
            <w:vAlign w:val="center"/>
          </w:tcPr>
          <w:p w14:paraId="185AFEF0" w14:textId="77777777" w:rsidR="002264C9" w:rsidRPr="00D43463" w:rsidRDefault="002264C9" w:rsidP="0058696A">
            <w:pPr>
              <w:spacing w:before="120"/>
              <w:jc w:val="center"/>
              <w:rPr>
                <w:b/>
                <w:sz w:val="18"/>
                <w:szCs w:val="22"/>
              </w:rPr>
            </w:pPr>
          </w:p>
        </w:tc>
      </w:tr>
      <w:tr w:rsidR="002264C9" w:rsidRPr="008E516B" w14:paraId="0BCA5E86" w14:textId="77777777" w:rsidTr="00A34F87">
        <w:trPr>
          <w:jc w:val="center"/>
        </w:trPr>
        <w:tc>
          <w:tcPr>
            <w:tcW w:w="1636" w:type="dxa"/>
            <w:vMerge w:val="restart"/>
            <w:shd w:val="clear" w:color="auto" w:fill="E6E6E6"/>
          </w:tcPr>
          <w:p w14:paraId="06324279" w14:textId="77777777" w:rsidR="002264C9" w:rsidRPr="008E516B" w:rsidRDefault="002264C9" w:rsidP="0058696A">
            <w:pPr>
              <w:rPr>
                <w:sz w:val="18"/>
                <w:szCs w:val="22"/>
              </w:rPr>
            </w:pPr>
            <w:r w:rsidRPr="008E516B">
              <w:rPr>
                <w:sz w:val="18"/>
                <w:szCs w:val="22"/>
              </w:rPr>
              <w:t>Indicator 9 – Extend of the environmental planning and strategy development process</w:t>
            </w:r>
          </w:p>
        </w:tc>
        <w:tc>
          <w:tcPr>
            <w:tcW w:w="5387" w:type="dxa"/>
            <w:shd w:val="clear" w:color="auto" w:fill="E6E6E6"/>
          </w:tcPr>
          <w:p w14:paraId="512CD953" w14:textId="77777777" w:rsidR="002264C9" w:rsidRPr="008E516B" w:rsidRDefault="002264C9" w:rsidP="0058696A">
            <w:pPr>
              <w:rPr>
                <w:sz w:val="18"/>
                <w:szCs w:val="22"/>
              </w:rPr>
            </w:pPr>
            <w:r w:rsidRPr="008E516B">
              <w:rPr>
                <w:sz w:val="18"/>
                <w:szCs w:val="22"/>
              </w:rPr>
              <w:t>The environmental planning and strategy development process is not coordinated and does not produce adequate environmental plans and strategies</w:t>
            </w:r>
          </w:p>
        </w:tc>
        <w:tc>
          <w:tcPr>
            <w:tcW w:w="737" w:type="dxa"/>
            <w:vAlign w:val="center"/>
          </w:tcPr>
          <w:p w14:paraId="409A15ED"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65AE5E06" w14:textId="694D6061" w:rsidR="002264C9" w:rsidRPr="008E516B" w:rsidRDefault="002264C9" w:rsidP="001C7AEA">
            <w:pPr>
              <w:jc w:val="center"/>
              <w:rPr>
                <w:sz w:val="18"/>
                <w:szCs w:val="22"/>
              </w:rPr>
            </w:pPr>
            <w:r>
              <w:rPr>
                <w:b/>
                <w:sz w:val="18"/>
                <w:szCs w:val="22"/>
              </w:rPr>
              <w:t>1</w:t>
            </w:r>
          </w:p>
        </w:tc>
        <w:tc>
          <w:tcPr>
            <w:tcW w:w="808" w:type="dxa"/>
            <w:vMerge w:val="restart"/>
            <w:vAlign w:val="center"/>
          </w:tcPr>
          <w:p w14:paraId="2964ADE4" w14:textId="42F214C9" w:rsidR="002264C9" w:rsidRPr="009F382A" w:rsidRDefault="002264C9" w:rsidP="001C7AEA">
            <w:pPr>
              <w:jc w:val="center"/>
              <w:rPr>
                <w:b/>
                <w:sz w:val="18"/>
                <w:szCs w:val="18"/>
              </w:rPr>
            </w:pPr>
            <w:r>
              <w:rPr>
                <w:b/>
                <w:sz w:val="18"/>
                <w:szCs w:val="18"/>
              </w:rPr>
              <w:t>2</w:t>
            </w:r>
          </w:p>
        </w:tc>
        <w:tc>
          <w:tcPr>
            <w:tcW w:w="3686" w:type="dxa"/>
            <w:vMerge w:val="restart"/>
            <w:vAlign w:val="center"/>
          </w:tcPr>
          <w:p w14:paraId="6D5A026A" w14:textId="48A6D23D" w:rsidR="002264C9" w:rsidRPr="008E516B" w:rsidRDefault="003029E7" w:rsidP="00D9207B">
            <w:pPr>
              <w:rPr>
                <w:sz w:val="18"/>
                <w:szCs w:val="18"/>
              </w:rPr>
            </w:pPr>
            <w:r>
              <w:rPr>
                <w:sz w:val="18"/>
                <w:szCs w:val="18"/>
              </w:rPr>
              <w:t xml:space="preserve">A good environmental </w:t>
            </w:r>
            <w:r w:rsidR="00D9207B">
              <w:rPr>
                <w:sz w:val="18"/>
                <w:szCs w:val="18"/>
              </w:rPr>
              <w:t>planning and strategic</w:t>
            </w:r>
            <w:r>
              <w:rPr>
                <w:sz w:val="18"/>
                <w:szCs w:val="18"/>
              </w:rPr>
              <w:t xml:space="preserve"> framework is now in place in Moldova but funding constraint is a bottleneck for the implementation of </w:t>
            </w:r>
            <w:r w:rsidR="00D9207B">
              <w:rPr>
                <w:sz w:val="18"/>
                <w:szCs w:val="18"/>
              </w:rPr>
              <w:t xml:space="preserve">these </w:t>
            </w:r>
            <w:r>
              <w:rPr>
                <w:sz w:val="18"/>
                <w:szCs w:val="18"/>
              </w:rPr>
              <w:t>plans</w:t>
            </w:r>
            <w:r w:rsidR="00D9207B">
              <w:rPr>
                <w:sz w:val="18"/>
                <w:szCs w:val="18"/>
              </w:rPr>
              <w:t xml:space="preserve"> and strategies</w:t>
            </w:r>
            <w:r>
              <w:rPr>
                <w:sz w:val="18"/>
                <w:szCs w:val="18"/>
              </w:rPr>
              <w:t>.</w:t>
            </w:r>
          </w:p>
        </w:tc>
        <w:tc>
          <w:tcPr>
            <w:tcW w:w="1418" w:type="dxa"/>
            <w:vMerge w:val="restart"/>
            <w:vAlign w:val="center"/>
          </w:tcPr>
          <w:p w14:paraId="68BF3E6A" w14:textId="16D1848A" w:rsidR="002264C9" w:rsidRPr="00D43463" w:rsidRDefault="003029E7" w:rsidP="0058696A">
            <w:pPr>
              <w:jc w:val="center"/>
              <w:rPr>
                <w:b/>
                <w:sz w:val="18"/>
                <w:szCs w:val="22"/>
              </w:rPr>
            </w:pPr>
            <w:r>
              <w:rPr>
                <w:b/>
                <w:sz w:val="18"/>
                <w:szCs w:val="22"/>
              </w:rPr>
              <w:t>2, 3</w:t>
            </w:r>
          </w:p>
        </w:tc>
      </w:tr>
      <w:tr w:rsidR="002264C9" w:rsidRPr="008E516B" w14:paraId="69025D49" w14:textId="77777777" w:rsidTr="00A34F87">
        <w:trPr>
          <w:jc w:val="center"/>
        </w:trPr>
        <w:tc>
          <w:tcPr>
            <w:tcW w:w="1636" w:type="dxa"/>
            <w:vMerge/>
            <w:shd w:val="clear" w:color="auto" w:fill="E6E6E6"/>
          </w:tcPr>
          <w:p w14:paraId="6D98F160" w14:textId="77777777" w:rsidR="002264C9" w:rsidRPr="008E516B" w:rsidRDefault="002264C9" w:rsidP="0058696A">
            <w:pPr>
              <w:spacing w:before="120"/>
              <w:rPr>
                <w:sz w:val="18"/>
                <w:szCs w:val="22"/>
              </w:rPr>
            </w:pPr>
          </w:p>
        </w:tc>
        <w:tc>
          <w:tcPr>
            <w:tcW w:w="5387" w:type="dxa"/>
            <w:shd w:val="clear" w:color="auto" w:fill="E6E6E6"/>
          </w:tcPr>
          <w:p w14:paraId="1F70E0A5" w14:textId="77777777" w:rsidR="002264C9" w:rsidRPr="008E516B" w:rsidRDefault="002264C9" w:rsidP="0058696A">
            <w:pPr>
              <w:rPr>
                <w:sz w:val="18"/>
                <w:szCs w:val="22"/>
              </w:rPr>
            </w:pPr>
            <w:r w:rsidRPr="008E516B">
              <w:rPr>
                <w:sz w:val="18"/>
                <w:szCs w:val="22"/>
              </w:rPr>
              <w:t>The environmental planning and strategy development process does produce adequate environmental plans and strategies but there are not implemented/used</w:t>
            </w:r>
          </w:p>
        </w:tc>
        <w:tc>
          <w:tcPr>
            <w:tcW w:w="737" w:type="dxa"/>
            <w:vAlign w:val="center"/>
          </w:tcPr>
          <w:p w14:paraId="4866DBA7" w14:textId="77777777" w:rsidR="002264C9" w:rsidRPr="008E516B" w:rsidRDefault="002264C9" w:rsidP="0058696A">
            <w:pPr>
              <w:jc w:val="center"/>
              <w:rPr>
                <w:sz w:val="18"/>
                <w:szCs w:val="22"/>
              </w:rPr>
            </w:pPr>
            <w:r w:rsidRPr="008E516B">
              <w:rPr>
                <w:sz w:val="18"/>
                <w:szCs w:val="22"/>
              </w:rPr>
              <w:t>1</w:t>
            </w:r>
          </w:p>
        </w:tc>
        <w:tc>
          <w:tcPr>
            <w:tcW w:w="718" w:type="dxa"/>
            <w:vMerge/>
          </w:tcPr>
          <w:p w14:paraId="2D057AF9" w14:textId="4CF4E04A" w:rsidR="002264C9" w:rsidRPr="008E516B" w:rsidRDefault="002264C9" w:rsidP="0058696A">
            <w:pPr>
              <w:jc w:val="center"/>
              <w:rPr>
                <w:sz w:val="18"/>
                <w:szCs w:val="22"/>
              </w:rPr>
            </w:pPr>
          </w:p>
        </w:tc>
        <w:tc>
          <w:tcPr>
            <w:tcW w:w="808" w:type="dxa"/>
            <w:vMerge/>
            <w:vAlign w:val="center"/>
          </w:tcPr>
          <w:p w14:paraId="5787551E" w14:textId="77777777" w:rsidR="002264C9" w:rsidRPr="009F382A" w:rsidRDefault="002264C9" w:rsidP="001C7AEA">
            <w:pPr>
              <w:spacing w:before="120"/>
              <w:jc w:val="center"/>
              <w:rPr>
                <w:b/>
                <w:sz w:val="18"/>
                <w:szCs w:val="22"/>
              </w:rPr>
            </w:pPr>
          </w:p>
        </w:tc>
        <w:tc>
          <w:tcPr>
            <w:tcW w:w="3686" w:type="dxa"/>
            <w:vMerge/>
          </w:tcPr>
          <w:p w14:paraId="464B6C1D" w14:textId="166FBBE1" w:rsidR="002264C9" w:rsidRPr="008E516B" w:rsidRDefault="002264C9" w:rsidP="0058696A">
            <w:pPr>
              <w:spacing w:before="120"/>
              <w:rPr>
                <w:sz w:val="18"/>
                <w:szCs w:val="22"/>
              </w:rPr>
            </w:pPr>
          </w:p>
        </w:tc>
        <w:tc>
          <w:tcPr>
            <w:tcW w:w="1418" w:type="dxa"/>
            <w:vMerge/>
            <w:vAlign w:val="center"/>
          </w:tcPr>
          <w:p w14:paraId="6F27E829" w14:textId="77777777" w:rsidR="002264C9" w:rsidRPr="00D43463" w:rsidRDefault="002264C9" w:rsidP="0058696A">
            <w:pPr>
              <w:spacing w:before="120"/>
              <w:jc w:val="center"/>
              <w:rPr>
                <w:b/>
                <w:sz w:val="18"/>
                <w:szCs w:val="22"/>
              </w:rPr>
            </w:pPr>
          </w:p>
        </w:tc>
      </w:tr>
      <w:tr w:rsidR="002264C9" w:rsidRPr="008E516B" w14:paraId="64BE11CE" w14:textId="77777777" w:rsidTr="00A34F87">
        <w:trPr>
          <w:jc w:val="center"/>
        </w:trPr>
        <w:tc>
          <w:tcPr>
            <w:tcW w:w="1636" w:type="dxa"/>
            <w:vMerge/>
            <w:tcBorders>
              <w:bottom w:val="nil"/>
            </w:tcBorders>
            <w:shd w:val="clear" w:color="auto" w:fill="E6E6E6"/>
          </w:tcPr>
          <w:p w14:paraId="1AC1A50B" w14:textId="77777777" w:rsidR="002264C9" w:rsidRPr="008E516B" w:rsidRDefault="002264C9" w:rsidP="0058696A">
            <w:pPr>
              <w:spacing w:before="120"/>
              <w:rPr>
                <w:sz w:val="18"/>
                <w:szCs w:val="22"/>
              </w:rPr>
            </w:pPr>
          </w:p>
        </w:tc>
        <w:tc>
          <w:tcPr>
            <w:tcW w:w="5387" w:type="dxa"/>
            <w:shd w:val="clear" w:color="auto" w:fill="E6E6E6"/>
          </w:tcPr>
          <w:p w14:paraId="11E56393" w14:textId="77777777" w:rsidR="002264C9" w:rsidRPr="008E516B" w:rsidRDefault="002264C9" w:rsidP="0058696A">
            <w:pPr>
              <w:rPr>
                <w:sz w:val="18"/>
                <w:szCs w:val="22"/>
              </w:rPr>
            </w:pPr>
            <w:r w:rsidRPr="008E516B">
              <w:rPr>
                <w:sz w:val="18"/>
                <w:szCs w:val="22"/>
              </w:rPr>
              <w:t>Adequate environmental plans and strategies are produced but there are only partially implemented because of funding constraints and/or other problems</w:t>
            </w:r>
          </w:p>
        </w:tc>
        <w:tc>
          <w:tcPr>
            <w:tcW w:w="737" w:type="dxa"/>
            <w:vAlign w:val="center"/>
          </w:tcPr>
          <w:p w14:paraId="2829CA4E" w14:textId="77777777" w:rsidR="002264C9" w:rsidRPr="008E516B" w:rsidRDefault="002264C9" w:rsidP="0058696A">
            <w:pPr>
              <w:jc w:val="center"/>
              <w:rPr>
                <w:sz w:val="18"/>
                <w:szCs w:val="22"/>
              </w:rPr>
            </w:pPr>
            <w:r w:rsidRPr="008E516B">
              <w:rPr>
                <w:sz w:val="18"/>
                <w:szCs w:val="22"/>
              </w:rPr>
              <w:t>2</w:t>
            </w:r>
          </w:p>
        </w:tc>
        <w:tc>
          <w:tcPr>
            <w:tcW w:w="718" w:type="dxa"/>
            <w:vMerge/>
            <w:vAlign w:val="center"/>
          </w:tcPr>
          <w:p w14:paraId="6642EC3F" w14:textId="7F2F4172" w:rsidR="002264C9" w:rsidRPr="008E516B" w:rsidRDefault="002264C9" w:rsidP="0058696A">
            <w:pPr>
              <w:jc w:val="center"/>
              <w:rPr>
                <w:b/>
                <w:sz w:val="18"/>
                <w:szCs w:val="22"/>
              </w:rPr>
            </w:pPr>
          </w:p>
        </w:tc>
        <w:tc>
          <w:tcPr>
            <w:tcW w:w="808" w:type="dxa"/>
            <w:vMerge/>
            <w:vAlign w:val="center"/>
          </w:tcPr>
          <w:p w14:paraId="1409DC7F" w14:textId="77777777" w:rsidR="002264C9" w:rsidRPr="009F382A" w:rsidRDefault="002264C9" w:rsidP="001C7AEA">
            <w:pPr>
              <w:spacing w:before="120"/>
              <w:jc w:val="center"/>
              <w:rPr>
                <w:b/>
                <w:sz w:val="18"/>
                <w:szCs w:val="22"/>
              </w:rPr>
            </w:pPr>
          </w:p>
        </w:tc>
        <w:tc>
          <w:tcPr>
            <w:tcW w:w="3686" w:type="dxa"/>
            <w:vMerge/>
          </w:tcPr>
          <w:p w14:paraId="306E2BE4" w14:textId="7DD94A71" w:rsidR="002264C9" w:rsidRPr="008E516B" w:rsidRDefault="002264C9" w:rsidP="0058696A">
            <w:pPr>
              <w:spacing w:before="120"/>
              <w:rPr>
                <w:sz w:val="18"/>
                <w:szCs w:val="22"/>
              </w:rPr>
            </w:pPr>
          </w:p>
        </w:tc>
        <w:tc>
          <w:tcPr>
            <w:tcW w:w="1418" w:type="dxa"/>
            <w:vMerge/>
            <w:vAlign w:val="center"/>
          </w:tcPr>
          <w:p w14:paraId="666250AE" w14:textId="77777777" w:rsidR="002264C9" w:rsidRPr="00D43463" w:rsidRDefault="002264C9" w:rsidP="0058696A">
            <w:pPr>
              <w:spacing w:before="120"/>
              <w:jc w:val="center"/>
              <w:rPr>
                <w:b/>
                <w:sz w:val="18"/>
                <w:szCs w:val="22"/>
              </w:rPr>
            </w:pPr>
          </w:p>
        </w:tc>
      </w:tr>
      <w:tr w:rsidR="002264C9" w:rsidRPr="008E516B" w14:paraId="0013879A" w14:textId="77777777" w:rsidTr="00A34F87">
        <w:trPr>
          <w:jc w:val="center"/>
        </w:trPr>
        <w:tc>
          <w:tcPr>
            <w:tcW w:w="1636" w:type="dxa"/>
            <w:tcBorders>
              <w:top w:val="nil"/>
              <w:bottom w:val="single" w:sz="4" w:space="0" w:color="auto"/>
            </w:tcBorders>
            <w:shd w:val="clear" w:color="auto" w:fill="E6E6E6"/>
          </w:tcPr>
          <w:p w14:paraId="6ABDE992" w14:textId="77777777" w:rsidR="002264C9" w:rsidRPr="008E516B" w:rsidRDefault="002264C9" w:rsidP="0058696A">
            <w:pPr>
              <w:spacing w:before="120"/>
              <w:rPr>
                <w:sz w:val="18"/>
                <w:szCs w:val="22"/>
              </w:rPr>
            </w:pPr>
          </w:p>
        </w:tc>
        <w:tc>
          <w:tcPr>
            <w:tcW w:w="5387" w:type="dxa"/>
            <w:shd w:val="clear" w:color="auto" w:fill="E6E6E6"/>
          </w:tcPr>
          <w:p w14:paraId="12B668CC" w14:textId="77777777" w:rsidR="002264C9" w:rsidRPr="008E516B" w:rsidRDefault="002264C9" w:rsidP="0058696A">
            <w:pPr>
              <w:rPr>
                <w:sz w:val="18"/>
                <w:szCs w:val="22"/>
              </w:rPr>
            </w:pPr>
            <w:r w:rsidRPr="008E516B">
              <w:rPr>
                <w:sz w:val="18"/>
                <w:szCs w:val="22"/>
              </w:rPr>
              <w:t>The environmental planning and strategy development process is well coordinated by the lead environmental organizations and produces the required environmental plans and strategies; which are being implemented</w:t>
            </w:r>
          </w:p>
        </w:tc>
        <w:tc>
          <w:tcPr>
            <w:tcW w:w="737" w:type="dxa"/>
            <w:vAlign w:val="center"/>
          </w:tcPr>
          <w:p w14:paraId="7ADF1D04" w14:textId="77777777" w:rsidR="002264C9" w:rsidRPr="008E516B" w:rsidRDefault="002264C9" w:rsidP="0058696A">
            <w:pPr>
              <w:jc w:val="center"/>
              <w:rPr>
                <w:sz w:val="18"/>
                <w:szCs w:val="22"/>
              </w:rPr>
            </w:pPr>
            <w:r w:rsidRPr="008E516B">
              <w:rPr>
                <w:sz w:val="18"/>
                <w:szCs w:val="22"/>
              </w:rPr>
              <w:t>3</w:t>
            </w:r>
          </w:p>
        </w:tc>
        <w:tc>
          <w:tcPr>
            <w:tcW w:w="718" w:type="dxa"/>
            <w:vMerge/>
          </w:tcPr>
          <w:p w14:paraId="5C692A86" w14:textId="77777777" w:rsidR="002264C9" w:rsidRPr="008E516B" w:rsidRDefault="002264C9" w:rsidP="0058696A">
            <w:pPr>
              <w:spacing w:before="120"/>
              <w:rPr>
                <w:sz w:val="18"/>
                <w:szCs w:val="22"/>
              </w:rPr>
            </w:pPr>
          </w:p>
        </w:tc>
        <w:tc>
          <w:tcPr>
            <w:tcW w:w="808" w:type="dxa"/>
            <w:vMerge/>
            <w:vAlign w:val="center"/>
          </w:tcPr>
          <w:p w14:paraId="52CAC161" w14:textId="77777777" w:rsidR="002264C9" w:rsidRPr="009F382A" w:rsidRDefault="002264C9" w:rsidP="001C7AEA">
            <w:pPr>
              <w:spacing w:before="120"/>
              <w:jc w:val="center"/>
              <w:rPr>
                <w:b/>
                <w:sz w:val="18"/>
                <w:szCs w:val="22"/>
              </w:rPr>
            </w:pPr>
          </w:p>
        </w:tc>
        <w:tc>
          <w:tcPr>
            <w:tcW w:w="3686" w:type="dxa"/>
            <w:vMerge/>
          </w:tcPr>
          <w:p w14:paraId="49912B20" w14:textId="595CA8F6" w:rsidR="002264C9" w:rsidRPr="008E516B" w:rsidRDefault="002264C9" w:rsidP="0058696A">
            <w:pPr>
              <w:spacing w:before="120"/>
              <w:rPr>
                <w:sz w:val="18"/>
                <w:szCs w:val="22"/>
              </w:rPr>
            </w:pPr>
          </w:p>
        </w:tc>
        <w:tc>
          <w:tcPr>
            <w:tcW w:w="1418" w:type="dxa"/>
            <w:vMerge/>
            <w:vAlign w:val="center"/>
          </w:tcPr>
          <w:p w14:paraId="12130E2D" w14:textId="77777777" w:rsidR="002264C9" w:rsidRPr="00D43463" w:rsidRDefault="002264C9" w:rsidP="0058696A">
            <w:pPr>
              <w:spacing w:before="120"/>
              <w:jc w:val="center"/>
              <w:rPr>
                <w:b/>
                <w:sz w:val="18"/>
                <w:szCs w:val="22"/>
              </w:rPr>
            </w:pPr>
          </w:p>
        </w:tc>
      </w:tr>
      <w:tr w:rsidR="002264C9" w:rsidRPr="008E516B" w14:paraId="07982154" w14:textId="77777777" w:rsidTr="00A34F87">
        <w:trPr>
          <w:jc w:val="center"/>
        </w:trPr>
        <w:tc>
          <w:tcPr>
            <w:tcW w:w="1636" w:type="dxa"/>
            <w:vMerge w:val="restart"/>
            <w:shd w:val="clear" w:color="auto" w:fill="E6E6E6"/>
          </w:tcPr>
          <w:p w14:paraId="0845DBB7" w14:textId="77777777" w:rsidR="002264C9" w:rsidRPr="008E516B" w:rsidRDefault="002264C9" w:rsidP="0058696A">
            <w:pPr>
              <w:rPr>
                <w:sz w:val="18"/>
                <w:szCs w:val="22"/>
              </w:rPr>
            </w:pPr>
            <w:r w:rsidRPr="008E516B">
              <w:rPr>
                <w:sz w:val="18"/>
                <w:szCs w:val="22"/>
              </w:rPr>
              <w:t>Indicator 10 – Existence of an adequate environmental policy and regulatory frameworks</w:t>
            </w:r>
          </w:p>
        </w:tc>
        <w:tc>
          <w:tcPr>
            <w:tcW w:w="5387" w:type="dxa"/>
            <w:shd w:val="clear" w:color="auto" w:fill="E6E6E6"/>
          </w:tcPr>
          <w:p w14:paraId="7B0ABADE" w14:textId="77777777" w:rsidR="002264C9" w:rsidRPr="008E516B" w:rsidRDefault="002264C9" w:rsidP="0058696A">
            <w:pPr>
              <w:rPr>
                <w:sz w:val="18"/>
                <w:szCs w:val="22"/>
              </w:rPr>
            </w:pPr>
            <w:r w:rsidRPr="008E516B">
              <w:rPr>
                <w:sz w:val="18"/>
                <w:szCs w:val="22"/>
              </w:rPr>
              <w:t>The environmental policy and regulatory frameworks are insufficient; they do not provide an enabling environment</w:t>
            </w:r>
          </w:p>
        </w:tc>
        <w:tc>
          <w:tcPr>
            <w:tcW w:w="737" w:type="dxa"/>
            <w:vAlign w:val="center"/>
          </w:tcPr>
          <w:p w14:paraId="65AFD7C4"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25F5716A" w14:textId="19D16C28" w:rsidR="002264C9" w:rsidRPr="008E516B" w:rsidRDefault="002264C9" w:rsidP="001C7AEA">
            <w:pPr>
              <w:jc w:val="center"/>
              <w:rPr>
                <w:sz w:val="18"/>
                <w:szCs w:val="22"/>
              </w:rPr>
            </w:pPr>
            <w:r>
              <w:rPr>
                <w:b/>
                <w:sz w:val="18"/>
                <w:szCs w:val="22"/>
              </w:rPr>
              <w:t>2</w:t>
            </w:r>
          </w:p>
        </w:tc>
        <w:tc>
          <w:tcPr>
            <w:tcW w:w="808" w:type="dxa"/>
            <w:vMerge w:val="restart"/>
            <w:vAlign w:val="center"/>
          </w:tcPr>
          <w:p w14:paraId="35B3CD51" w14:textId="5C143537" w:rsidR="002264C9" w:rsidRPr="009F382A" w:rsidRDefault="002264C9" w:rsidP="001C7AEA">
            <w:pPr>
              <w:jc w:val="center"/>
              <w:rPr>
                <w:b/>
                <w:sz w:val="18"/>
                <w:szCs w:val="22"/>
              </w:rPr>
            </w:pPr>
            <w:r>
              <w:rPr>
                <w:b/>
                <w:sz w:val="18"/>
                <w:szCs w:val="22"/>
              </w:rPr>
              <w:t>2</w:t>
            </w:r>
          </w:p>
        </w:tc>
        <w:tc>
          <w:tcPr>
            <w:tcW w:w="3686" w:type="dxa"/>
            <w:vMerge w:val="restart"/>
            <w:vAlign w:val="center"/>
          </w:tcPr>
          <w:p w14:paraId="540CC8F9" w14:textId="28092862" w:rsidR="002264C9" w:rsidRPr="008E516B" w:rsidRDefault="00D9207B" w:rsidP="00D9207B">
            <w:pPr>
              <w:rPr>
                <w:sz w:val="18"/>
                <w:szCs w:val="22"/>
              </w:rPr>
            </w:pPr>
            <w:r>
              <w:rPr>
                <w:sz w:val="18"/>
                <w:szCs w:val="22"/>
              </w:rPr>
              <w:t>The project supported the development of proposals to reform environment fiscal issues but none have been accepted so far and questions remained on how they will be implemented once approved.</w:t>
            </w:r>
          </w:p>
        </w:tc>
        <w:tc>
          <w:tcPr>
            <w:tcW w:w="1418" w:type="dxa"/>
            <w:vMerge w:val="restart"/>
            <w:vAlign w:val="center"/>
          </w:tcPr>
          <w:p w14:paraId="138C474D" w14:textId="7ED6560E" w:rsidR="002264C9" w:rsidRPr="00D43463" w:rsidRDefault="00D9207B" w:rsidP="0058696A">
            <w:pPr>
              <w:jc w:val="center"/>
              <w:rPr>
                <w:b/>
                <w:sz w:val="18"/>
                <w:szCs w:val="22"/>
              </w:rPr>
            </w:pPr>
            <w:r>
              <w:rPr>
                <w:b/>
                <w:sz w:val="18"/>
                <w:szCs w:val="22"/>
              </w:rPr>
              <w:t>1, 2</w:t>
            </w:r>
          </w:p>
        </w:tc>
      </w:tr>
      <w:tr w:rsidR="002264C9" w:rsidRPr="008E516B" w14:paraId="39A46489" w14:textId="77777777" w:rsidTr="00A34F87">
        <w:trPr>
          <w:jc w:val="center"/>
        </w:trPr>
        <w:tc>
          <w:tcPr>
            <w:tcW w:w="1636" w:type="dxa"/>
            <w:vMerge/>
            <w:shd w:val="clear" w:color="auto" w:fill="E6E6E6"/>
          </w:tcPr>
          <w:p w14:paraId="72434A83" w14:textId="77777777" w:rsidR="002264C9" w:rsidRPr="008E516B" w:rsidRDefault="002264C9" w:rsidP="0058696A">
            <w:pPr>
              <w:spacing w:before="120"/>
              <w:rPr>
                <w:sz w:val="18"/>
                <w:szCs w:val="22"/>
              </w:rPr>
            </w:pPr>
          </w:p>
        </w:tc>
        <w:tc>
          <w:tcPr>
            <w:tcW w:w="5387" w:type="dxa"/>
            <w:shd w:val="clear" w:color="auto" w:fill="E6E6E6"/>
          </w:tcPr>
          <w:p w14:paraId="1A8E69DF" w14:textId="77777777" w:rsidR="002264C9" w:rsidRPr="008E516B" w:rsidRDefault="002264C9" w:rsidP="0058696A">
            <w:pPr>
              <w:rPr>
                <w:sz w:val="18"/>
                <w:szCs w:val="22"/>
              </w:rPr>
            </w:pPr>
            <w:r w:rsidRPr="008E516B">
              <w:rPr>
                <w:sz w:val="18"/>
                <w:szCs w:val="22"/>
              </w:rPr>
              <w:t>Some relevant environmental policies and laws exist but few are implemented and enforced</w:t>
            </w:r>
          </w:p>
        </w:tc>
        <w:tc>
          <w:tcPr>
            <w:tcW w:w="737" w:type="dxa"/>
            <w:vAlign w:val="center"/>
          </w:tcPr>
          <w:p w14:paraId="6480413D"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2753A7F7" w14:textId="4357C946" w:rsidR="002264C9" w:rsidRPr="008E516B" w:rsidRDefault="002264C9" w:rsidP="0058696A">
            <w:pPr>
              <w:jc w:val="center"/>
              <w:rPr>
                <w:b/>
                <w:sz w:val="18"/>
                <w:szCs w:val="22"/>
              </w:rPr>
            </w:pPr>
          </w:p>
        </w:tc>
        <w:tc>
          <w:tcPr>
            <w:tcW w:w="808" w:type="dxa"/>
            <w:vMerge/>
            <w:vAlign w:val="center"/>
          </w:tcPr>
          <w:p w14:paraId="042121AC" w14:textId="77777777" w:rsidR="002264C9" w:rsidRPr="009F382A" w:rsidRDefault="002264C9" w:rsidP="001C7AEA">
            <w:pPr>
              <w:spacing w:before="120"/>
              <w:jc w:val="center"/>
              <w:rPr>
                <w:b/>
                <w:sz w:val="18"/>
                <w:szCs w:val="22"/>
              </w:rPr>
            </w:pPr>
          </w:p>
        </w:tc>
        <w:tc>
          <w:tcPr>
            <w:tcW w:w="3686" w:type="dxa"/>
            <w:vMerge/>
          </w:tcPr>
          <w:p w14:paraId="4F5F6A4C" w14:textId="4DD87584" w:rsidR="002264C9" w:rsidRPr="008E516B" w:rsidRDefault="002264C9" w:rsidP="0058696A">
            <w:pPr>
              <w:spacing w:before="120"/>
              <w:rPr>
                <w:sz w:val="18"/>
                <w:szCs w:val="22"/>
              </w:rPr>
            </w:pPr>
          </w:p>
        </w:tc>
        <w:tc>
          <w:tcPr>
            <w:tcW w:w="1418" w:type="dxa"/>
            <w:vMerge/>
            <w:vAlign w:val="center"/>
          </w:tcPr>
          <w:p w14:paraId="677975AD" w14:textId="77777777" w:rsidR="002264C9" w:rsidRPr="00D43463" w:rsidRDefault="002264C9" w:rsidP="0058696A">
            <w:pPr>
              <w:spacing w:before="120"/>
              <w:jc w:val="center"/>
              <w:rPr>
                <w:b/>
                <w:sz w:val="18"/>
                <w:szCs w:val="22"/>
              </w:rPr>
            </w:pPr>
          </w:p>
        </w:tc>
      </w:tr>
      <w:tr w:rsidR="002264C9" w:rsidRPr="008E516B" w14:paraId="3B8A7817" w14:textId="77777777" w:rsidTr="00A34F87">
        <w:trPr>
          <w:jc w:val="center"/>
        </w:trPr>
        <w:tc>
          <w:tcPr>
            <w:tcW w:w="1636" w:type="dxa"/>
            <w:vMerge/>
            <w:shd w:val="clear" w:color="auto" w:fill="E6E6E6"/>
          </w:tcPr>
          <w:p w14:paraId="72B1AAD1" w14:textId="77777777" w:rsidR="002264C9" w:rsidRPr="008E516B" w:rsidRDefault="002264C9" w:rsidP="0058696A">
            <w:pPr>
              <w:spacing w:before="120"/>
              <w:rPr>
                <w:sz w:val="18"/>
                <w:szCs w:val="22"/>
              </w:rPr>
            </w:pPr>
          </w:p>
        </w:tc>
        <w:tc>
          <w:tcPr>
            <w:tcW w:w="5387" w:type="dxa"/>
            <w:shd w:val="clear" w:color="auto" w:fill="E6E6E6"/>
          </w:tcPr>
          <w:p w14:paraId="24F305F8" w14:textId="77777777" w:rsidR="002264C9" w:rsidRPr="008E516B" w:rsidRDefault="002264C9" w:rsidP="0058696A">
            <w:pPr>
              <w:rPr>
                <w:sz w:val="18"/>
                <w:szCs w:val="22"/>
              </w:rPr>
            </w:pPr>
            <w:r w:rsidRPr="008E516B">
              <w:rPr>
                <w:sz w:val="18"/>
                <w:szCs w:val="22"/>
              </w:rPr>
              <w:t>Adequate environmental policy and legislation frameworks exist but there are problems in implementing and enforcing them</w:t>
            </w:r>
          </w:p>
        </w:tc>
        <w:tc>
          <w:tcPr>
            <w:tcW w:w="737" w:type="dxa"/>
            <w:vAlign w:val="center"/>
          </w:tcPr>
          <w:p w14:paraId="1A38C041" w14:textId="77777777" w:rsidR="002264C9" w:rsidRPr="008E516B" w:rsidRDefault="002264C9" w:rsidP="0058696A">
            <w:pPr>
              <w:jc w:val="center"/>
              <w:rPr>
                <w:sz w:val="18"/>
                <w:szCs w:val="22"/>
              </w:rPr>
            </w:pPr>
            <w:r w:rsidRPr="008E516B">
              <w:rPr>
                <w:sz w:val="18"/>
                <w:szCs w:val="22"/>
              </w:rPr>
              <w:t>2</w:t>
            </w:r>
          </w:p>
        </w:tc>
        <w:tc>
          <w:tcPr>
            <w:tcW w:w="718" w:type="dxa"/>
            <w:vMerge/>
          </w:tcPr>
          <w:p w14:paraId="0E344A32" w14:textId="77777777" w:rsidR="002264C9" w:rsidRPr="008E516B" w:rsidRDefault="002264C9" w:rsidP="0058696A">
            <w:pPr>
              <w:spacing w:before="120"/>
              <w:rPr>
                <w:sz w:val="18"/>
                <w:szCs w:val="22"/>
              </w:rPr>
            </w:pPr>
          </w:p>
        </w:tc>
        <w:tc>
          <w:tcPr>
            <w:tcW w:w="808" w:type="dxa"/>
            <w:vMerge/>
            <w:vAlign w:val="center"/>
          </w:tcPr>
          <w:p w14:paraId="00DD88E8" w14:textId="77777777" w:rsidR="002264C9" w:rsidRPr="009F382A" w:rsidRDefault="002264C9" w:rsidP="001C7AEA">
            <w:pPr>
              <w:spacing w:before="120"/>
              <w:jc w:val="center"/>
              <w:rPr>
                <w:b/>
                <w:sz w:val="18"/>
                <w:szCs w:val="22"/>
              </w:rPr>
            </w:pPr>
          </w:p>
        </w:tc>
        <w:tc>
          <w:tcPr>
            <w:tcW w:w="3686" w:type="dxa"/>
            <w:vMerge/>
          </w:tcPr>
          <w:p w14:paraId="070F05B5" w14:textId="0615795D" w:rsidR="002264C9" w:rsidRPr="008E516B" w:rsidRDefault="002264C9" w:rsidP="0058696A">
            <w:pPr>
              <w:spacing w:before="120"/>
              <w:rPr>
                <w:sz w:val="18"/>
                <w:szCs w:val="22"/>
              </w:rPr>
            </w:pPr>
          </w:p>
        </w:tc>
        <w:tc>
          <w:tcPr>
            <w:tcW w:w="1418" w:type="dxa"/>
            <w:vMerge/>
            <w:vAlign w:val="center"/>
          </w:tcPr>
          <w:p w14:paraId="3E5E1CFA" w14:textId="77777777" w:rsidR="002264C9" w:rsidRPr="00D43463" w:rsidRDefault="002264C9" w:rsidP="0058696A">
            <w:pPr>
              <w:spacing w:before="120"/>
              <w:jc w:val="center"/>
              <w:rPr>
                <w:b/>
                <w:sz w:val="18"/>
                <w:szCs w:val="22"/>
              </w:rPr>
            </w:pPr>
          </w:p>
        </w:tc>
      </w:tr>
      <w:tr w:rsidR="002264C9" w:rsidRPr="008E516B" w14:paraId="38F0010B" w14:textId="77777777" w:rsidTr="00A34F87">
        <w:trPr>
          <w:jc w:val="center"/>
        </w:trPr>
        <w:tc>
          <w:tcPr>
            <w:tcW w:w="1636" w:type="dxa"/>
            <w:vMerge/>
            <w:tcBorders>
              <w:bottom w:val="single" w:sz="4" w:space="0" w:color="auto"/>
            </w:tcBorders>
            <w:shd w:val="clear" w:color="auto" w:fill="E6E6E6"/>
          </w:tcPr>
          <w:p w14:paraId="4A2DD8F4" w14:textId="77777777" w:rsidR="002264C9" w:rsidRPr="008E516B" w:rsidRDefault="002264C9" w:rsidP="0058696A">
            <w:pPr>
              <w:spacing w:before="120"/>
              <w:rPr>
                <w:sz w:val="18"/>
                <w:szCs w:val="22"/>
              </w:rPr>
            </w:pPr>
          </w:p>
        </w:tc>
        <w:tc>
          <w:tcPr>
            <w:tcW w:w="5387" w:type="dxa"/>
            <w:shd w:val="clear" w:color="auto" w:fill="E6E6E6"/>
          </w:tcPr>
          <w:p w14:paraId="5BE8F73C" w14:textId="77777777" w:rsidR="002264C9" w:rsidRPr="008E516B" w:rsidRDefault="002264C9" w:rsidP="0058696A">
            <w:pPr>
              <w:rPr>
                <w:sz w:val="18"/>
                <w:szCs w:val="22"/>
              </w:rPr>
            </w:pPr>
            <w:r w:rsidRPr="008E516B">
              <w:rPr>
                <w:sz w:val="18"/>
                <w:szCs w:val="22"/>
              </w:rPr>
              <w:t>Adequate policy and legislation frameworks are implemented and provide an adequate enabling environment; a compliance and enforcement mechanism is established and functions</w:t>
            </w:r>
          </w:p>
        </w:tc>
        <w:tc>
          <w:tcPr>
            <w:tcW w:w="737" w:type="dxa"/>
            <w:vAlign w:val="center"/>
          </w:tcPr>
          <w:p w14:paraId="13619689" w14:textId="77777777" w:rsidR="002264C9" w:rsidRPr="008E516B" w:rsidRDefault="002264C9" w:rsidP="0058696A">
            <w:pPr>
              <w:jc w:val="center"/>
              <w:rPr>
                <w:sz w:val="18"/>
                <w:szCs w:val="22"/>
              </w:rPr>
            </w:pPr>
            <w:r w:rsidRPr="008E516B">
              <w:rPr>
                <w:sz w:val="18"/>
                <w:szCs w:val="22"/>
              </w:rPr>
              <w:t>3</w:t>
            </w:r>
          </w:p>
        </w:tc>
        <w:tc>
          <w:tcPr>
            <w:tcW w:w="718" w:type="dxa"/>
            <w:vMerge/>
          </w:tcPr>
          <w:p w14:paraId="21D8C22A" w14:textId="77777777" w:rsidR="002264C9" w:rsidRPr="008E516B" w:rsidRDefault="002264C9" w:rsidP="0058696A">
            <w:pPr>
              <w:spacing w:before="120"/>
              <w:rPr>
                <w:sz w:val="18"/>
                <w:szCs w:val="22"/>
              </w:rPr>
            </w:pPr>
          </w:p>
        </w:tc>
        <w:tc>
          <w:tcPr>
            <w:tcW w:w="808" w:type="dxa"/>
            <w:vMerge/>
            <w:vAlign w:val="center"/>
          </w:tcPr>
          <w:p w14:paraId="37D4C4E5" w14:textId="77777777" w:rsidR="002264C9" w:rsidRPr="009F382A" w:rsidRDefault="002264C9" w:rsidP="001C7AEA">
            <w:pPr>
              <w:spacing w:before="120"/>
              <w:jc w:val="center"/>
              <w:rPr>
                <w:b/>
                <w:sz w:val="18"/>
                <w:szCs w:val="22"/>
              </w:rPr>
            </w:pPr>
          </w:p>
        </w:tc>
        <w:tc>
          <w:tcPr>
            <w:tcW w:w="3686" w:type="dxa"/>
            <w:vMerge/>
          </w:tcPr>
          <w:p w14:paraId="139D882C" w14:textId="4DD9CE86" w:rsidR="002264C9" w:rsidRPr="008E516B" w:rsidRDefault="002264C9" w:rsidP="0058696A">
            <w:pPr>
              <w:spacing w:before="120"/>
              <w:rPr>
                <w:sz w:val="18"/>
                <w:szCs w:val="22"/>
              </w:rPr>
            </w:pPr>
          </w:p>
        </w:tc>
        <w:tc>
          <w:tcPr>
            <w:tcW w:w="1418" w:type="dxa"/>
            <w:vMerge/>
            <w:vAlign w:val="center"/>
          </w:tcPr>
          <w:p w14:paraId="7B8859F5" w14:textId="77777777" w:rsidR="002264C9" w:rsidRPr="00D43463" w:rsidRDefault="002264C9" w:rsidP="0058696A">
            <w:pPr>
              <w:spacing w:before="120"/>
              <w:jc w:val="center"/>
              <w:rPr>
                <w:b/>
                <w:sz w:val="18"/>
                <w:szCs w:val="22"/>
              </w:rPr>
            </w:pPr>
          </w:p>
        </w:tc>
      </w:tr>
      <w:tr w:rsidR="002264C9" w:rsidRPr="008E516B" w14:paraId="52B2DB97" w14:textId="77777777" w:rsidTr="00A34F87">
        <w:trPr>
          <w:jc w:val="center"/>
        </w:trPr>
        <w:tc>
          <w:tcPr>
            <w:tcW w:w="1636" w:type="dxa"/>
            <w:vMerge w:val="restart"/>
            <w:shd w:val="clear" w:color="auto" w:fill="E6E6E6"/>
          </w:tcPr>
          <w:p w14:paraId="6A64D258" w14:textId="77777777" w:rsidR="002264C9" w:rsidRPr="008E516B" w:rsidRDefault="002264C9" w:rsidP="0058696A">
            <w:pPr>
              <w:rPr>
                <w:sz w:val="18"/>
                <w:szCs w:val="22"/>
              </w:rPr>
            </w:pPr>
            <w:r w:rsidRPr="008E516B">
              <w:rPr>
                <w:sz w:val="18"/>
                <w:szCs w:val="22"/>
              </w:rPr>
              <w:t>Indicator 11 – Adequacy of the environmental information available for decision-making</w:t>
            </w:r>
          </w:p>
        </w:tc>
        <w:tc>
          <w:tcPr>
            <w:tcW w:w="5387" w:type="dxa"/>
            <w:shd w:val="clear" w:color="auto" w:fill="E6E6E6"/>
          </w:tcPr>
          <w:p w14:paraId="38E66185" w14:textId="77777777" w:rsidR="002264C9" w:rsidRPr="008E516B" w:rsidRDefault="002264C9" w:rsidP="0058696A">
            <w:pPr>
              <w:rPr>
                <w:sz w:val="18"/>
                <w:szCs w:val="22"/>
              </w:rPr>
            </w:pPr>
            <w:r w:rsidRPr="008E516B">
              <w:rPr>
                <w:sz w:val="18"/>
                <w:szCs w:val="22"/>
              </w:rPr>
              <w:t>The availability of environmental information for decision-making is lacking</w:t>
            </w:r>
          </w:p>
        </w:tc>
        <w:tc>
          <w:tcPr>
            <w:tcW w:w="737" w:type="dxa"/>
            <w:vAlign w:val="center"/>
          </w:tcPr>
          <w:p w14:paraId="79380634"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7552DF64" w14:textId="6FC7A129" w:rsidR="002264C9" w:rsidRPr="008E516B" w:rsidRDefault="002264C9" w:rsidP="001C7AEA">
            <w:pPr>
              <w:jc w:val="center"/>
              <w:rPr>
                <w:sz w:val="18"/>
                <w:szCs w:val="22"/>
              </w:rPr>
            </w:pPr>
            <w:r w:rsidRPr="008E516B">
              <w:rPr>
                <w:b/>
                <w:sz w:val="18"/>
                <w:szCs w:val="22"/>
              </w:rPr>
              <w:t>1</w:t>
            </w:r>
          </w:p>
        </w:tc>
        <w:tc>
          <w:tcPr>
            <w:tcW w:w="808" w:type="dxa"/>
            <w:vMerge w:val="restart"/>
            <w:vAlign w:val="center"/>
          </w:tcPr>
          <w:p w14:paraId="224BE7F8" w14:textId="0E4A62CA" w:rsidR="002264C9" w:rsidRPr="009F382A" w:rsidRDefault="002264C9" w:rsidP="001C7AEA">
            <w:pPr>
              <w:jc w:val="center"/>
              <w:rPr>
                <w:b/>
                <w:sz w:val="18"/>
                <w:szCs w:val="22"/>
              </w:rPr>
            </w:pPr>
            <w:r>
              <w:rPr>
                <w:b/>
                <w:sz w:val="18"/>
                <w:szCs w:val="22"/>
              </w:rPr>
              <w:t>2</w:t>
            </w:r>
          </w:p>
        </w:tc>
        <w:tc>
          <w:tcPr>
            <w:tcW w:w="3686" w:type="dxa"/>
            <w:vMerge w:val="restart"/>
            <w:vAlign w:val="center"/>
          </w:tcPr>
          <w:p w14:paraId="0750EBC1" w14:textId="267D6392" w:rsidR="002264C9" w:rsidRPr="008E516B" w:rsidRDefault="00D9207B" w:rsidP="00D9207B">
            <w:pPr>
              <w:rPr>
                <w:sz w:val="18"/>
                <w:szCs w:val="22"/>
              </w:rPr>
            </w:pPr>
            <w:r>
              <w:rPr>
                <w:sz w:val="18"/>
                <w:szCs w:val="22"/>
              </w:rPr>
              <w:t xml:space="preserve">The project supported several studies on EFR, including international experiences, best practices, etc. that were made available to decision-makers but no update are planned and resource constraints at both central and local levels will limit the capacity of government institutions to support these updates. </w:t>
            </w:r>
          </w:p>
        </w:tc>
        <w:tc>
          <w:tcPr>
            <w:tcW w:w="1418" w:type="dxa"/>
            <w:vMerge w:val="restart"/>
            <w:vAlign w:val="center"/>
          </w:tcPr>
          <w:p w14:paraId="47102D9E" w14:textId="3361A0DF" w:rsidR="002264C9" w:rsidRPr="00D43463" w:rsidRDefault="00D9207B" w:rsidP="0058696A">
            <w:pPr>
              <w:jc w:val="center"/>
              <w:rPr>
                <w:b/>
                <w:sz w:val="18"/>
                <w:szCs w:val="22"/>
              </w:rPr>
            </w:pPr>
            <w:r>
              <w:rPr>
                <w:b/>
                <w:sz w:val="18"/>
                <w:szCs w:val="22"/>
              </w:rPr>
              <w:t>1, 3</w:t>
            </w:r>
          </w:p>
        </w:tc>
      </w:tr>
      <w:tr w:rsidR="002264C9" w:rsidRPr="008E516B" w14:paraId="4F729B52" w14:textId="77777777" w:rsidTr="00A34F87">
        <w:trPr>
          <w:jc w:val="center"/>
        </w:trPr>
        <w:tc>
          <w:tcPr>
            <w:tcW w:w="1636" w:type="dxa"/>
            <w:vMerge/>
            <w:shd w:val="clear" w:color="auto" w:fill="E6E6E6"/>
          </w:tcPr>
          <w:p w14:paraId="329F1DDA" w14:textId="77777777" w:rsidR="002264C9" w:rsidRPr="008E516B" w:rsidRDefault="002264C9" w:rsidP="0058696A">
            <w:pPr>
              <w:spacing w:before="120"/>
              <w:rPr>
                <w:sz w:val="18"/>
                <w:szCs w:val="22"/>
              </w:rPr>
            </w:pPr>
          </w:p>
        </w:tc>
        <w:tc>
          <w:tcPr>
            <w:tcW w:w="5387" w:type="dxa"/>
            <w:shd w:val="clear" w:color="auto" w:fill="E6E6E6"/>
          </w:tcPr>
          <w:p w14:paraId="1D49008D" w14:textId="77777777" w:rsidR="002264C9" w:rsidRPr="008E516B" w:rsidRDefault="002264C9" w:rsidP="0058696A">
            <w:pPr>
              <w:rPr>
                <w:sz w:val="18"/>
                <w:szCs w:val="22"/>
              </w:rPr>
            </w:pPr>
            <w:r w:rsidRPr="008E516B">
              <w:rPr>
                <w:sz w:val="18"/>
                <w:szCs w:val="22"/>
              </w:rPr>
              <w:t>Some environmental information exists but it is not sufficient to support environmental decision-making processes</w:t>
            </w:r>
          </w:p>
        </w:tc>
        <w:tc>
          <w:tcPr>
            <w:tcW w:w="737" w:type="dxa"/>
            <w:vAlign w:val="center"/>
          </w:tcPr>
          <w:p w14:paraId="14A6D839"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5FC1C29F" w14:textId="5A57A7A7" w:rsidR="002264C9" w:rsidRPr="008E516B" w:rsidRDefault="002264C9" w:rsidP="0058696A">
            <w:pPr>
              <w:jc w:val="center"/>
              <w:rPr>
                <w:b/>
                <w:sz w:val="18"/>
                <w:szCs w:val="22"/>
              </w:rPr>
            </w:pPr>
          </w:p>
        </w:tc>
        <w:tc>
          <w:tcPr>
            <w:tcW w:w="808" w:type="dxa"/>
            <w:vMerge/>
            <w:vAlign w:val="center"/>
          </w:tcPr>
          <w:p w14:paraId="34FD4605" w14:textId="77777777" w:rsidR="002264C9" w:rsidRPr="009F382A" w:rsidRDefault="002264C9" w:rsidP="001C7AEA">
            <w:pPr>
              <w:spacing w:before="120"/>
              <w:jc w:val="center"/>
              <w:rPr>
                <w:b/>
                <w:sz w:val="18"/>
                <w:szCs w:val="22"/>
              </w:rPr>
            </w:pPr>
          </w:p>
        </w:tc>
        <w:tc>
          <w:tcPr>
            <w:tcW w:w="3686" w:type="dxa"/>
            <w:vMerge/>
          </w:tcPr>
          <w:p w14:paraId="27542548" w14:textId="550ED48F" w:rsidR="002264C9" w:rsidRPr="008E516B" w:rsidRDefault="002264C9" w:rsidP="0058696A">
            <w:pPr>
              <w:spacing w:before="120"/>
              <w:rPr>
                <w:sz w:val="18"/>
                <w:szCs w:val="22"/>
              </w:rPr>
            </w:pPr>
          </w:p>
        </w:tc>
        <w:tc>
          <w:tcPr>
            <w:tcW w:w="1418" w:type="dxa"/>
            <w:vMerge/>
            <w:vAlign w:val="center"/>
          </w:tcPr>
          <w:p w14:paraId="0B83842E" w14:textId="77777777" w:rsidR="002264C9" w:rsidRPr="00D43463" w:rsidRDefault="002264C9" w:rsidP="0058696A">
            <w:pPr>
              <w:spacing w:before="120"/>
              <w:jc w:val="center"/>
              <w:rPr>
                <w:b/>
                <w:sz w:val="18"/>
                <w:szCs w:val="22"/>
              </w:rPr>
            </w:pPr>
          </w:p>
        </w:tc>
      </w:tr>
      <w:tr w:rsidR="002264C9" w:rsidRPr="008E516B" w14:paraId="08076E93" w14:textId="77777777" w:rsidTr="00A34F87">
        <w:trPr>
          <w:jc w:val="center"/>
        </w:trPr>
        <w:tc>
          <w:tcPr>
            <w:tcW w:w="1636" w:type="dxa"/>
            <w:vMerge/>
            <w:tcBorders>
              <w:bottom w:val="nil"/>
            </w:tcBorders>
            <w:shd w:val="clear" w:color="auto" w:fill="E6E6E6"/>
          </w:tcPr>
          <w:p w14:paraId="7ABD84FB" w14:textId="77777777" w:rsidR="002264C9" w:rsidRPr="008E516B" w:rsidRDefault="002264C9" w:rsidP="0058696A">
            <w:pPr>
              <w:spacing w:before="120"/>
              <w:rPr>
                <w:sz w:val="18"/>
                <w:szCs w:val="22"/>
              </w:rPr>
            </w:pPr>
          </w:p>
        </w:tc>
        <w:tc>
          <w:tcPr>
            <w:tcW w:w="5387" w:type="dxa"/>
            <w:shd w:val="clear" w:color="auto" w:fill="E6E6E6"/>
          </w:tcPr>
          <w:p w14:paraId="53A39C79" w14:textId="77777777" w:rsidR="002264C9" w:rsidRPr="008E516B" w:rsidRDefault="002264C9" w:rsidP="0058696A">
            <w:pPr>
              <w:rPr>
                <w:sz w:val="18"/>
                <w:szCs w:val="22"/>
              </w:rPr>
            </w:pPr>
            <w:r w:rsidRPr="008E516B">
              <w:rPr>
                <w:sz w:val="18"/>
                <w:szCs w:val="22"/>
              </w:rPr>
              <w:t>Relevant environmental information is made available to environmental decision-makers but the process to update this information is not functioning properly</w:t>
            </w:r>
          </w:p>
        </w:tc>
        <w:tc>
          <w:tcPr>
            <w:tcW w:w="737" w:type="dxa"/>
            <w:vAlign w:val="center"/>
          </w:tcPr>
          <w:p w14:paraId="46B6C192" w14:textId="77777777" w:rsidR="002264C9" w:rsidRPr="008E516B" w:rsidRDefault="002264C9" w:rsidP="0058696A">
            <w:pPr>
              <w:jc w:val="center"/>
              <w:rPr>
                <w:sz w:val="18"/>
                <w:szCs w:val="22"/>
              </w:rPr>
            </w:pPr>
            <w:r w:rsidRPr="008E516B">
              <w:rPr>
                <w:sz w:val="18"/>
                <w:szCs w:val="22"/>
              </w:rPr>
              <w:t>2</w:t>
            </w:r>
          </w:p>
        </w:tc>
        <w:tc>
          <w:tcPr>
            <w:tcW w:w="718" w:type="dxa"/>
            <w:vMerge/>
          </w:tcPr>
          <w:p w14:paraId="6C2CE24A" w14:textId="77777777" w:rsidR="002264C9" w:rsidRPr="008E516B" w:rsidRDefault="002264C9" w:rsidP="0058696A">
            <w:pPr>
              <w:spacing w:before="120"/>
              <w:rPr>
                <w:sz w:val="18"/>
                <w:szCs w:val="22"/>
              </w:rPr>
            </w:pPr>
          </w:p>
        </w:tc>
        <w:tc>
          <w:tcPr>
            <w:tcW w:w="808" w:type="dxa"/>
            <w:vMerge/>
            <w:vAlign w:val="center"/>
          </w:tcPr>
          <w:p w14:paraId="443156E5" w14:textId="77777777" w:rsidR="002264C9" w:rsidRPr="009F382A" w:rsidRDefault="002264C9" w:rsidP="001C7AEA">
            <w:pPr>
              <w:spacing w:before="120"/>
              <w:jc w:val="center"/>
              <w:rPr>
                <w:b/>
                <w:sz w:val="18"/>
                <w:szCs w:val="22"/>
              </w:rPr>
            </w:pPr>
          </w:p>
        </w:tc>
        <w:tc>
          <w:tcPr>
            <w:tcW w:w="3686" w:type="dxa"/>
            <w:vMerge/>
          </w:tcPr>
          <w:p w14:paraId="10F23270" w14:textId="73740003" w:rsidR="002264C9" w:rsidRPr="008E516B" w:rsidRDefault="002264C9" w:rsidP="0058696A">
            <w:pPr>
              <w:spacing w:before="120"/>
              <w:rPr>
                <w:sz w:val="18"/>
                <w:szCs w:val="22"/>
              </w:rPr>
            </w:pPr>
          </w:p>
        </w:tc>
        <w:tc>
          <w:tcPr>
            <w:tcW w:w="1418" w:type="dxa"/>
            <w:vMerge/>
            <w:vAlign w:val="center"/>
          </w:tcPr>
          <w:p w14:paraId="409AA70D" w14:textId="77777777" w:rsidR="002264C9" w:rsidRPr="00D43463" w:rsidRDefault="002264C9" w:rsidP="0058696A">
            <w:pPr>
              <w:spacing w:before="120"/>
              <w:jc w:val="center"/>
              <w:rPr>
                <w:b/>
                <w:sz w:val="18"/>
                <w:szCs w:val="22"/>
              </w:rPr>
            </w:pPr>
          </w:p>
        </w:tc>
      </w:tr>
      <w:tr w:rsidR="002264C9" w:rsidRPr="008E516B" w14:paraId="5D22BE3F" w14:textId="77777777" w:rsidTr="00A34F87">
        <w:trPr>
          <w:jc w:val="center"/>
        </w:trPr>
        <w:tc>
          <w:tcPr>
            <w:tcW w:w="1636" w:type="dxa"/>
            <w:tcBorders>
              <w:top w:val="nil"/>
              <w:bottom w:val="single" w:sz="4" w:space="0" w:color="auto"/>
            </w:tcBorders>
            <w:shd w:val="clear" w:color="auto" w:fill="E6E6E6"/>
          </w:tcPr>
          <w:p w14:paraId="2029B081" w14:textId="77777777" w:rsidR="002264C9" w:rsidRPr="008E516B" w:rsidRDefault="002264C9" w:rsidP="0058696A">
            <w:pPr>
              <w:spacing w:before="120"/>
              <w:rPr>
                <w:sz w:val="18"/>
                <w:szCs w:val="22"/>
              </w:rPr>
            </w:pPr>
          </w:p>
        </w:tc>
        <w:tc>
          <w:tcPr>
            <w:tcW w:w="5387" w:type="dxa"/>
            <w:tcBorders>
              <w:bottom w:val="single" w:sz="4" w:space="0" w:color="auto"/>
            </w:tcBorders>
            <w:shd w:val="clear" w:color="auto" w:fill="E6E6E6"/>
          </w:tcPr>
          <w:p w14:paraId="7A651A0E" w14:textId="77777777" w:rsidR="002264C9" w:rsidRPr="008E516B" w:rsidRDefault="002264C9" w:rsidP="0058696A">
            <w:pPr>
              <w:rPr>
                <w:sz w:val="18"/>
                <w:szCs w:val="22"/>
              </w:rPr>
            </w:pPr>
            <w:r w:rsidRPr="008E516B">
              <w:rPr>
                <w:sz w:val="18"/>
                <w:szCs w:val="22"/>
              </w:rPr>
              <w:t>Political and administrative decision-makers obtain and use updated environmental information to make environmental decisions</w:t>
            </w:r>
          </w:p>
        </w:tc>
        <w:tc>
          <w:tcPr>
            <w:tcW w:w="737" w:type="dxa"/>
            <w:tcBorders>
              <w:bottom w:val="single" w:sz="4" w:space="0" w:color="auto"/>
            </w:tcBorders>
            <w:vAlign w:val="center"/>
          </w:tcPr>
          <w:p w14:paraId="13A57915" w14:textId="77777777" w:rsidR="002264C9" w:rsidRPr="008E516B" w:rsidRDefault="002264C9" w:rsidP="0058696A">
            <w:pPr>
              <w:jc w:val="center"/>
              <w:rPr>
                <w:sz w:val="18"/>
                <w:szCs w:val="22"/>
              </w:rPr>
            </w:pPr>
            <w:r w:rsidRPr="008E516B">
              <w:rPr>
                <w:sz w:val="18"/>
                <w:szCs w:val="22"/>
              </w:rPr>
              <w:t>3</w:t>
            </w:r>
          </w:p>
        </w:tc>
        <w:tc>
          <w:tcPr>
            <w:tcW w:w="718" w:type="dxa"/>
            <w:vMerge/>
            <w:tcBorders>
              <w:bottom w:val="single" w:sz="4" w:space="0" w:color="auto"/>
            </w:tcBorders>
          </w:tcPr>
          <w:p w14:paraId="4E22E6FB" w14:textId="77777777" w:rsidR="002264C9" w:rsidRPr="008E516B" w:rsidRDefault="002264C9" w:rsidP="0058696A">
            <w:pPr>
              <w:spacing w:before="120"/>
              <w:rPr>
                <w:sz w:val="18"/>
                <w:szCs w:val="22"/>
              </w:rPr>
            </w:pPr>
          </w:p>
        </w:tc>
        <w:tc>
          <w:tcPr>
            <w:tcW w:w="808" w:type="dxa"/>
            <w:vMerge/>
            <w:tcBorders>
              <w:bottom w:val="single" w:sz="4" w:space="0" w:color="auto"/>
            </w:tcBorders>
            <w:vAlign w:val="center"/>
          </w:tcPr>
          <w:p w14:paraId="1C7CAD34" w14:textId="77777777" w:rsidR="002264C9" w:rsidRPr="009F382A" w:rsidRDefault="002264C9" w:rsidP="001C7AEA">
            <w:pPr>
              <w:spacing w:before="120"/>
              <w:jc w:val="center"/>
              <w:rPr>
                <w:b/>
                <w:sz w:val="18"/>
                <w:szCs w:val="22"/>
              </w:rPr>
            </w:pPr>
          </w:p>
        </w:tc>
        <w:tc>
          <w:tcPr>
            <w:tcW w:w="3686" w:type="dxa"/>
            <w:vMerge/>
            <w:tcBorders>
              <w:bottom w:val="single" w:sz="4" w:space="0" w:color="auto"/>
            </w:tcBorders>
          </w:tcPr>
          <w:p w14:paraId="2C04088C" w14:textId="33DF66EF" w:rsidR="002264C9" w:rsidRPr="008E516B" w:rsidRDefault="002264C9" w:rsidP="0058696A">
            <w:pPr>
              <w:spacing w:before="120"/>
              <w:rPr>
                <w:sz w:val="18"/>
                <w:szCs w:val="22"/>
              </w:rPr>
            </w:pPr>
          </w:p>
        </w:tc>
        <w:tc>
          <w:tcPr>
            <w:tcW w:w="1418" w:type="dxa"/>
            <w:vMerge/>
            <w:tcBorders>
              <w:bottom w:val="single" w:sz="4" w:space="0" w:color="auto"/>
            </w:tcBorders>
            <w:vAlign w:val="center"/>
          </w:tcPr>
          <w:p w14:paraId="79195D71" w14:textId="77777777" w:rsidR="002264C9" w:rsidRPr="00D43463" w:rsidRDefault="002264C9" w:rsidP="0058696A">
            <w:pPr>
              <w:spacing w:before="120"/>
              <w:jc w:val="center"/>
              <w:rPr>
                <w:b/>
                <w:sz w:val="18"/>
                <w:szCs w:val="22"/>
              </w:rPr>
            </w:pPr>
          </w:p>
        </w:tc>
      </w:tr>
      <w:tr w:rsidR="002264C9" w:rsidRPr="008E516B" w14:paraId="3E9325EE" w14:textId="77777777" w:rsidTr="00A34F87">
        <w:trPr>
          <w:trHeight w:val="454"/>
          <w:jc w:val="center"/>
        </w:trPr>
        <w:tc>
          <w:tcPr>
            <w:tcW w:w="8478" w:type="dxa"/>
            <w:gridSpan w:val="4"/>
            <w:tcBorders>
              <w:right w:val="nil"/>
            </w:tcBorders>
            <w:vAlign w:val="center"/>
          </w:tcPr>
          <w:p w14:paraId="4BA22C08" w14:textId="2930065C" w:rsidR="002264C9" w:rsidRPr="008E516B" w:rsidRDefault="002264C9" w:rsidP="001C7AEA">
            <w:pPr>
              <w:rPr>
                <w:sz w:val="18"/>
                <w:szCs w:val="22"/>
              </w:rPr>
            </w:pPr>
            <w:r w:rsidRPr="008E516B">
              <w:rPr>
                <w:b/>
                <w:color w:val="0000FF"/>
                <w:sz w:val="22"/>
                <w:szCs w:val="22"/>
              </w:rPr>
              <w:t>CR 4: Capacities for management and implementation</w:t>
            </w:r>
          </w:p>
        </w:tc>
        <w:tc>
          <w:tcPr>
            <w:tcW w:w="808" w:type="dxa"/>
            <w:tcBorders>
              <w:left w:val="nil"/>
              <w:right w:val="nil"/>
            </w:tcBorders>
            <w:vAlign w:val="center"/>
          </w:tcPr>
          <w:p w14:paraId="78D7C313" w14:textId="77777777" w:rsidR="002264C9" w:rsidRPr="009F382A" w:rsidRDefault="002264C9" w:rsidP="001C7AEA">
            <w:pPr>
              <w:spacing w:before="120"/>
              <w:jc w:val="center"/>
              <w:rPr>
                <w:b/>
                <w:sz w:val="18"/>
                <w:szCs w:val="22"/>
              </w:rPr>
            </w:pPr>
          </w:p>
        </w:tc>
        <w:tc>
          <w:tcPr>
            <w:tcW w:w="3686" w:type="dxa"/>
            <w:tcBorders>
              <w:left w:val="nil"/>
              <w:right w:val="nil"/>
            </w:tcBorders>
          </w:tcPr>
          <w:p w14:paraId="278016FC" w14:textId="760D5737" w:rsidR="002264C9" w:rsidRPr="008E516B" w:rsidRDefault="002264C9" w:rsidP="0058696A">
            <w:pPr>
              <w:spacing w:before="120"/>
              <w:rPr>
                <w:sz w:val="18"/>
                <w:szCs w:val="22"/>
              </w:rPr>
            </w:pPr>
          </w:p>
        </w:tc>
        <w:tc>
          <w:tcPr>
            <w:tcW w:w="1418" w:type="dxa"/>
            <w:tcBorders>
              <w:left w:val="nil"/>
            </w:tcBorders>
            <w:vAlign w:val="center"/>
          </w:tcPr>
          <w:p w14:paraId="79940510" w14:textId="77777777" w:rsidR="002264C9" w:rsidRPr="00D43463" w:rsidRDefault="002264C9" w:rsidP="0058696A">
            <w:pPr>
              <w:spacing w:before="120"/>
              <w:jc w:val="center"/>
              <w:rPr>
                <w:b/>
                <w:sz w:val="18"/>
                <w:szCs w:val="22"/>
              </w:rPr>
            </w:pPr>
          </w:p>
        </w:tc>
      </w:tr>
      <w:tr w:rsidR="002264C9" w:rsidRPr="008E516B" w14:paraId="04BE2E8E" w14:textId="77777777" w:rsidTr="00A34F87">
        <w:trPr>
          <w:jc w:val="center"/>
        </w:trPr>
        <w:tc>
          <w:tcPr>
            <w:tcW w:w="1636" w:type="dxa"/>
            <w:vMerge w:val="restart"/>
            <w:shd w:val="clear" w:color="auto" w:fill="E6E6E6"/>
          </w:tcPr>
          <w:p w14:paraId="2E2303B0" w14:textId="77777777" w:rsidR="002264C9" w:rsidRPr="008E516B" w:rsidRDefault="002264C9" w:rsidP="0058696A">
            <w:pPr>
              <w:rPr>
                <w:sz w:val="18"/>
                <w:szCs w:val="22"/>
              </w:rPr>
            </w:pPr>
            <w:r w:rsidRPr="008E516B">
              <w:rPr>
                <w:sz w:val="18"/>
                <w:szCs w:val="22"/>
              </w:rPr>
              <w:t>Indicator 12 – Existence and mobilization of resources</w:t>
            </w:r>
          </w:p>
        </w:tc>
        <w:tc>
          <w:tcPr>
            <w:tcW w:w="5387" w:type="dxa"/>
            <w:shd w:val="clear" w:color="auto" w:fill="E6E6E6"/>
          </w:tcPr>
          <w:p w14:paraId="105143D1" w14:textId="77777777" w:rsidR="002264C9" w:rsidRPr="008E516B" w:rsidRDefault="002264C9" w:rsidP="0058696A">
            <w:pPr>
              <w:rPr>
                <w:sz w:val="18"/>
                <w:szCs w:val="22"/>
              </w:rPr>
            </w:pPr>
            <w:r w:rsidRPr="008E516B">
              <w:rPr>
                <w:sz w:val="18"/>
                <w:szCs w:val="22"/>
              </w:rPr>
              <w:t>The environmental organizations don’t have adequate resources for their programmes and projects and the requirements have not been assessed</w:t>
            </w:r>
          </w:p>
        </w:tc>
        <w:tc>
          <w:tcPr>
            <w:tcW w:w="737" w:type="dxa"/>
            <w:vAlign w:val="center"/>
          </w:tcPr>
          <w:p w14:paraId="18A36A57"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50335509" w14:textId="6229431F" w:rsidR="002264C9" w:rsidRPr="008E516B" w:rsidRDefault="002264C9" w:rsidP="001C7AEA">
            <w:pPr>
              <w:jc w:val="center"/>
              <w:rPr>
                <w:sz w:val="18"/>
                <w:szCs w:val="22"/>
              </w:rPr>
            </w:pPr>
            <w:r w:rsidRPr="008E516B">
              <w:rPr>
                <w:b/>
                <w:sz w:val="18"/>
                <w:szCs w:val="22"/>
              </w:rPr>
              <w:t>2</w:t>
            </w:r>
          </w:p>
        </w:tc>
        <w:tc>
          <w:tcPr>
            <w:tcW w:w="808" w:type="dxa"/>
            <w:vMerge w:val="restart"/>
            <w:vAlign w:val="center"/>
          </w:tcPr>
          <w:p w14:paraId="7492C01A" w14:textId="56BC90C2" w:rsidR="002264C9" w:rsidRPr="009F382A" w:rsidRDefault="002264C9" w:rsidP="001C7AEA">
            <w:pPr>
              <w:jc w:val="center"/>
              <w:rPr>
                <w:b/>
                <w:sz w:val="18"/>
                <w:szCs w:val="22"/>
              </w:rPr>
            </w:pPr>
            <w:r>
              <w:rPr>
                <w:b/>
                <w:sz w:val="18"/>
                <w:szCs w:val="22"/>
              </w:rPr>
              <w:t>2</w:t>
            </w:r>
          </w:p>
        </w:tc>
        <w:tc>
          <w:tcPr>
            <w:tcW w:w="3686" w:type="dxa"/>
            <w:vMerge w:val="restart"/>
            <w:vAlign w:val="center"/>
          </w:tcPr>
          <w:p w14:paraId="53E5C753" w14:textId="1252E0AB" w:rsidR="002264C9" w:rsidRPr="008E516B" w:rsidRDefault="00D445A8" w:rsidP="004B1E0F">
            <w:pPr>
              <w:rPr>
                <w:sz w:val="18"/>
                <w:szCs w:val="22"/>
              </w:rPr>
            </w:pPr>
            <w:r>
              <w:rPr>
                <w:sz w:val="18"/>
                <w:szCs w:val="22"/>
              </w:rPr>
              <w:t>Reforming environment taxation is a way to improve financial resources to manage the environment</w:t>
            </w:r>
            <w:r w:rsidR="004B1E0F">
              <w:rPr>
                <w:sz w:val="18"/>
                <w:szCs w:val="22"/>
              </w:rPr>
              <w:t>. However, until these reforms are accepted and implemented, no change in the availability of resources is expected.</w:t>
            </w:r>
          </w:p>
        </w:tc>
        <w:tc>
          <w:tcPr>
            <w:tcW w:w="1418" w:type="dxa"/>
            <w:vMerge w:val="restart"/>
            <w:vAlign w:val="center"/>
          </w:tcPr>
          <w:p w14:paraId="51715B08" w14:textId="1081B852" w:rsidR="002264C9" w:rsidRPr="00D43463" w:rsidRDefault="004B1E0F" w:rsidP="0058696A">
            <w:pPr>
              <w:jc w:val="center"/>
              <w:rPr>
                <w:b/>
                <w:sz w:val="18"/>
                <w:szCs w:val="22"/>
              </w:rPr>
            </w:pPr>
            <w:r>
              <w:rPr>
                <w:b/>
                <w:sz w:val="18"/>
                <w:szCs w:val="22"/>
              </w:rPr>
              <w:t>1, 3</w:t>
            </w:r>
          </w:p>
        </w:tc>
      </w:tr>
      <w:tr w:rsidR="002264C9" w:rsidRPr="008E516B" w14:paraId="3F91829A" w14:textId="77777777" w:rsidTr="00A34F87">
        <w:trPr>
          <w:jc w:val="center"/>
        </w:trPr>
        <w:tc>
          <w:tcPr>
            <w:tcW w:w="1636" w:type="dxa"/>
            <w:vMerge/>
            <w:tcBorders>
              <w:bottom w:val="nil"/>
            </w:tcBorders>
            <w:shd w:val="clear" w:color="auto" w:fill="E6E6E6"/>
          </w:tcPr>
          <w:p w14:paraId="0F0CBF9A" w14:textId="77777777" w:rsidR="002264C9" w:rsidRPr="008E516B" w:rsidRDefault="002264C9" w:rsidP="0058696A">
            <w:pPr>
              <w:spacing w:before="120"/>
              <w:rPr>
                <w:sz w:val="18"/>
                <w:szCs w:val="22"/>
              </w:rPr>
            </w:pPr>
          </w:p>
        </w:tc>
        <w:tc>
          <w:tcPr>
            <w:tcW w:w="5387" w:type="dxa"/>
            <w:shd w:val="clear" w:color="auto" w:fill="E6E6E6"/>
          </w:tcPr>
          <w:p w14:paraId="771F2B64" w14:textId="77777777" w:rsidR="002264C9" w:rsidRPr="008E516B" w:rsidRDefault="002264C9" w:rsidP="0058696A">
            <w:pPr>
              <w:rPr>
                <w:sz w:val="18"/>
                <w:szCs w:val="22"/>
              </w:rPr>
            </w:pPr>
            <w:r w:rsidRPr="008E516B">
              <w:rPr>
                <w:sz w:val="18"/>
                <w:szCs w:val="22"/>
              </w:rPr>
              <w:t>The resource requirements are known but are not being addressed</w:t>
            </w:r>
          </w:p>
        </w:tc>
        <w:tc>
          <w:tcPr>
            <w:tcW w:w="737" w:type="dxa"/>
            <w:vAlign w:val="center"/>
          </w:tcPr>
          <w:p w14:paraId="01D0A13B" w14:textId="77777777" w:rsidR="002264C9" w:rsidRPr="008E516B" w:rsidRDefault="002264C9" w:rsidP="0058696A">
            <w:pPr>
              <w:jc w:val="center"/>
              <w:rPr>
                <w:sz w:val="18"/>
                <w:szCs w:val="22"/>
              </w:rPr>
            </w:pPr>
            <w:r w:rsidRPr="008E516B">
              <w:rPr>
                <w:sz w:val="18"/>
                <w:szCs w:val="22"/>
              </w:rPr>
              <w:t>1</w:t>
            </w:r>
          </w:p>
        </w:tc>
        <w:tc>
          <w:tcPr>
            <w:tcW w:w="718" w:type="dxa"/>
            <w:vMerge/>
          </w:tcPr>
          <w:p w14:paraId="3BC5F853" w14:textId="4AF633AD" w:rsidR="002264C9" w:rsidRPr="008E516B" w:rsidRDefault="002264C9" w:rsidP="0058696A">
            <w:pPr>
              <w:jc w:val="center"/>
              <w:rPr>
                <w:sz w:val="18"/>
                <w:szCs w:val="22"/>
              </w:rPr>
            </w:pPr>
          </w:p>
        </w:tc>
        <w:tc>
          <w:tcPr>
            <w:tcW w:w="808" w:type="dxa"/>
            <w:vMerge/>
            <w:vAlign w:val="center"/>
          </w:tcPr>
          <w:p w14:paraId="113CC342" w14:textId="77777777" w:rsidR="002264C9" w:rsidRPr="009F382A" w:rsidRDefault="002264C9" w:rsidP="001C7AEA">
            <w:pPr>
              <w:spacing w:before="120"/>
              <w:jc w:val="center"/>
              <w:rPr>
                <w:b/>
                <w:sz w:val="18"/>
                <w:szCs w:val="22"/>
              </w:rPr>
            </w:pPr>
          </w:p>
        </w:tc>
        <w:tc>
          <w:tcPr>
            <w:tcW w:w="3686" w:type="dxa"/>
            <w:vMerge/>
          </w:tcPr>
          <w:p w14:paraId="34D46238" w14:textId="3CE0A593" w:rsidR="002264C9" w:rsidRPr="008E516B" w:rsidRDefault="002264C9" w:rsidP="0058696A">
            <w:pPr>
              <w:spacing w:before="120"/>
              <w:rPr>
                <w:sz w:val="18"/>
                <w:szCs w:val="22"/>
              </w:rPr>
            </w:pPr>
          </w:p>
        </w:tc>
        <w:tc>
          <w:tcPr>
            <w:tcW w:w="1418" w:type="dxa"/>
            <w:vMerge/>
            <w:vAlign w:val="center"/>
          </w:tcPr>
          <w:p w14:paraId="7DB5B945" w14:textId="77777777" w:rsidR="002264C9" w:rsidRPr="00D43463" w:rsidRDefault="002264C9" w:rsidP="0058696A">
            <w:pPr>
              <w:spacing w:before="120"/>
              <w:jc w:val="center"/>
              <w:rPr>
                <w:b/>
                <w:sz w:val="18"/>
                <w:szCs w:val="22"/>
              </w:rPr>
            </w:pPr>
          </w:p>
        </w:tc>
      </w:tr>
      <w:tr w:rsidR="002264C9" w:rsidRPr="008E516B" w14:paraId="253AC1BF" w14:textId="77777777" w:rsidTr="00A34F87">
        <w:trPr>
          <w:jc w:val="center"/>
        </w:trPr>
        <w:tc>
          <w:tcPr>
            <w:tcW w:w="1636" w:type="dxa"/>
            <w:tcBorders>
              <w:top w:val="nil"/>
              <w:bottom w:val="nil"/>
            </w:tcBorders>
            <w:shd w:val="clear" w:color="auto" w:fill="E6E6E6"/>
          </w:tcPr>
          <w:p w14:paraId="4C4C3592" w14:textId="77777777" w:rsidR="002264C9" w:rsidRPr="008E516B" w:rsidRDefault="002264C9" w:rsidP="0058696A">
            <w:pPr>
              <w:spacing w:before="120"/>
              <w:rPr>
                <w:sz w:val="18"/>
                <w:szCs w:val="22"/>
              </w:rPr>
            </w:pPr>
          </w:p>
        </w:tc>
        <w:tc>
          <w:tcPr>
            <w:tcW w:w="5387" w:type="dxa"/>
            <w:shd w:val="clear" w:color="auto" w:fill="E6E6E6"/>
          </w:tcPr>
          <w:p w14:paraId="22B003E6" w14:textId="77777777" w:rsidR="002264C9" w:rsidRPr="008E516B" w:rsidRDefault="002264C9" w:rsidP="0058696A">
            <w:pPr>
              <w:rPr>
                <w:sz w:val="18"/>
                <w:szCs w:val="22"/>
              </w:rPr>
            </w:pPr>
            <w:r w:rsidRPr="008E516B">
              <w:rPr>
                <w:sz w:val="18"/>
                <w:szCs w:val="22"/>
              </w:rPr>
              <w:t>The funding sources for these resource requirements are partially identified and the resource requirements are partially addressed</w:t>
            </w:r>
          </w:p>
        </w:tc>
        <w:tc>
          <w:tcPr>
            <w:tcW w:w="737" w:type="dxa"/>
            <w:vAlign w:val="center"/>
          </w:tcPr>
          <w:p w14:paraId="55924A92" w14:textId="77777777" w:rsidR="002264C9" w:rsidRPr="008E516B" w:rsidRDefault="002264C9" w:rsidP="0058696A">
            <w:pPr>
              <w:jc w:val="center"/>
              <w:rPr>
                <w:sz w:val="18"/>
                <w:szCs w:val="22"/>
              </w:rPr>
            </w:pPr>
            <w:r w:rsidRPr="008E516B">
              <w:rPr>
                <w:sz w:val="18"/>
                <w:szCs w:val="22"/>
              </w:rPr>
              <w:t>2</w:t>
            </w:r>
          </w:p>
        </w:tc>
        <w:tc>
          <w:tcPr>
            <w:tcW w:w="718" w:type="dxa"/>
            <w:vMerge/>
            <w:vAlign w:val="center"/>
          </w:tcPr>
          <w:p w14:paraId="6843AFD5" w14:textId="317436D4" w:rsidR="002264C9" w:rsidRPr="008E516B" w:rsidRDefault="002264C9" w:rsidP="0058696A">
            <w:pPr>
              <w:jc w:val="center"/>
              <w:rPr>
                <w:b/>
                <w:sz w:val="18"/>
                <w:szCs w:val="22"/>
              </w:rPr>
            </w:pPr>
          </w:p>
        </w:tc>
        <w:tc>
          <w:tcPr>
            <w:tcW w:w="808" w:type="dxa"/>
            <w:vMerge/>
            <w:vAlign w:val="center"/>
          </w:tcPr>
          <w:p w14:paraId="310CAB6C" w14:textId="77777777" w:rsidR="002264C9" w:rsidRPr="009F382A" w:rsidRDefault="002264C9" w:rsidP="001C7AEA">
            <w:pPr>
              <w:spacing w:before="120"/>
              <w:jc w:val="center"/>
              <w:rPr>
                <w:b/>
                <w:sz w:val="18"/>
                <w:szCs w:val="22"/>
              </w:rPr>
            </w:pPr>
          </w:p>
        </w:tc>
        <w:tc>
          <w:tcPr>
            <w:tcW w:w="3686" w:type="dxa"/>
            <w:vMerge/>
          </w:tcPr>
          <w:p w14:paraId="07BD74B2" w14:textId="631B800F" w:rsidR="002264C9" w:rsidRPr="008E516B" w:rsidRDefault="002264C9" w:rsidP="0058696A">
            <w:pPr>
              <w:spacing w:before="120"/>
              <w:rPr>
                <w:sz w:val="18"/>
                <w:szCs w:val="22"/>
              </w:rPr>
            </w:pPr>
          </w:p>
        </w:tc>
        <w:tc>
          <w:tcPr>
            <w:tcW w:w="1418" w:type="dxa"/>
            <w:vMerge/>
            <w:vAlign w:val="center"/>
          </w:tcPr>
          <w:p w14:paraId="4DED574B" w14:textId="77777777" w:rsidR="002264C9" w:rsidRPr="00D43463" w:rsidRDefault="002264C9" w:rsidP="0058696A">
            <w:pPr>
              <w:spacing w:before="120"/>
              <w:jc w:val="center"/>
              <w:rPr>
                <w:b/>
                <w:sz w:val="18"/>
                <w:szCs w:val="22"/>
              </w:rPr>
            </w:pPr>
          </w:p>
        </w:tc>
      </w:tr>
      <w:tr w:rsidR="002264C9" w:rsidRPr="008E516B" w14:paraId="55B4F001" w14:textId="77777777" w:rsidTr="00A34F87">
        <w:trPr>
          <w:jc w:val="center"/>
        </w:trPr>
        <w:tc>
          <w:tcPr>
            <w:tcW w:w="1636" w:type="dxa"/>
            <w:tcBorders>
              <w:top w:val="nil"/>
              <w:bottom w:val="single" w:sz="4" w:space="0" w:color="auto"/>
            </w:tcBorders>
            <w:shd w:val="clear" w:color="auto" w:fill="E6E6E6"/>
          </w:tcPr>
          <w:p w14:paraId="5A278CA2" w14:textId="77777777" w:rsidR="002264C9" w:rsidRPr="008E516B" w:rsidRDefault="002264C9" w:rsidP="0058696A">
            <w:pPr>
              <w:spacing w:before="120"/>
              <w:rPr>
                <w:sz w:val="18"/>
                <w:szCs w:val="22"/>
              </w:rPr>
            </w:pPr>
          </w:p>
        </w:tc>
        <w:tc>
          <w:tcPr>
            <w:tcW w:w="5387" w:type="dxa"/>
            <w:shd w:val="clear" w:color="auto" w:fill="E6E6E6"/>
          </w:tcPr>
          <w:p w14:paraId="3A4B114C" w14:textId="77777777" w:rsidR="002264C9" w:rsidRPr="008E516B" w:rsidRDefault="002264C9" w:rsidP="0058696A">
            <w:pPr>
              <w:rPr>
                <w:sz w:val="18"/>
                <w:szCs w:val="22"/>
              </w:rPr>
            </w:pPr>
            <w:r w:rsidRPr="008E516B">
              <w:rPr>
                <w:sz w:val="18"/>
                <w:szCs w:val="22"/>
              </w:rPr>
              <w:t>Adequate resources are mobilized and available for the functioning of the lead environmental organizations</w:t>
            </w:r>
          </w:p>
        </w:tc>
        <w:tc>
          <w:tcPr>
            <w:tcW w:w="737" w:type="dxa"/>
            <w:vAlign w:val="center"/>
          </w:tcPr>
          <w:p w14:paraId="6CE36068" w14:textId="77777777" w:rsidR="002264C9" w:rsidRPr="008E516B" w:rsidRDefault="002264C9" w:rsidP="0058696A">
            <w:pPr>
              <w:jc w:val="center"/>
              <w:rPr>
                <w:sz w:val="18"/>
                <w:szCs w:val="22"/>
              </w:rPr>
            </w:pPr>
            <w:r w:rsidRPr="008E516B">
              <w:rPr>
                <w:sz w:val="18"/>
                <w:szCs w:val="22"/>
              </w:rPr>
              <w:t>3</w:t>
            </w:r>
          </w:p>
        </w:tc>
        <w:tc>
          <w:tcPr>
            <w:tcW w:w="718" w:type="dxa"/>
            <w:vMerge/>
          </w:tcPr>
          <w:p w14:paraId="69F660C7" w14:textId="77777777" w:rsidR="002264C9" w:rsidRPr="008E516B" w:rsidRDefault="002264C9" w:rsidP="0058696A">
            <w:pPr>
              <w:spacing w:before="120"/>
              <w:rPr>
                <w:sz w:val="18"/>
                <w:szCs w:val="22"/>
              </w:rPr>
            </w:pPr>
          </w:p>
        </w:tc>
        <w:tc>
          <w:tcPr>
            <w:tcW w:w="808" w:type="dxa"/>
            <w:vMerge/>
            <w:vAlign w:val="center"/>
          </w:tcPr>
          <w:p w14:paraId="34AAA384" w14:textId="77777777" w:rsidR="002264C9" w:rsidRPr="009F382A" w:rsidRDefault="002264C9" w:rsidP="001C7AEA">
            <w:pPr>
              <w:spacing w:before="120"/>
              <w:jc w:val="center"/>
              <w:rPr>
                <w:b/>
                <w:sz w:val="18"/>
                <w:szCs w:val="22"/>
              </w:rPr>
            </w:pPr>
          </w:p>
        </w:tc>
        <w:tc>
          <w:tcPr>
            <w:tcW w:w="3686" w:type="dxa"/>
            <w:vMerge/>
          </w:tcPr>
          <w:p w14:paraId="2BEB9AD2" w14:textId="4E191E42" w:rsidR="002264C9" w:rsidRPr="008E516B" w:rsidRDefault="002264C9" w:rsidP="0058696A">
            <w:pPr>
              <w:spacing w:before="120"/>
              <w:rPr>
                <w:sz w:val="18"/>
                <w:szCs w:val="22"/>
              </w:rPr>
            </w:pPr>
          </w:p>
        </w:tc>
        <w:tc>
          <w:tcPr>
            <w:tcW w:w="1418" w:type="dxa"/>
            <w:vMerge/>
            <w:vAlign w:val="center"/>
          </w:tcPr>
          <w:p w14:paraId="5D81C023" w14:textId="77777777" w:rsidR="002264C9" w:rsidRPr="00D43463" w:rsidRDefault="002264C9" w:rsidP="0058696A">
            <w:pPr>
              <w:spacing w:before="120"/>
              <w:jc w:val="center"/>
              <w:rPr>
                <w:b/>
                <w:sz w:val="18"/>
                <w:szCs w:val="22"/>
              </w:rPr>
            </w:pPr>
          </w:p>
        </w:tc>
      </w:tr>
      <w:tr w:rsidR="002264C9" w:rsidRPr="008E516B" w14:paraId="3071BC73" w14:textId="77777777" w:rsidTr="00A34F87">
        <w:trPr>
          <w:jc w:val="center"/>
        </w:trPr>
        <w:tc>
          <w:tcPr>
            <w:tcW w:w="1636" w:type="dxa"/>
            <w:vMerge w:val="restart"/>
            <w:shd w:val="clear" w:color="auto" w:fill="E6E6E6"/>
          </w:tcPr>
          <w:p w14:paraId="196848C8" w14:textId="77777777" w:rsidR="002264C9" w:rsidRPr="008E516B" w:rsidRDefault="002264C9" w:rsidP="0058696A">
            <w:pPr>
              <w:rPr>
                <w:sz w:val="18"/>
                <w:szCs w:val="22"/>
              </w:rPr>
            </w:pPr>
            <w:r w:rsidRPr="008E516B">
              <w:rPr>
                <w:sz w:val="18"/>
                <w:szCs w:val="22"/>
              </w:rPr>
              <w:t>Indicator 13 – Availability of required technical skills and technology transfer</w:t>
            </w:r>
          </w:p>
        </w:tc>
        <w:tc>
          <w:tcPr>
            <w:tcW w:w="5387" w:type="dxa"/>
            <w:shd w:val="clear" w:color="auto" w:fill="E6E6E6"/>
          </w:tcPr>
          <w:p w14:paraId="50BCE225" w14:textId="77777777" w:rsidR="002264C9" w:rsidRPr="008E516B" w:rsidRDefault="002264C9" w:rsidP="0058696A">
            <w:pPr>
              <w:rPr>
                <w:sz w:val="18"/>
                <w:szCs w:val="22"/>
              </w:rPr>
            </w:pPr>
            <w:r w:rsidRPr="008E516B">
              <w:rPr>
                <w:sz w:val="18"/>
                <w:szCs w:val="22"/>
              </w:rPr>
              <w:t>The necessary required skills and technology are not available and the needs are not identified</w:t>
            </w:r>
          </w:p>
        </w:tc>
        <w:tc>
          <w:tcPr>
            <w:tcW w:w="737" w:type="dxa"/>
            <w:vAlign w:val="center"/>
          </w:tcPr>
          <w:p w14:paraId="793C75D6"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1F818F20" w14:textId="3E56B80C" w:rsidR="002264C9" w:rsidRPr="008E516B" w:rsidRDefault="002264C9" w:rsidP="001C7AEA">
            <w:pPr>
              <w:jc w:val="center"/>
              <w:rPr>
                <w:sz w:val="18"/>
                <w:szCs w:val="22"/>
              </w:rPr>
            </w:pPr>
            <w:r>
              <w:rPr>
                <w:b/>
                <w:sz w:val="18"/>
                <w:szCs w:val="22"/>
              </w:rPr>
              <w:t>0</w:t>
            </w:r>
          </w:p>
        </w:tc>
        <w:tc>
          <w:tcPr>
            <w:tcW w:w="808" w:type="dxa"/>
            <w:vMerge w:val="restart"/>
            <w:vAlign w:val="center"/>
          </w:tcPr>
          <w:p w14:paraId="3F95D169" w14:textId="1B0A5738" w:rsidR="002264C9" w:rsidRPr="009F382A" w:rsidRDefault="002264C9" w:rsidP="001C7AEA">
            <w:pPr>
              <w:jc w:val="center"/>
              <w:rPr>
                <w:b/>
                <w:sz w:val="18"/>
                <w:szCs w:val="22"/>
              </w:rPr>
            </w:pPr>
            <w:r>
              <w:rPr>
                <w:b/>
                <w:sz w:val="18"/>
                <w:szCs w:val="22"/>
              </w:rPr>
              <w:t>2</w:t>
            </w:r>
          </w:p>
        </w:tc>
        <w:tc>
          <w:tcPr>
            <w:tcW w:w="3686" w:type="dxa"/>
            <w:vMerge w:val="restart"/>
            <w:vAlign w:val="center"/>
          </w:tcPr>
          <w:p w14:paraId="485C862E" w14:textId="01491D0C" w:rsidR="002264C9" w:rsidRPr="008E516B" w:rsidRDefault="004B1E0F" w:rsidP="004B1E0F">
            <w:pPr>
              <w:rPr>
                <w:sz w:val="18"/>
                <w:szCs w:val="22"/>
              </w:rPr>
            </w:pPr>
            <w:r>
              <w:rPr>
                <w:sz w:val="18"/>
                <w:szCs w:val="22"/>
              </w:rPr>
              <w:t>The project supported the access to skills and knowledge. However, this access still depends on external financial sources as no additional resources are expected to be mobilized in the short-term.</w:t>
            </w:r>
          </w:p>
        </w:tc>
        <w:tc>
          <w:tcPr>
            <w:tcW w:w="1418" w:type="dxa"/>
            <w:vMerge w:val="restart"/>
            <w:vAlign w:val="center"/>
          </w:tcPr>
          <w:p w14:paraId="7BC42FFB" w14:textId="2CBD941E" w:rsidR="002264C9" w:rsidRPr="00D43463" w:rsidRDefault="004B1E0F" w:rsidP="0058696A">
            <w:pPr>
              <w:jc w:val="center"/>
              <w:rPr>
                <w:b/>
                <w:sz w:val="18"/>
                <w:szCs w:val="22"/>
              </w:rPr>
            </w:pPr>
            <w:r>
              <w:rPr>
                <w:b/>
                <w:sz w:val="18"/>
                <w:szCs w:val="22"/>
              </w:rPr>
              <w:t>1, 2, 3</w:t>
            </w:r>
          </w:p>
        </w:tc>
      </w:tr>
      <w:tr w:rsidR="002264C9" w:rsidRPr="008E516B" w14:paraId="7435C022" w14:textId="77777777" w:rsidTr="00A34F87">
        <w:trPr>
          <w:jc w:val="center"/>
        </w:trPr>
        <w:tc>
          <w:tcPr>
            <w:tcW w:w="1636" w:type="dxa"/>
            <w:vMerge/>
            <w:shd w:val="clear" w:color="auto" w:fill="E6E6E6"/>
          </w:tcPr>
          <w:p w14:paraId="165762D1" w14:textId="77777777" w:rsidR="002264C9" w:rsidRPr="008E516B" w:rsidRDefault="002264C9" w:rsidP="0058696A">
            <w:pPr>
              <w:spacing w:before="120"/>
              <w:rPr>
                <w:sz w:val="18"/>
                <w:szCs w:val="22"/>
              </w:rPr>
            </w:pPr>
          </w:p>
        </w:tc>
        <w:tc>
          <w:tcPr>
            <w:tcW w:w="5387" w:type="dxa"/>
            <w:shd w:val="clear" w:color="auto" w:fill="E6E6E6"/>
          </w:tcPr>
          <w:p w14:paraId="3176BA01" w14:textId="77777777" w:rsidR="002264C9" w:rsidRPr="008E516B" w:rsidRDefault="002264C9" w:rsidP="0058696A">
            <w:pPr>
              <w:rPr>
                <w:sz w:val="18"/>
                <w:szCs w:val="22"/>
              </w:rPr>
            </w:pPr>
            <w:r w:rsidRPr="008E516B">
              <w:rPr>
                <w:sz w:val="18"/>
                <w:szCs w:val="22"/>
              </w:rPr>
              <w:t>The required skills and technologies needs are identified as well as their sources</w:t>
            </w:r>
          </w:p>
        </w:tc>
        <w:tc>
          <w:tcPr>
            <w:tcW w:w="737" w:type="dxa"/>
            <w:vAlign w:val="center"/>
          </w:tcPr>
          <w:p w14:paraId="32CA762E"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1C2496EF" w14:textId="3A2BD352" w:rsidR="002264C9" w:rsidRPr="008E516B" w:rsidRDefault="002264C9" w:rsidP="0058696A">
            <w:pPr>
              <w:jc w:val="center"/>
              <w:rPr>
                <w:b/>
                <w:sz w:val="18"/>
                <w:szCs w:val="22"/>
              </w:rPr>
            </w:pPr>
          </w:p>
        </w:tc>
        <w:tc>
          <w:tcPr>
            <w:tcW w:w="808" w:type="dxa"/>
            <w:vMerge/>
            <w:vAlign w:val="center"/>
          </w:tcPr>
          <w:p w14:paraId="27A9C5DA" w14:textId="77777777" w:rsidR="002264C9" w:rsidRPr="009F382A" w:rsidRDefault="002264C9" w:rsidP="001C7AEA">
            <w:pPr>
              <w:spacing w:before="120"/>
              <w:jc w:val="center"/>
              <w:rPr>
                <w:b/>
                <w:sz w:val="18"/>
                <w:szCs w:val="22"/>
              </w:rPr>
            </w:pPr>
          </w:p>
        </w:tc>
        <w:tc>
          <w:tcPr>
            <w:tcW w:w="3686" w:type="dxa"/>
            <w:vMerge/>
          </w:tcPr>
          <w:p w14:paraId="42BF0898" w14:textId="718F75DE" w:rsidR="002264C9" w:rsidRPr="008E516B" w:rsidRDefault="002264C9" w:rsidP="0058696A">
            <w:pPr>
              <w:spacing w:before="120"/>
              <w:rPr>
                <w:sz w:val="18"/>
                <w:szCs w:val="22"/>
              </w:rPr>
            </w:pPr>
          </w:p>
        </w:tc>
        <w:tc>
          <w:tcPr>
            <w:tcW w:w="1418" w:type="dxa"/>
            <w:vMerge/>
            <w:vAlign w:val="center"/>
          </w:tcPr>
          <w:p w14:paraId="2A0DF326" w14:textId="77777777" w:rsidR="002264C9" w:rsidRPr="00D43463" w:rsidRDefault="002264C9" w:rsidP="0058696A">
            <w:pPr>
              <w:spacing w:before="120"/>
              <w:jc w:val="center"/>
              <w:rPr>
                <w:b/>
                <w:sz w:val="18"/>
                <w:szCs w:val="22"/>
              </w:rPr>
            </w:pPr>
          </w:p>
        </w:tc>
      </w:tr>
      <w:tr w:rsidR="002264C9" w:rsidRPr="008E516B" w14:paraId="1D6F7E70" w14:textId="77777777" w:rsidTr="00A34F87">
        <w:trPr>
          <w:jc w:val="center"/>
        </w:trPr>
        <w:tc>
          <w:tcPr>
            <w:tcW w:w="1636" w:type="dxa"/>
            <w:vMerge/>
            <w:tcBorders>
              <w:bottom w:val="nil"/>
            </w:tcBorders>
            <w:shd w:val="clear" w:color="auto" w:fill="E6E6E6"/>
          </w:tcPr>
          <w:p w14:paraId="4D18D58E" w14:textId="77777777" w:rsidR="002264C9" w:rsidRPr="008E516B" w:rsidRDefault="002264C9" w:rsidP="0058696A">
            <w:pPr>
              <w:spacing w:before="120"/>
              <w:rPr>
                <w:sz w:val="18"/>
                <w:szCs w:val="22"/>
              </w:rPr>
            </w:pPr>
          </w:p>
        </w:tc>
        <w:tc>
          <w:tcPr>
            <w:tcW w:w="5387" w:type="dxa"/>
            <w:shd w:val="clear" w:color="auto" w:fill="E6E6E6"/>
          </w:tcPr>
          <w:p w14:paraId="4CC59681" w14:textId="77777777" w:rsidR="002264C9" w:rsidRPr="008E516B" w:rsidRDefault="002264C9" w:rsidP="0058696A">
            <w:pPr>
              <w:rPr>
                <w:sz w:val="18"/>
                <w:szCs w:val="22"/>
              </w:rPr>
            </w:pPr>
            <w:r w:rsidRPr="008E516B">
              <w:rPr>
                <w:sz w:val="18"/>
                <w:szCs w:val="22"/>
              </w:rPr>
              <w:t>The required skills and technologies are obtained but their access depend on foreign sources</w:t>
            </w:r>
          </w:p>
        </w:tc>
        <w:tc>
          <w:tcPr>
            <w:tcW w:w="737" w:type="dxa"/>
            <w:vAlign w:val="center"/>
          </w:tcPr>
          <w:p w14:paraId="532BBE9C" w14:textId="77777777" w:rsidR="002264C9" w:rsidRPr="008E516B" w:rsidRDefault="002264C9" w:rsidP="0058696A">
            <w:pPr>
              <w:jc w:val="center"/>
              <w:rPr>
                <w:sz w:val="18"/>
                <w:szCs w:val="22"/>
              </w:rPr>
            </w:pPr>
            <w:r w:rsidRPr="008E516B">
              <w:rPr>
                <w:sz w:val="18"/>
                <w:szCs w:val="22"/>
              </w:rPr>
              <w:t>2</w:t>
            </w:r>
          </w:p>
        </w:tc>
        <w:tc>
          <w:tcPr>
            <w:tcW w:w="718" w:type="dxa"/>
            <w:vMerge/>
          </w:tcPr>
          <w:p w14:paraId="503C4827" w14:textId="77777777" w:rsidR="002264C9" w:rsidRPr="008E516B" w:rsidRDefault="002264C9" w:rsidP="0058696A">
            <w:pPr>
              <w:spacing w:before="120"/>
              <w:rPr>
                <w:sz w:val="18"/>
                <w:szCs w:val="22"/>
              </w:rPr>
            </w:pPr>
          </w:p>
        </w:tc>
        <w:tc>
          <w:tcPr>
            <w:tcW w:w="808" w:type="dxa"/>
            <w:vMerge/>
            <w:vAlign w:val="center"/>
          </w:tcPr>
          <w:p w14:paraId="30DBB6E9" w14:textId="77777777" w:rsidR="002264C9" w:rsidRPr="009F382A" w:rsidRDefault="002264C9" w:rsidP="001C7AEA">
            <w:pPr>
              <w:spacing w:before="120"/>
              <w:jc w:val="center"/>
              <w:rPr>
                <w:b/>
                <w:sz w:val="18"/>
                <w:szCs w:val="22"/>
              </w:rPr>
            </w:pPr>
          </w:p>
        </w:tc>
        <w:tc>
          <w:tcPr>
            <w:tcW w:w="3686" w:type="dxa"/>
            <w:vMerge/>
          </w:tcPr>
          <w:p w14:paraId="33A8E612" w14:textId="37180DF1" w:rsidR="002264C9" w:rsidRPr="008E516B" w:rsidRDefault="002264C9" w:rsidP="0058696A">
            <w:pPr>
              <w:spacing w:before="120"/>
              <w:rPr>
                <w:sz w:val="18"/>
                <w:szCs w:val="22"/>
              </w:rPr>
            </w:pPr>
          </w:p>
        </w:tc>
        <w:tc>
          <w:tcPr>
            <w:tcW w:w="1418" w:type="dxa"/>
            <w:vMerge/>
            <w:vAlign w:val="center"/>
          </w:tcPr>
          <w:p w14:paraId="1A21CAD8" w14:textId="77777777" w:rsidR="002264C9" w:rsidRPr="00D43463" w:rsidRDefault="002264C9" w:rsidP="0058696A">
            <w:pPr>
              <w:spacing w:before="120"/>
              <w:jc w:val="center"/>
              <w:rPr>
                <w:b/>
                <w:sz w:val="18"/>
                <w:szCs w:val="22"/>
              </w:rPr>
            </w:pPr>
          </w:p>
        </w:tc>
      </w:tr>
      <w:tr w:rsidR="002264C9" w:rsidRPr="008E516B" w14:paraId="6AE68B50" w14:textId="77777777" w:rsidTr="00A34F87">
        <w:trPr>
          <w:jc w:val="center"/>
        </w:trPr>
        <w:tc>
          <w:tcPr>
            <w:tcW w:w="1636" w:type="dxa"/>
            <w:tcBorders>
              <w:top w:val="nil"/>
              <w:bottom w:val="single" w:sz="4" w:space="0" w:color="auto"/>
            </w:tcBorders>
            <w:shd w:val="clear" w:color="auto" w:fill="E6E6E6"/>
          </w:tcPr>
          <w:p w14:paraId="59524A7B" w14:textId="77777777" w:rsidR="002264C9" w:rsidRPr="008E516B" w:rsidRDefault="002264C9" w:rsidP="0058696A">
            <w:pPr>
              <w:spacing w:before="120"/>
              <w:rPr>
                <w:sz w:val="18"/>
                <w:szCs w:val="22"/>
              </w:rPr>
            </w:pPr>
          </w:p>
        </w:tc>
        <w:tc>
          <w:tcPr>
            <w:tcW w:w="5387" w:type="dxa"/>
            <w:tcBorders>
              <w:bottom w:val="single" w:sz="4" w:space="0" w:color="auto"/>
            </w:tcBorders>
            <w:shd w:val="clear" w:color="auto" w:fill="E6E6E6"/>
          </w:tcPr>
          <w:p w14:paraId="45002893" w14:textId="77777777" w:rsidR="002264C9" w:rsidRPr="008E516B" w:rsidRDefault="002264C9" w:rsidP="0058696A">
            <w:pPr>
              <w:rPr>
                <w:sz w:val="18"/>
                <w:szCs w:val="22"/>
              </w:rPr>
            </w:pPr>
            <w:r w:rsidRPr="008E516B">
              <w:rPr>
                <w:sz w:val="18"/>
                <w:szCs w:val="22"/>
              </w:rPr>
              <w:t>The required skills and technologies are available and there is a national-based mechanism for updating the required skills and for upgrading the technologies</w:t>
            </w:r>
          </w:p>
        </w:tc>
        <w:tc>
          <w:tcPr>
            <w:tcW w:w="737" w:type="dxa"/>
            <w:tcBorders>
              <w:bottom w:val="single" w:sz="4" w:space="0" w:color="auto"/>
            </w:tcBorders>
            <w:vAlign w:val="center"/>
          </w:tcPr>
          <w:p w14:paraId="32216BB7" w14:textId="77777777" w:rsidR="002264C9" w:rsidRPr="008E516B" w:rsidRDefault="002264C9" w:rsidP="0058696A">
            <w:pPr>
              <w:jc w:val="center"/>
              <w:rPr>
                <w:sz w:val="18"/>
                <w:szCs w:val="22"/>
              </w:rPr>
            </w:pPr>
            <w:r w:rsidRPr="008E516B">
              <w:rPr>
                <w:sz w:val="18"/>
                <w:szCs w:val="22"/>
              </w:rPr>
              <w:t>3</w:t>
            </w:r>
          </w:p>
        </w:tc>
        <w:tc>
          <w:tcPr>
            <w:tcW w:w="718" w:type="dxa"/>
            <w:vMerge/>
            <w:tcBorders>
              <w:bottom w:val="single" w:sz="4" w:space="0" w:color="auto"/>
            </w:tcBorders>
          </w:tcPr>
          <w:p w14:paraId="472E1CED" w14:textId="77777777" w:rsidR="002264C9" w:rsidRPr="008E516B" w:rsidRDefault="002264C9" w:rsidP="0058696A">
            <w:pPr>
              <w:spacing w:before="120"/>
              <w:rPr>
                <w:sz w:val="18"/>
                <w:szCs w:val="22"/>
              </w:rPr>
            </w:pPr>
          </w:p>
        </w:tc>
        <w:tc>
          <w:tcPr>
            <w:tcW w:w="808" w:type="dxa"/>
            <w:vMerge/>
            <w:tcBorders>
              <w:bottom w:val="single" w:sz="4" w:space="0" w:color="auto"/>
            </w:tcBorders>
            <w:vAlign w:val="center"/>
          </w:tcPr>
          <w:p w14:paraId="6C15DBE0" w14:textId="77777777" w:rsidR="002264C9" w:rsidRPr="009F382A" w:rsidRDefault="002264C9" w:rsidP="001C7AEA">
            <w:pPr>
              <w:spacing w:before="120"/>
              <w:jc w:val="center"/>
              <w:rPr>
                <w:b/>
                <w:sz w:val="18"/>
                <w:szCs w:val="22"/>
              </w:rPr>
            </w:pPr>
          </w:p>
        </w:tc>
        <w:tc>
          <w:tcPr>
            <w:tcW w:w="3686" w:type="dxa"/>
            <w:vMerge/>
            <w:tcBorders>
              <w:bottom w:val="single" w:sz="4" w:space="0" w:color="auto"/>
            </w:tcBorders>
          </w:tcPr>
          <w:p w14:paraId="4F189AF2" w14:textId="7804D2BF" w:rsidR="002264C9" w:rsidRPr="008E516B" w:rsidRDefault="002264C9" w:rsidP="0058696A">
            <w:pPr>
              <w:spacing w:before="120"/>
              <w:rPr>
                <w:sz w:val="18"/>
                <w:szCs w:val="22"/>
              </w:rPr>
            </w:pPr>
          </w:p>
        </w:tc>
        <w:tc>
          <w:tcPr>
            <w:tcW w:w="1418" w:type="dxa"/>
            <w:vMerge/>
            <w:tcBorders>
              <w:bottom w:val="single" w:sz="4" w:space="0" w:color="auto"/>
            </w:tcBorders>
            <w:vAlign w:val="center"/>
          </w:tcPr>
          <w:p w14:paraId="706EEF7D" w14:textId="77777777" w:rsidR="002264C9" w:rsidRPr="00D43463" w:rsidRDefault="002264C9" w:rsidP="0058696A">
            <w:pPr>
              <w:spacing w:before="120"/>
              <w:jc w:val="center"/>
              <w:rPr>
                <w:b/>
                <w:sz w:val="18"/>
                <w:szCs w:val="22"/>
              </w:rPr>
            </w:pPr>
          </w:p>
        </w:tc>
      </w:tr>
      <w:tr w:rsidR="002264C9" w:rsidRPr="008E516B" w14:paraId="4D65803A" w14:textId="77777777" w:rsidTr="00A34F87">
        <w:trPr>
          <w:trHeight w:val="454"/>
          <w:jc w:val="center"/>
        </w:trPr>
        <w:tc>
          <w:tcPr>
            <w:tcW w:w="7760" w:type="dxa"/>
            <w:gridSpan w:val="3"/>
            <w:tcBorders>
              <w:right w:val="nil"/>
            </w:tcBorders>
            <w:vAlign w:val="center"/>
          </w:tcPr>
          <w:p w14:paraId="297B7479" w14:textId="77777777" w:rsidR="002264C9" w:rsidRPr="008E516B" w:rsidRDefault="002264C9" w:rsidP="0058696A">
            <w:pPr>
              <w:rPr>
                <w:b/>
                <w:color w:val="0000FF"/>
                <w:sz w:val="22"/>
                <w:szCs w:val="22"/>
              </w:rPr>
            </w:pPr>
            <w:r w:rsidRPr="008E516B">
              <w:rPr>
                <w:b/>
                <w:color w:val="0000FF"/>
                <w:sz w:val="22"/>
                <w:szCs w:val="22"/>
              </w:rPr>
              <w:t>CR 5: Capacities to monitor and evaluate</w:t>
            </w:r>
          </w:p>
        </w:tc>
        <w:tc>
          <w:tcPr>
            <w:tcW w:w="718" w:type="dxa"/>
            <w:tcBorders>
              <w:left w:val="nil"/>
              <w:right w:val="nil"/>
            </w:tcBorders>
          </w:tcPr>
          <w:p w14:paraId="00301BE7" w14:textId="77777777" w:rsidR="002264C9" w:rsidRPr="008E516B" w:rsidRDefault="002264C9" w:rsidP="0058696A">
            <w:pPr>
              <w:spacing w:before="120"/>
              <w:rPr>
                <w:sz w:val="18"/>
                <w:szCs w:val="22"/>
              </w:rPr>
            </w:pPr>
          </w:p>
        </w:tc>
        <w:tc>
          <w:tcPr>
            <w:tcW w:w="808" w:type="dxa"/>
            <w:tcBorders>
              <w:left w:val="nil"/>
              <w:right w:val="nil"/>
            </w:tcBorders>
            <w:vAlign w:val="center"/>
          </w:tcPr>
          <w:p w14:paraId="46D0BD84" w14:textId="77777777" w:rsidR="002264C9" w:rsidRPr="009F382A" w:rsidRDefault="002264C9" w:rsidP="001C7AEA">
            <w:pPr>
              <w:spacing w:before="120"/>
              <w:jc w:val="center"/>
              <w:rPr>
                <w:b/>
                <w:sz w:val="18"/>
                <w:szCs w:val="22"/>
              </w:rPr>
            </w:pPr>
          </w:p>
        </w:tc>
        <w:tc>
          <w:tcPr>
            <w:tcW w:w="3686" w:type="dxa"/>
            <w:tcBorders>
              <w:left w:val="nil"/>
              <w:right w:val="nil"/>
            </w:tcBorders>
          </w:tcPr>
          <w:p w14:paraId="50AB2D81" w14:textId="1DA10F32" w:rsidR="002264C9" w:rsidRPr="008E516B" w:rsidRDefault="002264C9" w:rsidP="0058696A">
            <w:pPr>
              <w:spacing w:before="120"/>
              <w:rPr>
                <w:sz w:val="18"/>
                <w:szCs w:val="22"/>
              </w:rPr>
            </w:pPr>
          </w:p>
        </w:tc>
        <w:tc>
          <w:tcPr>
            <w:tcW w:w="1418" w:type="dxa"/>
            <w:tcBorders>
              <w:left w:val="nil"/>
            </w:tcBorders>
            <w:vAlign w:val="center"/>
          </w:tcPr>
          <w:p w14:paraId="0998FE6E" w14:textId="77777777" w:rsidR="002264C9" w:rsidRPr="00D43463" w:rsidRDefault="002264C9" w:rsidP="0058696A">
            <w:pPr>
              <w:spacing w:before="120"/>
              <w:jc w:val="center"/>
              <w:rPr>
                <w:b/>
                <w:sz w:val="18"/>
                <w:szCs w:val="22"/>
              </w:rPr>
            </w:pPr>
          </w:p>
        </w:tc>
      </w:tr>
      <w:tr w:rsidR="002264C9" w:rsidRPr="008E516B" w14:paraId="69CCD75E" w14:textId="77777777" w:rsidTr="00A34F87">
        <w:trPr>
          <w:jc w:val="center"/>
        </w:trPr>
        <w:tc>
          <w:tcPr>
            <w:tcW w:w="1636" w:type="dxa"/>
            <w:vMerge w:val="restart"/>
            <w:shd w:val="clear" w:color="auto" w:fill="E6E6E6"/>
          </w:tcPr>
          <w:p w14:paraId="49F508BC" w14:textId="77777777" w:rsidR="002264C9" w:rsidRPr="008E516B" w:rsidRDefault="002264C9" w:rsidP="0058696A">
            <w:pPr>
              <w:rPr>
                <w:sz w:val="18"/>
                <w:szCs w:val="22"/>
              </w:rPr>
            </w:pPr>
            <w:r w:rsidRPr="008E516B">
              <w:rPr>
                <w:sz w:val="18"/>
                <w:szCs w:val="22"/>
              </w:rPr>
              <w:t>Indicator 14 – Adequacy of the project/programme monitoring process</w:t>
            </w:r>
          </w:p>
        </w:tc>
        <w:tc>
          <w:tcPr>
            <w:tcW w:w="5387" w:type="dxa"/>
            <w:shd w:val="clear" w:color="auto" w:fill="E6E6E6"/>
          </w:tcPr>
          <w:p w14:paraId="585D0211" w14:textId="77777777" w:rsidR="002264C9" w:rsidRPr="008E516B" w:rsidRDefault="002264C9" w:rsidP="0058696A">
            <w:pPr>
              <w:rPr>
                <w:sz w:val="18"/>
                <w:szCs w:val="22"/>
              </w:rPr>
            </w:pPr>
            <w:r w:rsidRPr="008E516B">
              <w:rPr>
                <w:sz w:val="18"/>
                <w:szCs w:val="22"/>
              </w:rPr>
              <w:t>Irregular project monitoring is being done without an adequate monitoring framework detailing what and how to monitor the particular project or programme</w:t>
            </w:r>
          </w:p>
        </w:tc>
        <w:tc>
          <w:tcPr>
            <w:tcW w:w="737" w:type="dxa"/>
            <w:vAlign w:val="center"/>
          </w:tcPr>
          <w:p w14:paraId="032523FD" w14:textId="77777777" w:rsidR="002264C9" w:rsidRPr="008E516B" w:rsidRDefault="002264C9" w:rsidP="0058696A">
            <w:pPr>
              <w:jc w:val="center"/>
              <w:rPr>
                <w:sz w:val="18"/>
                <w:szCs w:val="22"/>
              </w:rPr>
            </w:pPr>
            <w:r w:rsidRPr="008E516B">
              <w:rPr>
                <w:sz w:val="18"/>
                <w:szCs w:val="22"/>
              </w:rPr>
              <w:t>0</w:t>
            </w:r>
          </w:p>
        </w:tc>
        <w:tc>
          <w:tcPr>
            <w:tcW w:w="718" w:type="dxa"/>
            <w:vMerge w:val="restart"/>
            <w:vAlign w:val="center"/>
          </w:tcPr>
          <w:p w14:paraId="42E26445" w14:textId="3D6D0059" w:rsidR="002264C9" w:rsidRPr="008E516B" w:rsidRDefault="002264C9" w:rsidP="001C7AEA">
            <w:pPr>
              <w:jc w:val="center"/>
              <w:rPr>
                <w:sz w:val="18"/>
                <w:szCs w:val="22"/>
              </w:rPr>
            </w:pPr>
            <w:r>
              <w:rPr>
                <w:b/>
                <w:sz w:val="18"/>
                <w:szCs w:val="22"/>
              </w:rPr>
              <w:t>0</w:t>
            </w:r>
          </w:p>
        </w:tc>
        <w:tc>
          <w:tcPr>
            <w:tcW w:w="808" w:type="dxa"/>
            <w:vMerge w:val="restart"/>
            <w:vAlign w:val="center"/>
          </w:tcPr>
          <w:p w14:paraId="06E03958" w14:textId="75927F01" w:rsidR="002264C9" w:rsidRPr="009F382A" w:rsidRDefault="00A34F87" w:rsidP="009F382A">
            <w:pPr>
              <w:jc w:val="center"/>
              <w:rPr>
                <w:b/>
                <w:sz w:val="18"/>
                <w:szCs w:val="22"/>
              </w:rPr>
            </w:pPr>
            <w:r>
              <w:rPr>
                <w:b/>
                <w:sz w:val="18"/>
                <w:szCs w:val="22"/>
              </w:rPr>
              <w:t>2</w:t>
            </w:r>
          </w:p>
        </w:tc>
        <w:tc>
          <w:tcPr>
            <w:tcW w:w="3686" w:type="dxa"/>
            <w:vMerge w:val="restart"/>
            <w:vAlign w:val="center"/>
          </w:tcPr>
          <w:p w14:paraId="2902AD6E" w14:textId="101F3EB4" w:rsidR="002264C9" w:rsidRPr="008E516B" w:rsidRDefault="00A34F87" w:rsidP="00A34F87">
            <w:pPr>
              <w:spacing w:before="120"/>
              <w:rPr>
                <w:sz w:val="18"/>
                <w:szCs w:val="22"/>
              </w:rPr>
            </w:pPr>
            <w:r>
              <w:rPr>
                <w:sz w:val="18"/>
                <w:szCs w:val="22"/>
              </w:rPr>
              <w:t>Through the implementation of the project, monitoring results was a regular function of the project and used primarily by the project team.</w:t>
            </w:r>
          </w:p>
        </w:tc>
        <w:tc>
          <w:tcPr>
            <w:tcW w:w="1418" w:type="dxa"/>
            <w:vMerge w:val="restart"/>
            <w:vAlign w:val="center"/>
          </w:tcPr>
          <w:p w14:paraId="0C927630" w14:textId="75C0D823" w:rsidR="002264C9" w:rsidRPr="00D43463" w:rsidRDefault="00A34F87" w:rsidP="0058696A">
            <w:pPr>
              <w:jc w:val="center"/>
              <w:rPr>
                <w:b/>
                <w:sz w:val="18"/>
                <w:szCs w:val="22"/>
              </w:rPr>
            </w:pPr>
            <w:r>
              <w:rPr>
                <w:b/>
                <w:sz w:val="18"/>
                <w:szCs w:val="22"/>
              </w:rPr>
              <w:t>PB activities</w:t>
            </w:r>
          </w:p>
        </w:tc>
      </w:tr>
      <w:tr w:rsidR="002264C9" w:rsidRPr="008E516B" w14:paraId="1FEF5AA5" w14:textId="77777777" w:rsidTr="00A34F87">
        <w:trPr>
          <w:jc w:val="center"/>
        </w:trPr>
        <w:tc>
          <w:tcPr>
            <w:tcW w:w="1636" w:type="dxa"/>
            <w:vMerge/>
            <w:tcBorders>
              <w:bottom w:val="nil"/>
            </w:tcBorders>
            <w:shd w:val="clear" w:color="auto" w:fill="E6E6E6"/>
          </w:tcPr>
          <w:p w14:paraId="726F195F" w14:textId="77777777" w:rsidR="002264C9" w:rsidRPr="008E516B" w:rsidRDefault="002264C9" w:rsidP="0058696A">
            <w:pPr>
              <w:spacing w:before="120"/>
              <w:rPr>
                <w:sz w:val="18"/>
                <w:szCs w:val="22"/>
              </w:rPr>
            </w:pPr>
          </w:p>
        </w:tc>
        <w:tc>
          <w:tcPr>
            <w:tcW w:w="5387" w:type="dxa"/>
            <w:shd w:val="clear" w:color="auto" w:fill="E6E6E6"/>
          </w:tcPr>
          <w:p w14:paraId="2B2D44C1" w14:textId="77777777" w:rsidR="002264C9" w:rsidRPr="008E516B" w:rsidRDefault="002264C9" w:rsidP="0058696A">
            <w:pPr>
              <w:rPr>
                <w:sz w:val="18"/>
                <w:szCs w:val="22"/>
              </w:rPr>
            </w:pPr>
            <w:r w:rsidRPr="008E516B">
              <w:rPr>
                <w:sz w:val="18"/>
                <w:szCs w:val="22"/>
              </w:rPr>
              <w:t>An adequate resourced monitoring framework is in place but project monitoring is irregularly conducted</w:t>
            </w:r>
          </w:p>
        </w:tc>
        <w:tc>
          <w:tcPr>
            <w:tcW w:w="737" w:type="dxa"/>
            <w:vAlign w:val="center"/>
          </w:tcPr>
          <w:p w14:paraId="02B361AE" w14:textId="77777777" w:rsidR="002264C9" w:rsidRPr="008E516B" w:rsidRDefault="002264C9" w:rsidP="0058696A">
            <w:pPr>
              <w:jc w:val="center"/>
              <w:rPr>
                <w:sz w:val="18"/>
                <w:szCs w:val="22"/>
              </w:rPr>
            </w:pPr>
            <w:r w:rsidRPr="008E516B">
              <w:rPr>
                <w:sz w:val="18"/>
                <w:szCs w:val="22"/>
              </w:rPr>
              <w:t>1</w:t>
            </w:r>
          </w:p>
        </w:tc>
        <w:tc>
          <w:tcPr>
            <w:tcW w:w="718" w:type="dxa"/>
            <w:vMerge/>
            <w:vAlign w:val="center"/>
          </w:tcPr>
          <w:p w14:paraId="36B70137" w14:textId="708BC762" w:rsidR="002264C9" w:rsidRPr="008E516B" w:rsidRDefault="002264C9" w:rsidP="0058696A">
            <w:pPr>
              <w:jc w:val="center"/>
              <w:rPr>
                <w:b/>
                <w:sz w:val="18"/>
                <w:szCs w:val="22"/>
              </w:rPr>
            </w:pPr>
          </w:p>
        </w:tc>
        <w:tc>
          <w:tcPr>
            <w:tcW w:w="808" w:type="dxa"/>
            <w:vMerge/>
            <w:vAlign w:val="center"/>
          </w:tcPr>
          <w:p w14:paraId="42000318" w14:textId="77777777" w:rsidR="002264C9" w:rsidRPr="009F382A" w:rsidRDefault="002264C9" w:rsidP="001C7AEA">
            <w:pPr>
              <w:spacing w:before="120"/>
              <w:jc w:val="center"/>
              <w:rPr>
                <w:b/>
                <w:sz w:val="18"/>
                <w:szCs w:val="22"/>
              </w:rPr>
            </w:pPr>
          </w:p>
        </w:tc>
        <w:tc>
          <w:tcPr>
            <w:tcW w:w="3686" w:type="dxa"/>
            <w:vMerge/>
            <w:vAlign w:val="center"/>
          </w:tcPr>
          <w:p w14:paraId="25B66CE2" w14:textId="6304961F" w:rsidR="002264C9" w:rsidRPr="008E516B" w:rsidRDefault="002264C9" w:rsidP="00A34F87">
            <w:pPr>
              <w:spacing w:before="120"/>
              <w:rPr>
                <w:sz w:val="18"/>
                <w:szCs w:val="22"/>
              </w:rPr>
            </w:pPr>
          </w:p>
        </w:tc>
        <w:tc>
          <w:tcPr>
            <w:tcW w:w="1418" w:type="dxa"/>
            <w:vMerge/>
            <w:vAlign w:val="center"/>
          </w:tcPr>
          <w:p w14:paraId="434DEFA5" w14:textId="77777777" w:rsidR="002264C9" w:rsidRPr="00D43463" w:rsidRDefault="002264C9" w:rsidP="0058696A">
            <w:pPr>
              <w:spacing w:before="120"/>
              <w:jc w:val="center"/>
              <w:rPr>
                <w:b/>
                <w:sz w:val="18"/>
                <w:szCs w:val="22"/>
              </w:rPr>
            </w:pPr>
          </w:p>
        </w:tc>
      </w:tr>
      <w:tr w:rsidR="002264C9" w:rsidRPr="008E516B" w14:paraId="1B9FBBE7" w14:textId="77777777" w:rsidTr="00A34F87">
        <w:trPr>
          <w:jc w:val="center"/>
        </w:trPr>
        <w:tc>
          <w:tcPr>
            <w:tcW w:w="1636" w:type="dxa"/>
            <w:tcBorders>
              <w:top w:val="nil"/>
              <w:bottom w:val="nil"/>
            </w:tcBorders>
            <w:shd w:val="clear" w:color="auto" w:fill="E6E6E6"/>
          </w:tcPr>
          <w:p w14:paraId="3C752D48" w14:textId="77777777" w:rsidR="002264C9" w:rsidRPr="008E516B" w:rsidRDefault="002264C9" w:rsidP="0058696A">
            <w:pPr>
              <w:spacing w:before="120"/>
              <w:rPr>
                <w:sz w:val="18"/>
                <w:szCs w:val="22"/>
              </w:rPr>
            </w:pPr>
          </w:p>
        </w:tc>
        <w:tc>
          <w:tcPr>
            <w:tcW w:w="5387" w:type="dxa"/>
            <w:shd w:val="clear" w:color="auto" w:fill="E6E6E6"/>
          </w:tcPr>
          <w:p w14:paraId="7656E59D" w14:textId="77777777" w:rsidR="002264C9" w:rsidRPr="008E516B" w:rsidRDefault="002264C9" w:rsidP="0058696A">
            <w:pPr>
              <w:rPr>
                <w:sz w:val="18"/>
                <w:szCs w:val="22"/>
              </w:rPr>
            </w:pPr>
            <w:r w:rsidRPr="008E516B">
              <w:rPr>
                <w:sz w:val="18"/>
                <w:szCs w:val="22"/>
              </w:rPr>
              <w:t>Regular participative monitoring of results in being conducted but this information is only partially used by the project/programme implementation team</w:t>
            </w:r>
          </w:p>
        </w:tc>
        <w:tc>
          <w:tcPr>
            <w:tcW w:w="737" w:type="dxa"/>
            <w:vAlign w:val="center"/>
          </w:tcPr>
          <w:p w14:paraId="7EB3BCA8" w14:textId="77777777" w:rsidR="002264C9" w:rsidRPr="008E516B" w:rsidRDefault="002264C9" w:rsidP="0058696A">
            <w:pPr>
              <w:jc w:val="center"/>
              <w:rPr>
                <w:sz w:val="18"/>
                <w:szCs w:val="22"/>
              </w:rPr>
            </w:pPr>
            <w:r w:rsidRPr="008E516B">
              <w:rPr>
                <w:sz w:val="18"/>
                <w:szCs w:val="22"/>
              </w:rPr>
              <w:t>2</w:t>
            </w:r>
          </w:p>
        </w:tc>
        <w:tc>
          <w:tcPr>
            <w:tcW w:w="718" w:type="dxa"/>
            <w:vMerge/>
          </w:tcPr>
          <w:p w14:paraId="5059665A" w14:textId="77777777" w:rsidR="002264C9" w:rsidRPr="008E516B" w:rsidRDefault="002264C9" w:rsidP="0058696A">
            <w:pPr>
              <w:spacing w:before="120"/>
              <w:rPr>
                <w:sz w:val="18"/>
                <w:szCs w:val="22"/>
              </w:rPr>
            </w:pPr>
          </w:p>
        </w:tc>
        <w:tc>
          <w:tcPr>
            <w:tcW w:w="808" w:type="dxa"/>
            <w:vMerge/>
            <w:vAlign w:val="center"/>
          </w:tcPr>
          <w:p w14:paraId="74158F8A" w14:textId="77777777" w:rsidR="002264C9" w:rsidRPr="009F382A" w:rsidRDefault="002264C9" w:rsidP="001C7AEA">
            <w:pPr>
              <w:spacing w:before="120"/>
              <w:jc w:val="center"/>
              <w:rPr>
                <w:b/>
                <w:sz w:val="18"/>
                <w:szCs w:val="22"/>
              </w:rPr>
            </w:pPr>
          </w:p>
        </w:tc>
        <w:tc>
          <w:tcPr>
            <w:tcW w:w="3686" w:type="dxa"/>
            <w:vMerge/>
            <w:vAlign w:val="center"/>
          </w:tcPr>
          <w:p w14:paraId="10B86523" w14:textId="158395C6" w:rsidR="002264C9" w:rsidRPr="008E516B" w:rsidRDefault="002264C9" w:rsidP="00A34F87">
            <w:pPr>
              <w:spacing w:before="120"/>
              <w:rPr>
                <w:sz w:val="18"/>
                <w:szCs w:val="22"/>
              </w:rPr>
            </w:pPr>
          </w:p>
        </w:tc>
        <w:tc>
          <w:tcPr>
            <w:tcW w:w="1418" w:type="dxa"/>
            <w:vMerge/>
            <w:vAlign w:val="center"/>
          </w:tcPr>
          <w:p w14:paraId="3A3EF091" w14:textId="77777777" w:rsidR="002264C9" w:rsidRPr="00D43463" w:rsidRDefault="002264C9" w:rsidP="0058696A">
            <w:pPr>
              <w:spacing w:before="120"/>
              <w:jc w:val="center"/>
              <w:rPr>
                <w:b/>
                <w:sz w:val="18"/>
                <w:szCs w:val="22"/>
              </w:rPr>
            </w:pPr>
          </w:p>
        </w:tc>
      </w:tr>
      <w:tr w:rsidR="002264C9" w:rsidRPr="008E516B" w14:paraId="777D80B0" w14:textId="77777777" w:rsidTr="00A34F87">
        <w:trPr>
          <w:jc w:val="center"/>
        </w:trPr>
        <w:tc>
          <w:tcPr>
            <w:tcW w:w="1636" w:type="dxa"/>
            <w:tcBorders>
              <w:top w:val="nil"/>
              <w:bottom w:val="single" w:sz="4" w:space="0" w:color="auto"/>
            </w:tcBorders>
            <w:shd w:val="clear" w:color="auto" w:fill="E6E6E6"/>
          </w:tcPr>
          <w:p w14:paraId="59F83C7F" w14:textId="77777777" w:rsidR="002264C9" w:rsidRPr="008E516B" w:rsidRDefault="002264C9" w:rsidP="0058696A">
            <w:pPr>
              <w:spacing w:before="120"/>
              <w:rPr>
                <w:sz w:val="18"/>
                <w:szCs w:val="22"/>
              </w:rPr>
            </w:pPr>
          </w:p>
        </w:tc>
        <w:tc>
          <w:tcPr>
            <w:tcW w:w="5387" w:type="dxa"/>
            <w:shd w:val="clear" w:color="auto" w:fill="E6E6E6"/>
          </w:tcPr>
          <w:p w14:paraId="2335BB17" w14:textId="77777777" w:rsidR="002264C9" w:rsidRPr="008E516B" w:rsidRDefault="002264C9" w:rsidP="0058696A">
            <w:pPr>
              <w:rPr>
                <w:sz w:val="18"/>
                <w:szCs w:val="22"/>
              </w:rPr>
            </w:pPr>
            <w:r w:rsidRPr="008E516B">
              <w:rPr>
                <w:sz w:val="18"/>
                <w:szCs w:val="22"/>
              </w:rPr>
              <w:t>Monitoring information is produced timely and accurately and is used by the implementation team to learn and possibly to change the course of action</w:t>
            </w:r>
          </w:p>
        </w:tc>
        <w:tc>
          <w:tcPr>
            <w:tcW w:w="737" w:type="dxa"/>
            <w:vAlign w:val="center"/>
          </w:tcPr>
          <w:p w14:paraId="5F572ADC" w14:textId="77777777" w:rsidR="002264C9" w:rsidRPr="008E516B" w:rsidRDefault="002264C9" w:rsidP="0058696A">
            <w:pPr>
              <w:jc w:val="center"/>
              <w:rPr>
                <w:sz w:val="18"/>
                <w:szCs w:val="22"/>
              </w:rPr>
            </w:pPr>
            <w:r w:rsidRPr="008E516B">
              <w:rPr>
                <w:sz w:val="18"/>
                <w:szCs w:val="22"/>
              </w:rPr>
              <w:t>3</w:t>
            </w:r>
          </w:p>
        </w:tc>
        <w:tc>
          <w:tcPr>
            <w:tcW w:w="718" w:type="dxa"/>
            <w:vMerge/>
          </w:tcPr>
          <w:p w14:paraId="2E141B08" w14:textId="77777777" w:rsidR="002264C9" w:rsidRPr="008E516B" w:rsidRDefault="002264C9" w:rsidP="0058696A">
            <w:pPr>
              <w:spacing w:before="120"/>
              <w:rPr>
                <w:sz w:val="18"/>
                <w:szCs w:val="22"/>
              </w:rPr>
            </w:pPr>
          </w:p>
        </w:tc>
        <w:tc>
          <w:tcPr>
            <w:tcW w:w="808" w:type="dxa"/>
            <w:vMerge/>
            <w:vAlign w:val="center"/>
          </w:tcPr>
          <w:p w14:paraId="33AAB472" w14:textId="77777777" w:rsidR="002264C9" w:rsidRPr="009F382A" w:rsidRDefault="002264C9" w:rsidP="001C7AEA">
            <w:pPr>
              <w:spacing w:before="120"/>
              <w:jc w:val="center"/>
              <w:rPr>
                <w:b/>
                <w:sz w:val="18"/>
                <w:szCs w:val="22"/>
              </w:rPr>
            </w:pPr>
          </w:p>
        </w:tc>
        <w:tc>
          <w:tcPr>
            <w:tcW w:w="3686" w:type="dxa"/>
            <w:vMerge/>
            <w:vAlign w:val="center"/>
          </w:tcPr>
          <w:p w14:paraId="545DC4F7" w14:textId="7A308D53" w:rsidR="002264C9" w:rsidRPr="008E516B" w:rsidRDefault="002264C9" w:rsidP="00A34F87">
            <w:pPr>
              <w:spacing w:before="120"/>
              <w:rPr>
                <w:sz w:val="18"/>
                <w:szCs w:val="22"/>
              </w:rPr>
            </w:pPr>
          </w:p>
        </w:tc>
        <w:tc>
          <w:tcPr>
            <w:tcW w:w="1418" w:type="dxa"/>
            <w:vMerge/>
            <w:vAlign w:val="center"/>
          </w:tcPr>
          <w:p w14:paraId="19A55A14" w14:textId="77777777" w:rsidR="002264C9" w:rsidRPr="00D43463" w:rsidRDefault="002264C9" w:rsidP="0058696A">
            <w:pPr>
              <w:spacing w:before="120"/>
              <w:jc w:val="center"/>
              <w:rPr>
                <w:b/>
                <w:sz w:val="18"/>
                <w:szCs w:val="22"/>
              </w:rPr>
            </w:pPr>
          </w:p>
        </w:tc>
      </w:tr>
      <w:tr w:rsidR="00A34F87" w:rsidRPr="008E516B" w14:paraId="636502A9" w14:textId="77777777" w:rsidTr="00A34F87">
        <w:trPr>
          <w:trHeight w:val="548"/>
          <w:jc w:val="center"/>
        </w:trPr>
        <w:tc>
          <w:tcPr>
            <w:tcW w:w="1636" w:type="dxa"/>
            <w:vMerge w:val="restart"/>
            <w:shd w:val="clear" w:color="auto" w:fill="E6E6E6"/>
          </w:tcPr>
          <w:p w14:paraId="24BECE75" w14:textId="77777777" w:rsidR="00A34F87" w:rsidRPr="008E516B" w:rsidRDefault="00A34F87" w:rsidP="0058696A">
            <w:pPr>
              <w:rPr>
                <w:sz w:val="18"/>
                <w:szCs w:val="22"/>
              </w:rPr>
            </w:pPr>
            <w:r w:rsidRPr="008E516B">
              <w:rPr>
                <w:sz w:val="18"/>
                <w:szCs w:val="22"/>
              </w:rPr>
              <w:t>Indicator 15 – Adequacy of the project/programme monitoring and evaluation process</w:t>
            </w:r>
          </w:p>
        </w:tc>
        <w:tc>
          <w:tcPr>
            <w:tcW w:w="5387" w:type="dxa"/>
            <w:shd w:val="clear" w:color="auto" w:fill="E6E6E6"/>
          </w:tcPr>
          <w:p w14:paraId="47033558" w14:textId="77777777" w:rsidR="00A34F87" w:rsidRPr="008E516B" w:rsidRDefault="00A34F87" w:rsidP="0058696A">
            <w:pPr>
              <w:rPr>
                <w:sz w:val="18"/>
                <w:szCs w:val="22"/>
              </w:rPr>
            </w:pPr>
            <w:r w:rsidRPr="008E516B">
              <w:rPr>
                <w:sz w:val="18"/>
                <w:szCs w:val="22"/>
              </w:rPr>
              <w:t>None or ineffective evaluations are being conducted without an adequate evaluation plan; including the necessary resources</w:t>
            </w:r>
          </w:p>
        </w:tc>
        <w:tc>
          <w:tcPr>
            <w:tcW w:w="737" w:type="dxa"/>
            <w:vAlign w:val="center"/>
          </w:tcPr>
          <w:p w14:paraId="61225ED0" w14:textId="77777777" w:rsidR="00A34F87" w:rsidRPr="008E516B" w:rsidRDefault="00A34F87" w:rsidP="0058696A">
            <w:pPr>
              <w:jc w:val="center"/>
              <w:rPr>
                <w:sz w:val="18"/>
                <w:szCs w:val="22"/>
              </w:rPr>
            </w:pPr>
            <w:r w:rsidRPr="008E516B">
              <w:rPr>
                <w:sz w:val="18"/>
                <w:szCs w:val="22"/>
              </w:rPr>
              <w:t>0</w:t>
            </w:r>
          </w:p>
        </w:tc>
        <w:tc>
          <w:tcPr>
            <w:tcW w:w="718" w:type="dxa"/>
            <w:vMerge w:val="restart"/>
            <w:vAlign w:val="center"/>
          </w:tcPr>
          <w:p w14:paraId="7E9C3656" w14:textId="0358CA18" w:rsidR="00A34F87" w:rsidRPr="008E516B" w:rsidRDefault="00A34F87" w:rsidP="001C7AEA">
            <w:pPr>
              <w:jc w:val="center"/>
              <w:rPr>
                <w:sz w:val="18"/>
                <w:szCs w:val="22"/>
              </w:rPr>
            </w:pPr>
            <w:r w:rsidRPr="008E516B">
              <w:rPr>
                <w:b/>
                <w:sz w:val="18"/>
                <w:szCs w:val="22"/>
              </w:rPr>
              <w:t>1</w:t>
            </w:r>
          </w:p>
        </w:tc>
        <w:tc>
          <w:tcPr>
            <w:tcW w:w="808" w:type="dxa"/>
            <w:vMerge w:val="restart"/>
            <w:vAlign w:val="center"/>
          </w:tcPr>
          <w:p w14:paraId="4878CC03" w14:textId="5A082251" w:rsidR="00A34F87" w:rsidRPr="009F382A" w:rsidRDefault="00A34F87" w:rsidP="001C7AEA">
            <w:pPr>
              <w:jc w:val="center"/>
              <w:rPr>
                <w:b/>
                <w:sz w:val="18"/>
                <w:szCs w:val="22"/>
              </w:rPr>
            </w:pPr>
            <w:r>
              <w:rPr>
                <w:b/>
                <w:sz w:val="18"/>
                <w:szCs w:val="22"/>
              </w:rPr>
              <w:t>2</w:t>
            </w:r>
          </w:p>
        </w:tc>
        <w:tc>
          <w:tcPr>
            <w:tcW w:w="3686" w:type="dxa"/>
            <w:vMerge w:val="restart"/>
            <w:vAlign w:val="center"/>
          </w:tcPr>
          <w:p w14:paraId="49DD8D35" w14:textId="4CF3FBF3" w:rsidR="00A34F87" w:rsidRPr="008E516B" w:rsidRDefault="00A34F87" w:rsidP="00A34F87">
            <w:pPr>
              <w:rPr>
                <w:sz w:val="18"/>
                <w:szCs w:val="22"/>
              </w:rPr>
            </w:pPr>
            <w:r>
              <w:rPr>
                <w:sz w:val="18"/>
                <w:szCs w:val="22"/>
              </w:rPr>
              <w:t>Evaluating project achievements was a project management requirement but this information is primarily used by the project team.</w:t>
            </w:r>
          </w:p>
        </w:tc>
        <w:tc>
          <w:tcPr>
            <w:tcW w:w="1418" w:type="dxa"/>
            <w:vMerge w:val="restart"/>
            <w:vAlign w:val="center"/>
          </w:tcPr>
          <w:p w14:paraId="4C8D4A37" w14:textId="45F00402" w:rsidR="00A34F87" w:rsidRPr="00D43463" w:rsidRDefault="00A34F87" w:rsidP="0058696A">
            <w:pPr>
              <w:jc w:val="center"/>
              <w:rPr>
                <w:b/>
                <w:sz w:val="18"/>
                <w:szCs w:val="22"/>
              </w:rPr>
            </w:pPr>
            <w:r>
              <w:rPr>
                <w:b/>
                <w:sz w:val="18"/>
                <w:szCs w:val="22"/>
              </w:rPr>
              <w:t>PB activities</w:t>
            </w:r>
          </w:p>
        </w:tc>
      </w:tr>
      <w:tr w:rsidR="00A34F87" w:rsidRPr="008E516B" w14:paraId="29754DD8" w14:textId="77777777" w:rsidTr="00A34F87">
        <w:trPr>
          <w:jc w:val="center"/>
        </w:trPr>
        <w:tc>
          <w:tcPr>
            <w:tcW w:w="1636" w:type="dxa"/>
            <w:vMerge/>
            <w:shd w:val="clear" w:color="auto" w:fill="E6E6E6"/>
          </w:tcPr>
          <w:p w14:paraId="3523EFB4" w14:textId="77777777" w:rsidR="00A34F87" w:rsidRPr="008E516B" w:rsidRDefault="00A34F87" w:rsidP="0058696A">
            <w:pPr>
              <w:spacing w:before="120"/>
              <w:rPr>
                <w:sz w:val="18"/>
                <w:szCs w:val="22"/>
              </w:rPr>
            </w:pPr>
          </w:p>
        </w:tc>
        <w:tc>
          <w:tcPr>
            <w:tcW w:w="5387" w:type="dxa"/>
            <w:shd w:val="clear" w:color="auto" w:fill="E6E6E6"/>
          </w:tcPr>
          <w:p w14:paraId="3EAF8BDB" w14:textId="77777777" w:rsidR="00A34F87" w:rsidRPr="008E516B" w:rsidRDefault="00A34F87" w:rsidP="0058696A">
            <w:pPr>
              <w:rPr>
                <w:sz w:val="18"/>
                <w:szCs w:val="22"/>
              </w:rPr>
            </w:pPr>
            <w:r w:rsidRPr="008E516B">
              <w:rPr>
                <w:sz w:val="18"/>
                <w:szCs w:val="22"/>
              </w:rPr>
              <w:t>An adequate evaluation plan is in place but evaluation activities are irregularly conducted</w:t>
            </w:r>
          </w:p>
        </w:tc>
        <w:tc>
          <w:tcPr>
            <w:tcW w:w="737" w:type="dxa"/>
            <w:vAlign w:val="center"/>
          </w:tcPr>
          <w:p w14:paraId="6F9524A0" w14:textId="77777777" w:rsidR="00A34F87" w:rsidRPr="008E516B" w:rsidRDefault="00A34F87" w:rsidP="0058696A">
            <w:pPr>
              <w:jc w:val="center"/>
              <w:rPr>
                <w:sz w:val="18"/>
                <w:szCs w:val="22"/>
              </w:rPr>
            </w:pPr>
            <w:r w:rsidRPr="008E516B">
              <w:rPr>
                <w:sz w:val="18"/>
                <w:szCs w:val="22"/>
              </w:rPr>
              <w:t>1</w:t>
            </w:r>
          </w:p>
        </w:tc>
        <w:tc>
          <w:tcPr>
            <w:tcW w:w="718" w:type="dxa"/>
            <w:vMerge/>
            <w:vAlign w:val="center"/>
          </w:tcPr>
          <w:p w14:paraId="47AB06AF" w14:textId="746FE2B2" w:rsidR="00A34F87" w:rsidRPr="008E516B" w:rsidRDefault="00A34F87" w:rsidP="0058696A">
            <w:pPr>
              <w:jc w:val="center"/>
              <w:rPr>
                <w:b/>
                <w:sz w:val="18"/>
                <w:szCs w:val="22"/>
              </w:rPr>
            </w:pPr>
          </w:p>
        </w:tc>
        <w:tc>
          <w:tcPr>
            <w:tcW w:w="808" w:type="dxa"/>
            <w:vMerge/>
            <w:vAlign w:val="center"/>
          </w:tcPr>
          <w:p w14:paraId="31F501CE" w14:textId="77777777" w:rsidR="00A34F87" w:rsidRPr="009F382A" w:rsidRDefault="00A34F87" w:rsidP="001C7AEA">
            <w:pPr>
              <w:spacing w:before="120"/>
              <w:jc w:val="center"/>
              <w:rPr>
                <w:b/>
                <w:sz w:val="18"/>
                <w:szCs w:val="22"/>
              </w:rPr>
            </w:pPr>
          </w:p>
        </w:tc>
        <w:tc>
          <w:tcPr>
            <w:tcW w:w="3686" w:type="dxa"/>
            <w:vMerge/>
          </w:tcPr>
          <w:p w14:paraId="072C4B75" w14:textId="5D376A47" w:rsidR="00A34F87" w:rsidRPr="008E516B" w:rsidRDefault="00A34F87" w:rsidP="0058696A">
            <w:pPr>
              <w:spacing w:before="120"/>
              <w:rPr>
                <w:sz w:val="18"/>
                <w:szCs w:val="22"/>
              </w:rPr>
            </w:pPr>
          </w:p>
        </w:tc>
        <w:tc>
          <w:tcPr>
            <w:tcW w:w="1418" w:type="dxa"/>
            <w:vMerge/>
            <w:vAlign w:val="center"/>
          </w:tcPr>
          <w:p w14:paraId="3CD09873" w14:textId="77777777" w:rsidR="00A34F87" w:rsidRPr="00D43463" w:rsidRDefault="00A34F87" w:rsidP="0058696A">
            <w:pPr>
              <w:spacing w:before="120"/>
              <w:jc w:val="center"/>
              <w:rPr>
                <w:b/>
                <w:sz w:val="18"/>
                <w:szCs w:val="22"/>
              </w:rPr>
            </w:pPr>
          </w:p>
        </w:tc>
      </w:tr>
      <w:tr w:rsidR="00A34F87" w:rsidRPr="008E516B" w14:paraId="6152962F" w14:textId="77777777" w:rsidTr="00A34F87">
        <w:trPr>
          <w:jc w:val="center"/>
        </w:trPr>
        <w:tc>
          <w:tcPr>
            <w:tcW w:w="1636" w:type="dxa"/>
            <w:vMerge/>
            <w:shd w:val="clear" w:color="auto" w:fill="E6E6E6"/>
          </w:tcPr>
          <w:p w14:paraId="143817AF" w14:textId="77777777" w:rsidR="00A34F87" w:rsidRPr="008E516B" w:rsidRDefault="00A34F87" w:rsidP="0058696A">
            <w:pPr>
              <w:spacing w:before="120"/>
              <w:rPr>
                <w:sz w:val="18"/>
                <w:szCs w:val="22"/>
              </w:rPr>
            </w:pPr>
          </w:p>
        </w:tc>
        <w:tc>
          <w:tcPr>
            <w:tcW w:w="5387" w:type="dxa"/>
            <w:shd w:val="clear" w:color="auto" w:fill="E6E6E6"/>
          </w:tcPr>
          <w:p w14:paraId="46F1619A" w14:textId="77777777" w:rsidR="00A34F87" w:rsidRPr="008E516B" w:rsidRDefault="00A34F87" w:rsidP="0058696A">
            <w:pPr>
              <w:rPr>
                <w:sz w:val="18"/>
                <w:szCs w:val="22"/>
              </w:rPr>
            </w:pPr>
            <w:r w:rsidRPr="008E516B">
              <w:rPr>
                <w:sz w:val="18"/>
                <w:szCs w:val="22"/>
              </w:rPr>
              <w:t>Evaluations are being conducted as per an adequate evaluation plan but the evaluation results are only partially used by the project/programme implementation team</w:t>
            </w:r>
          </w:p>
        </w:tc>
        <w:tc>
          <w:tcPr>
            <w:tcW w:w="737" w:type="dxa"/>
            <w:vAlign w:val="center"/>
          </w:tcPr>
          <w:p w14:paraId="353A204C" w14:textId="77777777" w:rsidR="00A34F87" w:rsidRPr="008E516B" w:rsidRDefault="00A34F87" w:rsidP="0058696A">
            <w:pPr>
              <w:jc w:val="center"/>
              <w:rPr>
                <w:sz w:val="18"/>
                <w:szCs w:val="22"/>
              </w:rPr>
            </w:pPr>
            <w:r w:rsidRPr="008E516B">
              <w:rPr>
                <w:sz w:val="18"/>
                <w:szCs w:val="22"/>
              </w:rPr>
              <w:t>2</w:t>
            </w:r>
          </w:p>
        </w:tc>
        <w:tc>
          <w:tcPr>
            <w:tcW w:w="718" w:type="dxa"/>
            <w:vMerge/>
          </w:tcPr>
          <w:p w14:paraId="11F5C4CD" w14:textId="77777777" w:rsidR="00A34F87" w:rsidRPr="008E516B" w:rsidRDefault="00A34F87" w:rsidP="0058696A">
            <w:pPr>
              <w:spacing w:before="120"/>
              <w:rPr>
                <w:sz w:val="18"/>
                <w:szCs w:val="22"/>
              </w:rPr>
            </w:pPr>
          </w:p>
        </w:tc>
        <w:tc>
          <w:tcPr>
            <w:tcW w:w="808" w:type="dxa"/>
            <w:vMerge/>
            <w:vAlign w:val="center"/>
          </w:tcPr>
          <w:p w14:paraId="51C3DBE6" w14:textId="77777777" w:rsidR="00A34F87" w:rsidRPr="009F382A" w:rsidRDefault="00A34F87" w:rsidP="001C7AEA">
            <w:pPr>
              <w:spacing w:before="120"/>
              <w:jc w:val="center"/>
              <w:rPr>
                <w:b/>
                <w:sz w:val="18"/>
                <w:szCs w:val="22"/>
              </w:rPr>
            </w:pPr>
          </w:p>
        </w:tc>
        <w:tc>
          <w:tcPr>
            <w:tcW w:w="3686" w:type="dxa"/>
            <w:vMerge/>
          </w:tcPr>
          <w:p w14:paraId="1C8BA100" w14:textId="1F5317C6" w:rsidR="00A34F87" w:rsidRPr="008E516B" w:rsidRDefault="00A34F87" w:rsidP="0058696A">
            <w:pPr>
              <w:spacing w:before="120"/>
              <w:rPr>
                <w:sz w:val="18"/>
                <w:szCs w:val="22"/>
              </w:rPr>
            </w:pPr>
          </w:p>
        </w:tc>
        <w:tc>
          <w:tcPr>
            <w:tcW w:w="1418" w:type="dxa"/>
            <w:vMerge/>
            <w:vAlign w:val="center"/>
          </w:tcPr>
          <w:p w14:paraId="71B25422" w14:textId="77777777" w:rsidR="00A34F87" w:rsidRPr="00D43463" w:rsidRDefault="00A34F87" w:rsidP="0058696A">
            <w:pPr>
              <w:spacing w:before="120"/>
              <w:jc w:val="center"/>
              <w:rPr>
                <w:b/>
                <w:sz w:val="18"/>
                <w:szCs w:val="22"/>
              </w:rPr>
            </w:pPr>
          </w:p>
        </w:tc>
      </w:tr>
      <w:tr w:rsidR="00A34F87" w:rsidRPr="008E516B" w14:paraId="75BC16D5" w14:textId="77777777" w:rsidTr="00A34F87">
        <w:trPr>
          <w:jc w:val="center"/>
        </w:trPr>
        <w:tc>
          <w:tcPr>
            <w:tcW w:w="1636" w:type="dxa"/>
            <w:vMerge/>
            <w:tcBorders>
              <w:bottom w:val="double" w:sz="4" w:space="0" w:color="auto"/>
            </w:tcBorders>
            <w:shd w:val="clear" w:color="auto" w:fill="E6E6E6"/>
          </w:tcPr>
          <w:p w14:paraId="38587067" w14:textId="77777777" w:rsidR="00A34F87" w:rsidRPr="008E516B" w:rsidRDefault="00A34F87" w:rsidP="0058696A">
            <w:pPr>
              <w:spacing w:before="120"/>
              <w:rPr>
                <w:sz w:val="18"/>
                <w:szCs w:val="22"/>
              </w:rPr>
            </w:pPr>
          </w:p>
        </w:tc>
        <w:tc>
          <w:tcPr>
            <w:tcW w:w="5387" w:type="dxa"/>
            <w:tcBorders>
              <w:bottom w:val="double" w:sz="4" w:space="0" w:color="auto"/>
            </w:tcBorders>
            <w:shd w:val="clear" w:color="auto" w:fill="E6E6E6"/>
          </w:tcPr>
          <w:p w14:paraId="33DCE567" w14:textId="77777777" w:rsidR="00A34F87" w:rsidRPr="008E516B" w:rsidRDefault="00A34F87" w:rsidP="0058696A">
            <w:pPr>
              <w:rPr>
                <w:sz w:val="18"/>
                <w:szCs w:val="22"/>
              </w:rPr>
            </w:pPr>
            <w:r w:rsidRPr="008E516B">
              <w:rPr>
                <w:sz w:val="18"/>
                <w:szCs w:val="22"/>
              </w:rPr>
              <w:t>Effective evaluations are conducted timely and accurately and are used by the implementation team and the Agencies and GEF Staff to correct the course of action if needed and to learn for further planning activities</w:t>
            </w:r>
          </w:p>
        </w:tc>
        <w:tc>
          <w:tcPr>
            <w:tcW w:w="737" w:type="dxa"/>
            <w:tcBorders>
              <w:bottom w:val="double" w:sz="4" w:space="0" w:color="auto"/>
            </w:tcBorders>
            <w:vAlign w:val="center"/>
          </w:tcPr>
          <w:p w14:paraId="3C596CEC" w14:textId="77777777" w:rsidR="00A34F87" w:rsidRPr="008E516B" w:rsidRDefault="00A34F87" w:rsidP="0058696A">
            <w:pPr>
              <w:jc w:val="center"/>
              <w:rPr>
                <w:sz w:val="18"/>
                <w:szCs w:val="22"/>
              </w:rPr>
            </w:pPr>
            <w:r w:rsidRPr="008E516B">
              <w:rPr>
                <w:sz w:val="18"/>
                <w:szCs w:val="22"/>
              </w:rPr>
              <w:t>3</w:t>
            </w:r>
          </w:p>
        </w:tc>
        <w:tc>
          <w:tcPr>
            <w:tcW w:w="718" w:type="dxa"/>
            <w:vMerge/>
            <w:tcBorders>
              <w:bottom w:val="double" w:sz="4" w:space="0" w:color="auto"/>
            </w:tcBorders>
          </w:tcPr>
          <w:p w14:paraId="4DB45EAB" w14:textId="77777777" w:rsidR="00A34F87" w:rsidRPr="008E516B" w:rsidRDefault="00A34F87" w:rsidP="0058696A">
            <w:pPr>
              <w:spacing w:before="120"/>
              <w:rPr>
                <w:sz w:val="18"/>
                <w:szCs w:val="22"/>
              </w:rPr>
            </w:pPr>
          </w:p>
        </w:tc>
        <w:tc>
          <w:tcPr>
            <w:tcW w:w="808" w:type="dxa"/>
            <w:vMerge/>
            <w:tcBorders>
              <w:bottom w:val="double" w:sz="4" w:space="0" w:color="auto"/>
            </w:tcBorders>
            <w:vAlign w:val="center"/>
          </w:tcPr>
          <w:p w14:paraId="31AB95A8" w14:textId="77777777" w:rsidR="00A34F87" w:rsidRPr="009F382A" w:rsidRDefault="00A34F87" w:rsidP="001C7AEA">
            <w:pPr>
              <w:spacing w:before="120"/>
              <w:jc w:val="center"/>
              <w:rPr>
                <w:b/>
                <w:sz w:val="18"/>
                <w:szCs w:val="22"/>
              </w:rPr>
            </w:pPr>
          </w:p>
        </w:tc>
        <w:tc>
          <w:tcPr>
            <w:tcW w:w="3686" w:type="dxa"/>
            <w:vMerge/>
            <w:tcBorders>
              <w:bottom w:val="double" w:sz="4" w:space="0" w:color="auto"/>
            </w:tcBorders>
          </w:tcPr>
          <w:p w14:paraId="1BA0A429" w14:textId="61D7DFA5" w:rsidR="00A34F87" w:rsidRPr="008E516B" w:rsidRDefault="00A34F87" w:rsidP="0058696A">
            <w:pPr>
              <w:spacing w:before="120"/>
              <w:rPr>
                <w:sz w:val="18"/>
                <w:szCs w:val="22"/>
              </w:rPr>
            </w:pPr>
          </w:p>
        </w:tc>
        <w:tc>
          <w:tcPr>
            <w:tcW w:w="1418" w:type="dxa"/>
            <w:vMerge/>
            <w:tcBorders>
              <w:bottom w:val="double" w:sz="4" w:space="0" w:color="auto"/>
            </w:tcBorders>
            <w:vAlign w:val="center"/>
          </w:tcPr>
          <w:p w14:paraId="62FBECE6" w14:textId="77777777" w:rsidR="00A34F87" w:rsidRPr="00D43463" w:rsidRDefault="00A34F87" w:rsidP="0058696A">
            <w:pPr>
              <w:spacing w:before="120"/>
              <w:jc w:val="center"/>
              <w:rPr>
                <w:b/>
                <w:sz w:val="18"/>
                <w:szCs w:val="22"/>
              </w:rPr>
            </w:pPr>
          </w:p>
        </w:tc>
      </w:tr>
      <w:tr w:rsidR="00A34F87" w:rsidRPr="008E516B" w14:paraId="0288E1A7" w14:textId="77777777" w:rsidTr="00A34F87">
        <w:trPr>
          <w:trHeight w:val="548"/>
          <w:jc w:val="center"/>
        </w:trPr>
        <w:tc>
          <w:tcPr>
            <w:tcW w:w="7760" w:type="dxa"/>
            <w:gridSpan w:val="3"/>
            <w:tcBorders>
              <w:top w:val="double" w:sz="4" w:space="0" w:color="auto"/>
              <w:bottom w:val="single" w:sz="4" w:space="0" w:color="auto"/>
            </w:tcBorders>
            <w:shd w:val="clear" w:color="auto" w:fill="E6E6E6"/>
            <w:vAlign w:val="center"/>
          </w:tcPr>
          <w:p w14:paraId="4BC4DD11" w14:textId="77777777" w:rsidR="00A34F87" w:rsidRPr="008E516B" w:rsidRDefault="00A34F87" w:rsidP="0058696A">
            <w:pPr>
              <w:jc w:val="right"/>
              <w:rPr>
                <w:b/>
                <w:sz w:val="22"/>
                <w:szCs w:val="22"/>
              </w:rPr>
            </w:pPr>
            <w:r w:rsidRPr="008E516B">
              <w:rPr>
                <w:b/>
                <w:sz w:val="22"/>
                <w:szCs w:val="22"/>
              </w:rPr>
              <w:t>Total Score:</w:t>
            </w:r>
          </w:p>
        </w:tc>
        <w:tc>
          <w:tcPr>
            <w:tcW w:w="718" w:type="dxa"/>
            <w:tcBorders>
              <w:top w:val="double" w:sz="4" w:space="0" w:color="auto"/>
            </w:tcBorders>
            <w:vAlign w:val="center"/>
          </w:tcPr>
          <w:p w14:paraId="5A61C066" w14:textId="6A11EB69" w:rsidR="00A34F87" w:rsidRPr="008E516B" w:rsidRDefault="00A34F87" w:rsidP="0058696A">
            <w:pPr>
              <w:jc w:val="center"/>
              <w:rPr>
                <w:b/>
                <w:sz w:val="22"/>
                <w:szCs w:val="22"/>
              </w:rPr>
            </w:pPr>
            <w:r>
              <w:rPr>
                <w:b/>
                <w:sz w:val="22"/>
                <w:szCs w:val="22"/>
              </w:rPr>
              <w:t>14/45</w:t>
            </w:r>
          </w:p>
        </w:tc>
        <w:tc>
          <w:tcPr>
            <w:tcW w:w="808" w:type="dxa"/>
            <w:tcBorders>
              <w:top w:val="double" w:sz="4" w:space="0" w:color="auto"/>
            </w:tcBorders>
            <w:vAlign w:val="center"/>
          </w:tcPr>
          <w:p w14:paraId="74F7638B" w14:textId="3E0E12EC" w:rsidR="00A34F87" w:rsidRPr="009F382A" w:rsidRDefault="00A4704C" w:rsidP="009F382A">
            <w:pPr>
              <w:jc w:val="center"/>
              <w:rPr>
                <w:b/>
                <w:sz w:val="18"/>
                <w:szCs w:val="22"/>
              </w:rPr>
            </w:pPr>
            <w:r>
              <w:rPr>
                <w:b/>
                <w:sz w:val="22"/>
                <w:szCs w:val="22"/>
              </w:rPr>
              <w:t>30</w:t>
            </w:r>
            <w:r w:rsidR="00A34F87">
              <w:rPr>
                <w:b/>
                <w:sz w:val="22"/>
                <w:szCs w:val="22"/>
              </w:rPr>
              <w:t>/45</w:t>
            </w:r>
          </w:p>
        </w:tc>
        <w:tc>
          <w:tcPr>
            <w:tcW w:w="3686" w:type="dxa"/>
            <w:tcBorders>
              <w:top w:val="double" w:sz="4" w:space="0" w:color="auto"/>
            </w:tcBorders>
          </w:tcPr>
          <w:p w14:paraId="78A6BB7D" w14:textId="77777777" w:rsidR="00A34F87" w:rsidRPr="008E516B" w:rsidRDefault="00A34F87" w:rsidP="0058696A">
            <w:pPr>
              <w:spacing w:before="120"/>
              <w:jc w:val="center"/>
              <w:rPr>
                <w:sz w:val="18"/>
                <w:szCs w:val="22"/>
              </w:rPr>
            </w:pPr>
          </w:p>
        </w:tc>
        <w:tc>
          <w:tcPr>
            <w:tcW w:w="1418" w:type="dxa"/>
            <w:tcBorders>
              <w:top w:val="double" w:sz="4" w:space="0" w:color="auto"/>
            </w:tcBorders>
          </w:tcPr>
          <w:p w14:paraId="731EE01E" w14:textId="757A8755" w:rsidR="00A34F87" w:rsidRPr="00D43463" w:rsidRDefault="00A34F87" w:rsidP="0058696A">
            <w:pPr>
              <w:spacing w:before="120"/>
              <w:jc w:val="center"/>
              <w:rPr>
                <w:b/>
                <w:sz w:val="18"/>
                <w:szCs w:val="22"/>
              </w:rPr>
            </w:pPr>
          </w:p>
        </w:tc>
      </w:tr>
    </w:tbl>
    <w:p w14:paraId="4FFB64C2" w14:textId="77777777" w:rsidR="00EA7528" w:rsidRDefault="00EA7528">
      <w:pPr>
        <w:widowControl/>
        <w:autoSpaceDE/>
        <w:autoSpaceDN/>
        <w:adjustRightInd/>
        <w:sectPr w:rsidR="00EA7528" w:rsidSect="00EA7528">
          <w:pgSz w:w="16820" w:h="11900" w:orient="landscape" w:code="9"/>
          <w:pgMar w:top="1134" w:right="1134" w:bottom="1134" w:left="1134" w:header="851" w:footer="851" w:gutter="0"/>
          <w:cols w:space="720"/>
          <w:noEndnote/>
        </w:sectPr>
      </w:pPr>
    </w:p>
    <w:p w14:paraId="6EBD224D" w14:textId="6FA81EC3" w:rsidR="008977A1" w:rsidRPr="00FB6D4E" w:rsidRDefault="00D76E1E" w:rsidP="008977A1">
      <w:pPr>
        <w:pStyle w:val="Heading1"/>
        <w:spacing w:before="120" w:after="120"/>
        <w:rPr>
          <w:sz w:val="24"/>
          <w:szCs w:val="24"/>
        </w:rPr>
      </w:pPr>
      <w:bookmarkStart w:id="169" w:name="_Toc308103279"/>
      <w:r>
        <w:rPr>
          <w:sz w:val="24"/>
          <w:szCs w:val="24"/>
        </w:rPr>
        <w:t xml:space="preserve">Annex </w:t>
      </w:r>
      <w:r w:rsidR="00EA7528">
        <w:rPr>
          <w:sz w:val="24"/>
          <w:szCs w:val="24"/>
        </w:rPr>
        <w:t>11</w:t>
      </w:r>
      <w:r w:rsidR="008977A1">
        <w:rPr>
          <w:sz w:val="24"/>
          <w:szCs w:val="24"/>
        </w:rPr>
        <w:t>:</w:t>
      </w:r>
      <w:r w:rsidR="008977A1" w:rsidRPr="00FB6D4E">
        <w:rPr>
          <w:sz w:val="24"/>
          <w:szCs w:val="24"/>
        </w:rPr>
        <w:t xml:space="preserve">  </w:t>
      </w:r>
      <w:r w:rsidR="0090296E">
        <w:rPr>
          <w:sz w:val="24"/>
          <w:szCs w:val="24"/>
        </w:rPr>
        <w:t xml:space="preserve">Evaluation </w:t>
      </w:r>
      <w:r w:rsidR="00B47E75" w:rsidRPr="00B47E75">
        <w:rPr>
          <w:sz w:val="24"/>
          <w:szCs w:val="24"/>
        </w:rPr>
        <w:t>Report Clearance Form</w:t>
      </w:r>
      <w:bookmarkEnd w:id="169"/>
    </w:p>
    <w:p w14:paraId="68D9C873" w14:textId="77777777" w:rsidR="00B47E75" w:rsidRDefault="00B47E75" w:rsidP="0090296E">
      <w:pPr>
        <w:pStyle w:val="Heading31"/>
        <w:pBdr>
          <w:bottom w:val="none" w:sz="0" w:space="0" w:color="auto"/>
        </w:pBdr>
        <w:spacing w:before="0" w:line="240" w:lineRule="auto"/>
        <w:jc w:val="center"/>
      </w:pPr>
    </w:p>
    <w:p w14:paraId="3E7A6643" w14:textId="77777777" w:rsidR="0090296E" w:rsidRPr="002F353A" w:rsidRDefault="00B47E75" w:rsidP="0090296E">
      <w:pPr>
        <w:pStyle w:val="Heading31"/>
        <w:pBdr>
          <w:bottom w:val="none" w:sz="0" w:space="0" w:color="auto"/>
        </w:pBdr>
        <w:spacing w:before="0" w:line="240" w:lineRule="auto"/>
        <w:jc w:val="center"/>
      </w:pPr>
      <w:r w:rsidRPr="002F353A">
        <w:t xml:space="preserve">Evaluation Report Clearance Form </w:t>
      </w:r>
    </w:p>
    <w:p w14:paraId="432EC188" w14:textId="2327D0D4" w:rsidR="00B47E75" w:rsidRPr="002F353A" w:rsidRDefault="0090296E" w:rsidP="00954A31">
      <w:pPr>
        <w:pStyle w:val="Heading31"/>
        <w:pBdr>
          <w:bottom w:val="none" w:sz="0" w:space="0" w:color="auto"/>
        </w:pBdr>
        <w:spacing w:before="0" w:line="240" w:lineRule="auto"/>
        <w:jc w:val="center"/>
        <w:rPr>
          <w:b w:val="0"/>
          <w:caps w:val="0"/>
        </w:rPr>
      </w:pPr>
      <w:r w:rsidRPr="002F353A">
        <w:rPr>
          <w:b w:val="0"/>
          <w:caps w:val="0"/>
        </w:rPr>
        <w:t>for the Evaluation Report of the EFR Project</w:t>
      </w:r>
      <w:r w:rsidR="00954A31" w:rsidRPr="002F353A">
        <w:rPr>
          <w:b w:val="0"/>
          <w:caps w:val="0"/>
        </w:rPr>
        <w:t xml:space="preserve"> </w:t>
      </w:r>
    </w:p>
    <w:p w14:paraId="465933DF" w14:textId="0D698B0C" w:rsidR="00954A31" w:rsidRPr="002F353A" w:rsidRDefault="00954A31" w:rsidP="00954A31">
      <w:pPr>
        <w:jc w:val="center"/>
        <w:rPr>
          <w:i/>
        </w:rPr>
      </w:pPr>
      <w:r w:rsidRPr="002F353A">
        <w:rPr>
          <w:i/>
        </w:rPr>
        <w:t>“Strengthening capacities to undertake environmental fiscal reform to meet national and global environmental priorities”</w:t>
      </w:r>
    </w:p>
    <w:p w14:paraId="2FF6BD56" w14:textId="6727D058" w:rsidR="0090296E" w:rsidRPr="002F353A" w:rsidRDefault="00954A31" w:rsidP="00954A31">
      <w:pPr>
        <w:jc w:val="center"/>
        <w:rPr>
          <w:caps/>
          <w:sz w:val="20"/>
          <w:szCs w:val="20"/>
        </w:rPr>
      </w:pPr>
      <w:r w:rsidRPr="002F353A">
        <w:rPr>
          <w:caps/>
          <w:sz w:val="20"/>
          <w:szCs w:val="20"/>
        </w:rPr>
        <w:t>(</w:t>
      </w:r>
      <w:r w:rsidRPr="002F353A">
        <w:rPr>
          <w:sz w:val="20"/>
          <w:szCs w:val="20"/>
        </w:rPr>
        <w:t>Project ID GEF: 4183 – Atlas: 78482</w:t>
      </w:r>
      <w:r w:rsidRPr="002F353A">
        <w:rPr>
          <w:caps/>
          <w:sz w:val="20"/>
          <w:szCs w:val="20"/>
        </w:rPr>
        <w:t>)</w:t>
      </w:r>
    </w:p>
    <w:p w14:paraId="7D70B41B" w14:textId="77777777" w:rsidR="00954A31" w:rsidRPr="002F353A" w:rsidRDefault="00954A31" w:rsidP="00954A31">
      <w:pPr>
        <w:jc w:val="center"/>
      </w:pPr>
    </w:p>
    <w:tbl>
      <w:tblPr>
        <w:tblStyle w:val="TableGrid"/>
        <w:tblW w:w="0" w:type="auto"/>
        <w:tblLook w:val="04A0" w:firstRow="1" w:lastRow="0" w:firstColumn="1" w:lastColumn="0" w:noHBand="0" w:noVBand="1"/>
      </w:tblPr>
      <w:tblGrid>
        <w:gridCol w:w="9848"/>
      </w:tblGrid>
      <w:tr w:rsidR="00954A31" w14:paraId="09FF9C9A" w14:textId="77777777" w:rsidTr="00954A31">
        <w:tc>
          <w:tcPr>
            <w:tcW w:w="9848" w:type="dxa"/>
          </w:tcPr>
          <w:p w14:paraId="2F0B75DA" w14:textId="77777777" w:rsidR="00954A31" w:rsidRPr="002F353A" w:rsidRDefault="00954A31" w:rsidP="00954A31">
            <w:pPr>
              <w:rPr>
                <w:i/>
              </w:rPr>
            </w:pPr>
            <w:r w:rsidRPr="002F353A">
              <w:rPr>
                <w:i/>
              </w:rPr>
              <w:t>Evaluation Report Reviewed and Cleared by</w:t>
            </w:r>
          </w:p>
          <w:p w14:paraId="148A6A60" w14:textId="77777777" w:rsidR="00954A31" w:rsidRDefault="00954A31" w:rsidP="00954A31"/>
          <w:p w14:paraId="68049CFE" w14:textId="77777777" w:rsidR="002F353A" w:rsidRDefault="002F353A" w:rsidP="00954A31"/>
          <w:p w14:paraId="65B4FBFE" w14:textId="77777777" w:rsidR="00954A31" w:rsidRPr="002F353A" w:rsidRDefault="00954A31" w:rsidP="00954A31">
            <w:pPr>
              <w:rPr>
                <w:b/>
                <w:i/>
              </w:rPr>
            </w:pPr>
            <w:r w:rsidRPr="002F353A">
              <w:rPr>
                <w:b/>
                <w:i/>
              </w:rPr>
              <w:t>UNDP Country Office</w:t>
            </w:r>
          </w:p>
          <w:p w14:paraId="79314036" w14:textId="77777777" w:rsidR="002F353A" w:rsidRDefault="002F353A" w:rsidP="00954A31"/>
          <w:p w14:paraId="6B342A45" w14:textId="77777777" w:rsidR="00954A31" w:rsidRDefault="00954A31" w:rsidP="00954A31">
            <w:r>
              <w:t>Name: ___________________________________________________</w:t>
            </w:r>
          </w:p>
          <w:p w14:paraId="71794097" w14:textId="77777777" w:rsidR="002F353A" w:rsidRDefault="002F353A" w:rsidP="00954A31"/>
          <w:p w14:paraId="53AFCD20" w14:textId="77777777" w:rsidR="002F353A" w:rsidRDefault="002F353A" w:rsidP="00954A31"/>
          <w:p w14:paraId="047DCC89" w14:textId="77777777" w:rsidR="002F353A" w:rsidRDefault="002F353A" w:rsidP="00954A31"/>
          <w:p w14:paraId="1A5D3099" w14:textId="77777777" w:rsidR="002F353A" w:rsidRDefault="002F353A" w:rsidP="00954A31"/>
          <w:p w14:paraId="4B468197" w14:textId="77777777" w:rsidR="00954A31" w:rsidRDefault="00954A31" w:rsidP="00954A31">
            <w:r>
              <w:t>Signature: ______________________________ Date: _________________________________</w:t>
            </w:r>
          </w:p>
          <w:p w14:paraId="37CA23FA" w14:textId="77777777" w:rsidR="002F353A" w:rsidRDefault="002F353A" w:rsidP="00954A31"/>
          <w:p w14:paraId="1407A626" w14:textId="77777777" w:rsidR="002F353A" w:rsidRDefault="002F353A" w:rsidP="00954A31"/>
          <w:p w14:paraId="6AE666AE" w14:textId="77777777" w:rsidR="00954A31" w:rsidRPr="002F353A" w:rsidRDefault="00954A31" w:rsidP="00954A31">
            <w:pPr>
              <w:rPr>
                <w:b/>
                <w:i/>
              </w:rPr>
            </w:pPr>
            <w:r w:rsidRPr="002F353A">
              <w:rPr>
                <w:b/>
                <w:i/>
              </w:rPr>
              <w:t>UNDP GEF RTA</w:t>
            </w:r>
          </w:p>
          <w:p w14:paraId="03A8AE3E" w14:textId="77777777" w:rsidR="002F353A" w:rsidRDefault="002F353A" w:rsidP="00954A31"/>
          <w:p w14:paraId="23FDFF79" w14:textId="6BCD57F5" w:rsidR="00954A31" w:rsidRDefault="002F353A" w:rsidP="00954A31">
            <w:r>
              <w:t>Name: _</w:t>
            </w:r>
            <w:r w:rsidR="00954A31">
              <w:t>__________________________________________________</w:t>
            </w:r>
          </w:p>
          <w:p w14:paraId="3FB45188" w14:textId="77777777" w:rsidR="002F353A" w:rsidRDefault="002F353A" w:rsidP="00954A31"/>
          <w:p w14:paraId="041E2D9C" w14:textId="77777777" w:rsidR="002F353A" w:rsidRDefault="002F353A" w:rsidP="00954A31"/>
          <w:p w14:paraId="691C573E" w14:textId="77777777" w:rsidR="002F353A" w:rsidRDefault="002F353A" w:rsidP="00954A31"/>
          <w:p w14:paraId="14C86CDA" w14:textId="77777777" w:rsidR="002F353A" w:rsidRDefault="002F353A" w:rsidP="00954A31"/>
          <w:p w14:paraId="60D2F2D4" w14:textId="77777777" w:rsidR="00954A31" w:rsidRDefault="00954A31" w:rsidP="00954A31">
            <w:r>
              <w:t>Signature: ______________________________ Date: _________________________________</w:t>
            </w:r>
          </w:p>
          <w:p w14:paraId="057F918E" w14:textId="623E8BEA" w:rsidR="002F353A" w:rsidRDefault="002F353A" w:rsidP="00954A31">
            <w:pPr>
              <w:rPr>
                <w:highlight w:val="yellow"/>
              </w:rPr>
            </w:pPr>
          </w:p>
        </w:tc>
      </w:tr>
    </w:tbl>
    <w:p w14:paraId="5EAB67CC" w14:textId="2EB8E2DA" w:rsidR="00303C07" w:rsidRPr="00C94537" w:rsidRDefault="00303C07" w:rsidP="00C94537">
      <w:pPr>
        <w:widowControl/>
        <w:autoSpaceDE/>
        <w:autoSpaceDN/>
        <w:adjustRightInd/>
        <w:rPr>
          <w:sz w:val="22"/>
          <w:szCs w:val="22"/>
        </w:rPr>
      </w:pPr>
    </w:p>
    <w:sectPr w:rsidR="00303C07" w:rsidRPr="00C94537" w:rsidSect="00140CF8">
      <w:pgSz w:w="11900" w:h="16820" w:code="9"/>
      <w:pgMar w:top="1134" w:right="1134" w:bottom="1134" w:left="1134" w:header="851"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F8F0F" w14:textId="77777777" w:rsidR="004D21B9" w:rsidRDefault="004D21B9">
      <w:r>
        <w:separator/>
      </w:r>
    </w:p>
  </w:endnote>
  <w:endnote w:type="continuationSeparator" w:id="0">
    <w:p w14:paraId="08AEB67A" w14:textId="77777777" w:rsidR="004D21B9" w:rsidRDefault="004D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arnockPro-Light">
    <w:panose1 w:val="00000000000000000000"/>
    <w:charset w:val="00"/>
    <w:family w:val="roman"/>
    <w:notTrueType/>
    <w:pitch w:val="default"/>
    <w:sig w:usb0="00000003" w:usb1="00000000" w:usb2="00000000" w:usb3="00000000" w:csb0="00000001" w:csb1="00000000"/>
  </w:font>
  <w:font w:name="Myriad-Bold">
    <w:altName w:val="Arial"/>
    <w:panose1 w:val="00000000000000000000"/>
    <w:charset w:val="00"/>
    <w:family w:val="swiss"/>
    <w:notTrueType/>
    <w:pitch w:val="default"/>
    <w:sig w:usb0="00000003" w:usb1="00000000" w:usb2="00000000" w:usb3="00000000" w:csb0="00000001" w:csb1="00000000"/>
  </w:font>
  <w:font w:name="ACaslon-Regular">
    <w:altName w:val="ＭＳ 明朝"/>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A782" w14:textId="77777777" w:rsidR="00B10766" w:rsidRDefault="00B10766" w:rsidP="00A52B28">
    <w:pPr>
      <w:framePr w:wrap="around" w:vAnchor="text" w:hAnchor="margin" w:xAlign="right" w:y="1"/>
    </w:pPr>
    <w:r>
      <w:fldChar w:fldCharType="begin"/>
    </w:r>
    <w:r>
      <w:instrText xml:space="preserve">PAGE  </w:instrText>
    </w:r>
    <w:r>
      <w:fldChar w:fldCharType="end"/>
    </w:r>
  </w:p>
  <w:p w14:paraId="39932707" w14:textId="77777777" w:rsidR="00B10766" w:rsidRDefault="00B10766" w:rsidP="00A52B2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51E3C" w14:textId="77777777" w:rsidR="00B10766" w:rsidRDefault="00B10766" w:rsidP="00C90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4965D743" w14:textId="77777777" w:rsidR="00B10766" w:rsidRDefault="00B10766" w:rsidP="001E5C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F4E6" w14:textId="77777777" w:rsidR="00B10766" w:rsidRPr="005435A1" w:rsidRDefault="00B10766" w:rsidP="008A5909">
    <w:pPr>
      <w:pBdr>
        <w:top w:val="single" w:sz="4" w:space="1" w:color="auto"/>
      </w:pBdr>
      <w:tabs>
        <w:tab w:val="right" w:pos="9639"/>
      </w:tabs>
      <w:jc w:val="both"/>
      <w:rPr>
        <w:rFonts w:ascii="Arial" w:hAnsi="Arial" w:cs="Arial"/>
        <w:sz w:val="14"/>
        <w:szCs w:val="14"/>
        <w:lang w:val="en-CA"/>
      </w:rPr>
    </w:pPr>
    <w:r w:rsidRPr="00CE01D4">
      <w:rPr>
        <w:rFonts w:ascii="Arial" w:hAnsi="Arial" w:cs="Arial"/>
        <w:sz w:val="14"/>
        <w:szCs w:val="14"/>
        <w:lang w:val="en-CA"/>
      </w:rPr>
      <w:t xml:space="preserve">TE </w:t>
    </w:r>
    <w:r w:rsidRPr="005435A1">
      <w:rPr>
        <w:rFonts w:ascii="Arial" w:hAnsi="Arial" w:cs="Arial"/>
        <w:sz w:val="14"/>
        <w:szCs w:val="14"/>
        <w:lang w:val="en-CA"/>
      </w:rPr>
      <w:t>of the UNDP-supported-GEF-financed Project “</w:t>
    </w:r>
    <w:r w:rsidRPr="005435A1">
      <w:rPr>
        <w:rFonts w:ascii="Arial" w:hAnsi="Arial" w:cs="Arial"/>
        <w:i/>
        <w:sz w:val="14"/>
        <w:szCs w:val="14"/>
        <w:lang w:val="en-CA"/>
      </w:rPr>
      <w:t>Strengthening capacities to undertake environmental fiscal reform to meet national and global environmental priorities</w:t>
    </w:r>
    <w:r w:rsidRPr="005435A1">
      <w:rPr>
        <w:rFonts w:ascii="Arial" w:hAnsi="Arial" w:cs="Arial"/>
        <w:sz w:val="14"/>
        <w:szCs w:val="14"/>
        <w:lang w:val="en-CA"/>
      </w:rPr>
      <w:t>” (Moldova)</w:t>
    </w:r>
    <w:r w:rsidRPr="002C4FFB">
      <w:rPr>
        <w:rFonts w:ascii="Arial" w:hAnsi="Arial" w:cs="Arial"/>
        <w:sz w:val="16"/>
        <w:szCs w:val="16"/>
        <w:lang w:val="en-CA"/>
      </w:rPr>
      <w:tab/>
    </w:r>
    <w:r w:rsidRPr="00A73AFD">
      <w:rPr>
        <w:rFonts w:ascii="Arial" w:hAnsi="Arial" w:cs="Arial"/>
        <w:bCs/>
        <w:sz w:val="16"/>
        <w:szCs w:val="16"/>
        <w:lang w:val="en-CA"/>
      </w:rPr>
      <w:fldChar w:fldCharType="begin"/>
    </w:r>
    <w:r w:rsidRPr="00A73AFD">
      <w:rPr>
        <w:rFonts w:ascii="Arial" w:hAnsi="Arial" w:cs="Arial"/>
        <w:bCs/>
        <w:sz w:val="16"/>
        <w:szCs w:val="16"/>
        <w:lang w:val="en-CA"/>
      </w:rPr>
      <w:instrText xml:space="preserve">PAGE </w:instrText>
    </w:r>
    <w:r w:rsidRPr="00A73AFD">
      <w:rPr>
        <w:rFonts w:ascii="Arial" w:hAnsi="Arial" w:cs="Arial"/>
        <w:bCs/>
        <w:sz w:val="16"/>
        <w:szCs w:val="16"/>
        <w:lang w:val="en-CA"/>
      </w:rPr>
      <w:fldChar w:fldCharType="separate"/>
    </w:r>
    <w:r w:rsidR="004E41F0">
      <w:rPr>
        <w:rFonts w:ascii="Arial" w:hAnsi="Arial" w:cs="Arial"/>
        <w:bCs/>
        <w:noProof/>
        <w:sz w:val="16"/>
        <w:szCs w:val="16"/>
        <w:lang w:val="en-CA"/>
      </w:rPr>
      <w:t>i</w:t>
    </w:r>
    <w:r w:rsidRPr="00A73AFD">
      <w:rPr>
        <w:rFonts w:ascii="Arial" w:hAnsi="Arial" w:cs="Arial"/>
        <w:bCs/>
        <w:sz w:val="16"/>
        <w:szCs w:val="16"/>
        <w:lang w:val="en-C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32CB3" w14:textId="77777777" w:rsidR="00B10766" w:rsidRDefault="00B10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6BA07" w14:textId="77777777" w:rsidR="00B10766" w:rsidRDefault="00B107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62570" w14:textId="77777777" w:rsidR="00B10766" w:rsidRDefault="00B10766" w:rsidP="00A52B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72C1B" w14:textId="77777777" w:rsidR="00B10766" w:rsidRDefault="00B10766" w:rsidP="00A52B2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179CA" w14:textId="77777777" w:rsidR="00B10766" w:rsidRDefault="00B10766" w:rsidP="00B23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284D" w14:textId="77777777" w:rsidR="00B10766" w:rsidRDefault="00B10766" w:rsidP="00B23AB4">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18E1" w14:textId="77777777" w:rsidR="00B10766" w:rsidRDefault="00B10766" w:rsidP="00A52B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441A3" w14:textId="77777777" w:rsidR="00B10766" w:rsidRDefault="00B10766" w:rsidP="00A52B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B30E7" w14:textId="77777777" w:rsidR="004D21B9" w:rsidRDefault="004D21B9">
      <w:r>
        <w:separator/>
      </w:r>
    </w:p>
  </w:footnote>
  <w:footnote w:type="continuationSeparator" w:id="0">
    <w:p w14:paraId="4EC8B686" w14:textId="77777777" w:rsidR="004D21B9" w:rsidRDefault="004D21B9">
      <w:r>
        <w:continuationSeparator/>
      </w:r>
    </w:p>
  </w:footnote>
  <w:footnote w:id="1">
    <w:p w14:paraId="7CF115FE" w14:textId="77777777" w:rsidR="00B10766" w:rsidRPr="002E2766" w:rsidRDefault="00B10766" w:rsidP="003F23AA">
      <w:pPr>
        <w:pStyle w:val="FootnoteText"/>
      </w:pPr>
      <w:r w:rsidRPr="002E2766">
        <w:rPr>
          <w:rStyle w:val="FootnoteReference"/>
        </w:rPr>
        <w:footnoteRef/>
      </w:r>
      <w:r w:rsidRPr="002E2766">
        <w:t xml:space="preserve"> Conclusions and Recommendations are in Chapter 1 with a brief background section. It is structured as an Execu</w:t>
      </w:r>
      <w:r>
        <w:t>tive Summary and a stand-alone s</w:t>
      </w:r>
      <w:r w:rsidRPr="002E2766">
        <w:t>ection presenting the highlights of this final evaluation.</w:t>
      </w:r>
    </w:p>
  </w:footnote>
  <w:footnote w:id="2">
    <w:p w14:paraId="369D7B45" w14:textId="77777777" w:rsidR="00B10766" w:rsidRPr="002E2766" w:rsidRDefault="00B10766" w:rsidP="00C82BC8">
      <w:pPr>
        <w:pStyle w:val="FootnoteText"/>
        <w:tabs>
          <w:tab w:val="left" w:pos="284"/>
        </w:tabs>
      </w:pPr>
      <w:r w:rsidRPr="00C82BC8">
        <w:rPr>
          <w:rStyle w:val="FootnoteReference"/>
          <w:szCs w:val="18"/>
          <w:vertAlign w:val="superscript"/>
        </w:rPr>
        <w:footnoteRef/>
      </w:r>
      <w:r w:rsidRPr="002E2766">
        <w:t xml:space="preserve"> </w:t>
      </w:r>
      <w:r w:rsidRPr="002E2766">
        <w:tab/>
        <w:t xml:space="preserve">UNDP Evaluation Office, 2012, </w:t>
      </w:r>
      <w:r w:rsidRPr="002E2766">
        <w:rPr>
          <w:i/>
        </w:rPr>
        <w:t>Project-Level Evaluation – Guidance for Conducting Terminal Evaluations of UNDP-Supported, GEF-Financed Projects</w:t>
      </w:r>
      <w:r w:rsidRPr="002E2766">
        <w:t>.</w:t>
      </w:r>
    </w:p>
  </w:footnote>
  <w:footnote w:id="3">
    <w:p w14:paraId="47E5BF6A" w14:textId="77777777" w:rsidR="00B10766" w:rsidRPr="007E5690" w:rsidRDefault="00B10766" w:rsidP="00986CED">
      <w:pPr>
        <w:pStyle w:val="FootnoteText"/>
        <w:rPr>
          <w:lang w:val="fr-FR"/>
        </w:rPr>
      </w:pPr>
      <w:r>
        <w:rPr>
          <w:rStyle w:val="FootnoteReference"/>
        </w:rPr>
        <w:footnoteRef/>
      </w:r>
      <w:r>
        <w:t xml:space="preserve"> UNDP defines NIM (National Implementation Modality) as the </w:t>
      </w:r>
      <w:r w:rsidRPr="007E5690">
        <w:t>management of UNDP programme activities in a specific programme country carried out by an eligible national entity of that country</w:t>
      </w:r>
      <w:r>
        <w:t>. It is expected to contribute most effectively to: (i) greater national self-reliance by effective use and strengthening of the management capabilities, and technical expertise of national institutions and individuals, through learning by doing; (ii) enhanced sustainability of development programmes and projects by increasing national ownership of, and commitment to development activities; and (iii) reduced workload and integration with national programmes through greater use of appropriate national systems and procedures. (</w:t>
      </w:r>
      <w:r w:rsidRPr="008D0A2A">
        <w:rPr>
          <w:i/>
        </w:rPr>
        <w:t>Source: UNDP Financial R</w:t>
      </w:r>
      <w:r>
        <w:rPr>
          <w:i/>
        </w:rPr>
        <w:t>e</w:t>
      </w:r>
      <w:r w:rsidRPr="008D0A2A">
        <w:rPr>
          <w:i/>
        </w:rPr>
        <w:t>sources</w:t>
      </w:r>
      <w:r>
        <w:t>)</w:t>
      </w:r>
    </w:p>
  </w:footnote>
  <w:footnote w:id="4">
    <w:p w14:paraId="2F0DDD65" w14:textId="0B57AD39" w:rsidR="00B10766" w:rsidRPr="00BD03BE" w:rsidRDefault="00B10766">
      <w:pPr>
        <w:pStyle w:val="FootnoteText"/>
      </w:pPr>
      <w:r w:rsidRPr="00BD03BE">
        <w:rPr>
          <w:rStyle w:val="FootnoteReference"/>
        </w:rPr>
        <w:footnoteRef/>
      </w:r>
      <w:r w:rsidRPr="00BD03BE">
        <w:t xml:space="preserve"> Includes some expenditures expended in 2011.</w:t>
      </w:r>
    </w:p>
  </w:footnote>
  <w:footnote w:id="5">
    <w:p w14:paraId="75688F7C" w14:textId="001F1C28" w:rsidR="00B10766" w:rsidRPr="003C763D" w:rsidRDefault="00B10766">
      <w:pPr>
        <w:pStyle w:val="FootnoteText"/>
      </w:pPr>
      <w:r w:rsidRPr="003C763D">
        <w:rPr>
          <w:rStyle w:val="FootnoteReference"/>
        </w:rPr>
        <w:footnoteRef/>
      </w:r>
      <w:r w:rsidRPr="003C763D">
        <w:t xml:space="preserve"> Includes provisional data for the remaining part of the project.</w:t>
      </w:r>
    </w:p>
  </w:footnote>
  <w:footnote w:id="6">
    <w:p w14:paraId="5639332C" w14:textId="5E14F06C" w:rsidR="00B10766" w:rsidRPr="00060BDE" w:rsidRDefault="00B10766">
      <w:pPr>
        <w:pStyle w:val="FootnoteText"/>
      </w:pPr>
      <w:r w:rsidRPr="00060BDE">
        <w:rPr>
          <w:rStyle w:val="FootnoteReference"/>
        </w:rPr>
        <w:footnoteRef/>
      </w:r>
      <w:r w:rsidRPr="00060BDE">
        <w:t xml:space="preserve"> The </w:t>
      </w:r>
      <w:r>
        <w:t xml:space="preserve">OECD </w:t>
      </w:r>
      <w:r w:rsidRPr="00060BDE">
        <w:t>co-financing commitment was 150,000 euros converted to USD 200,000 at the time of the project formulation.</w:t>
      </w:r>
    </w:p>
  </w:footnote>
  <w:footnote w:id="7">
    <w:p w14:paraId="3C0F4878" w14:textId="77777777" w:rsidR="00B10766" w:rsidRPr="008200B5" w:rsidRDefault="00B10766" w:rsidP="000C3DB0">
      <w:pPr>
        <w:pStyle w:val="FootnoteText"/>
        <w:rPr>
          <w:lang w:val="fr-FR"/>
        </w:rPr>
      </w:pPr>
      <w:r>
        <w:rPr>
          <w:rStyle w:val="FootnoteReference"/>
        </w:rPr>
        <w:footnoteRef/>
      </w:r>
      <w:r>
        <w:t xml:space="preserve"> SMART: Specific, Measurable, Attainable, Relevant and T</w:t>
      </w:r>
      <w:r w:rsidRPr="008200B5">
        <w:t>ime-bound</w:t>
      </w:r>
      <w:r>
        <w:t>.</w:t>
      </w:r>
    </w:p>
  </w:footnote>
  <w:footnote w:id="8">
    <w:p w14:paraId="36B25460" w14:textId="6E7D3463" w:rsidR="00B10766" w:rsidRPr="00882D6C" w:rsidRDefault="00B10766">
      <w:pPr>
        <w:pStyle w:val="FootnoteText"/>
        <w:rPr>
          <w:lang w:val="fr-FR"/>
        </w:rPr>
      </w:pPr>
      <w:r>
        <w:rPr>
          <w:rStyle w:val="FootnoteReference"/>
        </w:rPr>
        <w:footnoteRef/>
      </w:r>
      <w:r>
        <w:t xml:space="preserve"> </w:t>
      </w:r>
      <w:r w:rsidRPr="00882D6C">
        <w:t>The “</w:t>
      </w:r>
      <w:r w:rsidRPr="00882D6C">
        <w:rPr>
          <w:i/>
        </w:rPr>
        <w:t>Theory of Change</w:t>
      </w:r>
      <w:r w:rsidRPr="00882D6C">
        <w:t>” is an approach that focuses on explaining the process of change by outlining causal linkages in an initiative: its shorter-term, intermediate, and longer-term outcomes. When used at the emergence of a project concept, the “Theory of Change” defines long-term goals and then maps backward to identify the necessary preconditions to reach these goals. The identified changes are mapped – as the “outcomes pathway” – showing each outcome in logical relationship to all the others, as well as chronological flow. The innovation of this approach lies (1) in making the distinction between desired and actual outcomes, and (2) in requiring stakeholders to model their desired outcomes before they decide on forms of intervention to achieve those outcomes.</w:t>
      </w:r>
    </w:p>
  </w:footnote>
  <w:footnote w:id="9">
    <w:p w14:paraId="5D705B06" w14:textId="77777777" w:rsidR="00B10766" w:rsidRDefault="00B10766" w:rsidP="008430AC">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1"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10">
    <w:p w14:paraId="3A60CD4C" w14:textId="77777777" w:rsidR="00B10766" w:rsidRPr="00022F8E" w:rsidRDefault="00B10766">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2" w:history="1">
        <w:r w:rsidRPr="00E23201">
          <w:rPr>
            <w:rStyle w:val="Hyperlink"/>
            <w:lang w:val="en-GB"/>
          </w:rPr>
          <w:t xml:space="preserve"> ROTI Handbook 2009</w:t>
        </w:r>
      </w:hyperlink>
    </w:p>
  </w:footnote>
  <w:footnote w:id="11">
    <w:p w14:paraId="2EB0A777" w14:textId="77777777" w:rsidR="00B10766" w:rsidRDefault="00B10766" w:rsidP="008430AC">
      <w:pPr>
        <w:pStyle w:val="FootnoteText"/>
      </w:pPr>
      <w:r w:rsidRPr="004B6248">
        <w:rPr>
          <w:rStyle w:val="FootnoteReference"/>
        </w:rPr>
        <w:footnoteRef/>
      </w:r>
      <w:r w:rsidRPr="00FB1376">
        <w:t>www.unevaluation.org/unegcodeofconduct</w:t>
      </w:r>
    </w:p>
    <w:p w14:paraId="4A154550" w14:textId="77777777" w:rsidR="00B10766" w:rsidRDefault="00B10766" w:rsidP="008430AC">
      <w:pPr>
        <w:pStyle w:val="FootnoteText"/>
      </w:pPr>
    </w:p>
  </w:footnote>
  <w:footnote w:id="12">
    <w:p w14:paraId="2D10FA09" w14:textId="77777777" w:rsidR="00B10766" w:rsidRPr="002B7151" w:rsidRDefault="00B10766" w:rsidP="008430AC">
      <w:pPr>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50</w:t>
      </w:r>
      <w:r w:rsidRPr="002B7151">
        <w:rPr>
          <w:sz w:val="18"/>
          <w:szCs w:val="18"/>
        </w:rPr>
        <w:t xml:space="preserve"> pages in total (not including annexes).</w:t>
      </w:r>
    </w:p>
  </w:footnote>
  <w:footnote w:id="13">
    <w:p w14:paraId="7F54FB4A" w14:textId="77777777" w:rsidR="00B10766" w:rsidRPr="002B7151" w:rsidRDefault="00B10766" w:rsidP="008430AC">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14">
    <w:p w14:paraId="7A3945C8" w14:textId="77777777" w:rsidR="00B10766" w:rsidRPr="002B7151" w:rsidRDefault="00B10766" w:rsidP="008430AC">
      <w:pPr>
        <w:pStyle w:val="FootnoteText"/>
        <w:rPr>
          <w:szCs w:val="18"/>
        </w:rPr>
      </w:pPr>
      <w:r w:rsidRPr="002B7151">
        <w:rPr>
          <w:rStyle w:val="FootnoteReference"/>
          <w:szCs w:val="18"/>
        </w:rPr>
        <w:footnoteRef/>
      </w:r>
      <w:r w:rsidRPr="002B7151">
        <w:rPr>
          <w:szCs w:val="18"/>
        </w:rPr>
        <w:t xml:space="preserve"> Using a six-point rating scale: 6: Highly Satisfactory, 5: Satisfactory, 4: Marginally Satisfactory, 3: Marginally Unsatisfactory, 2: Unsatisfactory and 1: Highly Unsatisfactory, see section 3.5, page 37 for ratings explanations.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1F56" w14:textId="77777777" w:rsidR="00B10766" w:rsidRDefault="00B10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BE2C" w14:textId="77777777" w:rsidR="00B10766" w:rsidRPr="0080434A" w:rsidRDefault="00B10766" w:rsidP="00A52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3BB7" w14:textId="77777777" w:rsidR="00B10766" w:rsidRDefault="00B107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4016" w14:textId="77777777" w:rsidR="00B10766" w:rsidRDefault="00B107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C224" w14:textId="77777777" w:rsidR="00B10766" w:rsidRDefault="00B107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70F7" w14:textId="77777777" w:rsidR="00B10766" w:rsidRDefault="00B10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2"/>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15:restartNumberingAfterBreak="0">
    <w:nsid w:val="00000003"/>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3" w15:restartNumberingAfterBreak="0">
    <w:nsid w:val="00000004"/>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4" w15:restartNumberingAfterBreak="0">
    <w:nsid w:val="00000005"/>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5" w15:restartNumberingAfterBreak="0">
    <w:nsid w:val="00000006"/>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6" w15:restartNumberingAfterBreak="0">
    <w:nsid w:val="00000007"/>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7" w15:restartNumberingAfterBreak="0">
    <w:nsid w:val="00000008"/>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8" w15:restartNumberingAfterBreak="0">
    <w:nsid w:val="00000009"/>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9" w15:restartNumberingAfterBreak="0">
    <w:nsid w:val="00CE0F88"/>
    <w:multiLevelType w:val="hybridMultilevel"/>
    <w:tmpl w:val="DE7E1CD6"/>
    <w:lvl w:ilvl="0" w:tplc="50A8B7BE">
      <w:start w:val="1"/>
      <w:numFmt w:val="decimal"/>
      <w:lvlText w:val="IV.%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20607D7E">
      <w:start w:val="1"/>
      <w:numFmt w:val="decimal"/>
      <w:lvlText w:val="%3."/>
      <w:lvlJc w:val="left"/>
      <w:pPr>
        <w:ind w:left="2340" w:hanging="360"/>
      </w:pPr>
      <w:rPr>
        <w:rFonts w:hint="default"/>
      </w:rPr>
    </w:lvl>
    <w:lvl w:ilvl="3" w:tplc="907A2E00">
      <w:start w:val="1"/>
      <w:numFmt w:val="decimal"/>
      <w:lvlText w:val="%4)"/>
      <w:lvlJc w:val="left"/>
      <w:pPr>
        <w:ind w:left="3200" w:hanging="68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20443A"/>
    <w:multiLevelType w:val="hybridMultilevel"/>
    <w:tmpl w:val="66D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A6414"/>
    <w:multiLevelType w:val="hybridMultilevel"/>
    <w:tmpl w:val="148CA3FE"/>
    <w:lvl w:ilvl="0" w:tplc="D73A5710">
      <w:start w:val="1"/>
      <w:numFmt w:val="bullet"/>
      <w:pStyle w:val="NormalbulletsChar"/>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30198A"/>
    <w:multiLevelType w:val="hybridMultilevel"/>
    <w:tmpl w:val="0AD85F5A"/>
    <w:lvl w:ilvl="0" w:tplc="F9281274">
      <w:start w:val="1"/>
      <w:numFmt w:val="bullet"/>
      <w:lvlText w:val=""/>
      <w:lvlJc w:val="left"/>
      <w:pPr>
        <w:tabs>
          <w:tab w:val="num" w:pos="360"/>
        </w:tabs>
        <w:ind w:left="360" w:hanging="360"/>
      </w:pPr>
      <w:rPr>
        <w:rFonts w:ascii="Symbol" w:hAnsi="Symbol" w:hint="default"/>
        <w:color w:val="auto"/>
        <w:sz w:val="24"/>
        <w:u w:val="no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605E4A"/>
    <w:multiLevelType w:val="hybridMultilevel"/>
    <w:tmpl w:val="01883CB6"/>
    <w:lvl w:ilvl="0" w:tplc="04090001">
      <w:start w:val="1"/>
      <w:numFmt w:val="bullet"/>
      <w:lvlText w:val=""/>
      <w:lvlJc w:val="left"/>
      <w:pPr>
        <w:ind w:left="1494" w:hanging="360"/>
      </w:pPr>
      <w:rPr>
        <w:rFonts w:ascii="Symbol" w:hAnsi="Symbol" w:hint="default"/>
      </w:rPr>
    </w:lvl>
    <w:lvl w:ilvl="1" w:tplc="04090001">
      <w:start w:val="1"/>
      <w:numFmt w:val="bullet"/>
      <w:lvlText w:val=""/>
      <w:lvlJc w:val="left"/>
      <w:pPr>
        <w:ind w:left="2574" w:hanging="360"/>
      </w:pPr>
      <w:rPr>
        <w:rFonts w:ascii="Symbol" w:hAnsi="Symbol"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0A5634FA"/>
    <w:multiLevelType w:val="hybridMultilevel"/>
    <w:tmpl w:val="C908F40C"/>
    <w:lvl w:ilvl="0" w:tplc="D6E23376">
      <w:start w:val="1"/>
      <w:numFmt w:val="decimal"/>
      <w:lvlText w:val="%1."/>
      <w:lvlJc w:val="left"/>
      <w:pPr>
        <w:tabs>
          <w:tab w:val="num" w:pos="567"/>
        </w:tabs>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A6BE7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80DC3"/>
    <w:multiLevelType w:val="hybridMultilevel"/>
    <w:tmpl w:val="5BE6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50275D"/>
    <w:multiLevelType w:val="hybridMultilevel"/>
    <w:tmpl w:val="DCA8C3D8"/>
    <w:lvl w:ilvl="0" w:tplc="FC365F2E">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CD76B8"/>
    <w:multiLevelType w:val="hybridMultilevel"/>
    <w:tmpl w:val="7EE6D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FF1636"/>
    <w:multiLevelType w:val="hybridMultilevel"/>
    <w:tmpl w:val="97D8CBA8"/>
    <w:lvl w:ilvl="0" w:tplc="04090003">
      <w:start w:val="1"/>
      <w:numFmt w:val="bullet"/>
      <w:lvlText w:val="o"/>
      <w:lvlJc w:val="left"/>
      <w:pPr>
        <w:ind w:left="360" w:hanging="360"/>
      </w:pPr>
      <w:rPr>
        <w:rFonts w:ascii="Courier New" w:hAnsi="Courier New" w:hint="default"/>
        <w:color w:val="auto"/>
        <w:sz w:val="24"/>
        <w:u w:val="none"/>
      </w:rPr>
    </w:lvl>
    <w:lvl w:ilvl="1" w:tplc="92BC9A8A">
      <w:start w:val="1"/>
      <w:numFmt w:val="bullet"/>
      <w:lvlText w:val=""/>
      <w:lvlJc w:val="left"/>
      <w:pPr>
        <w:tabs>
          <w:tab w:val="num" w:pos="1440"/>
        </w:tabs>
        <w:ind w:left="1440" w:hanging="360"/>
      </w:pPr>
      <w:rPr>
        <w:rFonts w:ascii="Symbol" w:hAnsi="Symbol" w:hint="default"/>
        <w:color w:val="auto"/>
        <w:sz w:val="24"/>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B112E3"/>
    <w:multiLevelType w:val="hybridMultilevel"/>
    <w:tmpl w:val="6A32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9662CF"/>
    <w:multiLevelType w:val="multilevel"/>
    <w:tmpl w:val="7EBA0ECC"/>
    <w:lvl w:ilvl="0">
      <w:start w:val="1"/>
      <w:numFmt w:val="decimal"/>
      <w:pStyle w:val="IFADparagraphnumbering"/>
      <w:lvlText w:val="%1."/>
      <w:lvlJc w:val="left"/>
      <w:pPr>
        <w:tabs>
          <w:tab w:val="num" w:pos="709"/>
        </w:tabs>
        <w:ind w:left="142" w:firstLine="0"/>
      </w:pPr>
      <w:rPr>
        <w:b w:val="0"/>
        <w:bCs/>
        <w:i w:val="0"/>
        <w:iCs w:val="0"/>
        <w:color w:val="auto"/>
      </w:rPr>
    </w:lvl>
    <w:lvl w:ilvl="1">
      <w:start w:val="1"/>
      <w:numFmt w:val="lowerLetter"/>
      <w:pStyle w:val="IFADparagraphno2ndlevel"/>
      <w:lvlText w:val="(%2)"/>
      <w:lvlJc w:val="left"/>
      <w:pPr>
        <w:tabs>
          <w:tab w:val="num" w:pos="1134"/>
        </w:tabs>
        <w:ind w:left="1134" w:hanging="567"/>
      </w:pPr>
    </w:lvl>
    <w:lvl w:ilvl="2">
      <w:start w:val="1"/>
      <w:numFmt w:val="lowerRoman"/>
      <w:pStyle w:val="IFADparagraphno3rdlevel"/>
      <w:lvlText w:val="(%3)"/>
      <w:lvlJc w:val="right"/>
      <w:pPr>
        <w:tabs>
          <w:tab w:val="num" w:pos="1418"/>
        </w:tabs>
        <w:ind w:left="1418" w:hanging="284"/>
      </w:pPr>
    </w:lvl>
    <w:lvl w:ilvl="3">
      <w:start w:val="1"/>
      <w:numFmt w:val="bullet"/>
      <w:pStyle w:val="IFADparagraphno4thlevel"/>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1BD3951"/>
    <w:multiLevelType w:val="hybridMultilevel"/>
    <w:tmpl w:val="23BC6BA6"/>
    <w:name w:val="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1701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3DA4E2D"/>
    <w:multiLevelType w:val="hybridMultilevel"/>
    <w:tmpl w:val="CCA445AC"/>
    <w:lvl w:ilvl="0" w:tplc="40E630B6">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CB000A"/>
    <w:multiLevelType w:val="hybridMultilevel"/>
    <w:tmpl w:val="2848B03E"/>
    <w:lvl w:ilvl="0" w:tplc="0186F3AE">
      <w:start w:val="1"/>
      <w:numFmt w:val="bullet"/>
      <w:lvlText w:val=""/>
      <w:lvlJc w:val="left"/>
      <w:pPr>
        <w:tabs>
          <w:tab w:val="num" w:pos="643"/>
        </w:tabs>
        <w:ind w:left="643"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C66516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116A68"/>
    <w:multiLevelType w:val="multilevel"/>
    <w:tmpl w:val="6A32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B4C0C"/>
    <w:multiLevelType w:val="hybridMultilevel"/>
    <w:tmpl w:val="7966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D6335"/>
    <w:multiLevelType w:val="hybridMultilevel"/>
    <w:tmpl w:val="543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460752"/>
    <w:multiLevelType w:val="hybridMultilevel"/>
    <w:tmpl w:val="4426C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27E738A"/>
    <w:multiLevelType w:val="hybridMultilevel"/>
    <w:tmpl w:val="94C84B3A"/>
    <w:lvl w:ilvl="0" w:tplc="901E3708">
      <w:start w:val="1"/>
      <w:numFmt w:val="bullet"/>
      <w:pStyle w:val="Puc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371566C"/>
    <w:multiLevelType w:val="hybridMultilevel"/>
    <w:tmpl w:val="48BA89C8"/>
    <w:name w:val="92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25277B2E"/>
    <w:multiLevelType w:val="hybridMultilevel"/>
    <w:tmpl w:val="ABB24FBC"/>
    <w:lvl w:ilvl="0" w:tplc="84E8CB72">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CB2E25"/>
    <w:multiLevelType w:val="hybridMultilevel"/>
    <w:tmpl w:val="DCFE9748"/>
    <w:lvl w:ilvl="0" w:tplc="A38A337C">
      <w:start w:val="1"/>
      <w:numFmt w:val="bullet"/>
      <w:pStyle w:val="Bullets"/>
      <w:lvlText w:val=""/>
      <w:lvlJc w:val="left"/>
      <w:pPr>
        <w:tabs>
          <w:tab w:val="num" w:pos="360"/>
        </w:tabs>
        <w:ind w:left="360" w:hanging="360"/>
      </w:pPr>
      <w:rPr>
        <w:rFonts w:ascii="Wingdings" w:hAnsi="Wingdings" w:hint="default"/>
        <w:color w:val="0033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D47C4A"/>
    <w:multiLevelType w:val="hybridMultilevel"/>
    <w:tmpl w:val="0D9A2800"/>
    <w:lvl w:ilvl="0" w:tplc="50A8B7BE">
      <w:start w:val="1"/>
      <w:numFmt w:val="decimal"/>
      <w:lvlText w:val="IV.%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20607D7E">
      <w:start w:val="1"/>
      <w:numFmt w:val="decimal"/>
      <w:lvlText w:val="%3."/>
      <w:lvlJc w:val="left"/>
      <w:pPr>
        <w:ind w:left="2340" w:hanging="360"/>
      </w:pPr>
      <w:rPr>
        <w:rFonts w:hint="default"/>
      </w:rPr>
    </w:lvl>
    <w:lvl w:ilvl="3" w:tplc="907A2E00">
      <w:start w:val="1"/>
      <w:numFmt w:val="decimal"/>
      <w:lvlText w:val="%4)"/>
      <w:lvlJc w:val="left"/>
      <w:pPr>
        <w:ind w:left="3200" w:hanging="68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D276D92"/>
    <w:multiLevelType w:val="hybridMultilevel"/>
    <w:tmpl w:val="A23AF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37" w15:restartNumberingAfterBreak="0">
    <w:nsid w:val="2DF13FB8"/>
    <w:multiLevelType w:val="hybridMultilevel"/>
    <w:tmpl w:val="92ECCB42"/>
    <w:lvl w:ilvl="0" w:tplc="705252F8">
      <w:start w:val="1"/>
      <w:numFmt w:val="bullet"/>
      <w:lvlText w:val=""/>
      <w:lvlJc w:val="left"/>
      <w:pPr>
        <w:tabs>
          <w:tab w:val="num" w:pos="643"/>
        </w:tabs>
        <w:ind w:left="643"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C66516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2872FD"/>
    <w:multiLevelType w:val="hybridMultilevel"/>
    <w:tmpl w:val="BBCAD5CC"/>
    <w:lvl w:ilvl="0" w:tplc="15CA3DEE">
      <w:start w:val="1"/>
      <w:numFmt w:val="decimal"/>
      <w:lvlText w:val="I.%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19439E6"/>
    <w:multiLevelType w:val="multilevel"/>
    <w:tmpl w:val="83E2FC16"/>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1F6668D"/>
    <w:multiLevelType w:val="hybridMultilevel"/>
    <w:tmpl w:val="FBCA145A"/>
    <w:lvl w:ilvl="0" w:tplc="240E77DA">
      <w:start w:val="1"/>
      <w:numFmt w:val="decimal"/>
      <w:lvlText w:val="I.%1."/>
      <w:lvlJc w:val="left"/>
      <w:pPr>
        <w:tabs>
          <w:tab w:val="num" w:pos="360"/>
        </w:tabs>
        <w:ind w:left="360" w:hanging="360"/>
      </w:pPr>
      <w:rPr>
        <w:rFonts w:hint="default"/>
      </w:rPr>
    </w:lvl>
    <w:lvl w:ilvl="1" w:tplc="8714824A">
      <w:start w:val="1"/>
      <w:numFmt w:val="bullet"/>
      <w:lvlText w:val="o"/>
      <w:lvlJc w:val="left"/>
      <w:pPr>
        <w:tabs>
          <w:tab w:val="num" w:pos="1080"/>
        </w:tabs>
        <w:ind w:left="1080" w:hanging="360"/>
      </w:pPr>
      <w:rPr>
        <w:rFonts w:ascii="Courier New" w:hAnsi="Courier New" w:hint="default"/>
        <w:sz w:val="16"/>
      </w:rPr>
    </w:lvl>
    <w:lvl w:ilvl="2" w:tplc="E6F84396">
      <w:numFmt w:val="bullet"/>
      <w:lvlText w:val=""/>
      <w:lvlJc w:val="left"/>
      <w:pPr>
        <w:tabs>
          <w:tab w:val="num" w:pos="2340"/>
        </w:tabs>
        <w:ind w:left="2340" w:hanging="72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693DB9"/>
    <w:multiLevelType w:val="hybridMultilevel"/>
    <w:tmpl w:val="410C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941D3A"/>
    <w:multiLevelType w:val="hybridMultilevel"/>
    <w:tmpl w:val="D3E2F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D855CE"/>
    <w:multiLevelType w:val="hybridMultilevel"/>
    <w:tmpl w:val="8D14DE40"/>
    <w:lvl w:ilvl="0" w:tplc="F9281274">
      <w:start w:val="1"/>
      <w:numFmt w:val="bullet"/>
      <w:lvlText w:val=""/>
      <w:lvlJc w:val="left"/>
      <w:pPr>
        <w:tabs>
          <w:tab w:val="num" w:pos="360"/>
        </w:tabs>
        <w:ind w:left="360" w:hanging="360"/>
      </w:pPr>
      <w:rPr>
        <w:rFonts w:ascii="Symbol" w:hAnsi="Symbol" w:hint="default"/>
        <w:color w:val="auto"/>
        <w:sz w:val="24"/>
        <w:u w:val="none"/>
      </w:rPr>
    </w:lvl>
    <w:lvl w:ilvl="1" w:tplc="92BC9A8A">
      <w:start w:val="1"/>
      <w:numFmt w:val="bullet"/>
      <w:lvlText w:val=""/>
      <w:lvlJc w:val="left"/>
      <w:pPr>
        <w:tabs>
          <w:tab w:val="num" w:pos="1440"/>
        </w:tabs>
        <w:ind w:left="1440" w:hanging="360"/>
      </w:pPr>
      <w:rPr>
        <w:rFonts w:ascii="Symbol" w:hAnsi="Symbol" w:hint="default"/>
        <w:color w:val="auto"/>
        <w:sz w:val="24"/>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9408BE"/>
    <w:multiLevelType w:val="hybridMultilevel"/>
    <w:tmpl w:val="4420DC36"/>
    <w:lvl w:ilvl="0" w:tplc="FFFFFFFF">
      <w:start w:val="1"/>
      <w:numFmt w:val="decimal"/>
      <w:pStyle w:val="StyleHeading3NotBold"/>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B630B45"/>
    <w:multiLevelType w:val="hybridMultilevel"/>
    <w:tmpl w:val="15AE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2A32B5"/>
    <w:multiLevelType w:val="multilevel"/>
    <w:tmpl w:val="94A28F1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F21499"/>
    <w:multiLevelType w:val="hybridMultilevel"/>
    <w:tmpl w:val="2B08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F87797"/>
    <w:multiLevelType w:val="hybridMultilevel"/>
    <w:tmpl w:val="9A96D408"/>
    <w:lvl w:ilvl="0" w:tplc="67581E36">
      <w:start w:val="63"/>
      <w:numFmt w:val="decimal"/>
      <w:pStyle w:val="ParaCharCha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850E48"/>
    <w:multiLevelType w:val="hybridMultilevel"/>
    <w:tmpl w:val="414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63857"/>
    <w:multiLevelType w:val="hybridMultilevel"/>
    <w:tmpl w:val="4C0A9686"/>
    <w:lvl w:ilvl="0" w:tplc="F8BE22CC">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B926A6C"/>
    <w:multiLevelType w:val="hybridMultilevel"/>
    <w:tmpl w:val="C1BCF23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0"/>
        </w:tabs>
        <w:ind w:hanging="360"/>
      </w:pPr>
      <w:rPr>
        <w:rFonts w:ascii="Courier New" w:hAnsi="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1440"/>
        </w:tabs>
        <w:ind w:left="144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hint="default"/>
      </w:rPr>
    </w:lvl>
    <w:lvl w:ilvl="5" w:tplc="FFFFFFFF">
      <w:start w:val="1"/>
      <w:numFmt w:val="bullet"/>
      <w:lvlText w:val=""/>
      <w:lvlJc w:val="left"/>
      <w:pPr>
        <w:tabs>
          <w:tab w:val="num" w:pos="2880"/>
        </w:tabs>
        <w:ind w:left="2880" w:hanging="360"/>
      </w:pPr>
      <w:rPr>
        <w:rFonts w:ascii="Wingdings" w:hAnsi="Wingdings" w:hint="default"/>
      </w:rPr>
    </w:lvl>
    <w:lvl w:ilvl="6" w:tplc="FFFFFFFF">
      <w:start w:val="1"/>
      <w:numFmt w:val="bullet"/>
      <w:lvlText w:val=""/>
      <w:lvlJc w:val="left"/>
      <w:pPr>
        <w:tabs>
          <w:tab w:val="num" w:pos="3600"/>
        </w:tabs>
        <w:ind w:left="3600" w:hanging="360"/>
      </w:pPr>
      <w:rPr>
        <w:rFonts w:ascii="Symbol" w:hAnsi="Symbol" w:hint="default"/>
      </w:rPr>
    </w:lvl>
    <w:lvl w:ilvl="7" w:tplc="FFFFFFFF">
      <w:start w:val="1"/>
      <w:numFmt w:val="bullet"/>
      <w:lvlText w:val="o"/>
      <w:lvlJc w:val="left"/>
      <w:pPr>
        <w:tabs>
          <w:tab w:val="num" w:pos="4320"/>
        </w:tabs>
        <w:ind w:left="4320" w:hanging="360"/>
      </w:pPr>
      <w:rPr>
        <w:rFonts w:ascii="Courier New" w:hAnsi="Courier New" w:hint="default"/>
      </w:rPr>
    </w:lvl>
    <w:lvl w:ilvl="8" w:tplc="FFFFFFFF">
      <w:start w:val="1"/>
      <w:numFmt w:val="bullet"/>
      <w:lvlText w:val=""/>
      <w:lvlJc w:val="left"/>
      <w:pPr>
        <w:tabs>
          <w:tab w:val="num" w:pos="5040"/>
        </w:tabs>
        <w:ind w:left="5040" w:hanging="360"/>
      </w:pPr>
      <w:rPr>
        <w:rFonts w:ascii="Wingdings" w:hAnsi="Wingdings" w:hint="default"/>
      </w:rPr>
    </w:lvl>
  </w:abstractNum>
  <w:abstractNum w:abstractNumId="52"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E40216"/>
    <w:multiLevelType w:val="hybridMultilevel"/>
    <w:tmpl w:val="5ED8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066199"/>
    <w:multiLevelType w:val="hybridMultilevel"/>
    <w:tmpl w:val="EF02C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BE57D0"/>
    <w:multiLevelType w:val="multilevel"/>
    <w:tmpl w:val="8D14DE40"/>
    <w:lvl w:ilvl="0">
      <w:start w:val="1"/>
      <w:numFmt w:val="bullet"/>
      <w:lvlText w:val=""/>
      <w:lvlJc w:val="left"/>
      <w:pPr>
        <w:tabs>
          <w:tab w:val="num" w:pos="360"/>
        </w:tabs>
        <w:ind w:left="360" w:hanging="360"/>
      </w:pPr>
      <w:rPr>
        <w:rFonts w:ascii="Symbol" w:hAnsi="Symbol" w:hint="default"/>
        <w:color w:val="auto"/>
        <w:sz w:val="24"/>
        <w:u w:val="none"/>
      </w:rPr>
    </w:lvl>
    <w:lvl w:ilvl="1">
      <w:start w:val="1"/>
      <w:numFmt w:val="bullet"/>
      <w:lvlText w:val=""/>
      <w:lvlJc w:val="left"/>
      <w:pPr>
        <w:tabs>
          <w:tab w:val="num" w:pos="1440"/>
        </w:tabs>
        <w:ind w:left="1440" w:hanging="360"/>
      </w:pPr>
      <w:rPr>
        <w:rFonts w:ascii="Symbol" w:hAnsi="Symbol" w:hint="default"/>
        <w:color w:val="auto"/>
        <w:sz w:val="24"/>
        <w:u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8E7C99"/>
    <w:multiLevelType w:val="hybridMultilevel"/>
    <w:tmpl w:val="90A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F22D1B"/>
    <w:multiLevelType w:val="hybridMultilevel"/>
    <w:tmpl w:val="41FCB4AC"/>
    <w:lvl w:ilvl="0" w:tplc="92BC9A8A">
      <w:start w:val="1"/>
      <w:numFmt w:val="decimal"/>
      <w:lvlText w:val="V.%1."/>
      <w:lvlJc w:val="left"/>
      <w:pPr>
        <w:tabs>
          <w:tab w:val="num" w:pos="624"/>
        </w:tabs>
        <w:ind w:left="624" w:hanging="62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58CC5111"/>
    <w:multiLevelType w:val="hybridMultilevel"/>
    <w:tmpl w:val="975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D77E9B"/>
    <w:multiLevelType w:val="hybridMultilevel"/>
    <w:tmpl w:val="A9CA4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0E1F2F"/>
    <w:multiLevelType w:val="hybridMultilevel"/>
    <w:tmpl w:val="1C8A2D78"/>
    <w:lvl w:ilvl="0" w:tplc="C712AB62">
      <w:start w:val="1"/>
      <w:numFmt w:val="bullet"/>
      <w:lvlText w:val=""/>
      <w:lvlJc w:val="left"/>
      <w:pPr>
        <w:tabs>
          <w:tab w:val="num" w:pos="1920"/>
        </w:tabs>
        <w:ind w:left="1920" w:hanging="360"/>
      </w:pPr>
      <w:rPr>
        <w:rFonts w:ascii="Symbol" w:hAnsi="Symbol" w:hint="default"/>
        <w:b/>
        <w:i w:val="0"/>
        <w:color w:val="00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775547"/>
    <w:multiLevelType w:val="hybridMultilevel"/>
    <w:tmpl w:val="7ED403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B132976"/>
    <w:multiLevelType w:val="hybridMultilevel"/>
    <w:tmpl w:val="94A2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8F489B"/>
    <w:multiLevelType w:val="hybridMultilevel"/>
    <w:tmpl w:val="4FF86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7B23F7"/>
    <w:multiLevelType w:val="hybridMultilevel"/>
    <w:tmpl w:val="D966C1A2"/>
    <w:lvl w:ilvl="0" w:tplc="A82657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C00036"/>
    <w:multiLevelType w:val="hybridMultilevel"/>
    <w:tmpl w:val="9DD2F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E50309"/>
    <w:multiLevelType w:val="hybridMultilevel"/>
    <w:tmpl w:val="5BAE7FA0"/>
    <w:lvl w:ilvl="0" w:tplc="7BBAFDB0">
      <w:start w:val="1"/>
      <w:numFmt w:val="decimal"/>
      <w:pStyle w:val="Para"/>
      <w:lvlText w:val="%1."/>
      <w:lvlJc w:val="left"/>
      <w:pPr>
        <w:tabs>
          <w:tab w:val="num" w:pos="360"/>
        </w:tabs>
        <w:ind w:left="36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D70505D"/>
    <w:multiLevelType w:val="hybridMultilevel"/>
    <w:tmpl w:val="3ED6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1E481F"/>
    <w:multiLevelType w:val="hybridMultilevel"/>
    <w:tmpl w:val="397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F30F54"/>
    <w:multiLevelType w:val="hybridMultilevel"/>
    <w:tmpl w:val="6AC22700"/>
    <w:lvl w:ilvl="0" w:tplc="50A8B7BE">
      <w:start w:val="1"/>
      <w:numFmt w:val="decimal"/>
      <w:lvlText w:val="IV.%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20607D7E">
      <w:start w:val="1"/>
      <w:numFmt w:val="decimal"/>
      <w:lvlText w:val="%3."/>
      <w:lvlJc w:val="left"/>
      <w:pPr>
        <w:ind w:left="2340" w:hanging="360"/>
      </w:pPr>
      <w:rPr>
        <w:rFonts w:hint="default"/>
      </w:rPr>
    </w:lvl>
    <w:lvl w:ilvl="3" w:tplc="907A2E00">
      <w:start w:val="1"/>
      <w:numFmt w:val="decimal"/>
      <w:lvlText w:val="%4)"/>
      <w:lvlJc w:val="left"/>
      <w:pPr>
        <w:ind w:left="3200" w:hanging="68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13F03B8"/>
    <w:multiLevelType w:val="hybridMultilevel"/>
    <w:tmpl w:val="421A3690"/>
    <w:lvl w:ilvl="0" w:tplc="04090005">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A36418"/>
    <w:multiLevelType w:val="hybridMultilevel"/>
    <w:tmpl w:val="764A575A"/>
    <w:lvl w:ilvl="0" w:tplc="20FA8B94">
      <w:start w:val="1"/>
      <w:numFmt w:val="bullet"/>
      <w:lvlText w:val=""/>
      <w:lvlJc w:val="left"/>
      <w:pPr>
        <w:tabs>
          <w:tab w:val="num" w:pos="720"/>
        </w:tabs>
        <w:ind w:left="720" w:hanging="360"/>
      </w:pPr>
      <w:rPr>
        <w:rFonts w:ascii="Wingdings" w:hAnsi="Wingdings" w:hint="default"/>
        <w:sz w:val="20"/>
      </w:rPr>
    </w:lvl>
    <w:lvl w:ilvl="1" w:tplc="00190409" w:tentative="1">
      <w:start w:val="1"/>
      <w:numFmt w:val="bullet"/>
      <w:lvlText w:val="o"/>
      <w:lvlJc w:val="left"/>
      <w:pPr>
        <w:tabs>
          <w:tab w:val="num" w:pos="1440"/>
        </w:tabs>
        <w:ind w:left="1440" w:hanging="360"/>
      </w:pPr>
      <w:rPr>
        <w:rFonts w:ascii="Courier New" w:hAnsi="Courier New" w:cs="Wingdings"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Wingdings"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Wingdings"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563686"/>
    <w:multiLevelType w:val="hybridMultilevel"/>
    <w:tmpl w:val="46D49370"/>
    <w:lvl w:ilvl="0" w:tplc="04090001">
      <w:start w:val="1"/>
      <w:numFmt w:val="bullet"/>
      <w:lvlText w:val=""/>
      <w:lvlJc w:val="left"/>
      <w:pPr>
        <w:ind w:left="1065" w:hanging="360"/>
      </w:pPr>
      <w:rPr>
        <w:rFonts w:ascii="Symbol" w:hAnsi="Symbol"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4" w15:restartNumberingAfterBreak="0">
    <w:nsid w:val="649870CB"/>
    <w:multiLevelType w:val="hybridMultilevel"/>
    <w:tmpl w:val="C4406ECA"/>
    <w:lvl w:ilvl="0" w:tplc="9604AD88">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2E52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67254E4F"/>
    <w:multiLevelType w:val="hybridMultilevel"/>
    <w:tmpl w:val="0A0A8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3377AE"/>
    <w:multiLevelType w:val="hybridMultilevel"/>
    <w:tmpl w:val="5570301E"/>
    <w:lvl w:ilvl="0" w:tplc="92BC9A8A">
      <w:start w:val="1"/>
      <w:numFmt w:val="bullet"/>
      <w:pStyle w:val="Listepuces75"/>
      <w:lvlText w:val=""/>
      <w:lvlJc w:val="left"/>
      <w:pPr>
        <w:tabs>
          <w:tab w:val="num" w:pos="170"/>
        </w:tabs>
        <w:ind w:left="170" w:hanging="170"/>
      </w:pPr>
      <w:rPr>
        <w:rFonts w:ascii="Symbol" w:hAnsi="Symbol" w:hint="default"/>
        <w:sz w:val="15"/>
        <w:szCs w:val="15"/>
      </w:rPr>
    </w:lvl>
    <w:lvl w:ilvl="1" w:tplc="04090003">
      <w:start w:val="4"/>
      <w:numFmt w:val="bullet"/>
      <w:lvlText w:val="-"/>
      <w:lvlJc w:val="left"/>
      <w:pPr>
        <w:tabs>
          <w:tab w:val="num" w:pos="1440"/>
        </w:tabs>
        <w:ind w:left="1440" w:hanging="360"/>
      </w:pPr>
      <w:rPr>
        <w:rFonts w:ascii="Times New Roman" w:eastAsia="Times New Roman" w:hAnsi="Times New Roman" w:cs="Times New Roman" w:hint="default"/>
        <w:sz w:val="15"/>
        <w:szCs w:val="15"/>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E94D4A"/>
    <w:multiLevelType w:val="hybridMultilevel"/>
    <w:tmpl w:val="91CA8E5C"/>
    <w:lvl w:ilvl="0" w:tplc="FFFFFFFF">
      <w:start w:val="1"/>
      <w:numFmt w:val="bullet"/>
      <w:pStyle w:val="StyleBulletBol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1A6504E"/>
    <w:multiLevelType w:val="hybridMultilevel"/>
    <w:tmpl w:val="EFD20580"/>
    <w:lvl w:ilvl="0" w:tplc="04090001">
      <w:start w:val="1"/>
      <w:numFmt w:val="decimal"/>
      <w:lvlText w:val="III.%1."/>
      <w:lvlJc w:val="left"/>
      <w:pPr>
        <w:tabs>
          <w:tab w:val="num" w:pos="624"/>
        </w:tabs>
        <w:ind w:left="624" w:hanging="62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EE2A3F"/>
    <w:multiLevelType w:val="multilevel"/>
    <w:tmpl w:val="B93266B0"/>
    <w:lvl w:ilvl="0">
      <w:start w:val="1"/>
      <w:numFmt w:val="decimal"/>
      <w:pStyle w:val="GVWDHeading1"/>
      <w:lvlText w:val="%1"/>
      <w:lvlJc w:val="left"/>
      <w:pPr>
        <w:tabs>
          <w:tab w:val="num" w:pos="720"/>
        </w:tabs>
        <w:ind w:left="720" w:hanging="720"/>
      </w:pPr>
    </w:lvl>
    <w:lvl w:ilvl="1">
      <w:start w:val="1"/>
      <w:numFmt w:val="decimal"/>
      <w:pStyle w:val="GVWDHeading2"/>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75A800FE"/>
    <w:multiLevelType w:val="hybridMultilevel"/>
    <w:tmpl w:val="58B47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3F0852"/>
    <w:multiLevelType w:val="hybridMultilevel"/>
    <w:tmpl w:val="BC245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5957EC"/>
    <w:multiLevelType w:val="hybridMultilevel"/>
    <w:tmpl w:val="A05C8EEA"/>
    <w:lvl w:ilvl="0" w:tplc="04020005">
      <w:start w:val="1"/>
      <w:numFmt w:val="bullet"/>
      <w:lvlText w:val=""/>
      <w:lvlJc w:val="left"/>
      <w:pPr>
        <w:tabs>
          <w:tab w:val="num" w:pos="643"/>
        </w:tabs>
        <w:ind w:left="643" w:hanging="360"/>
      </w:pPr>
      <w:rPr>
        <w:rFonts w:ascii="Wingdings" w:hAnsi="Wingdings" w:hint="default"/>
        <w:sz w:val="20"/>
      </w:rPr>
    </w:lvl>
    <w:lvl w:ilvl="1" w:tplc="04020003">
      <w:start w:val="1"/>
      <w:numFmt w:val="bullet"/>
      <w:lvlText w:val="o"/>
      <w:lvlJc w:val="left"/>
      <w:pPr>
        <w:tabs>
          <w:tab w:val="num" w:pos="1440"/>
        </w:tabs>
        <w:ind w:left="1440" w:hanging="360"/>
      </w:pPr>
      <w:rPr>
        <w:rFonts w:ascii="Courier New" w:hAnsi="Courier New" w:hint="default"/>
        <w:sz w:val="16"/>
      </w:rPr>
    </w:lvl>
    <w:lvl w:ilvl="2" w:tplc="04020005">
      <w:start w:val="1"/>
      <w:numFmt w:val="bullet"/>
      <w:lvlText w:val=""/>
      <w:lvlJc w:val="left"/>
      <w:pPr>
        <w:tabs>
          <w:tab w:val="num" w:pos="2160"/>
        </w:tabs>
        <w:ind w:left="2160" w:hanging="360"/>
      </w:pPr>
      <w:rPr>
        <w:rFonts w:ascii="Wingdings" w:hAnsi="Wingdings" w:hint="default"/>
      </w:rPr>
    </w:lvl>
    <w:lvl w:ilvl="3" w:tplc="04020001">
      <w:numFmt w:val="bullet"/>
      <w:lvlText w:val="-"/>
      <w:lvlJc w:val="left"/>
      <w:pPr>
        <w:tabs>
          <w:tab w:val="num" w:pos="2880"/>
        </w:tabs>
        <w:ind w:left="2880" w:hanging="360"/>
      </w:pPr>
      <w:rPr>
        <w:rFonts w:ascii="Times New Roman" w:eastAsia="Times New Roman"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A310A72"/>
    <w:multiLevelType w:val="singleLevel"/>
    <w:tmpl w:val="3B3CBCB2"/>
    <w:lvl w:ilvl="0">
      <w:start w:val="1"/>
      <w:numFmt w:val="bullet"/>
      <w:pStyle w:val="BodyText1"/>
      <w:lvlText w:val=""/>
      <w:lvlJc w:val="left"/>
      <w:pPr>
        <w:tabs>
          <w:tab w:val="num" w:pos="360"/>
        </w:tabs>
        <w:ind w:left="357" w:hanging="357"/>
      </w:pPr>
      <w:rPr>
        <w:rFonts w:ascii="Symbol" w:hAnsi="Symbol" w:hint="default"/>
      </w:rPr>
    </w:lvl>
  </w:abstractNum>
  <w:abstractNum w:abstractNumId="86" w15:restartNumberingAfterBreak="0">
    <w:nsid w:val="7C046D28"/>
    <w:multiLevelType w:val="hybridMultilevel"/>
    <w:tmpl w:val="A8428212"/>
    <w:lvl w:ilvl="0" w:tplc="1E3436CA">
      <w:start w:val="1"/>
      <w:numFmt w:val="decimal"/>
      <w:lvlText w:val="II.%1."/>
      <w:lvlJc w:val="left"/>
      <w:pPr>
        <w:tabs>
          <w:tab w:val="num" w:pos="624"/>
        </w:tabs>
        <w:ind w:left="624" w:hanging="624"/>
      </w:pPr>
      <w:rPr>
        <w:rFonts w:hint="default"/>
      </w:rPr>
    </w:lvl>
    <w:lvl w:ilvl="1" w:tplc="31BA12B8" w:tentative="1">
      <w:start w:val="1"/>
      <w:numFmt w:val="lowerLetter"/>
      <w:lvlText w:val="%2."/>
      <w:lvlJc w:val="left"/>
      <w:pPr>
        <w:tabs>
          <w:tab w:val="num" w:pos="1440"/>
        </w:tabs>
        <w:ind w:left="1440" w:hanging="360"/>
      </w:pPr>
    </w:lvl>
    <w:lvl w:ilvl="2" w:tplc="8DE63678" w:tentative="1">
      <w:start w:val="1"/>
      <w:numFmt w:val="lowerRoman"/>
      <w:lvlText w:val="%3."/>
      <w:lvlJc w:val="right"/>
      <w:pPr>
        <w:tabs>
          <w:tab w:val="num" w:pos="2160"/>
        </w:tabs>
        <w:ind w:left="2160" w:hanging="180"/>
      </w:pPr>
    </w:lvl>
    <w:lvl w:ilvl="3" w:tplc="2C44BA0C" w:tentative="1">
      <w:start w:val="1"/>
      <w:numFmt w:val="decimal"/>
      <w:lvlText w:val="%4."/>
      <w:lvlJc w:val="left"/>
      <w:pPr>
        <w:tabs>
          <w:tab w:val="num" w:pos="2880"/>
        </w:tabs>
        <w:ind w:left="2880" w:hanging="360"/>
      </w:pPr>
    </w:lvl>
    <w:lvl w:ilvl="4" w:tplc="D444C02A" w:tentative="1">
      <w:start w:val="1"/>
      <w:numFmt w:val="lowerLetter"/>
      <w:lvlText w:val="%5."/>
      <w:lvlJc w:val="left"/>
      <w:pPr>
        <w:tabs>
          <w:tab w:val="num" w:pos="3600"/>
        </w:tabs>
        <w:ind w:left="3600" w:hanging="360"/>
      </w:pPr>
    </w:lvl>
    <w:lvl w:ilvl="5" w:tplc="C6C04AB0" w:tentative="1">
      <w:start w:val="1"/>
      <w:numFmt w:val="lowerRoman"/>
      <w:lvlText w:val="%6."/>
      <w:lvlJc w:val="right"/>
      <w:pPr>
        <w:tabs>
          <w:tab w:val="num" w:pos="4320"/>
        </w:tabs>
        <w:ind w:left="4320" w:hanging="180"/>
      </w:pPr>
    </w:lvl>
    <w:lvl w:ilvl="6" w:tplc="B4ACB9B8" w:tentative="1">
      <w:start w:val="1"/>
      <w:numFmt w:val="decimal"/>
      <w:lvlText w:val="%7."/>
      <w:lvlJc w:val="left"/>
      <w:pPr>
        <w:tabs>
          <w:tab w:val="num" w:pos="5040"/>
        </w:tabs>
        <w:ind w:left="5040" w:hanging="360"/>
      </w:pPr>
    </w:lvl>
    <w:lvl w:ilvl="7" w:tplc="439C1736" w:tentative="1">
      <w:start w:val="1"/>
      <w:numFmt w:val="lowerLetter"/>
      <w:lvlText w:val="%8."/>
      <w:lvlJc w:val="left"/>
      <w:pPr>
        <w:tabs>
          <w:tab w:val="num" w:pos="5760"/>
        </w:tabs>
        <w:ind w:left="5760" w:hanging="360"/>
      </w:pPr>
    </w:lvl>
    <w:lvl w:ilvl="8" w:tplc="CD92EE78" w:tentative="1">
      <w:start w:val="1"/>
      <w:numFmt w:val="lowerRoman"/>
      <w:lvlText w:val="%9."/>
      <w:lvlJc w:val="right"/>
      <w:pPr>
        <w:tabs>
          <w:tab w:val="num" w:pos="6480"/>
        </w:tabs>
        <w:ind w:left="6480" w:hanging="180"/>
      </w:pPr>
    </w:lvl>
  </w:abstractNum>
  <w:abstractNum w:abstractNumId="87" w15:restartNumberingAfterBreak="0">
    <w:nsid w:val="7D1B59AD"/>
    <w:multiLevelType w:val="hybridMultilevel"/>
    <w:tmpl w:val="3BFE0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3A4890"/>
    <w:multiLevelType w:val="hybridMultilevel"/>
    <w:tmpl w:val="E4787C5E"/>
    <w:name w:val="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E3C0A79"/>
    <w:multiLevelType w:val="hybridMultilevel"/>
    <w:tmpl w:val="F9223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30"/>
  </w:num>
  <w:num w:numId="3">
    <w:abstractNumId w:val="77"/>
  </w:num>
  <w:num w:numId="4">
    <w:abstractNumId w:val="78"/>
  </w:num>
  <w:num w:numId="5">
    <w:abstractNumId w:val="44"/>
  </w:num>
  <w:num w:numId="6">
    <w:abstractNumId w:val="24"/>
  </w:num>
  <w:num w:numId="7">
    <w:abstractNumId w:val="23"/>
  </w:num>
  <w:num w:numId="8">
    <w:abstractNumId w:val="71"/>
  </w:num>
  <w:num w:numId="9">
    <w:abstractNumId w:val="33"/>
  </w:num>
  <w:num w:numId="10">
    <w:abstractNumId w:val="60"/>
  </w:num>
  <w:num w:numId="11">
    <w:abstractNumId w:val="72"/>
  </w:num>
  <w:num w:numId="12">
    <w:abstractNumId w:val="32"/>
  </w:num>
  <w:num w:numId="13">
    <w:abstractNumId w:val="85"/>
  </w:num>
  <w:num w:numId="14">
    <w:abstractNumId w:val="39"/>
  </w:num>
  <w:num w:numId="15">
    <w:abstractNumId w:val="14"/>
  </w:num>
  <w:num w:numId="16">
    <w:abstractNumId w:val="47"/>
  </w:num>
  <w:num w:numId="17">
    <w:abstractNumId w:val="13"/>
  </w:num>
  <w:num w:numId="18">
    <w:abstractNumId w:val="12"/>
  </w:num>
  <w:num w:numId="19">
    <w:abstractNumId w:val="43"/>
  </w:num>
  <w:num w:numId="20">
    <w:abstractNumId w:val="81"/>
  </w:num>
  <w:num w:numId="21">
    <w:abstractNumId w:val="11"/>
  </w:num>
  <w:num w:numId="22">
    <w:abstractNumId w:val="52"/>
  </w:num>
  <w:num w:numId="23">
    <w:abstractNumId w:val="68"/>
  </w:num>
  <w:num w:numId="24">
    <w:abstractNumId w:val="66"/>
  </w:num>
  <w:num w:numId="25">
    <w:abstractNumId w:val="74"/>
  </w:num>
  <w:num w:numId="26">
    <w:abstractNumId w:val="62"/>
  </w:num>
  <w:num w:numId="27">
    <w:abstractNumId w:val="37"/>
  </w:num>
  <w:num w:numId="28">
    <w:abstractNumId w:val="84"/>
  </w:num>
  <w:num w:numId="29">
    <w:abstractNumId w:val="25"/>
  </w:num>
  <w:num w:numId="30">
    <w:abstractNumId w:val="40"/>
  </w:num>
  <w:num w:numId="31">
    <w:abstractNumId w:val="38"/>
  </w:num>
  <w:num w:numId="32">
    <w:abstractNumId w:val="9"/>
  </w:num>
  <w:num w:numId="33">
    <w:abstractNumId w:val="57"/>
  </w:num>
  <w:num w:numId="34">
    <w:abstractNumId w:val="79"/>
  </w:num>
  <w:num w:numId="35">
    <w:abstractNumId w:val="86"/>
  </w:num>
  <w:num w:numId="36">
    <w:abstractNumId w:val="53"/>
  </w:num>
  <w:num w:numId="37">
    <w:abstractNumId w:val="46"/>
  </w:num>
  <w:num w:numId="38">
    <w:abstractNumId w:val="49"/>
  </w:num>
  <w:num w:numId="39">
    <w:abstractNumId w:val="69"/>
  </w:num>
  <w:num w:numId="40">
    <w:abstractNumId w:val="15"/>
  </w:num>
  <w:num w:numId="41">
    <w:abstractNumId w:val="56"/>
  </w:num>
  <w:num w:numId="42">
    <w:abstractNumId w:val="59"/>
  </w:num>
  <w:num w:numId="43">
    <w:abstractNumId w:val="87"/>
  </w:num>
  <w:num w:numId="44">
    <w:abstractNumId w:val="64"/>
  </w:num>
  <w:num w:numId="45">
    <w:abstractNumId w:val="16"/>
  </w:num>
  <w:num w:numId="46">
    <w:abstractNumId w:val="36"/>
  </w:num>
  <w:num w:numId="47">
    <w:abstractNumId w:val="20"/>
  </w:num>
  <w:num w:numId="48">
    <w:abstractNumId w:val="80"/>
  </w:num>
  <w:num w:numId="49">
    <w:abstractNumId w:val="67"/>
  </w:num>
  <w:num w:numId="50">
    <w:abstractNumId w:val="29"/>
  </w:num>
  <w:num w:numId="51">
    <w:abstractNumId w:val="10"/>
  </w:num>
  <w:num w:numId="5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51"/>
  </w:num>
  <w:num w:numId="55">
    <w:abstractNumId w:val="61"/>
  </w:num>
  <w:num w:numId="56">
    <w:abstractNumId w:val="73"/>
  </w:num>
  <w:num w:numId="57">
    <w:abstractNumId w:val="58"/>
  </w:num>
  <w:num w:numId="58">
    <w:abstractNumId w:val="42"/>
  </w:num>
  <w:num w:numId="59">
    <w:abstractNumId w:val="17"/>
  </w:num>
  <w:num w:numId="60">
    <w:abstractNumId w:val="83"/>
  </w:num>
  <w:num w:numId="61">
    <w:abstractNumId w:val="35"/>
  </w:num>
  <w:num w:numId="62">
    <w:abstractNumId w:val="89"/>
  </w:num>
  <w:num w:numId="63">
    <w:abstractNumId w:val="70"/>
  </w:num>
  <w:num w:numId="64">
    <w:abstractNumId w:val="63"/>
  </w:num>
  <w:num w:numId="65">
    <w:abstractNumId w:val="82"/>
  </w:num>
  <w:num w:numId="66">
    <w:abstractNumId w:val="54"/>
  </w:num>
  <w:num w:numId="67">
    <w:abstractNumId w:val="34"/>
  </w:num>
  <w:num w:numId="68">
    <w:abstractNumId w:val="48"/>
  </w:num>
  <w:num w:numId="69">
    <w:abstractNumId w:val="65"/>
  </w:num>
  <w:num w:numId="70">
    <w:abstractNumId w:val="27"/>
  </w:num>
  <w:num w:numId="71">
    <w:abstractNumId w:val="55"/>
  </w:num>
  <w:num w:numId="72">
    <w:abstractNumId w:val="18"/>
  </w:num>
  <w:num w:numId="73">
    <w:abstractNumId w:val="45"/>
  </w:num>
  <w:num w:numId="74">
    <w:abstractNumId w:val="19"/>
  </w:num>
  <w:num w:numId="75">
    <w:abstractNumId w:val="26"/>
  </w:num>
  <w:num w:numId="76">
    <w:abstractNumId w:val="76"/>
  </w:num>
  <w:num w:numId="77">
    <w:abstractNumId w:val="41"/>
  </w:num>
  <w:num w:numId="78">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CA" w:vendorID="6" w:dllVersion="2" w:checkStyle="1"/>
  <w:activeWritingStyle w:appName="MSWord" w:lang="fr-CA" w:vendorID="65" w:dllVersion="514" w:checkStyle="1"/>
  <w:activeWritingStyle w:appName="MSWord" w:lang="it-IT" w:vendorID="3" w:dllVersion="517"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oNotHyphenateCaps/>
  <w:drawingGridHorizontalSpacing w:val="113"/>
  <w:drawingGridVerticalSpacing w:val="113"/>
  <w:displayHorizontalDrawingGridEvery w:val="0"/>
  <w:displayVerticalDrawingGridEvery w:val="3"/>
  <w:doNotUseMarginsForDrawingGridOrigin/>
  <w:drawingGridVerticalOrigin w:val="1985"/>
  <w:doNotShadeFormData/>
  <w:characterSpacingControl w:val="compressPunctuation"/>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95"/>
    <w:rsid w:val="00000541"/>
    <w:rsid w:val="00000811"/>
    <w:rsid w:val="00003198"/>
    <w:rsid w:val="00003795"/>
    <w:rsid w:val="0000632F"/>
    <w:rsid w:val="00006636"/>
    <w:rsid w:val="00010EC9"/>
    <w:rsid w:val="00011076"/>
    <w:rsid w:val="000112DF"/>
    <w:rsid w:val="0001238F"/>
    <w:rsid w:val="000130F6"/>
    <w:rsid w:val="0001320E"/>
    <w:rsid w:val="000138CC"/>
    <w:rsid w:val="00013C80"/>
    <w:rsid w:val="00014C5B"/>
    <w:rsid w:val="00014EC1"/>
    <w:rsid w:val="000155AF"/>
    <w:rsid w:val="00016858"/>
    <w:rsid w:val="00016C9A"/>
    <w:rsid w:val="00016DB2"/>
    <w:rsid w:val="00017383"/>
    <w:rsid w:val="00017525"/>
    <w:rsid w:val="0002086F"/>
    <w:rsid w:val="00020C80"/>
    <w:rsid w:val="00020F64"/>
    <w:rsid w:val="00021041"/>
    <w:rsid w:val="00021B3D"/>
    <w:rsid w:val="000220D7"/>
    <w:rsid w:val="00022258"/>
    <w:rsid w:val="00022752"/>
    <w:rsid w:val="00022824"/>
    <w:rsid w:val="00023035"/>
    <w:rsid w:val="00023DF6"/>
    <w:rsid w:val="00025443"/>
    <w:rsid w:val="000255AB"/>
    <w:rsid w:val="00025771"/>
    <w:rsid w:val="00025AAD"/>
    <w:rsid w:val="00026631"/>
    <w:rsid w:val="00026741"/>
    <w:rsid w:val="00026ABC"/>
    <w:rsid w:val="000274E5"/>
    <w:rsid w:val="00027C93"/>
    <w:rsid w:val="0003053D"/>
    <w:rsid w:val="00030586"/>
    <w:rsid w:val="00030B61"/>
    <w:rsid w:val="00030D7F"/>
    <w:rsid w:val="0003119F"/>
    <w:rsid w:val="00031DB2"/>
    <w:rsid w:val="00031E87"/>
    <w:rsid w:val="00032542"/>
    <w:rsid w:val="00033613"/>
    <w:rsid w:val="00034AE5"/>
    <w:rsid w:val="00035E8A"/>
    <w:rsid w:val="000365FE"/>
    <w:rsid w:val="00036A51"/>
    <w:rsid w:val="00037D2D"/>
    <w:rsid w:val="00037D3E"/>
    <w:rsid w:val="00037DD4"/>
    <w:rsid w:val="00040A99"/>
    <w:rsid w:val="00041735"/>
    <w:rsid w:val="0004277A"/>
    <w:rsid w:val="00043F38"/>
    <w:rsid w:val="00044022"/>
    <w:rsid w:val="0004493E"/>
    <w:rsid w:val="00045447"/>
    <w:rsid w:val="000458AF"/>
    <w:rsid w:val="00046CFE"/>
    <w:rsid w:val="00050B01"/>
    <w:rsid w:val="00050C0D"/>
    <w:rsid w:val="0005105C"/>
    <w:rsid w:val="00051423"/>
    <w:rsid w:val="0005197B"/>
    <w:rsid w:val="00051A1C"/>
    <w:rsid w:val="000521B1"/>
    <w:rsid w:val="000521C4"/>
    <w:rsid w:val="00052319"/>
    <w:rsid w:val="0005235F"/>
    <w:rsid w:val="000529A5"/>
    <w:rsid w:val="00054CB7"/>
    <w:rsid w:val="000550F9"/>
    <w:rsid w:val="00057B7F"/>
    <w:rsid w:val="00057EC6"/>
    <w:rsid w:val="00060524"/>
    <w:rsid w:val="00060646"/>
    <w:rsid w:val="00060A1A"/>
    <w:rsid w:val="00060BDE"/>
    <w:rsid w:val="00061B9A"/>
    <w:rsid w:val="00061FB2"/>
    <w:rsid w:val="0006204A"/>
    <w:rsid w:val="00062296"/>
    <w:rsid w:val="000636BE"/>
    <w:rsid w:val="00063FB4"/>
    <w:rsid w:val="000644E7"/>
    <w:rsid w:val="00064BFA"/>
    <w:rsid w:val="0006597C"/>
    <w:rsid w:val="00066F04"/>
    <w:rsid w:val="000670FC"/>
    <w:rsid w:val="0007092E"/>
    <w:rsid w:val="00071338"/>
    <w:rsid w:val="0007169B"/>
    <w:rsid w:val="000718A1"/>
    <w:rsid w:val="00071A9F"/>
    <w:rsid w:val="000730C2"/>
    <w:rsid w:val="00073932"/>
    <w:rsid w:val="00074149"/>
    <w:rsid w:val="0007598C"/>
    <w:rsid w:val="000762CB"/>
    <w:rsid w:val="00076565"/>
    <w:rsid w:val="00076680"/>
    <w:rsid w:val="000766EF"/>
    <w:rsid w:val="00077120"/>
    <w:rsid w:val="0007748B"/>
    <w:rsid w:val="000778B1"/>
    <w:rsid w:val="000802F6"/>
    <w:rsid w:val="00081995"/>
    <w:rsid w:val="00081DF4"/>
    <w:rsid w:val="000835C4"/>
    <w:rsid w:val="00084080"/>
    <w:rsid w:val="000849D1"/>
    <w:rsid w:val="0008676F"/>
    <w:rsid w:val="00090247"/>
    <w:rsid w:val="000911B4"/>
    <w:rsid w:val="000912B6"/>
    <w:rsid w:val="000914DC"/>
    <w:rsid w:val="00092A39"/>
    <w:rsid w:val="00093DE5"/>
    <w:rsid w:val="00095758"/>
    <w:rsid w:val="00095E06"/>
    <w:rsid w:val="00095F1E"/>
    <w:rsid w:val="00096C7B"/>
    <w:rsid w:val="000A0C2D"/>
    <w:rsid w:val="000A0F8D"/>
    <w:rsid w:val="000A158C"/>
    <w:rsid w:val="000A1A60"/>
    <w:rsid w:val="000A1EEF"/>
    <w:rsid w:val="000A2BDC"/>
    <w:rsid w:val="000A2C4D"/>
    <w:rsid w:val="000A314C"/>
    <w:rsid w:val="000A321E"/>
    <w:rsid w:val="000A34AB"/>
    <w:rsid w:val="000A3F3D"/>
    <w:rsid w:val="000A4724"/>
    <w:rsid w:val="000A4935"/>
    <w:rsid w:val="000A4C77"/>
    <w:rsid w:val="000A5B4E"/>
    <w:rsid w:val="000A69A9"/>
    <w:rsid w:val="000A7E0D"/>
    <w:rsid w:val="000B115E"/>
    <w:rsid w:val="000B31C5"/>
    <w:rsid w:val="000B3FBE"/>
    <w:rsid w:val="000B4408"/>
    <w:rsid w:val="000B5324"/>
    <w:rsid w:val="000B6080"/>
    <w:rsid w:val="000B6BBC"/>
    <w:rsid w:val="000B6F15"/>
    <w:rsid w:val="000C05F6"/>
    <w:rsid w:val="000C0811"/>
    <w:rsid w:val="000C118F"/>
    <w:rsid w:val="000C1E62"/>
    <w:rsid w:val="000C2BBE"/>
    <w:rsid w:val="000C2E7A"/>
    <w:rsid w:val="000C3547"/>
    <w:rsid w:val="000C3DB0"/>
    <w:rsid w:val="000C3F30"/>
    <w:rsid w:val="000C4476"/>
    <w:rsid w:val="000C45A2"/>
    <w:rsid w:val="000C48D4"/>
    <w:rsid w:val="000C4AC1"/>
    <w:rsid w:val="000C5021"/>
    <w:rsid w:val="000C53AF"/>
    <w:rsid w:val="000C6A05"/>
    <w:rsid w:val="000C758B"/>
    <w:rsid w:val="000D0269"/>
    <w:rsid w:val="000D10AC"/>
    <w:rsid w:val="000D1EC6"/>
    <w:rsid w:val="000D2885"/>
    <w:rsid w:val="000D2CA4"/>
    <w:rsid w:val="000D362C"/>
    <w:rsid w:val="000D38E7"/>
    <w:rsid w:val="000D4931"/>
    <w:rsid w:val="000D4C4B"/>
    <w:rsid w:val="000D4CB4"/>
    <w:rsid w:val="000D4D58"/>
    <w:rsid w:val="000D52D6"/>
    <w:rsid w:val="000D590C"/>
    <w:rsid w:val="000D79B4"/>
    <w:rsid w:val="000D7C87"/>
    <w:rsid w:val="000E24AC"/>
    <w:rsid w:val="000E5C69"/>
    <w:rsid w:val="000E66F6"/>
    <w:rsid w:val="000E6C6A"/>
    <w:rsid w:val="000E6D15"/>
    <w:rsid w:val="000F1E05"/>
    <w:rsid w:val="000F2FBD"/>
    <w:rsid w:val="000F3AC6"/>
    <w:rsid w:val="000F3DE8"/>
    <w:rsid w:val="000F3FD9"/>
    <w:rsid w:val="000F45A0"/>
    <w:rsid w:val="000F4AE6"/>
    <w:rsid w:val="000F6AAC"/>
    <w:rsid w:val="000F7252"/>
    <w:rsid w:val="000F7F38"/>
    <w:rsid w:val="000F7F53"/>
    <w:rsid w:val="00100F50"/>
    <w:rsid w:val="00100F8D"/>
    <w:rsid w:val="0010168D"/>
    <w:rsid w:val="0010196E"/>
    <w:rsid w:val="00101E88"/>
    <w:rsid w:val="00102090"/>
    <w:rsid w:val="0010283E"/>
    <w:rsid w:val="001028D6"/>
    <w:rsid w:val="0010297A"/>
    <w:rsid w:val="00102BA0"/>
    <w:rsid w:val="00103438"/>
    <w:rsid w:val="00104A96"/>
    <w:rsid w:val="00104E36"/>
    <w:rsid w:val="00105AD7"/>
    <w:rsid w:val="00107FAF"/>
    <w:rsid w:val="00110D74"/>
    <w:rsid w:val="0011184D"/>
    <w:rsid w:val="001126A3"/>
    <w:rsid w:val="00113A74"/>
    <w:rsid w:val="00114BC2"/>
    <w:rsid w:val="0011549F"/>
    <w:rsid w:val="00116D97"/>
    <w:rsid w:val="00117AC9"/>
    <w:rsid w:val="00117E15"/>
    <w:rsid w:val="0012055D"/>
    <w:rsid w:val="001212CE"/>
    <w:rsid w:val="00121C0C"/>
    <w:rsid w:val="00121F9C"/>
    <w:rsid w:val="001235ED"/>
    <w:rsid w:val="00124DCB"/>
    <w:rsid w:val="001252DD"/>
    <w:rsid w:val="00125F85"/>
    <w:rsid w:val="001260E4"/>
    <w:rsid w:val="00126D12"/>
    <w:rsid w:val="001303C2"/>
    <w:rsid w:val="001305A4"/>
    <w:rsid w:val="001307F0"/>
    <w:rsid w:val="00131797"/>
    <w:rsid w:val="00132209"/>
    <w:rsid w:val="00132337"/>
    <w:rsid w:val="00132E8E"/>
    <w:rsid w:val="001330DA"/>
    <w:rsid w:val="0013380E"/>
    <w:rsid w:val="00134CFE"/>
    <w:rsid w:val="00136C0F"/>
    <w:rsid w:val="00136DE6"/>
    <w:rsid w:val="001371D2"/>
    <w:rsid w:val="0013754C"/>
    <w:rsid w:val="0014021A"/>
    <w:rsid w:val="00140CF8"/>
    <w:rsid w:val="00141B92"/>
    <w:rsid w:val="00141E66"/>
    <w:rsid w:val="00142C90"/>
    <w:rsid w:val="00142D29"/>
    <w:rsid w:val="001435D1"/>
    <w:rsid w:val="00145586"/>
    <w:rsid w:val="00145C31"/>
    <w:rsid w:val="00146023"/>
    <w:rsid w:val="00147549"/>
    <w:rsid w:val="001505D1"/>
    <w:rsid w:val="00150987"/>
    <w:rsid w:val="00151092"/>
    <w:rsid w:val="0015202D"/>
    <w:rsid w:val="00153B36"/>
    <w:rsid w:val="00153D34"/>
    <w:rsid w:val="001544E8"/>
    <w:rsid w:val="00156613"/>
    <w:rsid w:val="00156ED3"/>
    <w:rsid w:val="00157434"/>
    <w:rsid w:val="00157F5B"/>
    <w:rsid w:val="00160277"/>
    <w:rsid w:val="0016097E"/>
    <w:rsid w:val="00160B7F"/>
    <w:rsid w:val="001634FE"/>
    <w:rsid w:val="00163D8A"/>
    <w:rsid w:val="00163F3E"/>
    <w:rsid w:val="00164A56"/>
    <w:rsid w:val="00164F26"/>
    <w:rsid w:val="00164F65"/>
    <w:rsid w:val="001664FF"/>
    <w:rsid w:val="0016706E"/>
    <w:rsid w:val="001677EE"/>
    <w:rsid w:val="00170153"/>
    <w:rsid w:val="001701C3"/>
    <w:rsid w:val="00170A76"/>
    <w:rsid w:val="00170D40"/>
    <w:rsid w:val="00171049"/>
    <w:rsid w:val="001716DF"/>
    <w:rsid w:val="00173068"/>
    <w:rsid w:val="00173334"/>
    <w:rsid w:val="00174B1C"/>
    <w:rsid w:val="00174B8D"/>
    <w:rsid w:val="0017597E"/>
    <w:rsid w:val="001759C6"/>
    <w:rsid w:val="00176D33"/>
    <w:rsid w:val="0017743F"/>
    <w:rsid w:val="00177965"/>
    <w:rsid w:val="00180AD6"/>
    <w:rsid w:val="00180B30"/>
    <w:rsid w:val="00181B29"/>
    <w:rsid w:val="0018234A"/>
    <w:rsid w:val="00182609"/>
    <w:rsid w:val="0018292A"/>
    <w:rsid w:val="00183B95"/>
    <w:rsid w:val="00184D54"/>
    <w:rsid w:val="001850E6"/>
    <w:rsid w:val="0018588D"/>
    <w:rsid w:val="001865C5"/>
    <w:rsid w:val="00186748"/>
    <w:rsid w:val="00187A5D"/>
    <w:rsid w:val="001900C4"/>
    <w:rsid w:val="001916AE"/>
    <w:rsid w:val="00193950"/>
    <w:rsid w:val="00196274"/>
    <w:rsid w:val="001968AF"/>
    <w:rsid w:val="00196905"/>
    <w:rsid w:val="00197AAF"/>
    <w:rsid w:val="001A0485"/>
    <w:rsid w:val="001A0AF0"/>
    <w:rsid w:val="001A12B9"/>
    <w:rsid w:val="001A1B6E"/>
    <w:rsid w:val="001A348E"/>
    <w:rsid w:val="001A3E4C"/>
    <w:rsid w:val="001A4439"/>
    <w:rsid w:val="001A4B72"/>
    <w:rsid w:val="001A4C62"/>
    <w:rsid w:val="001A4E0A"/>
    <w:rsid w:val="001A5C1A"/>
    <w:rsid w:val="001A5F4C"/>
    <w:rsid w:val="001A65E2"/>
    <w:rsid w:val="001B0F5C"/>
    <w:rsid w:val="001B10FD"/>
    <w:rsid w:val="001B1A30"/>
    <w:rsid w:val="001B32F8"/>
    <w:rsid w:val="001B3CE0"/>
    <w:rsid w:val="001B6585"/>
    <w:rsid w:val="001C09D8"/>
    <w:rsid w:val="001C19E8"/>
    <w:rsid w:val="001C1D45"/>
    <w:rsid w:val="001C215D"/>
    <w:rsid w:val="001C271E"/>
    <w:rsid w:val="001C2997"/>
    <w:rsid w:val="001C3168"/>
    <w:rsid w:val="001C3896"/>
    <w:rsid w:val="001C474F"/>
    <w:rsid w:val="001C4FFD"/>
    <w:rsid w:val="001C54AE"/>
    <w:rsid w:val="001C5678"/>
    <w:rsid w:val="001C5DB0"/>
    <w:rsid w:val="001C6260"/>
    <w:rsid w:val="001C6961"/>
    <w:rsid w:val="001C7AEA"/>
    <w:rsid w:val="001D028A"/>
    <w:rsid w:val="001D038E"/>
    <w:rsid w:val="001D064F"/>
    <w:rsid w:val="001D1251"/>
    <w:rsid w:val="001D1D8B"/>
    <w:rsid w:val="001D1F5E"/>
    <w:rsid w:val="001D2FF1"/>
    <w:rsid w:val="001D3232"/>
    <w:rsid w:val="001D3ABA"/>
    <w:rsid w:val="001D3BB0"/>
    <w:rsid w:val="001D3EFE"/>
    <w:rsid w:val="001D3F17"/>
    <w:rsid w:val="001D3F5A"/>
    <w:rsid w:val="001D439D"/>
    <w:rsid w:val="001D456A"/>
    <w:rsid w:val="001D5C92"/>
    <w:rsid w:val="001D5E56"/>
    <w:rsid w:val="001D739F"/>
    <w:rsid w:val="001E0665"/>
    <w:rsid w:val="001E069E"/>
    <w:rsid w:val="001E0C2C"/>
    <w:rsid w:val="001E1327"/>
    <w:rsid w:val="001E13D3"/>
    <w:rsid w:val="001E1811"/>
    <w:rsid w:val="001E18DB"/>
    <w:rsid w:val="001E2FD1"/>
    <w:rsid w:val="001E33AC"/>
    <w:rsid w:val="001E43AD"/>
    <w:rsid w:val="001E476E"/>
    <w:rsid w:val="001E48ED"/>
    <w:rsid w:val="001E4B04"/>
    <w:rsid w:val="001E5443"/>
    <w:rsid w:val="001E5B9F"/>
    <w:rsid w:val="001E5CDC"/>
    <w:rsid w:val="001E65CD"/>
    <w:rsid w:val="001E6FCB"/>
    <w:rsid w:val="001E75A2"/>
    <w:rsid w:val="001F2942"/>
    <w:rsid w:val="001F2FD8"/>
    <w:rsid w:val="001F415C"/>
    <w:rsid w:val="001F6EF1"/>
    <w:rsid w:val="001F79AD"/>
    <w:rsid w:val="002009DF"/>
    <w:rsid w:val="00202D75"/>
    <w:rsid w:val="00203131"/>
    <w:rsid w:val="00204355"/>
    <w:rsid w:val="00204B05"/>
    <w:rsid w:val="00204C26"/>
    <w:rsid w:val="00205473"/>
    <w:rsid w:val="00205D55"/>
    <w:rsid w:val="00205F96"/>
    <w:rsid w:val="00207395"/>
    <w:rsid w:val="00211649"/>
    <w:rsid w:val="00211A53"/>
    <w:rsid w:val="00212245"/>
    <w:rsid w:val="002139A1"/>
    <w:rsid w:val="00213F78"/>
    <w:rsid w:val="00214779"/>
    <w:rsid w:val="00214BAD"/>
    <w:rsid w:val="00214CF4"/>
    <w:rsid w:val="00216676"/>
    <w:rsid w:val="0021703F"/>
    <w:rsid w:val="002171FF"/>
    <w:rsid w:val="00217457"/>
    <w:rsid w:val="00217780"/>
    <w:rsid w:val="002178DF"/>
    <w:rsid w:val="002207FE"/>
    <w:rsid w:val="00220FD6"/>
    <w:rsid w:val="002211CD"/>
    <w:rsid w:val="00222199"/>
    <w:rsid w:val="00222644"/>
    <w:rsid w:val="00223E0A"/>
    <w:rsid w:val="002240C5"/>
    <w:rsid w:val="00224AD0"/>
    <w:rsid w:val="00225EF2"/>
    <w:rsid w:val="002264C9"/>
    <w:rsid w:val="00226677"/>
    <w:rsid w:val="00226A72"/>
    <w:rsid w:val="00226D10"/>
    <w:rsid w:val="00227A7C"/>
    <w:rsid w:val="00227E56"/>
    <w:rsid w:val="00227F37"/>
    <w:rsid w:val="00231DCA"/>
    <w:rsid w:val="0023259B"/>
    <w:rsid w:val="002338DB"/>
    <w:rsid w:val="00233C10"/>
    <w:rsid w:val="00234C85"/>
    <w:rsid w:val="002356BC"/>
    <w:rsid w:val="002361A8"/>
    <w:rsid w:val="002363FD"/>
    <w:rsid w:val="00236875"/>
    <w:rsid w:val="002374A8"/>
    <w:rsid w:val="00240B95"/>
    <w:rsid w:val="00240C57"/>
    <w:rsid w:val="00240E76"/>
    <w:rsid w:val="00241101"/>
    <w:rsid w:val="0024241D"/>
    <w:rsid w:val="002438D0"/>
    <w:rsid w:val="00243B57"/>
    <w:rsid w:val="00243E12"/>
    <w:rsid w:val="00243FE8"/>
    <w:rsid w:val="00244DC8"/>
    <w:rsid w:val="002458F8"/>
    <w:rsid w:val="002464E1"/>
    <w:rsid w:val="00246956"/>
    <w:rsid w:val="00250453"/>
    <w:rsid w:val="00250529"/>
    <w:rsid w:val="00251835"/>
    <w:rsid w:val="0025301F"/>
    <w:rsid w:val="00253210"/>
    <w:rsid w:val="002535C1"/>
    <w:rsid w:val="002556F3"/>
    <w:rsid w:val="00255821"/>
    <w:rsid w:val="002560B8"/>
    <w:rsid w:val="00257B69"/>
    <w:rsid w:val="00257C52"/>
    <w:rsid w:val="002624C3"/>
    <w:rsid w:val="0026258D"/>
    <w:rsid w:val="00262AAD"/>
    <w:rsid w:val="002655FA"/>
    <w:rsid w:val="00265CD4"/>
    <w:rsid w:val="002677F1"/>
    <w:rsid w:val="002711D8"/>
    <w:rsid w:val="00271348"/>
    <w:rsid w:val="0027161E"/>
    <w:rsid w:val="00271F13"/>
    <w:rsid w:val="00272BD2"/>
    <w:rsid w:val="00272DFC"/>
    <w:rsid w:val="002732C7"/>
    <w:rsid w:val="00274F95"/>
    <w:rsid w:val="00275505"/>
    <w:rsid w:val="002755CD"/>
    <w:rsid w:val="00277E6E"/>
    <w:rsid w:val="0028057F"/>
    <w:rsid w:val="0028107F"/>
    <w:rsid w:val="00282906"/>
    <w:rsid w:val="00282984"/>
    <w:rsid w:val="00282AB8"/>
    <w:rsid w:val="002831E0"/>
    <w:rsid w:val="00283C02"/>
    <w:rsid w:val="00283EB6"/>
    <w:rsid w:val="00283FDC"/>
    <w:rsid w:val="002846F6"/>
    <w:rsid w:val="00284894"/>
    <w:rsid w:val="002848EB"/>
    <w:rsid w:val="002858B7"/>
    <w:rsid w:val="00285DC4"/>
    <w:rsid w:val="00285EE9"/>
    <w:rsid w:val="002867D5"/>
    <w:rsid w:val="002872D1"/>
    <w:rsid w:val="0028788E"/>
    <w:rsid w:val="00287DD3"/>
    <w:rsid w:val="002902FF"/>
    <w:rsid w:val="002907C9"/>
    <w:rsid w:val="00291B64"/>
    <w:rsid w:val="00291E65"/>
    <w:rsid w:val="0029344F"/>
    <w:rsid w:val="002935FD"/>
    <w:rsid w:val="00294A7B"/>
    <w:rsid w:val="00295275"/>
    <w:rsid w:val="00295370"/>
    <w:rsid w:val="00295F20"/>
    <w:rsid w:val="002965E1"/>
    <w:rsid w:val="0029660A"/>
    <w:rsid w:val="0029663C"/>
    <w:rsid w:val="0029768C"/>
    <w:rsid w:val="00297B36"/>
    <w:rsid w:val="00297BBE"/>
    <w:rsid w:val="002A1FF9"/>
    <w:rsid w:val="002A21C1"/>
    <w:rsid w:val="002A247F"/>
    <w:rsid w:val="002A2FDE"/>
    <w:rsid w:val="002A2FF0"/>
    <w:rsid w:val="002A3556"/>
    <w:rsid w:val="002A5943"/>
    <w:rsid w:val="002A7541"/>
    <w:rsid w:val="002A7C35"/>
    <w:rsid w:val="002B0F87"/>
    <w:rsid w:val="002B1601"/>
    <w:rsid w:val="002B1E98"/>
    <w:rsid w:val="002B49E8"/>
    <w:rsid w:val="002B4B14"/>
    <w:rsid w:val="002B527F"/>
    <w:rsid w:val="002B71FF"/>
    <w:rsid w:val="002B793F"/>
    <w:rsid w:val="002C16D5"/>
    <w:rsid w:val="002C1C74"/>
    <w:rsid w:val="002C1E4A"/>
    <w:rsid w:val="002C2672"/>
    <w:rsid w:val="002C2CCF"/>
    <w:rsid w:val="002C3526"/>
    <w:rsid w:val="002C39CD"/>
    <w:rsid w:val="002C43B9"/>
    <w:rsid w:val="002C4AFF"/>
    <w:rsid w:val="002C5E6E"/>
    <w:rsid w:val="002C5F02"/>
    <w:rsid w:val="002C686A"/>
    <w:rsid w:val="002C690E"/>
    <w:rsid w:val="002C6B04"/>
    <w:rsid w:val="002C7F89"/>
    <w:rsid w:val="002D09B0"/>
    <w:rsid w:val="002D0BEC"/>
    <w:rsid w:val="002D0E7A"/>
    <w:rsid w:val="002D0F0E"/>
    <w:rsid w:val="002D10A2"/>
    <w:rsid w:val="002D11A3"/>
    <w:rsid w:val="002D12C7"/>
    <w:rsid w:val="002D1732"/>
    <w:rsid w:val="002D2A84"/>
    <w:rsid w:val="002D2C09"/>
    <w:rsid w:val="002D4665"/>
    <w:rsid w:val="002D5974"/>
    <w:rsid w:val="002D5F8C"/>
    <w:rsid w:val="002D643B"/>
    <w:rsid w:val="002D7ACE"/>
    <w:rsid w:val="002E023A"/>
    <w:rsid w:val="002E0499"/>
    <w:rsid w:val="002E1F27"/>
    <w:rsid w:val="002E2766"/>
    <w:rsid w:val="002E279E"/>
    <w:rsid w:val="002E2F28"/>
    <w:rsid w:val="002E4399"/>
    <w:rsid w:val="002E6227"/>
    <w:rsid w:val="002E688A"/>
    <w:rsid w:val="002E7273"/>
    <w:rsid w:val="002E7662"/>
    <w:rsid w:val="002F009E"/>
    <w:rsid w:val="002F1D48"/>
    <w:rsid w:val="002F2069"/>
    <w:rsid w:val="002F23F3"/>
    <w:rsid w:val="002F2A20"/>
    <w:rsid w:val="002F322F"/>
    <w:rsid w:val="002F353A"/>
    <w:rsid w:val="002F4E5A"/>
    <w:rsid w:val="002F53CD"/>
    <w:rsid w:val="002F5819"/>
    <w:rsid w:val="002F58E8"/>
    <w:rsid w:val="002F7DF4"/>
    <w:rsid w:val="003021EA"/>
    <w:rsid w:val="0030296F"/>
    <w:rsid w:val="003029E7"/>
    <w:rsid w:val="00302E76"/>
    <w:rsid w:val="00303511"/>
    <w:rsid w:val="0030384D"/>
    <w:rsid w:val="00303C07"/>
    <w:rsid w:val="00304B47"/>
    <w:rsid w:val="003059DC"/>
    <w:rsid w:val="0031023F"/>
    <w:rsid w:val="00310904"/>
    <w:rsid w:val="003109DC"/>
    <w:rsid w:val="00310E3C"/>
    <w:rsid w:val="00311DAA"/>
    <w:rsid w:val="003122D7"/>
    <w:rsid w:val="00312D51"/>
    <w:rsid w:val="003131D6"/>
    <w:rsid w:val="00313781"/>
    <w:rsid w:val="00313B90"/>
    <w:rsid w:val="00314589"/>
    <w:rsid w:val="00315A4A"/>
    <w:rsid w:val="00315D79"/>
    <w:rsid w:val="00317500"/>
    <w:rsid w:val="00320AAA"/>
    <w:rsid w:val="0032149C"/>
    <w:rsid w:val="003218FE"/>
    <w:rsid w:val="00322C27"/>
    <w:rsid w:val="0032426E"/>
    <w:rsid w:val="00324D9F"/>
    <w:rsid w:val="003251CC"/>
    <w:rsid w:val="00325212"/>
    <w:rsid w:val="00325400"/>
    <w:rsid w:val="00325DBB"/>
    <w:rsid w:val="003265B3"/>
    <w:rsid w:val="00326A0B"/>
    <w:rsid w:val="00326AC7"/>
    <w:rsid w:val="00326C44"/>
    <w:rsid w:val="0033035D"/>
    <w:rsid w:val="003309B0"/>
    <w:rsid w:val="00330F2A"/>
    <w:rsid w:val="0033181F"/>
    <w:rsid w:val="00331BFE"/>
    <w:rsid w:val="00331E69"/>
    <w:rsid w:val="00332021"/>
    <w:rsid w:val="0033297A"/>
    <w:rsid w:val="003329AD"/>
    <w:rsid w:val="00332A1C"/>
    <w:rsid w:val="00332B02"/>
    <w:rsid w:val="00332D9A"/>
    <w:rsid w:val="00333963"/>
    <w:rsid w:val="00333C18"/>
    <w:rsid w:val="00334C67"/>
    <w:rsid w:val="00334C8B"/>
    <w:rsid w:val="00335C9F"/>
    <w:rsid w:val="00336395"/>
    <w:rsid w:val="00336A6D"/>
    <w:rsid w:val="00337D64"/>
    <w:rsid w:val="0034002E"/>
    <w:rsid w:val="003400C6"/>
    <w:rsid w:val="003402A5"/>
    <w:rsid w:val="0034053E"/>
    <w:rsid w:val="00341776"/>
    <w:rsid w:val="0034347D"/>
    <w:rsid w:val="00343747"/>
    <w:rsid w:val="00343A42"/>
    <w:rsid w:val="00344FC5"/>
    <w:rsid w:val="003450C9"/>
    <w:rsid w:val="0034537C"/>
    <w:rsid w:val="003457CD"/>
    <w:rsid w:val="00346403"/>
    <w:rsid w:val="00346792"/>
    <w:rsid w:val="0034695D"/>
    <w:rsid w:val="00346B65"/>
    <w:rsid w:val="00346DDE"/>
    <w:rsid w:val="00347533"/>
    <w:rsid w:val="00347F1C"/>
    <w:rsid w:val="00350AA1"/>
    <w:rsid w:val="00351114"/>
    <w:rsid w:val="00351D25"/>
    <w:rsid w:val="003522CF"/>
    <w:rsid w:val="00352571"/>
    <w:rsid w:val="003533AA"/>
    <w:rsid w:val="00353CC2"/>
    <w:rsid w:val="003540B9"/>
    <w:rsid w:val="00355EFB"/>
    <w:rsid w:val="00357778"/>
    <w:rsid w:val="00357FE0"/>
    <w:rsid w:val="00360336"/>
    <w:rsid w:val="00360A63"/>
    <w:rsid w:val="00361330"/>
    <w:rsid w:val="00361541"/>
    <w:rsid w:val="00364171"/>
    <w:rsid w:val="00364662"/>
    <w:rsid w:val="00364BFE"/>
    <w:rsid w:val="00366922"/>
    <w:rsid w:val="00367076"/>
    <w:rsid w:val="0037301C"/>
    <w:rsid w:val="00373060"/>
    <w:rsid w:val="003737E1"/>
    <w:rsid w:val="003737F1"/>
    <w:rsid w:val="00373803"/>
    <w:rsid w:val="00373DF6"/>
    <w:rsid w:val="00375595"/>
    <w:rsid w:val="0037696E"/>
    <w:rsid w:val="00376C21"/>
    <w:rsid w:val="0037730A"/>
    <w:rsid w:val="003775B7"/>
    <w:rsid w:val="00377E94"/>
    <w:rsid w:val="00377F2A"/>
    <w:rsid w:val="003807D5"/>
    <w:rsid w:val="00380A3B"/>
    <w:rsid w:val="00381150"/>
    <w:rsid w:val="00382599"/>
    <w:rsid w:val="003836F0"/>
    <w:rsid w:val="003848AD"/>
    <w:rsid w:val="00384BFF"/>
    <w:rsid w:val="00385A57"/>
    <w:rsid w:val="00386055"/>
    <w:rsid w:val="00386F0D"/>
    <w:rsid w:val="00387E22"/>
    <w:rsid w:val="00391191"/>
    <w:rsid w:val="00391415"/>
    <w:rsid w:val="003917C5"/>
    <w:rsid w:val="003922D3"/>
    <w:rsid w:val="00392789"/>
    <w:rsid w:val="00392A6C"/>
    <w:rsid w:val="003938C9"/>
    <w:rsid w:val="003949ED"/>
    <w:rsid w:val="003965C7"/>
    <w:rsid w:val="003973CB"/>
    <w:rsid w:val="00397B0C"/>
    <w:rsid w:val="003A09B4"/>
    <w:rsid w:val="003A09CB"/>
    <w:rsid w:val="003A0AE3"/>
    <w:rsid w:val="003A12A0"/>
    <w:rsid w:val="003A143B"/>
    <w:rsid w:val="003A15AF"/>
    <w:rsid w:val="003A16D3"/>
    <w:rsid w:val="003A1BE0"/>
    <w:rsid w:val="003A1E42"/>
    <w:rsid w:val="003A21BE"/>
    <w:rsid w:val="003A2AA5"/>
    <w:rsid w:val="003A3B4A"/>
    <w:rsid w:val="003A51D6"/>
    <w:rsid w:val="003A57A2"/>
    <w:rsid w:val="003A5F89"/>
    <w:rsid w:val="003A67DC"/>
    <w:rsid w:val="003A6835"/>
    <w:rsid w:val="003A6DCD"/>
    <w:rsid w:val="003A6E4D"/>
    <w:rsid w:val="003A73C4"/>
    <w:rsid w:val="003B08A1"/>
    <w:rsid w:val="003B0BE0"/>
    <w:rsid w:val="003B1237"/>
    <w:rsid w:val="003B384D"/>
    <w:rsid w:val="003B3A59"/>
    <w:rsid w:val="003B40DF"/>
    <w:rsid w:val="003B4244"/>
    <w:rsid w:val="003B5B1B"/>
    <w:rsid w:val="003B6586"/>
    <w:rsid w:val="003B6905"/>
    <w:rsid w:val="003B7BAB"/>
    <w:rsid w:val="003B7C25"/>
    <w:rsid w:val="003C07DF"/>
    <w:rsid w:val="003C084C"/>
    <w:rsid w:val="003C2BCA"/>
    <w:rsid w:val="003C2F92"/>
    <w:rsid w:val="003C41D0"/>
    <w:rsid w:val="003C5C52"/>
    <w:rsid w:val="003C5F52"/>
    <w:rsid w:val="003C763D"/>
    <w:rsid w:val="003C7891"/>
    <w:rsid w:val="003C7B2A"/>
    <w:rsid w:val="003D051B"/>
    <w:rsid w:val="003D060B"/>
    <w:rsid w:val="003D1430"/>
    <w:rsid w:val="003D2ADB"/>
    <w:rsid w:val="003D3F3A"/>
    <w:rsid w:val="003D5EAD"/>
    <w:rsid w:val="003D67D3"/>
    <w:rsid w:val="003D68C0"/>
    <w:rsid w:val="003D6C7F"/>
    <w:rsid w:val="003E04EF"/>
    <w:rsid w:val="003E1BD7"/>
    <w:rsid w:val="003E5982"/>
    <w:rsid w:val="003E5A05"/>
    <w:rsid w:val="003E7272"/>
    <w:rsid w:val="003E7735"/>
    <w:rsid w:val="003E7F2A"/>
    <w:rsid w:val="003F1326"/>
    <w:rsid w:val="003F1639"/>
    <w:rsid w:val="003F23AA"/>
    <w:rsid w:val="003F28CE"/>
    <w:rsid w:val="003F36C9"/>
    <w:rsid w:val="003F46A4"/>
    <w:rsid w:val="003F635E"/>
    <w:rsid w:val="003F66B5"/>
    <w:rsid w:val="00400018"/>
    <w:rsid w:val="00400F0E"/>
    <w:rsid w:val="00401C87"/>
    <w:rsid w:val="00402AF9"/>
    <w:rsid w:val="00403149"/>
    <w:rsid w:val="0040588C"/>
    <w:rsid w:val="0040684E"/>
    <w:rsid w:val="00406DA7"/>
    <w:rsid w:val="004071E1"/>
    <w:rsid w:val="004078FD"/>
    <w:rsid w:val="00407C70"/>
    <w:rsid w:val="00407FF2"/>
    <w:rsid w:val="00410486"/>
    <w:rsid w:val="0041054F"/>
    <w:rsid w:val="00410912"/>
    <w:rsid w:val="00410F4B"/>
    <w:rsid w:val="00411763"/>
    <w:rsid w:val="00413397"/>
    <w:rsid w:val="00413C70"/>
    <w:rsid w:val="004143D3"/>
    <w:rsid w:val="00415485"/>
    <w:rsid w:val="00415684"/>
    <w:rsid w:val="004158EB"/>
    <w:rsid w:val="00417A71"/>
    <w:rsid w:val="0042062A"/>
    <w:rsid w:val="00420908"/>
    <w:rsid w:val="004220DC"/>
    <w:rsid w:val="00422925"/>
    <w:rsid w:val="0042306C"/>
    <w:rsid w:val="004231A1"/>
    <w:rsid w:val="004259E5"/>
    <w:rsid w:val="00425E26"/>
    <w:rsid w:val="00426BDE"/>
    <w:rsid w:val="004305C9"/>
    <w:rsid w:val="0043126B"/>
    <w:rsid w:val="004326FF"/>
    <w:rsid w:val="00434F62"/>
    <w:rsid w:val="004355D8"/>
    <w:rsid w:val="0043577F"/>
    <w:rsid w:val="0043702E"/>
    <w:rsid w:val="0043747F"/>
    <w:rsid w:val="004407D9"/>
    <w:rsid w:val="00441310"/>
    <w:rsid w:val="00441B87"/>
    <w:rsid w:val="00442723"/>
    <w:rsid w:val="00442CB2"/>
    <w:rsid w:val="0044392F"/>
    <w:rsid w:val="00443B03"/>
    <w:rsid w:val="00443D3F"/>
    <w:rsid w:val="00444763"/>
    <w:rsid w:val="0044501D"/>
    <w:rsid w:val="004457BB"/>
    <w:rsid w:val="00445F1E"/>
    <w:rsid w:val="004465D9"/>
    <w:rsid w:val="00446B8A"/>
    <w:rsid w:val="0044722D"/>
    <w:rsid w:val="00447629"/>
    <w:rsid w:val="00447D2F"/>
    <w:rsid w:val="004500CF"/>
    <w:rsid w:val="00451559"/>
    <w:rsid w:val="00451EBD"/>
    <w:rsid w:val="0045209E"/>
    <w:rsid w:val="004526D7"/>
    <w:rsid w:val="00452A42"/>
    <w:rsid w:val="00452E96"/>
    <w:rsid w:val="00452FC4"/>
    <w:rsid w:val="00454450"/>
    <w:rsid w:val="0045706A"/>
    <w:rsid w:val="00457105"/>
    <w:rsid w:val="0045726B"/>
    <w:rsid w:val="0045799D"/>
    <w:rsid w:val="00457FB8"/>
    <w:rsid w:val="00461614"/>
    <w:rsid w:val="00461824"/>
    <w:rsid w:val="00462CF6"/>
    <w:rsid w:val="00463178"/>
    <w:rsid w:val="004634AE"/>
    <w:rsid w:val="00463CC7"/>
    <w:rsid w:val="00463D99"/>
    <w:rsid w:val="004649AC"/>
    <w:rsid w:val="00465FE6"/>
    <w:rsid w:val="004668AB"/>
    <w:rsid w:val="00466BAE"/>
    <w:rsid w:val="00466F40"/>
    <w:rsid w:val="00466F87"/>
    <w:rsid w:val="0046715C"/>
    <w:rsid w:val="0046722D"/>
    <w:rsid w:val="0047022C"/>
    <w:rsid w:val="0047115D"/>
    <w:rsid w:val="004715E2"/>
    <w:rsid w:val="0047186A"/>
    <w:rsid w:val="0047241B"/>
    <w:rsid w:val="00473912"/>
    <w:rsid w:val="004752F6"/>
    <w:rsid w:val="004758EA"/>
    <w:rsid w:val="004776DE"/>
    <w:rsid w:val="004778FE"/>
    <w:rsid w:val="00477A36"/>
    <w:rsid w:val="00477A8B"/>
    <w:rsid w:val="00481360"/>
    <w:rsid w:val="0048149D"/>
    <w:rsid w:val="00481789"/>
    <w:rsid w:val="00481806"/>
    <w:rsid w:val="00481C7C"/>
    <w:rsid w:val="00482254"/>
    <w:rsid w:val="00482F60"/>
    <w:rsid w:val="00483D64"/>
    <w:rsid w:val="004847B9"/>
    <w:rsid w:val="004850A9"/>
    <w:rsid w:val="00485290"/>
    <w:rsid w:val="004873E1"/>
    <w:rsid w:val="00490783"/>
    <w:rsid w:val="004916CA"/>
    <w:rsid w:val="00491B8C"/>
    <w:rsid w:val="004920A7"/>
    <w:rsid w:val="004922BE"/>
    <w:rsid w:val="004924C8"/>
    <w:rsid w:val="0049280E"/>
    <w:rsid w:val="00492E40"/>
    <w:rsid w:val="00494097"/>
    <w:rsid w:val="00494946"/>
    <w:rsid w:val="004956F4"/>
    <w:rsid w:val="00495D2F"/>
    <w:rsid w:val="00496432"/>
    <w:rsid w:val="004966C4"/>
    <w:rsid w:val="00497227"/>
    <w:rsid w:val="00497C63"/>
    <w:rsid w:val="004A1D80"/>
    <w:rsid w:val="004A2384"/>
    <w:rsid w:val="004A30F9"/>
    <w:rsid w:val="004A38C7"/>
    <w:rsid w:val="004A3B6B"/>
    <w:rsid w:val="004A4860"/>
    <w:rsid w:val="004A4D18"/>
    <w:rsid w:val="004A53D2"/>
    <w:rsid w:val="004A5D5E"/>
    <w:rsid w:val="004A7BAA"/>
    <w:rsid w:val="004B0682"/>
    <w:rsid w:val="004B094B"/>
    <w:rsid w:val="004B1E0F"/>
    <w:rsid w:val="004B2936"/>
    <w:rsid w:val="004B36BB"/>
    <w:rsid w:val="004B39E0"/>
    <w:rsid w:val="004B485A"/>
    <w:rsid w:val="004B4AE4"/>
    <w:rsid w:val="004B4ED9"/>
    <w:rsid w:val="004B59A6"/>
    <w:rsid w:val="004B7897"/>
    <w:rsid w:val="004C01B5"/>
    <w:rsid w:val="004C06B5"/>
    <w:rsid w:val="004C087B"/>
    <w:rsid w:val="004C0B39"/>
    <w:rsid w:val="004C0B91"/>
    <w:rsid w:val="004C0FE6"/>
    <w:rsid w:val="004C1A49"/>
    <w:rsid w:val="004C22A5"/>
    <w:rsid w:val="004C2343"/>
    <w:rsid w:val="004C26CB"/>
    <w:rsid w:val="004C4B3E"/>
    <w:rsid w:val="004C4D81"/>
    <w:rsid w:val="004C5529"/>
    <w:rsid w:val="004C6436"/>
    <w:rsid w:val="004C69CE"/>
    <w:rsid w:val="004C7876"/>
    <w:rsid w:val="004D0C87"/>
    <w:rsid w:val="004D123C"/>
    <w:rsid w:val="004D21B0"/>
    <w:rsid w:val="004D21B9"/>
    <w:rsid w:val="004D26B9"/>
    <w:rsid w:val="004D2F86"/>
    <w:rsid w:val="004D3236"/>
    <w:rsid w:val="004D57A5"/>
    <w:rsid w:val="004D629E"/>
    <w:rsid w:val="004D638D"/>
    <w:rsid w:val="004D66D9"/>
    <w:rsid w:val="004D677C"/>
    <w:rsid w:val="004D67CD"/>
    <w:rsid w:val="004D71CA"/>
    <w:rsid w:val="004D73AA"/>
    <w:rsid w:val="004E2135"/>
    <w:rsid w:val="004E2601"/>
    <w:rsid w:val="004E28CC"/>
    <w:rsid w:val="004E3973"/>
    <w:rsid w:val="004E41F0"/>
    <w:rsid w:val="004E4473"/>
    <w:rsid w:val="004E458E"/>
    <w:rsid w:val="004E60B0"/>
    <w:rsid w:val="004E655E"/>
    <w:rsid w:val="004E76C7"/>
    <w:rsid w:val="004F0787"/>
    <w:rsid w:val="004F0AB8"/>
    <w:rsid w:val="004F28FD"/>
    <w:rsid w:val="004F2919"/>
    <w:rsid w:val="004F3DBE"/>
    <w:rsid w:val="004F458F"/>
    <w:rsid w:val="004F45EA"/>
    <w:rsid w:val="004F482C"/>
    <w:rsid w:val="004F525B"/>
    <w:rsid w:val="004F57D1"/>
    <w:rsid w:val="004F5A3F"/>
    <w:rsid w:val="004F6607"/>
    <w:rsid w:val="004F7CBC"/>
    <w:rsid w:val="00500C93"/>
    <w:rsid w:val="00500F8B"/>
    <w:rsid w:val="005010E2"/>
    <w:rsid w:val="00501439"/>
    <w:rsid w:val="0050165D"/>
    <w:rsid w:val="00502258"/>
    <w:rsid w:val="00502702"/>
    <w:rsid w:val="005032D3"/>
    <w:rsid w:val="005034AE"/>
    <w:rsid w:val="00503843"/>
    <w:rsid w:val="00503B84"/>
    <w:rsid w:val="005040C3"/>
    <w:rsid w:val="00505728"/>
    <w:rsid w:val="005059EF"/>
    <w:rsid w:val="00507014"/>
    <w:rsid w:val="00507FE7"/>
    <w:rsid w:val="005108A9"/>
    <w:rsid w:val="005137B0"/>
    <w:rsid w:val="005152E7"/>
    <w:rsid w:val="00516B64"/>
    <w:rsid w:val="005173FA"/>
    <w:rsid w:val="005174F4"/>
    <w:rsid w:val="00517A35"/>
    <w:rsid w:val="00517BA3"/>
    <w:rsid w:val="0052056E"/>
    <w:rsid w:val="0052102C"/>
    <w:rsid w:val="0052204B"/>
    <w:rsid w:val="005228F0"/>
    <w:rsid w:val="0052353E"/>
    <w:rsid w:val="005244DD"/>
    <w:rsid w:val="005248C8"/>
    <w:rsid w:val="00524C63"/>
    <w:rsid w:val="00524F93"/>
    <w:rsid w:val="00526766"/>
    <w:rsid w:val="00526803"/>
    <w:rsid w:val="0052687B"/>
    <w:rsid w:val="00527772"/>
    <w:rsid w:val="00530628"/>
    <w:rsid w:val="0053128A"/>
    <w:rsid w:val="005312B6"/>
    <w:rsid w:val="00531960"/>
    <w:rsid w:val="00531B55"/>
    <w:rsid w:val="00531C0F"/>
    <w:rsid w:val="00531DFD"/>
    <w:rsid w:val="0053236A"/>
    <w:rsid w:val="00533964"/>
    <w:rsid w:val="005343D7"/>
    <w:rsid w:val="00536185"/>
    <w:rsid w:val="0053677B"/>
    <w:rsid w:val="005371DA"/>
    <w:rsid w:val="005374F5"/>
    <w:rsid w:val="00540203"/>
    <w:rsid w:val="00540447"/>
    <w:rsid w:val="00540579"/>
    <w:rsid w:val="005405EB"/>
    <w:rsid w:val="00540E6A"/>
    <w:rsid w:val="0054198D"/>
    <w:rsid w:val="00541AED"/>
    <w:rsid w:val="00541C9D"/>
    <w:rsid w:val="00541F05"/>
    <w:rsid w:val="00542F55"/>
    <w:rsid w:val="005435A1"/>
    <w:rsid w:val="00544B59"/>
    <w:rsid w:val="00544C52"/>
    <w:rsid w:val="00544F5A"/>
    <w:rsid w:val="00545449"/>
    <w:rsid w:val="00545B39"/>
    <w:rsid w:val="00545C00"/>
    <w:rsid w:val="00546BC3"/>
    <w:rsid w:val="0054723A"/>
    <w:rsid w:val="00547727"/>
    <w:rsid w:val="00547907"/>
    <w:rsid w:val="00547992"/>
    <w:rsid w:val="0055027D"/>
    <w:rsid w:val="00550285"/>
    <w:rsid w:val="0055049C"/>
    <w:rsid w:val="005507F1"/>
    <w:rsid w:val="00550B05"/>
    <w:rsid w:val="00550E71"/>
    <w:rsid w:val="00551CD9"/>
    <w:rsid w:val="00552CF9"/>
    <w:rsid w:val="00552F80"/>
    <w:rsid w:val="00553619"/>
    <w:rsid w:val="005536D0"/>
    <w:rsid w:val="00553C40"/>
    <w:rsid w:val="00554341"/>
    <w:rsid w:val="0055481C"/>
    <w:rsid w:val="00555493"/>
    <w:rsid w:val="005555C1"/>
    <w:rsid w:val="00555FCF"/>
    <w:rsid w:val="00556995"/>
    <w:rsid w:val="0055738C"/>
    <w:rsid w:val="00557DE3"/>
    <w:rsid w:val="00557DEE"/>
    <w:rsid w:val="005616D5"/>
    <w:rsid w:val="005622EF"/>
    <w:rsid w:val="0056245B"/>
    <w:rsid w:val="005638F0"/>
    <w:rsid w:val="0056406A"/>
    <w:rsid w:val="0056461F"/>
    <w:rsid w:val="00564E07"/>
    <w:rsid w:val="00565A7A"/>
    <w:rsid w:val="00566CB6"/>
    <w:rsid w:val="00566E48"/>
    <w:rsid w:val="00567873"/>
    <w:rsid w:val="00567A65"/>
    <w:rsid w:val="005726E9"/>
    <w:rsid w:val="005733A0"/>
    <w:rsid w:val="00574134"/>
    <w:rsid w:val="005744CC"/>
    <w:rsid w:val="0057465D"/>
    <w:rsid w:val="00575414"/>
    <w:rsid w:val="00575AA2"/>
    <w:rsid w:val="00576C42"/>
    <w:rsid w:val="00576CCD"/>
    <w:rsid w:val="00577096"/>
    <w:rsid w:val="00581253"/>
    <w:rsid w:val="00581B49"/>
    <w:rsid w:val="00581F96"/>
    <w:rsid w:val="005820AB"/>
    <w:rsid w:val="00582460"/>
    <w:rsid w:val="005825E0"/>
    <w:rsid w:val="00582CF5"/>
    <w:rsid w:val="00582E79"/>
    <w:rsid w:val="005837A8"/>
    <w:rsid w:val="0058410F"/>
    <w:rsid w:val="005842B8"/>
    <w:rsid w:val="00584409"/>
    <w:rsid w:val="0058672B"/>
    <w:rsid w:val="0058696A"/>
    <w:rsid w:val="00587618"/>
    <w:rsid w:val="00587AAF"/>
    <w:rsid w:val="00587F9D"/>
    <w:rsid w:val="0059060D"/>
    <w:rsid w:val="00590E8D"/>
    <w:rsid w:val="005918AD"/>
    <w:rsid w:val="0059260F"/>
    <w:rsid w:val="005934FF"/>
    <w:rsid w:val="005940A9"/>
    <w:rsid w:val="00594488"/>
    <w:rsid w:val="00595187"/>
    <w:rsid w:val="0059625A"/>
    <w:rsid w:val="005969CE"/>
    <w:rsid w:val="005A0370"/>
    <w:rsid w:val="005A1CB2"/>
    <w:rsid w:val="005A28F7"/>
    <w:rsid w:val="005A2CF8"/>
    <w:rsid w:val="005A2D1F"/>
    <w:rsid w:val="005A3110"/>
    <w:rsid w:val="005A3C6C"/>
    <w:rsid w:val="005A3EA7"/>
    <w:rsid w:val="005A4067"/>
    <w:rsid w:val="005A431B"/>
    <w:rsid w:val="005A4CBD"/>
    <w:rsid w:val="005A5BFB"/>
    <w:rsid w:val="005B0139"/>
    <w:rsid w:val="005B0404"/>
    <w:rsid w:val="005B07B2"/>
    <w:rsid w:val="005B148E"/>
    <w:rsid w:val="005B225E"/>
    <w:rsid w:val="005B5492"/>
    <w:rsid w:val="005B5CE7"/>
    <w:rsid w:val="005B62EC"/>
    <w:rsid w:val="005B7C33"/>
    <w:rsid w:val="005B7EEE"/>
    <w:rsid w:val="005C06C9"/>
    <w:rsid w:val="005C09BE"/>
    <w:rsid w:val="005C0D22"/>
    <w:rsid w:val="005C1692"/>
    <w:rsid w:val="005C293F"/>
    <w:rsid w:val="005C3C26"/>
    <w:rsid w:val="005C3C62"/>
    <w:rsid w:val="005C431E"/>
    <w:rsid w:val="005C4C37"/>
    <w:rsid w:val="005C515D"/>
    <w:rsid w:val="005C5412"/>
    <w:rsid w:val="005C5CA4"/>
    <w:rsid w:val="005C67BF"/>
    <w:rsid w:val="005C6873"/>
    <w:rsid w:val="005D17D8"/>
    <w:rsid w:val="005D24CF"/>
    <w:rsid w:val="005D3098"/>
    <w:rsid w:val="005D3C17"/>
    <w:rsid w:val="005D50A7"/>
    <w:rsid w:val="005D5239"/>
    <w:rsid w:val="005D5682"/>
    <w:rsid w:val="005D59CA"/>
    <w:rsid w:val="005D7404"/>
    <w:rsid w:val="005D76C7"/>
    <w:rsid w:val="005D7FEC"/>
    <w:rsid w:val="005E0CD5"/>
    <w:rsid w:val="005E1178"/>
    <w:rsid w:val="005E23A1"/>
    <w:rsid w:val="005E24AC"/>
    <w:rsid w:val="005E269C"/>
    <w:rsid w:val="005E294C"/>
    <w:rsid w:val="005E35B2"/>
    <w:rsid w:val="005E3AF9"/>
    <w:rsid w:val="005E3F26"/>
    <w:rsid w:val="005E40DF"/>
    <w:rsid w:val="005E576B"/>
    <w:rsid w:val="005E5B9B"/>
    <w:rsid w:val="005E7138"/>
    <w:rsid w:val="005E7E96"/>
    <w:rsid w:val="005F0073"/>
    <w:rsid w:val="005F0143"/>
    <w:rsid w:val="005F17F2"/>
    <w:rsid w:val="005F189E"/>
    <w:rsid w:val="005F24A2"/>
    <w:rsid w:val="005F24B3"/>
    <w:rsid w:val="005F2EEC"/>
    <w:rsid w:val="005F3DCD"/>
    <w:rsid w:val="005F51EE"/>
    <w:rsid w:val="005F5276"/>
    <w:rsid w:val="005F5675"/>
    <w:rsid w:val="005F5A47"/>
    <w:rsid w:val="005F6955"/>
    <w:rsid w:val="005F7064"/>
    <w:rsid w:val="005F7116"/>
    <w:rsid w:val="005F74EF"/>
    <w:rsid w:val="005F75D6"/>
    <w:rsid w:val="00602874"/>
    <w:rsid w:val="006034F7"/>
    <w:rsid w:val="006038E6"/>
    <w:rsid w:val="0060594D"/>
    <w:rsid w:val="006061B4"/>
    <w:rsid w:val="00606A21"/>
    <w:rsid w:val="00606BDF"/>
    <w:rsid w:val="00607086"/>
    <w:rsid w:val="006071F0"/>
    <w:rsid w:val="006072F6"/>
    <w:rsid w:val="006106D3"/>
    <w:rsid w:val="00610A72"/>
    <w:rsid w:val="0061189A"/>
    <w:rsid w:val="006126BB"/>
    <w:rsid w:val="00612E85"/>
    <w:rsid w:val="00613F4F"/>
    <w:rsid w:val="006140BC"/>
    <w:rsid w:val="00614AA5"/>
    <w:rsid w:val="00615172"/>
    <w:rsid w:val="00615520"/>
    <w:rsid w:val="00616957"/>
    <w:rsid w:val="00616ED0"/>
    <w:rsid w:val="006170EE"/>
    <w:rsid w:val="00620193"/>
    <w:rsid w:val="00620A70"/>
    <w:rsid w:val="00620DDA"/>
    <w:rsid w:val="00620EE6"/>
    <w:rsid w:val="00621552"/>
    <w:rsid w:val="0062192C"/>
    <w:rsid w:val="00622A92"/>
    <w:rsid w:val="006239FF"/>
    <w:rsid w:val="00624D5D"/>
    <w:rsid w:val="00625078"/>
    <w:rsid w:val="00625520"/>
    <w:rsid w:val="00625B33"/>
    <w:rsid w:val="006269DE"/>
    <w:rsid w:val="006306D6"/>
    <w:rsid w:val="0063100A"/>
    <w:rsid w:val="00631ACE"/>
    <w:rsid w:val="00632041"/>
    <w:rsid w:val="006336C4"/>
    <w:rsid w:val="00637071"/>
    <w:rsid w:val="00637584"/>
    <w:rsid w:val="0063774F"/>
    <w:rsid w:val="00637772"/>
    <w:rsid w:val="0063790A"/>
    <w:rsid w:val="00641FC2"/>
    <w:rsid w:val="00642445"/>
    <w:rsid w:val="0064443D"/>
    <w:rsid w:val="00644BB9"/>
    <w:rsid w:val="0064569D"/>
    <w:rsid w:val="0064596B"/>
    <w:rsid w:val="0064612D"/>
    <w:rsid w:val="00646252"/>
    <w:rsid w:val="006463F3"/>
    <w:rsid w:val="00646E59"/>
    <w:rsid w:val="0064764A"/>
    <w:rsid w:val="00647979"/>
    <w:rsid w:val="006479C8"/>
    <w:rsid w:val="00650507"/>
    <w:rsid w:val="00652482"/>
    <w:rsid w:val="00652839"/>
    <w:rsid w:val="00653552"/>
    <w:rsid w:val="00654B91"/>
    <w:rsid w:val="00654F46"/>
    <w:rsid w:val="0065508E"/>
    <w:rsid w:val="00655A9F"/>
    <w:rsid w:val="00657342"/>
    <w:rsid w:val="0065743C"/>
    <w:rsid w:val="00657BD0"/>
    <w:rsid w:val="00661084"/>
    <w:rsid w:val="0066115C"/>
    <w:rsid w:val="006614EE"/>
    <w:rsid w:val="00661CB8"/>
    <w:rsid w:val="00662177"/>
    <w:rsid w:val="006622CB"/>
    <w:rsid w:val="006624AB"/>
    <w:rsid w:val="00663C24"/>
    <w:rsid w:val="00664A98"/>
    <w:rsid w:val="0066534A"/>
    <w:rsid w:val="0066665D"/>
    <w:rsid w:val="00666DCE"/>
    <w:rsid w:val="00667298"/>
    <w:rsid w:val="00667956"/>
    <w:rsid w:val="00667B22"/>
    <w:rsid w:val="00667DBE"/>
    <w:rsid w:val="00671B20"/>
    <w:rsid w:val="00671C63"/>
    <w:rsid w:val="00671E89"/>
    <w:rsid w:val="00672535"/>
    <w:rsid w:val="006728DC"/>
    <w:rsid w:val="00673BFC"/>
    <w:rsid w:val="006742C5"/>
    <w:rsid w:val="00676AF9"/>
    <w:rsid w:val="00677D52"/>
    <w:rsid w:val="0068177F"/>
    <w:rsid w:val="00682A06"/>
    <w:rsid w:val="00683987"/>
    <w:rsid w:val="00683C0F"/>
    <w:rsid w:val="00683D2B"/>
    <w:rsid w:val="0068431B"/>
    <w:rsid w:val="00684836"/>
    <w:rsid w:val="00685ADD"/>
    <w:rsid w:val="00686E8C"/>
    <w:rsid w:val="00687004"/>
    <w:rsid w:val="00690359"/>
    <w:rsid w:val="00690644"/>
    <w:rsid w:val="00690DFA"/>
    <w:rsid w:val="006915AA"/>
    <w:rsid w:val="006915FE"/>
    <w:rsid w:val="00693EC2"/>
    <w:rsid w:val="00695B27"/>
    <w:rsid w:val="00695DF1"/>
    <w:rsid w:val="0069625B"/>
    <w:rsid w:val="0069631D"/>
    <w:rsid w:val="006975C4"/>
    <w:rsid w:val="006A0264"/>
    <w:rsid w:val="006A04C7"/>
    <w:rsid w:val="006A1A5B"/>
    <w:rsid w:val="006A37A7"/>
    <w:rsid w:val="006A73E2"/>
    <w:rsid w:val="006B0FF9"/>
    <w:rsid w:val="006B26B4"/>
    <w:rsid w:val="006B3375"/>
    <w:rsid w:val="006B3734"/>
    <w:rsid w:val="006B3869"/>
    <w:rsid w:val="006B46BE"/>
    <w:rsid w:val="006B5BC9"/>
    <w:rsid w:val="006B620A"/>
    <w:rsid w:val="006B64C6"/>
    <w:rsid w:val="006B6605"/>
    <w:rsid w:val="006B6C91"/>
    <w:rsid w:val="006B6F12"/>
    <w:rsid w:val="006B7EF6"/>
    <w:rsid w:val="006C0CB1"/>
    <w:rsid w:val="006C127E"/>
    <w:rsid w:val="006C4125"/>
    <w:rsid w:val="006C4C2A"/>
    <w:rsid w:val="006C4F80"/>
    <w:rsid w:val="006C558E"/>
    <w:rsid w:val="006C5B5C"/>
    <w:rsid w:val="006C686B"/>
    <w:rsid w:val="006C6F71"/>
    <w:rsid w:val="006C7D4B"/>
    <w:rsid w:val="006D101A"/>
    <w:rsid w:val="006D1DF5"/>
    <w:rsid w:val="006D2173"/>
    <w:rsid w:val="006D30F6"/>
    <w:rsid w:val="006D3F2A"/>
    <w:rsid w:val="006D7B21"/>
    <w:rsid w:val="006D7E95"/>
    <w:rsid w:val="006E0C51"/>
    <w:rsid w:val="006E0D9D"/>
    <w:rsid w:val="006E0DAE"/>
    <w:rsid w:val="006E13CB"/>
    <w:rsid w:val="006E18DC"/>
    <w:rsid w:val="006E1C22"/>
    <w:rsid w:val="006E1EB9"/>
    <w:rsid w:val="006E2891"/>
    <w:rsid w:val="006E3D8D"/>
    <w:rsid w:val="006E3DAE"/>
    <w:rsid w:val="006E56AE"/>
    <w:rsid w:val="006E6340"/>
    <w:rsid w:val="006F09B7"/>
    <w:rsid w:val="006F1196"/>
    <w:rsid w:val="006F17C6"/>
    <w:rsid w:val="006F1FC5"/>
    <w:rsid w:val="006F263C"/>
    <w:rsid w:val="006F310F"/>
    <w:rsid w:val="006F3530"/>
    <w:rsid w:val="006F4421"/>
    <w:rsid w:val="006F53EC"/>
    <w:rsid w:val="006F57CC"/>
    <w:rsid w:val="006F6789"/>
    <w:rsid w:val="006F699E"/>
    <w:rsid w:val="006F6E60"/>
    <w:rsid w:val="006F6FDF"/>
    <w:rsid w:val="006F7F01"/>
    <w:rsid w:val="00700A92"/>
    <w:rsid w:val="0070116A"/>
    <w:rsid w:val="00703A95"/>
    <w:rsid w:val="00703D90"/>
    <w:rsid w:val="00704217"/>
    <w:rsid w:val="00704321"/>
    <w:rsid w:val="0070453B"/>
    <w:rsid w:val="00704A34"/>
    <w:rsid w:val="00705DDF"/>
    <w:rsid w:val="00706B5D"/>
    <w:rsid w:val="00706E3F"/>
    <w:rsid w:val="00706F17"/>
    <w:rsid w:val="00707097"/>
    <w:rsid w:val="00707C32"/>
    <w:rsid w:val="00707E79"/>
    <w:rsid w:val="00710B95"/>
    <w:rsid w:val="007110F5"/>
    <w:rsid w:val="00711D8E"/>
    <w:rsid w:val="00712478"/>
    <w:rsid w:val="0071275D"/>
    <w:rsid w:val="00712E7D"/>
    <w:rsid w:val="00713506"/>
    <w:rsid w:val="00713892"/>
    <w:rsid w:val="00713DD5"/>
    <w:rsid w:val="00714C4D"/>
    <w:rsid w:val="00715520"/>
    <w:rsid w:val="00722719"/>
    <w:rsid w:val="00722D75"/>
    <w:rsid w:val="0072374D"/>
    <w:rsid w:val="007239F0"/>
    <w:rsid w:val="00723B2C"/>
    <w:rsid w:val="00724DBA"/>
    <w:rsid w:val="007250E9"/>
    <w:rsid w:val="007254C1"/>
    <w:rsid w:val="00725811"/>
    <w:rsid w:val="007263B9"/>
    <w:rsid w:val="00726492"/>
    <w:rsid w:val="00726DC0"/>
    <w:rsid w:val="00726E87"/>
    <w:rsid w:val="00726EF8"/>
    <w:rsid w:val="00730075"/>
    <w:rsid w:val="00730604"/>
    <w:rsid w:val="00730D3D"/>
    <w:rsid w:val="007310B5"/>
    <w:rsid w:val="007314FA"/>
    <w:rsid w:val="007319C0"/>
    <w:rsid w:val="00732278"/>
    <w:rsid w:val="0073285C"/>
    <w:rsid w:val="007329B5"/>
    <w:rsid w:val="00732F6A"/>
    <w:rsid w:val="00733106"/>
    <w:rsid w:val="00733B3F"/>
    <w:rsid w:val="00735AD8"/>
    <w:rsid w:val="00736DCB"/>
    <w:rsid w:val="007373C0"/>
    <w:rsid w:val="00737CAC"/>
    <w:rsid w:val="007404B1"/>
    <w:rsid w:val="00740C37"/>
    <w:rsid w:val="007410C2"/>
    <w:rsid w:val="0074196D"/>
    <w:rsid w:val="007419C2"/>
    <w:rsid w:val="00741A54"/>
    <w:rsid w:val="00742401"/>
    <w:rsid w:val="00743403"/>
    <w:rsid w:val="00743C74"/>
    <w:rsid w:val="00743E15"/>
    <w:rsid w:val="007448B1"/>
    <w:rsid w:val="0074551A"/>
    <w:rsid w:val="00746270"/>
    <w:rsid w:val="00746BFB"/>
    <w:rsid w:val="00747CC9"/>
    <w:rsid w:val="0075066D"/>
    <w:rsid w:val="007508E3"/>
    <w:rsid w:val="007521A3"/>
    <w:rsid w:val="00752B57"/>
    <w:rsid w:val="007538C1"/>
    <w:rsid w:val="00753CAB"/>
    <w:rsid w:val="00753E65"/>
    <w:rsid w:val="007547AA"/>
    <w:rsid w:val="00754A26"/>
    <w:rsid w:val="00755176"/>
    <w:rsid w:val="00755EF0"/>
    <w:rsid w:val="00756FF1"/>
    <w:rsid w:val="00757AED"/>
    <w:rsid w:val="00757D98"/>
    <w:rsid w:val="007600A2"/>
    <w:rsid w:val="00762834"/>
    <w:rsid w:val="00762BA4"/>
    <w:rsid w:val="00763B58"/>
    <w:rsid w:val="00763BAC"/>
    <w:rsid w:val="00764018"/>
    <w:rsid w:val="007642A8"/>
    <w:rsid w:val="00764643"/>
    <w:rsid w:val="00767C0F"/>
    <w:rsid w:val="007704F8"/>
    <w:rsid w:val="00770CA9"/>
    <w:rsid w:val="007711E0"/>
    <w:rsid w:val="00771835"/>
    <w:rsid w:val="00773B2F"/>
    <w:rsid w:val="00773BAC"/>
    <w:rsid w:val="00776028"/>
    <w:rsid w:val="0077653D"/>
    <w:rsid w:val="0077720D"/>
    <w:rsid w:val="007775AC"/>
    <w:rsid w:val="00777AAD"/>
    <w:rsid w:val="00780145"/>
    <w:rsid w:val="00781948"/>
    <w:rsid w:val="00783345"/>
    <w:rsid w:val="007848E4"/>
    <w:rsid w:val="00784A3F"/>
    <w:rsid w:val="007857DF"/>
    <w:rsid w:val="00785BB2"/>
    <w:rsid w:val="00785C5D"/>
    <w:rsid w:val="00785CDC"/>
    <w:rsid w:val="00786104"/>
    <w:rsid w:val="00786B02"/>
    <w:rsid w:val="00786E83"/>
    <w:rsid w:val="00790785"/>
    <w:rsid w:val="00790F86"/>
    <w:rsid w:val="00791FE7"/>
    <w:rsid w:val="0079315E"/>
    <w:rsid w:val="00793A7A"/>
    <w:rsid w:val="00793D13"/>
    <w:rsid w:val="00794024"/>
    <w:rsid w:val="007948B9"/>
    <w:rsid w:val="0079525C"/>
    <w:rsid w:val="007A013A"/>
    <w:rsid w:val="007A2051"/>
    <w:rsid w:val="007A2CC4"/>
    <w:rsid w:val="007A45B9"/>
    <w:rsid w:val="007A4923"/>
    <w:rsid w:val="007A4F0A"/>
    <w:rsid w:val="007A68E4"/>
    <w:rsid w:val="007A7DFD"/>
    <w:rsid w:val="007B042D"/>
    <w:rsid w:val="007B04CC"/>
    <w:rsid w:val="007B0DF0"/>
    <w:rsid w:val="007B32E3"/>
    <w:rsid w:val="007B377B"/>
    <w:rsid w:val="007B4A3D"/>
    <w:rsid w:val="007B5C4C"/>
    <w:rsid w:val="007B6EE4"/>
    <w:rsid w:val="007B7B40"/>
    <w:rsid w:val="007C1A06"/>
    <w:rsid w:val="007C29E6"/>
    <w:rsid w:val="007C3F90"/>
    <w:rsid w:val="007C4287"/>
    <w:rsid w:val="007C51E7"/>
    <w:rsid w:val="007C5F7D"/>
    <w:rsid w:val="007C6A60"/>
    <w:rsid w:val="007C6C08"/>
    <w:rsid w:val="007C7BF8"/>
    <w:rsid w:val="007C7D8C"/>
    <w:rsid w:val="007D0AA5"/>
    <w:rsid w:val="007D0E28"/>
    <w:rsid w:val="007D1A1F"/>
    <w:rsid w:val="007D2B02"/>
    <w:rsid w:val="007D7B2C"/>
    <w:rsid w:val="007E0974"/>
    <w:rsid w:val="007E2A25"/>
    <w:rsid w:val="007E40D9"/>
    <w:rsid w:val="007E4CF6"/>
    <w:rsid w:val="007E5690"/>
    <w:rsid w:val="007E7191"/>
    <w:rsid w:val="007F00D3"/>
    <w:rsid w:val="007F173E"/>
    <w:rsid w:val="007F1821"/>
    <w:rsid w:val="007F18AF"/>
    <w:rsid w:val="007F2952"/>
    <w:rsid w:val="007F2E77"/>
    <w:rsid w:val="007F2FBF"/>
    <w:rsid w:val="007F3574"/>
    <w:rsid w:val="007F382B"/>
    <w:rsid w:val="007F547F"/>
    <w:rsid w:val="007F5F36"/>
    <w:rsid w:val="007F60B1"/>
    <w:rsid w:val="007F6235"/>
    <w:rsid w:val="007F7066"/>
    <w:rsid w:val="007F7DFD"/>
    <w:rsid w:val="0080036F"/>
    <w:rsid w:val="00800E14"/>
    <w:rsid w:val="008018E8"/>
    <w:rsid w:val="00801DBC"/>
    <w:rsid w:val="00802401"/>
    <w:rsid w:val="00802E51"/>
    <w:rsid w:val="0080303F"/>
    <w:rsid w:val="00803901"/>
    <w:rsid w:val="00803A34"/>
    <w:rsid w:val="008058FA"/>
    <w:rsid w:val="00805B8C"/>
    <w:rsid w:val="00805CBF"/>
    <w:rsid w:val="008066FE"/>
    <w:rsid w:val="00806C7B"/>
    <w:rsid w:val="00806E93"/>
    <w:rsid w:val="00807BD4"/>
    <w:rsid w:val="008107B3"/>
    <w:rsid w:val="00810E4B"/>
    <w:rsid w:val="00810E62"/>
    <w:rsid w:val="00811D2C"/>
    <w:rsid w:val="00811F33"/>
    <w:rsid w:val="00812291"/>
    <w:rsid w:val="008146E6"/>
    <w:rsid w:val="00814AD6"/>
    <w:rsid w:val="00815AE8"/>
    <w:rsid w:val="0081614D"/>
    <w:rsid w:val="00816597"/>
    <w:rsid w:val="00816885"/>
    <w:rsid w:val="00816B34"/>
    <w:rsid w:val="00816F06"/>
    <w:rsid w:val="00817FDD"/>
    <w:rsid w:val="008200B5"/>
    <w:rsid w:val="00822163"/>
    <w:rsid w:val="008237C7"/>
    <w:rsid w:val="00823BB0"/>
    <w:rsid w:val="0082435F"/>
    <w:rsid w:val="0082527D"/>
    <w:rsid w:val="008259A6"/>
    <w:rsid w:val="008265E2"/>
    <w:rsid w:val="00827DA8"/>
    <w:rsid w:val="00830B4C"/>
    <w:rsid w:val="00830FB4"/>
    <w:rsid w:val="00831C22"/>
    <w:rsid w:val="0083205D"/>
    <w:rsid w:val="00832F8B"/>
    <w:rsid w:val="00834113"/>
    <w:rsid w:val="0083476B"/>
    <w:rsid w:val="00835BE2"/>
    <w:rsid w:val="00836FD7"/>
    <w:rsid w:val="00837266"/>
    <w:rsid w:val="008376A6"/>
    <w:rsid w:val="00840040"/>
    <w:rsid w:val="00840BB5"/>
    <w:rsid w:val="008411F7"/>
    <w:rsid w:val="008411FF"/>
    <w:rsid w:val="00841555"/>
    <w:rsid w:val="008421A8"/>
    <w:rsid w:val="00842A22"/>
    <w:rsid w:val="008430AC"/>
    <w:rsid w:val="00843461"/>
    <w:rsid w:val="00843BB3"/>
    <w:rsid w:val="00843DCE"/>
    <w:rsid w:val="00844916"/>
    <w:rsid w:val="00844C80"/>
    <w:rsid w:val="008452EA"/>
    <w:rsid w:val="00845372"/>
    <w:rsid w:val="008458B8"/>
    <w:rsid w:val="00845D45"/>
    <w:rsid w:val="00846B95"/>
    <w:rsid w:val="00846F7B"/>
    <w:rsid w:val="008472CE"/>
    <w:rsid w:val="00847AC2"/>
    <w:rsid w:val="00850379"/>
    <w:rsid w:val="00850F1D"/>
    <w:rsid w:val="00851230"/>
    <w:rsid w:val="0085125B"/>
    <w:rsid w:val="008513F3"/>
    <w:rsid w:val="00852870"/>
    <w:rsid w:val="00852B17"/>
    <w:rsid w:val="00854A36"/>
    <w:rsid w:val="00854C63"/>
    <w:rsid w:val="008554E3"/>
    <w:rsid w:val="00860C57"/>
    <w:rsid w:val="00860C9D"/>
    <w:rsid w:val="00863ABA"/>
    <w:rsid w:val="00864137"/>
    <w:rsid w:val="00867497"/>
    <w:rsid w:val="008702BD"/>
    <w:rsid w:val="008716E3"/>
    <w:rsid w:val="00871879"/>
    <w:rsid w:val="00872044"/>
    <w:rsid w:val="0087221B"/>
    <w:rsid w:val="0087311A"/>
    <w:rsid w:val="0087392F"/>
    <w:rsid w:val="00873ABD"/>
    <w:rsid w:val="00874190"/>
    <w:rsid w:val="00875D86"/>
    <w:rsid w:val="00876DE0"/>
    <w:rsid w:val="00876E6B"/>
    <w:rsid w:val="008773B2"/>
    <w:rsid w:val="00877402"/>
    <w:rsid w:val="00877B3C"/>
    <w:rsid w:val="00877DFF"/>
    <w:rsid w:val="008800A4"/>
    <w:rsid w:val="008802CA"/>
    <w:rsid w:val="00880EFA"/>
    <w:rsid w:val="008822E9"/>
    <w:rsid w:val="00882340"/>
    <w:rsid w:val="00882467"/>
    <w:rsid w:val="00882D6C"/>
    <w:rsid w:val="00884C56"/>
    <w:rsid w:val="00885349"/>
    <w:rsid w:val="00885ADC"/>
    <w:rsid w:val="00885C8C"/>
    <w:rsid w:val="008861EE"/>
    <w:rsid w:val="008869CF"/>
    <w:rsid w:val="008874D5"/>
    <w:rsid w:val="0089010D"/>
    <w:rsid w:val="008907C6"/>
    <w:rsid w:val="00891456"/>
    <w:rsid w:val="00891913"/>
    <w:rsid w:val="00892D1E"/>
    <w:rsid w:val="00893254"/>
    <w:rsid w:val="00895A94"/>
    <w:rsid w:val="00896300"/>
    <w:rsid w:val="008967A5"/>
    <w:rsid w:val="00896C6D"/>
    <w:rsid w:val="008977A1"/>
    <w:rsid w:val="008A03A6"/>
    <w:rsid w:val="008A0F85"/>
    <w:rsid w:val="008A1608"/>
    <w:rsid w:val="008A1FD4"/>
    <w:rsid w:val="008A38E1"/>
    <w:rsid w:val="008A41EA"/>
    <w:rsid w:val="008A5557"/>
    <w:rsid w:val="008A5909"/>
    <w:rsid w:val="008A74BE"/>
    <w:rsid w:val="008A7DFC"/>
    <w:rsid w:val="008A7E36"/>
    <w:rsid w:val="008B0AE6"/>
    <w:rsid w:val="008B0CED"/>
    <w:rsid w:val="008B0D70"/>
    <w:rsid w:val="008B1B28"/>
    <w:rsid w:val="008B2041"/>
    <w:rsid w:val="008B2EA0"/>
    <w:rsid w:val="008B325B"/>
    <w:rsid w:val="008B3617"/>
    <w:rsid w:val="008B3DEE"/>
    <w:rsid w:val="008B5BA7"/>
    <w:rsid w:val="008B699B"/>
    <w:rsid w:val="008B6A27"/>
    <w:rsid w:val="008B7798"/>
    <w:rsid w:val="008B7CC5"/>
    <w:rsid w:val="008C13BD"/>
    <w:rsid w:val="008C13D9"/>
    <w:rsid w:val="008C2348"/>
    <w:rsid w:val="008C2420"/>
    <w:rsid w:val="008C24DF"/>
    <w:rsid w:val="008C256D"/>
    <w:rsid w:val="008C27CD"/>
    <w:rsid w:val="008C2DC5"/>
    <w:rsid w:val="008C3424"/>
    <w:rsid w:val="008C49F9"/>
    <w:rsid w:val="008C54A9"/>
    <w:rsid w:val="008C55DB"/>
    <w:rsid w:val="008C5A73"/>
    <w:rsid w:val="008C636B"/>
    <w:rsid w:val="008C642A"/>
    <w:rsid w:val="008C6D04"/>
    <w:rsid w:val="008C77E8"/>
    <w:rsid w:val="008C7E56"/>
    <w:rsid w:val="008D0A2A"/>
    <w:rsid w:val="008D0A2E"/>
    <w:rsid w:val="008D15A9"/>
    <w:rsid w:val="008D1C0C"/>
    <w:rsid w:val="008D2346"/>
    <w:rsid w:val="008D328C"/>
    <w:rsid w:val="008D4953"/>
    <w:rsid w:val="008D4EE9"/>
    <w:rsid w:val="008D5880"/>
    <w:rsid w:val="008D5C51"/>
    <w:rsid w:val="008D64D4"/>
    <w:rsid w:val="008D6E6A"/>
    <w:rsid w:val="008D77E2"/>
    <w:rsid w:val="008D79E1"/>
    <w:rsid w:val="008E15EC"/>
    <w:rsid w:val="008E20E7"/>
    <w:rsid w:val="008E2C04"/>
    <w:rsid w:val="008E33B2"/>
    <w:rsid w:val="008E413A"/>
    <w:rsid w:val="008E45B2"/>
    <w:rsid w:val="008E478F"/>
    <w:rsid w:val="008E47C7"/>
    <w:rsid w:val="008E5793"/>
    <w:rsid w:val="008E680D"/>
    <w:rsid w:val="008E795F"/>
    <w:rsid w:val="008F188E"/>
    <w:rsid w:val="008F1A4D"/>
    <w:rsid w:val="008F2344"/>
    <w:rsid w:val="008F38AD"/>
    <w:rsid w:val="008F406A"/>
    <w:rsid w:val="008F4C9C"/>
    <w:rsid w:val="00900E92"/>
    <w:rsid w:val="00900F4D"/>
    <w:rsid w:val="0090124B"/>
    <w:rsid w:val="009018FE"/>
    <w:rsid w:val="00901AE9"/>
    <w:rsid w:val="00901B7F"/>
    <w:rsid w:val="00901DDB"/>
    <w:rsid w:val="00901E21"/>
    <w:rsid w:val="0090296E"/>
    <w:rsid w:val="00902E67"/>
    <w:rsid w:val="0090422A"/>
    <w:rsid w:val="00904268"/>
    <w:rsid w:val="00905221"/>
    <w:rsid w:val="00907E11"/>
    <w:rsid w:val="00911140"/>
    <w:rsid w:val="00911608"/>
    <w:rsid w:val="00911949"/>
    <w:rsid w:val="009120CC"/>
    <w:rsid w:val="00912351"/>
    <w:rsid w:val="00912E81"/>
    <w:rsid w:val="00912F1E"/>
    <w:rsid w:val="00913FB4"/>
    <w:rsid w:val="009143C7"/>
    <w:rsid w:val="00914B1A"/>
    <w:rsid w:val="00914B78"/>
    <w:rsid w:val="009156FA"/>
    <w:rsid w:val="009159C2"/>
    <w:rsid w:val="009160E1"/>
    <w:rsid w:val="00916F90"/>
    <w:rsid w:val="009206DC"/>
    <w:rsid w:val="009212AF"/>
    <w:rsid w:val="00921420"/>
    <w:rsid w:val="00921659"/>
    <w:rsid w:val="00921AAD"/>
    <w:rsid w:val="00921F84"/>
    <w:rsid w:val="00923A81"/>
    <w:rsid w:val="00923F41"/>
    <w:rsid w:val="0092476E"/>
    <w:rsid w:val="0092560E"/>
    <w:rsid w:val="00925883"/>
    <w:rsid w:val="009301B2"/>
    <w:rsid w:val="009317B7"/>
    <w:rsid w:val="0093267C"/>
    <w:rsid w:val="0093357F"/>
    <w:rsid w:val="0093389F"/>
    <w:rsid w:val="0093434C"/>
    <w:rsid w:val="00935C17"/>
    <w:rsid w:val="00935CA3"/>
    <w:rsid w:val="00936214"/>
    <w:rsid w:val="009367DB"/>
    <w:rsid w:val="00936A26"/>
    <w:rsid w:val="00937237"/>
    <w:rsid w:val="00937633"/>
    <w:rsid w:val="00940424"/>
    <w:rsid w:val="00941E58"/>
    <w:rsid w:val="00942104"/>
    <w:rsid w:val="0094211B"/>
    <w:rsid w:val="0094336D"/>
    <w:rsid w:val="00943484"/>
    <w:rsid w:val="009436EF"/>
    <w:rsid w:val="009437A7"/>
    <w:rsid w:val="00945348"/>
    <w:rsid w:val="00945E74"/>
    <w:rsid w:val="009467A5"/>
    <w:rsid w:val="009508A8"/>
    <w:rsid w:val="00950EF7"/>
    <w:rsid w:val="00951204"/>
    <w:rsid w:val="00952223"/>
    <w:rsid w:val="009526B6"/>
    <w:rsid w:val="00952D76"/>
    <w:rsid w:val="00952D95"/>
    <w:rsid w:val="009530F7"/>
    <w:rsid w:val="0095410D"/>
    <w:rsid w:val="00954A31"/>
    <w:rsid w:val="00954F06"/>
    <w:rsid w:val="0095525C"/>
    <w:rsid w:val="00956BD5"/>
    <w:rsid w:val="00957EA1"/>
    <w:rsid w:val="00960971"/>
    <w:rsid w:val="00961868"/>
    <w:rsid w:val="00962422"/>
    <w:rsid w:val="009624E9"/>
    <w:rsid w:val="00962DE1"/>
    <w:rsid w:val="00964F8B"/>
    <w:rsid w:val="00966DEB"/>
    <w:rsid w:val="00967564"/>
    <w:rsid w:val="00970A8F"/>
    <w:rsid w:val="009717D6"/>
    <w:rsid w:val="00971C4E"/>
    <w:rsid w:val="00972C74"/>
    <w:rsid w:val="00973508"/>
    <w:rsid w:val="009739EB"/>
    <w:rsid w:val="00973A9A"/>
    <w:rsid w:val="009745B7"/>
    <w:rsid w:val="00974E55"/>
    <w:rsid w:val="0098017D"/>
    <w:rsid w:val="00980B59"/>
    <w:rsid w:val="00980BF5"/>
    <w:rsid w:val="00980F1A"/>
    <w:rsid w:val="00981000"/>
    <w:rsid w:val="00982459"/>
    <w:rsid w:val="009828C0"/>
    <w:rsid w:val="009832A9"/>
    <w:rsid w:val="00984B50"/>
    <w:rsid w:val="00985C63"/>
    <w:rsid w:val="00986346"/>
    <w:rsid w:val="009865D9"/>
    <w:rsid w:val="00986895"/>
    <w:rsid w:val="00986CED"/>
    <w:rsid w:val="00986D58"/>
    <w:rsid w:val="00987F0A"/>
    <w:rsid w:val="009912A5"/>
    <w:rsid w:val="00991497"/>
    <w:rsid w:val="009917B5"/>
    <w:rsid w:val="00991A95"/>
    <w:rsid w:val="00991F50"/>
    <w:rsid w:val="00992603"/>
    <w:rsid w:val="00992B97"/>
    <w:rsid w:val="00992CEF"/>
    <w:rsid w:val="00992E7D"/>
    <w:rsid w:val="009931EA"/>
    <w:rsid w:val="009950D4"/>
    <w:rsid w:val="00996AF4"/>
    <w:rsid w:val="00996B84"/>
    <w:rsid w:val="00996F3A"/>
    <w:rsid w:val="00997BC8"/>
    <w:rsid w:val="009A0B4A"/>
    <w:rsid w:val="009A117E"/>
    <w:rsid w:val="009A1663"/>
    <w:rsid w:val="009A16EF"/>
    <w:rsid w:val="009A2E8F"/>
    <w:rsid w:val="009A5506"/>
    <w:rsid w:val="009A5D70"/>
    <w:rsid w:val="009B0CA8"/>
    <w:rsid w:val="009B1822"/>
    <w:rsid w:val="009B1C7B"/>
    <w:rsid w:val="009B1DC8"/>
    <w:rsid w:val="009B26CA"/>
    <w:rsid w:val="009B32CA"/>
    <w:rsid w:val="009B334D"/>
    <w:rsid w:val="009B3AA1"/>
    <w:rsid w:val="009B3BF9"/>
    <w:rsid w:val="009B451C"/>
    <w:rsid w:val="009B4C2A"/>
    <w:rsid w:val="009B5C1F"/>
    <w:rsid w:val="009C0181"/>
    <w:rsid w:val="009C01A8"/>
    <w:rsid w:val="009C0526"/>
    <w:rsid w:val="009C06F1"/>
    <w:rsid w:val="009C16E1"/>
    <w:rsid w:val="009C2DBD"/>
    <w:rsid w:val="009C3250"/>
    <w:rsid w:val="009C4D71"/>
    <w:rsid w:val="009C78D7"/>
    <w:rsid w:val="009D01FD"/>
    <w:rsid w:val="009D0763"/>
    <w:rsid w:val="009D139F"/>
    <w:rsid w:val="009D22DB"/>
    <w:rsid w:val="009D260E"/>
    <w:rsid w:val="009D26BC"/>
    <w:rsid w:val="009D2988"/>
    <w:rsid w:val="009D29C1"/>
    <w:rsid w:val="009D2AFB"/>
    <w:rsid w:val="009D4D9B"/>
    <w:rsid w:val="009D4F12"/>
    <w:rsid w:val="009D5A5A"/>
    <w:rsid w:val="009D5E1C"/>
    <w:rsid w:val="009D67ED"/>
    <w:rsid w:val="009D75F9"/>
    <w:rsid w:val="009D7CDE"/>
    <w:rsid w:val="009D7F5A"/>
    <w:rsid w:val="009E115F"/>
    <w:rsid w:val="009E12F3"/>
    <w:rsid w:val="009E132A"/>
    <w:rsid w:val="009E1B09"/>
    <w:rsid w:val="009E1C65"/>
    <w:rsid w:val="009E23F1"/>
    <w:rsid w:val="009E28AD"/>
    <w:rsid w:val="009E2AFA"/>
    <w:rsid w:val="009E3A34"/>
    <w:rsid w:val="009E4A0A"/>
    <w:rsid w:val="009E72A6"/>
    <w:rsid w:val="009E7B7D"/>
    <w:rsid w:val="009F07C0"/>
    <w:rsid w:val="009F0A90"/>
    <w:rsid w:val="009F16F9"/>
    <w:rsid w:val="009F2D1D"/>
    <w:rsid w:val="009F304C"/>
    <w:rsid w:val="009F305D"/>
    <w:rsid w:val="009F382A"/>
    <w:rsid w:val="009F398B"/>
    <w:rsid w:val="009F4586"/>
    <w:rsid w:val="009F64FB"/>
    <w:rsid w:val="009F66B6"/>
    <w:rsid w:val="009F7046"/>
    <w:rsid w:val="00A0039F"/>
    <w:rsid w:val="00A015A0"/>
    <w:rsid w:val="00A017A2"/>
    <w:rsid w:val="00A01C51"/>
    <w:rsid w:val="00A01F9A"/>
    <w:rsid w:val="00A0291A"/>
    <w:rsid w:val="00A0386B"/>
    <w:rsid w:val="00A03B84"/>
    <w:rsid w:val="00A044B3"/>
    <w:rsid w:val="00A056EC"/>
    <w:rsid w:val="00A0702D"/>
    <w:rsid w:val="00A116BE"/>
    <w:rsid w:val="00A14725"/>
    <w:rsid w:val="00A14C13"/>
    <w:rsid w:val="00A14EBB"/>
    <w:rsid w:val="00A15C7B"/>
    <w:rsid w:val="00A16D0D"/>
    <w:rsid w:val="00A17195"/>
    <w:rsid w:val="00A200BF"/>
    <w:rsid w:val="00A209DF"/>
    <w:rsid w:val="00A20FF1"/>
    <w:rsid w:val="00A21197"/>
    <w:rsid w:val="00A21576"/>
    <w:rsid w:val="00A21899"/>
    <w:rsid w:val="00A22C62"/>
    <w:rsid w:val="00A23CAB"/>
    <w:rsid w:val="00A24416"/>
    <w:rsid w:val="00A2572E"/>
    <w:rsid w:val="00A25F67"/>
    <w:rsid w:val="00A26874"/>
    <w:rsid w:val="00A268F7"/>
    <w:rsid w:val="00A26B25"/>
    <w:rsid w:val="00A273BE"/>
    <w:rsid w:val="00A275ED"/>
    <w:rsid w:val="00A27CB9"/>
    <w:rsid w:val="00A30108"/>
    <w:rsid w:val="00A304C3"/>
    <w:rsid w:val="00A30981"/>
    <w:rsid w:val="00A30F72"/>
    <w:rsid w:val="00A34F87"/>
    <w:rsid w:val="00A34FCE"/>
    <w:rsid w:val="00A35C45"/>
    <w:rsid w:val="00A35CB8"/>
    <w:rsid w:val="00A37127"/>
    <w:rsid w:val="00A373F4"/>
    <w:rsid w:val="00A37D54"/>
    <w:rsid w:val="00A40249"/>
    <w:rsid w:val="00A41AEB"/>
    <w:rsid w:val="00A41F97"/>
    <w:rsid w:val="00A42095"/>
    <w:rsid w:val="00A43B0E"/>
    <w:rsid w:val="00A43B76"/>
    <w:rsid w:val="00A440D1"/>
    <w:rsid w:val="00A4425B"/>
    <w:rsid w:val="00A44366"/>
    <w:rsid w:val="00A44487"/>
    <w:rsid w:val="00A444C5"/>
    <w:rsid w:val="00A447B3"/>
    <w:rsid w:val="00A44D01"/>
    <w:rsid w:val="00A44FCD"/>
    <w:rsid w:val="00A46F06"/>
    <w:rsid w:val="00A4704C"/>
    <w:rsid w:val="00A4714E"/>
    <w:rsid w:val="00A47DC3"/>
    <w:rsid w:val="00A506D6"/>
    <w:rsid w:val="00A51339"/>
    <w:rsid w:val="00A52B28"/>
    <w:rsid w:val="00A52E8E"/>
    <w:rsid w:val="00A54746"/>
    <w:rsid w:val="00A57330"/>
    <w:rsid w:val="00A60AC9"/>
    <w:rsid w:val="00A617AB"/>
    <w:rsid w:val="00A629E6"/>
    <w:rsid w:val="00A62F12"/>
    <w:rsid w:val="00A63862"/>
    <w:rsid w:val="00A6436E"/>
    <w:rsid w:val="00A648F7"/>
    <w:rsid w:val="00A6704F"/>
    <w:rsid w:val="00A67B08"/>
    <w:rsid w:val="00A704BE"/>
    <w:rsid w:val="00A70ECB"/>
    <w:rsid w:val="00A71CF2"/>
    <w:rsid w:val="00A7257B"/>
    <w:rsid w:val="00A727D9"/>
    <w:rsid w:val="00A72919"/>
    <w:rsid w:val="00A72AB8"/>
    <w:rsid w:val="00A74829"/>
    <w:rsid w:val="00A7490D"/>
    <w:rsid w:val="00A74C03"/>
    <w:rsid w:val="00A754BE"/>
    <w:rsid w:val="00A755F7"/>
    <w:rsid w:val="00A77088"/>
    <w:rsid w:val="00A77160"/>
    <w:rsid w:val="00A775B8"/>
    <w:rsid w:val="00A80022"/>
    <w:rsid w:val="00A80E8E"/>
    <w:rsid w:val="00A81F06"/>
    <w:rsid w:val="00A83048"/>
    <w:rsid w:val="00A830DC"/>
    <w:rsid w:val="00A837BC"/>
    <w:rsid w:val="00A84203"/>
    <w:rsid w:val="00A84374"/>
    <w:rsid w:val="00A851F9"/>
    <w:rsid w:val="00A86ADA"/>
    <w:rsid w:val="00A86F0A"/>
    <w:rsid w:val="00A87052"/>
    <w:rsid w:val="00A870B7"/>
    <w:rsid w:val="00A875AE"/>
    <w:rsid w:val="00A87B0B"/>
    <w:rsid w:val="00A92A6C"/>
    <w:rsid w:val="00A93F26"/>
    <w:rsid w:val="00A94F58"/>
    <w:rsid w:val="00A964AF"/>
    <w:rsid w:val="00A964B0"/>
    <w:rsid w:val="00AA0384"/>
    <w:rsid w:val="00AA043E"/>
    <w:rsid w:val="00AA093F"/>
    <w:rsid w:val="00AA0ACA"/>
    <w:rsid w:val="00AA0E73"/>
    <w:rsid w:val="00AA12F8"/>
    <w:rsid w:val="00AA24EB"/>
    <w:rsid w:val="00AA2B54"/>
    <w:rsid w:val="00AA3631"/>
    <w:rsid w:val="00AA397B"/>
    <w:rsid w:val="00AA3AF8"/>
    <w:rsid w:val="00AA4284"/>
    <w:rsid w:val="00AA716B"/>
    <w:rsid w:val="00AB17F9"/>
    <w:rsid w:val="00AB6864"/>
    <w:rsid w:val="00AB7021"/>
    <w:rsid w:val="00AB7EB3"/>
    <w:rsid w:val="00AC04B4"/>
    <w:rsid w:val="00AC0AC8"/>
    <w:rsid w:val="00AC0E4F"/>
    <w:rsid w:val="00AC126A"/>
    <w:rsid w:val="00AC2DF0"/>
    <w:rsid w:val="00AC2EDF"/>
    <w:rsid w:val="00AC3106"/>
    <w:rsid w:val="00AC38B3"/>
    <w:rsid w:val="00AC5CD4"/>
    <w:rsid w:val="00AC5D8C"/>
    <w:rsid w:val="00AC61A2"/>
    <w:rsid w:val="00AD0FED"/>
    <w:rsid w:val="00AD14C4"/>
    <w:rsid w:val="00AD15C9"/>
    <w:rsid w:val="00AD2DB3"/>
    <w:rsid w:val="00AD3F24"/>
    <w:rsid w:val="00AD419D"/>
    <w:rsid w:val="00AD5D60"/>
    <w:rsid w:val="00AD6132"/>
    <w:rsid w:val="00AD760A"/>
    <w:rsid w:val="00AD7D3C"/>
    <w:rsid w:val="00AE02A0"/>
    <w:rsid w:val="00AE02D2"/>
    <w:rsid w:val="00AE0A1F"/>
    <w:rsid w:val="00AE182D"/>
    <w:rsid w:val="00AE1A76"/>
    <w:rsid w:val="00AE1D30"/>
    <w:rsid w:val="00AE1EE2"/>
    <w:rsid w:val="00AE249E"/>
    <w:rsid w:val="00AE2657"/>
    <w:rsid w:val="00AE290F"/>
    <w:rsid w:val="00AE35E1"/>
    <w:rsid w:val="00AE3A6C"/>
    <w:rsid w:val="00AE3FD2"/>
    <w:rsid w:val="00AE47B8"/>
    <w:rsid w:val="00AE6137"/>
    <w:rsid w:val="00AE7E34"/>
    <w:rsid w:val="00AF030A"/>
    <w:rsid w:val="00AF13F9"/>
    <w:rsid w:val="00AF1C0C"/>
    <w:rsid w:val="00AF2092"/>
    <w:rsid w:val="00AF25D5"/>
    <w:rsid w:val="00AF2B83"/>
    <w:rsid w:val="00AF3887"/>
    <w:rsid w:val="00AF3A73"/>
    <w:rsid w:val="00AF3DF3"/>
    <w:rsid w:val="00AF4A4E"/>
    <w:rsid w:val="00AF4B4C"/>
    <w:rsid w:val="00AF4FB8"/>
    <w:rsid w:val="00AF508D"/>
    <w:rsid w:val="00AF55A7"/>
    <w:rsid w:val="00AF5C2F"/>
    <w:rsid w:val="00AF65D2"/>
    <w:rsid w:val="00AF7350"/>
    <w:rsid w:val="00AF7400"/>
    <w:rsid w:val="00B00FCE"/>
    <w:rsid w:val="00B014DA"/>
    <w:rsid w:val="00B0288B"/>
    <w:rsid w:val="00B02BCC"/>
    <w:rsid w:val="00B03632"/>
    <w:rsid w:val="00B044C6"/>
    <w:rsid w:val="00B045AF"/>
    <w:rsid w:val="00B04FE4"/>
    <w:rsid w:val="00B05440"/>
    <w:rsid w:val="00B06ACB"/>
    <w:rsid w:val="00B0742C"/>
    <w:rsid w:val="00B1055F"/>
    <w:rsid w:val="00B10766"/>
    <w:rsid w:val="00B109E9"/>
    <w:rsid w:val="00B10CB9"/>
    <w:rsid w:val="00B11392"/>
    <w:rsid w:val="00B1173A"/>
    <w:rsid w:val="00B1190B"/>
    <w:rsid w:val="00B137F4"/>
    <w:rsid w:val="00B13961"/>
    <w:rsid w:val="00B1501F"/>
    <w:rsid w:val="00B15580"/>
    <w:rsid w:val="00B16343"/>
    <w:rsid w:val="00B16D6A"/>
    <w:rsid w:val="00B17297"/>
    <w:rsid w:val="00B176FF"/>
    <w:rsid w:val="00B203EC"/>
    <w:rsid w:val="00B208A4"/>
    <w:rsid w:val="00B20C97"/>
    <w:rsid w:val="00B2113B"/>
    <w:rsid w:val="00B21BA6"/>
    <w:rsid w:val="00B22EE8"/>
    <w:rsid w:val="00B234B6"/>
    <w:rsid w:val="00B23AB4"/>
    <w:rsid w:val="00B26594"/>
    <w:rsid w:val="00B26AA3"/>
    <w:rsid w:val="00B26B4F"/>
    <w:rsid w:val="00B27413"/>
    <w:rsid w:val="00B27731"/>
    <w:rsid w:val="00B27814"/>
    <w:rsid w:val="00B27879"/>
    <w:rsid w:val="00B30194"/>
    <w:rsid w:val="00B31628"/>
    <w:rsid w:val="00B31A2C"/>
    <w:rsid w:val="00B32DB5"/>
    <w:rsid w:val="00B336FD"/>
    <w:rsid w:val="00B3415F"/>
    <w:rsid w:val="00B36B51"/>
    <w:rsid w:val="00B37AD3"/>
    <w:rsid w:val="00B40AE0"/>
    <w:rsid w:val="00B43586"/>
    <w:rsid w:val="00B437CA"/>
    <w:rsid w:val="00B43D18"/>
    <w:rsid w:val="00B43F7B"/>
    <w:rsid w:val="00B442E9"/>
    <w:rsid w:val="00B447E1"/>
    <w:rsid w:val="00B44DA4"/>
    <w:rsid w:val="00B4746A"/>
    <w:rsid w:val="00B47830"/>
    <w:rsid w:val="00B4792D"/>
    <w:rsid w:val="00B47E75"/>
    <w:rsid w:val="00B47FCE"/>
    <w:rsid w:val="00B50BBC"/>
    <w:rsid w:val="00B50F83"/>
    <w:rsid w:val="00B51555"/>
    <w:rsid w:val="00B51E50"/>
    <w:rsid w:val="00B52752"/>
    <w:rsid w:val="00B52D65"/>
    <w:rsid w:val="00B53C99"/>
    <w:rsid w:val="00B54262"/>
    <w:rsid w:val="00B54480"/>
    <w:rsid w:val="00B54761"/>
    <w:rsid w:val="00B54AB2"/>
    <w:rsid w:val="00B56504"/>
    <w:rsid w:val="00B56E8F"/>
    <w:rsid w:val="00B57A35"/>
    <w:rsid w:val="00B57A78"/>
    <w:rsid w:val="00B6029E"/>
    <w:rsid w:val="00B61171"/>
    <w:rsid w:val="00B6274D"/>
    <w:rsid w:val="00B63369"/>
    <w:rsid w:val="00B63855"/>
    <w:rsid w:val="00B64023"/>
    <w:rsid w:val="00B64837"/>
    <w:rsid w:val="00B649D8"/>
    <w:rsid w:val="00B662B3"/>
    <w:rsid w:val="00B677B2"/>
    <w:rsid w:val="00B67C35"/>
    <w:rsid w:val="00B67EE6"/>
    <w:rsid w:val="00B718D1"/>
    <w:rsid w:val="00B724A2"/>
    <w:rsid w:val="00B725E5"/>
    <w:rsid w:val="00B72868"/>
    <w:rsid w:val="00B73BE7"/>
    <w:rsid w:val="00B7403A"/>
    <w:rsid w:val="00B7418C"/>
    <w:rsid w:val="00B75180"/>
    <w:rsid w:val="00B756CF"/>
    <w:rsid w:val="00B75ADD"/>
    <w:rsid w:val="00B76C0E"/>
    <w:rsid w:val="00B76DF5"/>
    <w:rsid w:val="00B77770"/>
    <w:rsid w:val="00B80C1C"/>
    <w:rsid w:val="00B80EC3"/>
    <w:rsid w:val="00B811D8"/>
    <w:rsid w:val="00B816B6"/>
    <w:rsid w:val="00B8189F"/>
    <w:rsid w:val="00B81B4D"/>
    <w:rsid w:val="00B81D71"/>
    <w:rsid w:val="00B8202B"/>
    <w:rsid w:val="00B83316"/>
    <w:rsid w:val="00B8341B"/>
    <w:rsid w:val="00B8344C"/>
    <w:rsid w:val="00B8427D"/>
    <w:rsid w:val="00B849F6"/>
    <w:rsid w:val="00B84A17"/>
    <w:rsid w:val="00B84FAD"/>
    <w:rsid w:val="00B85923"/>
    <w:rsid w:val="00B85F01"/>
    <w:rsid w:val="00B86626"/>
    <w:rsid w:val="00B87476"/>
    <w:rsid w:val="00B878F7"/>
    <w:rsid w:val="00B87B0E"/>
    <w:rsid w:val="00B909BE"/>
    <w:rsid w:val="00B91513"/>
    <w:rsid w:val="00B92482"/>
    <w:rsid w:val="00B924D2"/>
    <w:rsid w:val="00B92D9E"/>
    <w:rsid w:val="00B93012"/>
    <w:rsid w:val="00B9371C"/>
    <w:rsid w:val="00B93928"/>
    <w:rsid w:val="00B9438F"/>
    <w:rsid w:val="00B9487D"/>
    <w:rsid w:val="00B94EC9"/>
    <w:rsid w:val="00B96BB6"/>
    <w:rsid w:val="00B96FB1"/>
    <w:rsid w:val="00B97046"/>
    <w:rsid w:val="00BA08A0"/>
    <w:rsid w:val="00BA0B98"/>
    <w:rsid w:val="00BA1A2E"/>
    <w:rsid w:val="00BA3711"/>
    <w:rsid w:val="00BA4B08"/>
    <w:rsid w:val="00BA54EE"/>
    <w:rsid w:val="00BA5F6E"/>
    <w:rsid w:val="00BA65EB"/>
    <w:rsid w:val="00BA6A7D"/>
    <w:rsid w:val="00BA6AC1"/>
    <w:rsid w:val="00BA6B0D"/>
    <w:rsid w:val="00BA7B11"/>
    <w:rsid w:val="00BB131D"/>
    <w:rsid w:val="00BB1BEA"/>
    <w:rsid w:val="00BB220B"/>
    <w:rsid w:val="00BB4568"/>
    <w:rsid w:val="00BB4E4B"/>
    <w:rsid w:val="00BB4EE9"/>
    <w:rsid w:val="00BB4FF9"/>
    <w:rsid w:val="00BB59FD"/>
    <w:rsid w:val="00BB609B"/>
    <w:rsid w:val="00BB7249"/>
    <w:rsid w:val="00BB73B5"/>
    <w:rsid w:val="00BC0009"/>
    <w:rsid w:val="00BC03B8"/>
    <w:rsid w:val="00BC0526"/>
    <w:rsid w:val="00BC05F1"/>
    <w:rsid w:val="00BC07D6"/>
    <w:rsid w:val="00BC0B4F"/>
    <w:rsid w:val="00BC12DD"/>
    <w:rsid w:val="00BC300F"/>
    <w:rsid w:val="00BC4AE8"/>
    <w:rsid w:val="00BC5C26"/>
    <w:rsid w:val="00BC660C"/>
    <w:rsid w:val="00BC6757"/>
    <w:rsid w:val="00BD03BE"/>
    <w:rsid w:val="00BD09F9"/>
    <w:rsid w:val="00BD19F9"/>
    <w:rsid w:val="00BD2761"/>
    <w:rsid w:val="00BD2EC7"/>
    <w:rsid w:val="00BD319C"/>
    <w:rsid w:val="00BD35A8"/>
    <w:rsid w:val="00BD445A"/>
    <w:rsid w:val="00BD54D7"/>
    <w:rsid w:val="00BD7735"/>
    <w:rsid w:val="00BD7E4C"/>
    <w:rsid w:val="00BD7E62"/>
    <w:rsid w:val="00BD7EF2"/>
    <w:rsid w:val="00BD7F8F"/>
    <w:rsid w:val="00BE0CD8"/>
    <w:rsid w:val="00BE1209"/>
    <w:rsid w:val="00BE1A0D"/>
    <w:rsid w:val="00BE1EDF"/>
    <w:rsid w:val="00BE2148"/>
    <w:rsid w:val="00BE2B39"/>
    <w:rsid w:val="00BE45F5"/>
    <w:rsid w:val="00BE493A"/>
    <w:rsid w:val="00BE7B37"/>
    <w:rsid w:val="00BE7D2D"/>
    <w:rsid w:val="00BF084F"/>
    <w:rsid w:val="00BF0CFC"/>
    <w:rsid w:val="00BF29A1"/>
    <w:rsid w:val="00BF2A6A"/>
    <w:rsid w:val="00BF3D3D"/>
    <w:rsid w:val="00BF3DBA"/>
    <w:rsid w:val="00BF428A"/>
    <w:rsid w:val="00BF4C4D"/>
    <w:rsid w:val="00BF4E82"/>
    <w:rsid w:val="00BF60F5"/>
    <w:rsid w:val="00BF7577"/>
    <w:rsid w:val="00C0010C"/>
    <w:rsid w:val="00C005A6"/>
    <w:rsid w:val="00C02060"/>
    <w:rsid w:val="00C02992"/>
    <w:rsid w:val="00C036CD"/>
    <w:rsid w:val="00C038E7"/>
    <w:rsid w:val="00C04010"/>
    <w:rsid w:val="00C04A07"/>
    <w:rsid w:val="00C056BE"/>
    <w:rsid w:val="00C0598A"/>
    <w:rsid w:val="00C05D2F"/>
    <w:rsid w:val="00C062E2"/>
    <w:rsid w:val="00C06D2B"/>
    <w:rsid w:val="00C07052"/>
    <w:rsid w:val="00C07437"/>
    <w:rsid w:val="00C076EC"/>
    <w:rsid w:val="00C10604"/>
    <w:rsid w:val="00C10A4A"/>
    <w:rsid w:val="00C10FBB"/>
    <w:rsid w:val="00C1135A"/>
    <w:rsid w:val="00C11CAF"/>
    <w:rsid w:val="00C11E4A"/>
    <w:rsid w:val="00C13A18"/>
    <w:rsid w:val="00C13E49"/>
    <w:rsid w:val="00C13F54"/>
    <w:rsid w:val="00C1567F"/>
    <w:rsid w:val="00C156FA"/>
    <w:rsid w:val="00C16209"/>
    <w:rsid w:val="00C1719E"/>
    <w:rsid w:val="00C202A5"/>
    <w:rsid w:val="00C20C36"/>
    <w:rsid w:val="00C21BD1"/>
    <w:rsid w:val="00C23E6C"/>
    <w:rsid w:val="00C248B1"/>
    <w:rsid w:val="00C24940"/>
    <w:rsid w:val="00C250F4"/>
    <w:rsid w:val="00C26146"/>
    <w:rsid w:val="00C267CF"/>
    <w:rsid w:val="00C272CA"/>
    <w:rsid w:val="00C27785"/>
    <w:rsid w:val="00C2790D"/>
    <w:rsid w:val="00C27EB4"/>
    <w:rsid w:val="00C27EBE"/>
    <w:rsid w:val="00C34947"/>
    <w:rsid w:val="00C3575D"/>
    <w:rsid w:val="00C36CA2"/>
    <w:rsid w:val="00C36F0F"/>
    <w:rsid w:val="00C37C3E"/>
    <w:rsid w:val="00C416A5"/>
    <w:rsid w:val="00C43065"/>
    <w:rsid w:val="00C430FF"/>
    <w:rsid w:val="00C4339C"/>
    <w:rsid w:val="00C438F6"/>
    <w:rsid w:val="00C4456E"/>
    <w:rsid w:val="00C450E0"/>
    <w:rsid w:val="00C4603E"/>
    <w:rsid w:val="00C469D1"/>
    <w:rsid w:val="00C47739"/>
    <w:rsid w:val="00C47A42"/>
    <w:rsid w:val="00C508D7"/>
    <w:rsid w:val="00C51742"/>
    <w:rsid w:val="00C5199B"/>
    <w:rsid w:val="00C53006"/>
    <w:rsid w:val="00C53009"/>
    <w:rsid w:val="00C54480"/>
    <w:rsid w:val="00C54C81"/>
    <w:rsid w:val="00C54ECD"/>
    <w:rsid w:val="00C554FF"/>
    <w:rsid w:val="00C56F38"/>
    <w:rsid w:val="00C575B0"/>
    <w:rsid w:val="00C5788C"/>
    <w:rsid w:val="00C57A9F"/>
    <w:rsid w:val="00C57AA8"/>
    <w:rsid w:val="00C612E4"/>
    <w:rsid w:val="00C622D7"/>
    <w:rsid w:val="00C62F70"/>
    <w:rsid w:val="00C63E5C"/>
    <w:rsid w:val="00C640A1"/>
    <w:rsid w:val="00C64721"/>
    <w:rsid w:val="00C64E4D"/>
    <w:rsid w:val="00C65269"/>
    <w:rsid w:val="00C65D05"/>
    <w:rsid w:val="00C66EAA"/>
    <w:rsid w:val="00C66EFA"/>
    <w:rsid w:val="00C679E6"/>
    <w:rsid w:val="00C67E67"/>
    <w:rsid w:val="00C70A98"/>
    <w:rsid w:val="00C70FCA"/>
    <w:rsid w:val="00C7110B"/>
    <w:rsid w:val="00C72E68"/>
    <w:rsid w:val="00C73027"/>
    <w:rsid w:val="00C73278"/>
    <w:rsid w:val="00C73873"/>
    <w:rsid w:val="00C74344"/>
    <w:rsid w:val="00C74AA1"/>
    <w:rsid w:val="00C7737C"/>
    <w:rsid w:val="00C77402"/>
    <w:rsid w:val="00C80275"/>
    <w:rsid w:val="00C818A6"/>
    <w:rsid w:val="00C81C49"/>
    <w:rsid w:val="00C82399"/>
    <w:rsid w:val="00C8241C"/>
    <w:rsid w:val="00C82BC8"/>
    <w:rsid w:val="00C82D0F"/>
    <w:rsid w:val="00C82F17"/>
    <w:rsid w:val="00C84064"/>
    <w:rsid w:val="00C840F7"/>
    <w:rsid w:val="00C845F1"/>
    <w:rsid w:val="00C8587D"/>
    <w:rsid w:val="00C85D8F"/>
    <w:rsid w:val="00C85E23"/>
    <w:rsid w:val="00C86BD0"/>
    <w:rsid w:val="00C87072"/>
    <w:rsid w:val="00C8780F"/>
    <w:rsid w:val="00C87EEB"/>
    <w:rsid w:val="00C903ED"/>
    <w:rsid w:val="00C90EAE"/>
    <w:rsid w:val="00C919F3"/>
    <w:rsid w:val="00C92171"/>
    <w:rsid w:val="00C922EB"/>
    <w:rsid w:val="00C9288B"/>
    <w:rsid w:val="00C928A1"/>
    <w:rsid w:val="00C92D7D"/>
    <w:rsid w:val="00C94537"/>
    <w:rsid w:val="00C94FF3"/>
    <w:rsid w:val="00C9520A"/>
    <w:rsid w:val="00C953B4"/>
    <w:rsid w:val="00C95488"/>
    <w:rsid w:val="00C956FF"/>
    <w:rsid w:val="00C95A6D"/>
    <w:rsid w:val="00C968B0"/>
    <w:rsid w:val="00CA08F1"/>
    <w:rsid w:val="00CA0E2F"/>
    <w:rsid w:val="00CA1026"/>
    <w:rsid w:val="00CA1287"/>
    <w:rsid w:val="00CA2DCE"/>
    <w:rsid w:val="00CA5215"/>
    <w:rsid w:val="00CA559B"/>
    <w:rsid w:val="00CA69CB"/>
    <w:rsid w:val="00CB0043"/>
    <w:rsid w:val="00CB063C"/>
    <w:rsid w:val="00CB0A00"/>
    <w:rsid w:val="00CB29AC"/>
    <w:rsid w:val="00CB2CA1"/>
    <w:rsid w:val="00CB3670"/>
    <w:rsid w:val="00CB3E73"/>
    <w:rsid w:val="00CB4491"/>
    <w:rsid w:val="00CB4D4E"/>
    <w:rsid w:val="00CB503C"/>
    <w:rsid w:val="00CB725A"/>
    <w:rsid w:val="00CC04C3"/>
    <w:rsid w:val="00CC0C74"/>
    <w:rsid w:val="00CC2639"/>
    <w:rsid w:val="00CC2912"/>
    <w:rsid w:val="00CC2AB3"/>
    <w:rsid w:val="00CC2D1C"/>
    <w:rsid w:val="00CC3BCA"/>
    <w:rsid w:val="00CC529F"/>
    <w:rsid w:val="00CC540A"/>
    <w:rsid w:val="00CC61EC"/>
    <w:rsid w:val="00CC61F0"/>
    <w:rsid w:val="00CC702F"/>
    <w:rsid w:val="00CC7E9F"/>
    <w:rsid w:val="00CD029B"/>
    <w:rsid w:val="00CD0787"/>
    <w:rsid w:val="00CD0B65"/>
    <w:rsid w:val="00CD18FC"/>
    <w:rsid w:val="00CD1FF0"/>
    <w:rsid w:val="00CD3284"/>
    <w:rsid w:val="00CD3752"/>
    <w:rsid w:val="00CD3A47"/>
    <w:rsid w:val="00CD45DE"/>
    <w:rsid w:val="00CD48E7"/>
    <w:rsid w:val="00CD5410"/>
    <w:rsid w:val="00CD7327"/>
    <w:rsid w:val="00CD7711"/>
    <w:rsid w:val="00CD7B8A"/>
    <w:rsid w:val="00CE01D4"/>
    <w:rsid w:val="00CE1ACC"/>
    <w:rsid w:val="00CE1FF1"/>
    <w:rsid w:val="00CE23A6"/>
    <w:rsid w:val="00CE2853"/>
    <w:rsid w:val="00CE338B"/>
    <w:rsid w:val="00CE4EDE"/>
    <w:rsid w:val="00CE596A"/>
    <w:rsid w:val="00CE7587"/>
    <w:rsid w:val="00CE7946"/>
    <w:rsid w:val="00CF07CC"/>
    <w:rsid w:val="00CF0CAE"/>
    <w:rsid w:val="00CF13C6"/>
    <w:rsid w:val="00CF1660"/>
    <w:rsid w:val="00CF1824"/>
    <w:rsid w:val="00CF32BE"/>
    <w:rsid w:val="00CF3CBB"/>
    <w:rsid w:val="00CF3D93"/>
    <w:rsid w:val="00CF45E5"/>
    <w:rsid w:val="00CF4679"/>
    <w:rsid w:val="00CF4D8B"/>
    <w:rsid w:val="00CF6166"/>
    <w:rsid w:val="00CF6F0D"/>
    <w:rsid w:val="00CF758A"/>
    <w:rsid w:val="00CF7747"/>
    <w:rsid w:val="00CF7D1F"/>
    <w:rsid w:val="00D00260"/>
    <w:rsid w:val="00D00403"/>
    <w:rsid w:val="00D01141"/>
    <w:rsid w:val="00D01348"/>
    <w:rsid w:val="00D022B6"/>
    <w:rsid w:val="00D029D8"/>
    <w:rsid w:val="00D02A64"/>
    <w:rsid w:val="00D040EB"/>
    <w:rsid w:val="00D046F4"/>
    <w:rsid w:val="00D0486D"/>
    <w:rsid w:val="00D04885"/>
    <w:rsid w:val="00D059D0"/>
    <w:rsid w:val="00D0608F"/>
    <w:rsid w:val="00D0659E"/>
    <w:rsid w:val="00D06643"/>
    <w:rsid w:val="00D06688"/>
    <w:rsid w:val="00D068B3"/>
    <w:rsid w:val="00D06E7E"/>
    <w:rsid w:val="00D06E93"/>
    <w:rsid w:val="00D06EDF"/>
    <w:rsid w:val="00D0766F"/>
    <w:rsid w:val="00D07893"/>
    <w:rsid w:val="00D10732"/>
    <w:rsid w:val="00D11E2B"/>
    <w:rsid w:val="00D122AB"/>
    <w:rsid w:val="00D12B23"/>
    <w:rsid w:val="00D12D72"/>
    <w:rsid w:val="00D13116"/>
    <w:rsid w:val="00D134BC"/>
    <w:rsid w:val="00D13D5B"/>
    <w:rsid w:val="00D13E59"/>
    <w:rsid w:val="00D141FA"/>
    <w:rsid w:val="00D14DF4"/>
    <w:rsid w:val="00D154D2"/>
    <w:rsid w:val="00D15A5A"/>
    <w:rsid w:val="00D15C0C"/>
    <w:rsid w:val="00D15F54"/>
    <w:rsid w:val="00D163B3"/>
    <w:rsid w:val="00D169EB"/>
    <w:rsid w:val="00D17058"/>
    <w:rsid w:val="00D172CB"/>
    <w:rsid w:val="00D175B8"/>
    <w:rsid w:val="00D17820"/>
    <w:rsid w:val="00D2033D"/>
    <w:rsid w:val="00D20CF5"/>
    <w:rsid w:val="00D22B9C"/>
    <w:rsid w:val="00D2464C"/>
    <w:rsid w:val="00D2481D"/>
    <w:rsid w:val="00D24DC3"/>
    <w:rsid w:val="00D24FE7"/>
    <w:rsid w:val="00D26D69"/>
    <w:rsid w:val="00D30761"/>
    <w:rsid w:val="00D30EC1"/>
    <w:rsid w:val="00D313B9"/>
    <w:rsid w:val="00D31436"/>
    <w:rsid w:val="00D3308D"/>
    <w:rsid w:val="00D33258"/>
    <w:rsid w:val="00D332D7"/>
    <w:rsid w:val="00D334F0"/>
    <w:rsid w:val="00D33797"/>
    <w:rsid w:val="00D33E74"/>
    <w:rsid w:val="00D355B0"/>
    <w:rsid w:val="00D3584C"/>
    <w:rsid w:val="00D35BD4"/>
    <w:rsid w:val="00D35F2F"/>
    <w:rsid w:val="00D373E5"/>
    <w:rsid w:val="00D37A36"/>
    <w:rsid w:val="00D41504"/>
    <w:rsid w:val="00D41BB4"/>
    <w:rsid w:val="00D41D5B"/>
    <w:rsid w:val="00D43170"/>
    <w:rsid w:val="00D43463"/>
    <w:rsid w:val="00D445A8"/>
    <w:rsid w:val="00D446BA"/>
    <w:rsid w:val="00D4557F"/>
    <w:rsid w:val="00D46723"/>
    <w:rsid w:val="00D46F51"/>
    <w:rsid w:val="00D473D0"/>
    <w:rsid w:val="00D47623"/>
    <w:rsid w:val="00D500AB"/>
    <w:rsid w:val="00D50AC5"/>
    <w:rsid w:val="00D512CB"/>
    <w:rsid w:val="00D5155E"/>
    <w:rsid w:val="00D51C7D"/>
    <w:rsid w:val="00D5302F"/>
    <w:rsid w:val="00D530B7"/>
    <w:rsid w:val="00D5386B"/>
    <w:rsid w:val="00D55160"/>
    <w:rsid w:val="00D558CE"/>
    <w:rsid w:val="00D55C93"/>
    <w:rsid w:val="00D55FC6"/>
    <w:rsid w:val="00D563B7"/>
    <w:rsid w:val="00D56435"/>
    <w:rsid w:val="00D56633"/>
    <w:rsid w:val="00D577A5"/>
    <w:rsid w:val="00D61671"/>
    <w:rsid w:val="00D6301D"/>
    <w:rsid w:val="00D6383C"/>
    <w:rsid w:val="00D648AD"/>
    <w:rsid w:val="00D64B46"/>
    <w:rsid w:val="00D64D69"/>
    <w:rsid w:val="00D65E8B"/>
    <w:rsid w:val="00D6670D"/>
    <w:rsid w:val="00D67C68"/>
    <w:rsid w:val="00D700FF"/>
    <w:rsid w:val="00D70A48"/>
    <w:rsid w:val="00D714E5"/>
    <w:rsid w:val="00D71E3A"/>
    <w:rsid w:val="00D7276B"/>
    <w:rsid w:val="00D7289D"/>
    <w:rsid w:val="00D73796"/>
    <w:rsid w:val="00D75957"/>
    <w:rsid w:val="00D75DED"/>
    <w:rsid w:val="00D76E1E"/>
    <w:rsid w:val="00D778EE"/>
    <w:rsid w:val="00D77A07"/>
    <w:rsid w:val="00D77FFE"/>
    <w:rsid w:val="00D802B9"/>
    <w:rsid w:val="00D80AC8"/>
    <w:rsid w:val="00D80BAE"/>
    <w:rsid w:val="00D8111C"/>
    <w:rsid w:val="00D8183C"/>
    <w:rsid w:val="00D81D74"/>
    <w:rsid w:val="00D827E3"/>
    <w:rsid w:val="00D8363A"/>
    <w:rsid w:val="00D837FA"/>
    <w:rsid w:val="00D8481F"/>
    <w:rsid w:val="00D84D4D"/>
    <w:rsid w:val="00D84D73"/>
    <w:rsid w:val="00D85F48"/>
    <w:rsid w:val="00D8716A"/>
    <w:rsid w:val="00D876FB"/>
    <w:rsid w:val="00D9069A"/>
    <w:rsid w:val="00D91513"/>
    <w:rsid w:val="00D91DE9"/>
    <w:rsid w:val="00D9207B"/>
    <w:rsid w:val="00D9241A"/>
    <w:rsid w:val="00D93360"/>
    <w:rsid w:val="00D93606"/>
    <w:rsid w:val="00D96114"/>
    <w:rsid w:val="00D9719B"/>
    <w:rsid w:val="00DA03F2"/>
    <w:rsid w:val="00DA0DC9"/>
    <w:rsid w:val="00DA1620"/>
    <w:rsid w:val="00DA1C4E"/>
    <w:rsid w:val="00DA2748"/>
    <w:rsid w:val="00DA2BC5"/>
    <w:rsid w:val="00DA2D2D"/>
    <w:rsid w:val="00DA2D99"/>
    <w:rsid w:val="00DA2D9E"/>
    <w:rsid w:val="00DA3917"/>
    <w:rsid w:val="00DA40FE"/>
    <w:rsid w:val="00DA595E"/>
    <w:rsid w:val="00DA5DA7"/>
    <w:rsid w:val="00DA675D"/>
    <w:rsid w:val="00DA721E"/>
    <w:rsid w:val="00DA7502"/>
    <w:rsid w:val="00DA758D"/>
    <w:rsid w:val="00DB038F"/>
    <w:rsid w:val="00DB38B1"/>
    <w:rsid w:val="00DB3AEA"/>
    <w:rsid w:val="00DB3CAC"/>
    <w:rsid w:val="00DB4C01"/>
    <w:rsid w:val="00DB5E14"/>
    <w:rsid w:val="00DC0918"/>
    <w:rsid w:val="00DC0C17"/>
    <w:rsid w:val="00DC0DC7"/>
    <w:rsid w:val="00DC1947"/>
    <w:rsid w:val="00DC209B"/>
    <w:rsid w:val="00DC242C"/>
    <w:rsid w:val="00DC29B7"/>
    <w:rsid w:val="00DC2BDC"/>
    <w:rsid w:val="00DC380E"/>
    <w:rsid w:val="00DC6AFC"/>
    <w:rsid w:val="00DC74BD"/>
    <w:rsid w:val="00DC7D4A"/>
    <w:rsid w:val="00DD12D8"/>
    <w:rsid w:val="00DD164B"/>
    <w:rsid w:val="00DD20AF"/>
    <w:rsid w:val="00DD2406"/>
    <w:rsid w:val="00DD3436"/>
    <w:rsid w:val="00DD3A92"/>
    <w:rsid w:val="00DD3AA1"/>
    <w:rsid w:val="00DD4C10"/>
    <w:rsid w:val="00DD50D4"/>
    <w:rsid w:val="00DD56D2"/>
    <w:rsid w:val="00DD570C"/>
    <w:rsid w:val="00DD6025"/>
    <w:rsid w:val="00DD65A5"/>
    <w:rsid w:val="00DD75C0"/>
    <w:rsid w:val="00DD7E7F"/>
    <w:rsid w:val="00DE0073"/>
    <w:rsid w:val="00DE2CE2"/>
    <w:rsid w:val="00DE33E2"/>
    <w:rsid w:val="00DE36E7"/>
    <w:rsid w:val="00DE375D"/>
    <w:rsid w:val="00DE4F58"/>
    <w:rsid w:val="00DE6048"/>
    <w:rsid w:val="00DE7068"/>
    <w:rsid w:val="00DE770C"/>
    <w:rsid w:val="00DE7FCD"/>
    <w:rsid w:val="00DF2143"/>
    <w:rsid w:val="00DF2C54"/>
    <w:rsid w:val="00DF2C5A"/>
    <w:rsid w:val="00DF335B"/>
    <w:rsid w:val="00DF389D"/>
    <w:rsid w:val="00DF5371"/>
    <w:rsid w:val="00DF57F9"/>
    <w:rsid w:val="00DF5B69"/>
    <w:rsid w:val="00DF5BBE"/>
    <w:rsid w:val="00DF661B"/>
    <w:rsid w:val="00DF67E7"/>
    <w:rsid w:val="00DF7139"/>
    <w:rsid w:val="00DF7E0B"/>
    <w:rsid w:val="00DF7E79"/>
    <w:rsid w:val="00E0059E"/>
    <w:rsid w:val="00E01E72"/>
    <w:rsid w:val="00E0207E"/>
    <w:rsid w:val="00E03314"/>
    <w:rsid w:val="00E03D7B"/>
    <w:rsid w:val="00E0467A"/>
    <w:rsid w:val="00E04749"/>
    <w:rsid w:val="00E04AE9"/>
    <w:rsid w:val="00E0543B"/>
    <w:rsid w:val="00E063E4"/>
    <w:rsid w:val="00E06CE9"/>
    <w:rsid w:val="00E07625"/>
    <w:rsid w:val="00E077BC"/>
    <w:rsid w:val="00E07DF8"/>
    <w:rsid w:val="00E103F0"/>
    <w:rsid w:val="00E10618"/>
    <w:rsid w:val="00E11A2C"/>
    <w:rsid w:val="00E12905"/>
    <w:rsid w:val="00E1300A"/>
    <w:rsid w:val="00E13039"/>
    <w:rsid w:val="00E13490"/>
    <w:rsid w:val="00E13C16"/>
    <w:rsid w:val="00E1501D"/>
    <w:rsid w:val="00E153D5"/>
    <w:rsid w:val="00E15444"/>
    <w:rsid w:val="00E15B5C"/>
    <w:rsid w:val="00E167C0"/>
    <w:rsid w:val="00E16907"/>
    <w:rsid w:val="00E16959"/>
    <w:rsid w:val="00E17936"/>
    <w:rsid w:val="00E21E2F"/>
    <w:rsid w:val="00E239E9"/>
    <w:rsid w:val="00E23D45"/>
    <w:rsid w:val="00E255A4"/>
    <w:rsid w:val="00E255F1"/>
    <w:rsid w:val="00E25737"/>
    <w:rsid w:val="00E25CA7"/>
    <w:rsid w:val="00E265FB"/>
    <w:rsid w:val="00E272A9"/>
    <w:rsid w:val="00E30E18"/>
    <w:rsid w:val="00E3311E"/>
    <w:rsid w:val="00E33361"/>
    <w:rsid w:val="00E33443"/>
    <w:rsid w:val="00E33FE8"/>
    <w:rsid w:val="00E354CA"/>
    <w:rsid w:val="00E375F5"/>
    <w:rsid w:val="00E409B4"/>
    <w:rsid w:val="00E40A49"/>
    <w:rsid w:val="00E40E6B"/>
    <w:rsid w:val="00E40E6F"/>
    <w:rsid w:val="00E40F51"/>
    <w:rsid w:val="00E43A8A"/>
    <w:rsid w:val="00E43C1E"/>
    <w:rsid w:val="00E4409D"/>
    <w:rsid w:val="00E44BF4"/>
    <w:rsid w:val="00E46418"/>
    <w:rsid w:val="00E4643C"/>
    <w:rsid w:val="00E466B8"/>
    <w:rsid w:val="00E4686C"/>
    <w:rsid w:val="00E47003"/>
    <w:rsid w:val="00E47580"/>
    <w:rsid w:val="00E47D4A"/>
    <w:rsid w:val="00E508B4"/>
    <w:rsid w:val="00E509D9"/>
    <w:rsid w:val="00E50BF7"/>
    <w:rsid w:val="00E50C6B"/>
    <w:rsid w:val="00E52A58"/>
    <w:rsid w:val="00E52CB9"/>
    <w:rsid w:val="00E532C9"/>
    <w:rsid w:val="00E53DC1"/>
    <w:rsid w:val="00E53FC3"/>
    <w:rsid w:val="00E542A5"/>
    <w:rsid w:val="00E54C09"/>
    <w:rsid w:val="00E54C37"/>
    <w:rsid w:val="00E54E8A"/>
    <w:rsid w:val="00E55436"/>
    <w:rsid w:val="00E5567E"/>
    <w:rsid w:val="00E562FE"/>
    <w:rsid w:val="00E5693A"/>
    <w:rsid w:val="00E56D12"/>
    <w:rsid w:val="00E600D8"/>
    <w:rsid w:val="00E6146D"/>
    <w:rsid w:val="00E62FEE"/>
    <w:rsid w:val="00E63C15"/>
    <w:rsid w:val="00E6438D"/>
    <w:rsid w:val="00E645FA"/>
    <w:rsid w:val="00E654B6"/>
    <w:rsid w:val="00E655C0"/>
    <w:rsid w:val="00E65D7D"/>
    <w:rsid w:val="00E672A3"/>
    <w:rsid w:val="00E70AB3"/>
    <w:rsid w:val="00E7127A"/>
    <w:rsid w:val="00E7154E"/>
    <w:rsid w:val="00E715F9"/>
    <w:rsid w:val="00E71A92"/>
    <w:rsid w:val="00E72F56"/>
    <w:rsid w:val="00E72F82"/>
    <w:rsid w:val="00E739C1"/>
    <w:rsid w:val="00E744AF"/>
    <w:rsid w:val="00E751B0"/>
    <w:rsid w:val="00E76716"/>
    <w:rsid w:val="00E76C69"/>
    <w:rsid w:val="00E77D93"/>
    <w:rsid w:val="00E77E54"/>
    <w:rsid w:val="00E77E7E"/>
    <w:rsid w:val="00E77FC5"/>
    <w:rsid w:val="00E800A6"/>
    <w:rsid w:val="00E80746"/>
    <w:rsid w:val="00E80CC9"/>
    <w:rsid w:val="00E80FF4"/>
    <w:rsid w:val="00E815B8"/>
    <w:rsid w:val="00E81852"/>
    <w:rsid w:val="00E81953"/>
    <w:rsid w:val="00E8410A"/>
    <w:rsid w:val="00E8414E"/>
    <w:rsid w:val="00E84780"/>
    <w:rsid w:val="00E84D8B"/>
    <w:rsid w:val="00E85768"/>
    <w:rsid w:val="00E8617D"/>
    <w:rsid w:val="00E8637E"/>
    <w:rsid w:val="00E86C56"/>
    <w:rsid w:val="00E86DEA"/>
    <w:rsid w:val="00E8705A"/>
    <w:rsid w:val="00E870D8"/>
    <w:rsid w:val="00E90BE4"/>
    <w:rsid w:val="00E926AD"/>
    <w:rsid w:val="00E92866"/>
    <w:rsid w:val="00E92C42"/>
    <w:rsid w:val="00E934FA"/>
    <w:rsid w:val="00E93FCC"/>
    <w:rsid w:val="00E94650"/>
    <w:rsid w:val="00E94C32"/>
    <w:rsid w:val="00E963BE"/>
    <w:rsid w:val="00EA0830"/>
    <w:rsid w:val="00EA090F"/>
    <w:rsid w:val="00EA0972"/>
    <w:rsid w:val="00EA2F7C"/>
    <w:rsid w:val="00EA3807"/>
    <w:rsid w:val="00EA397C"/>
    <w:rsid w:val="00EA4180"/>
    <w:rsid w:val="00EA4911"/>
    <w:rsid w:val="00EA630B"/>
    <w:rsid w:val="00EA7528"/>
    <w:rsid w:val="00EB08ED"/>
    <w:rsid w:val="00EB21E6"/>
    <w:rsid w:val="00EB23F9"/>
    <w:rsid w:val="00EB2BA5"/>
    <w:rsid w:val="00EB313A"/>
    <w:rsid w:val="00EB494B"/>
    <w:rsid w:val="00EB4AB0"/>
    <w:rsid w:val="00EB4F4A"/>
    <w:rsid w:val="00EB5706"/>
    <w:rsid w:val="00EB5BBC"/>
    <w:rsid w:val="00EB5F23"/>
    <w:rsid w:val="00EB7449"/>
    <w:rsid w:val="00EB762B"/>
    <w:rsid w:val="00EB7D32"/>
    <w:rsid w:val="00EC063C"/>
    <w:rsid w:val="00EC0F52"/>
    <w:rsid w:val="00EC11DF"/>
    <w:rsid w:val="00EC1E31"/>
    <w:rsid w:val="00EC29A1"/>
    <w:rsid w:val="00EC57D7"/>
    <w:rsid w:val="00EC75D1"/>
    <w:rsid w:val="00ED2F63"/>
    <w:rsid w:val="00ED33DE"/>
    <w:rsid w:val="00ED3A10"/>
    <w:rsid w:val="00ED4752"/>
    <w:rsid w:val="00ED588A"/>
    <w:rsid w:val="00ED5C09"/>
    <w:rsid w:val="00ED5EFA"/>
    <w:rsid w:val="00ED60FC"/>
    <w:rsid w:val="00ED6505"/>
    <w:rsid w:val="00ED6F34"/>
    <w:rsid w:val="00EE098E"/>
    <w:rsid w:val="00EE1C07"/>
    <w:rsid w:val="00EE1C46"/>
    <w:rsid w:val="00EE1F43"/>
    <w:rsid w:val="00EE2152"/>
    <w:rsid w:val="00EE2388"/>
    <w:rsid w:val="00EE2F11"/>
    <w:rsid w:val="00EE4F7B"/>
    <w:rsid w:val="00EE75BC"/>
    <w:rsid w:val="00EE76E4"/>
    <w:rsid w:val="00EE7B40"/>
    <w:rsid w:val="00EE7E74"/>
    <w:rsid w:val="00EF083B"/>
    <w:rsid w:val="00EF1E58"/>
    <w:rsid w:val="00EF2153"/>
    <w:rsid w:val="00EF3A40"/>
    <w:rsid w:val="00EF5098"/>
    <w:rsid w:val="00EF517E"/>
    <w:rsid w:val="00EF67FD"/>
    <w:rsid w:val="00EF7CAA"/>
    <w:rsid w:val="00F00AB3"/>
    <w:rsid w:val="00F00B39"/>
    <w:rsid w:val="00F014FB"/>
    <w:rsid w:val="00F02E20"/>
    <w:rsid w:val="00F032D9"/>
    <w:rsid w:val="00F0467B"/>
    <w:rsid w:val="00F04B91"/>
    <w:rsid w:val="00F06397"/>
    <w:rsid w:val="00F07003"/>
    <w:rsid w:val="00F07399"/>
    <w:rsid w:val="00F073F7"/>
    <w:rsid w:val="00F074DA"/>
    <w:rsid w:val="00F10186"/>
    <w:rsid w:val="00F12023"/>
    <w:rsid w:val="00F121F6"/>
    <w:rsid w:val="00F128AF"/>
    <w:rsid w:val="00F13282"/>
    <w:rsid w:val="00F141D8"/>
    <w:rsid w:val="00F14359"/>
    <w:rsid w:val="00F14465"/>
    <w:rsid w:val="00F15378"/>
    <w:rsid w:val="00F156CF"/>
    <w:rsid w:val="00F169AF"/>
    <w:rsid w:val="00F1739A"/>
    <w:rsid w:val="00F174C1"/>
    <w:rsid w:val="00F17BD4"/>
    <w:rsid w:val="00F200BC"/>
    <w:rsid w:val="00F2033E"/>
    <w:rsid w:val="00F20F19"/>
    <w:rsid w:val="00F20FB9"/>
    <w:rsid w:val="00F21134"/>
    <w:rsid w:val="00F21245"/>
    <w:rsid w:val="00F2167D"/>
    <w:rsid w:val="00F21966"/>
    <w:rsid w:val="00F23382"/>
    <w:rsid w:val="00F2349B"/>
    <w:rsid w:val="00F23FE7"/>
    <w:rsid w:val="00F24DE1"/>
    <w:rsid w:val="00F24E25"/>
    <w:rsid w:val="00F25F74"/>
    <w:rsid w:val="00F26655"/>
    <w:rsid w:val="00F26A85"/>
    <w:rsid w:val="00F26CA5"/>
    <w:rsid w:val="00F26E54"/>
    <w:rsid w:val="00F27267"/>
    <w:rsid w:val="00F31A7F"/>
    <w:rsid w:val="00F322D1"/>
    <w:rsid w:val="00F342D3"/>
    <w:rsid w:val="00F34C2A"/>
    <w:rsid w:val="00F34DF1"/>
    <w:rsid w:val="00F35FC0"/>
    <w:rsid w:val="00F37D23"/>
    <w:rsid w:val="00F400F2"/>
    <w:rsid w:val="00F4163E"/>
    <w:rsid w:val="00F43460"/>
    <w:rsid w:val="00F43AB7"/>
    <w:rsid w:val="00F43D05"/>
    <w:rsid w:val="00F449A1"/>
    <w:rsid w:val="00F44E59"/>
    <w:rsid w:val="00F44F56"/>
    <w:rsid w:val="00F46705"/>
    <w:rsid w:val="00F472A6"/>
    <w:rsid w:val="00F50BDF"/>
    <w:rsid w:val="00F52D46"/>
    <w:rsid w:val="00F52E04"/>
    <w:rsid w:val="00F534BA"/>
    <w:rsid w:val="00F54674"/>
    <w:rsid w:val="00F5637B"/>
    <w:rsid w:val="00F56429"/>
    <w:rsid w:val="00F56572"/>
    <w:rsid w:val="00F569BE"/>
    <w:rsid w:val="00F5793E"/>
    <w:rsid w:val="00F57CDF"/>
    <w:rsid w:val="00F60DA4"/>
    <w:rsid w:val="00F60E21"/>
    <w:rsid w:val="00F61E66"/>
    <w:rsid w:val="00F621E4"/>
    <w:rsid w:val="00F624E2"/>
    <w:rsid w:val="00F6282A"/>
    <w:rsid w:val="00F63506"/>
    <w:rsid w:val="00F64209"/>
    <w:rsid w:val="00F6473E"/>
    <w:rsid w:val="00F654DF"/>
    <w:rsid w:val="00F65B71"/>
    <w:rsid w:val="00F65FD6"/>
    <w:rsid w:val="00F6694E"/>
    <w:rsid w:val="00F6736E"/>
    <w:rsid w:val="00F70876"/>
    <w:rsid w:val="00F70AAE"/>
    <w:rsid w:val="00F70D97"/>
    <w:rsid w:val="00F71239"/>
    <w:rsid w:val="00F71F52"/>
    <w:rsid w:val="00F72776"/>
    <w:rsid w:val="00F7367A"/>
    <w:rsid w:val="00F73E20"/>
    <w:rsid w:val="00F73E3A"/>
    <w:rsid w:val="00F7410E"/>
    <w:rsid w:val="00F741AC"/>
    <w:rsid w:val="00F742A6"/>
    <w:rsid w:val="00F74BDE"/>
    <w:rsid w:val="00F75006"/>
    <w:rsid w:val="00F7578B"/>
    <w:rsid w:val="00F762DC"/>
    <w:rsid w:val="00F76702"/>
    <w:rsid w:val="00F76B34"/>
    <w:rsid w:val="00F80CF5"/>
    <w:rsid w:val="00F82706"/>
    <w:rsid w:val="00F83460"/>
    <w:rsid w:val="00F84ECC"/>
    <w:rsid w:val="00F855DD"/>
    <w:rsid w:val="00F85FFB"/>
    <w:rsid w:val="00F8605E"/>
    <w:rsid w:val="00F86460"/>
    <w:rsid w:val="00F86739"/>
    <w:rsid w:val="00F867E0"/>
    <w:rsid w:val="00F875F5"/>
    <w:rsid w:val="00F909C5"/>
    <w:rsid w:val="00F90B76"/>
    <w:rsid w:val="00F90BE3"/>
    <w:rsid w:val="00F9105D"/>
    <w:rsid w:val="00F91695"/>
    <w:rsid w:val="00F9206D"/>
    <w:rsid w:val="00F9232E"/>
    <w:rsid w:val="00F93252"/>
    <w:rsid w:val="00F93E19"/>
    <w:rsid w:val="00F94808"/>
    <w:rsid w:val="00F94F34"/>
    <w:rsid w:val="00F9618F"/>
    <w:rsid w:val="00F969C4"/>
    <w:rsid w:val="00F96EDB"/>
    <w:rsid w:val="00F97221"/>
    <w:rsid w:val="00F97817"/>
    <w:rsid w:val="00FA109A"/>
    <w:rsid w:val="00FA1EB5"/>
    <w:rsid w:val="00FA228F"/>
    <w:rsid w:val="00FA286C"/>
    <w:rsid w:val="00FA2DAF"/>
    <w:rsid w:val="00FA31F1"/>
    <w:rsid w:val="00FA3AA1"/>
    <w:rsid w:val="00FA51DB"/>
    <w:rsid w:val="00FA60C0"/>
    <w:rsid w:val="00FA628C"/>
    <w:rsid w:val="00FA73CB"/>
    <w:rsid w:val="00FB0A90"/>
    <w:rsid w:val="00FB1318"/>
    <w:rsid w:val="00FB18C5"/>
    <w:rsid w:val="00FB2295"/>
    <w:rsid w:val="00FB2300"/>
    <w:rsid w:val="00FB2D9A"/>
    <w:rsid w:val="00FB32C5"/>
    <w:rsid w:val="00FB3638"/>
    <w:rsid w:val="00FB3FEB"/>
    <w:rsid w:val="00FB413F"/>
    <w:rsid w:val="00FB54D5"/>
    <w:rsid w:val="00FB5EA0"/>
    <w:rsid w:val="00FB615C"/>
    <w:rsid w:val="00FB62ED"/>
    <w:rsid w:val="00FB67A9"/>
    <w:rsid w:val="00FB6D4E"/>
    <w:rsid w:val="00FC0550"/>
    <w:rsid w:val="00FC0CEE"/>
    <w:rsid w:val="00FC1F55"/>
    <w:rsid w:val="00FC3263"/>
    <w:rsid w:val="00FC3C59"/>
    <w:rsid w:val="00FC3CDE"/>
    <w:rsid w:val="00FC4AF1"/>
    <w:rsid w:val="00FC5CE7"/>
    <w:rsid w:val="00FC67FD"/>
    <w:rsid w:val="00FC6A8E"/>
    <w:rsid w:val="00FC7A79"/>
    <w:rsid w:val="00FD043B"/>
    <w:rsid w:val="00FD0B2C"/>
    <w:rsid w:val="00FD27FB"/>
    <w:rsid w:val="00FD2BC0"/>
    <w:rsid w:val="00FD2E67"/>
    <w:rsid w:val="00FD3E51"/>
    <w:rsid w:val="00FD4352"/>
    <w:rsid w:val="00FD6C32"/>
    <w:rsid w:val="00FE01FD"/>
    <w:rsid w:val="00FE0E14"/>
    <w:rsid w:val="00FE2F3B"/>
    <w:rsid w:val="00FE3156"/>
    <w:rsid w:val="00FE3F49"/>
    <w:rsid w:val="00FE5403"/>
    <w:rsid w:val="00FE5458"/>
    <w:rsid w:val="00FE5874"/>
    <w:rsid w:val="00FE5CA9"/>
    <w:rsid w:val="00FE62A6"/>
    <w:rsid w:val="00FE7544"/>
    <w:rsid w:val="00FE78FA"/>
    <w:rsid w:val="00FE79B2"/>
    <w:rsid w:val="00FE7BBC"/>
    <w:rsid w:val="00FF0583"/>
    <w:rsid w:val="00FF0915"/>
    <w:rsid w:val="00FF127B"/>
    <w:rsid w:val="00FF25E4"/>
    <w:rsid w:val="00FF2722"/>
    <w:rsid w:val="00FF290D"/>
    <w:rsid w:val="00FF335E"/>
    <w:rsid w:val="00FF37E8"/>
    <w:rsid w:val="00FF4E08"/>
    <w:rsid w:val="00FF589C"/>
    <w:rsid w:val="00FF5CCE"/>
    <w:rsid w:val="00FF605D"/>
    <w:rsid w:val="00FF64D6"/>
    <w:rsid w:val="00FF75EE"/>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4:docId w14:val="6DAB14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873E91"/>
    <w:pPr>
      <w:keepNext/>
      <w:spacing w:before="240" w:after="60"/>
      <w:outlineLvl w:val="0"/>
    </w:pPr>
    <w:rPr>
      <w:rFonts w:ascii="Arial" w:hAnsi="Arial" w:cs="Arial"/>
      <w:b/>
      <w:bCs/>
      <w:kern w:val="32"/>
      <w:sz w:val="32"/>
      <w:szCs w:val="32"/>
    </w:rPr>
  </w:style>
  <w:style w:type="paragraph" w:styleId="Heading2">
    <w:name w:val="heading 2"/>
    <w:aliases w:val="Heading 2 Char Char Char"/>
    <w:basedOn w:val="Normal"/>
    <w:next w:val="Normal"/>
    <w:link w:val="Heading2Char1"/>
    <w:uiPriority w:val="9"/>
    <w:qFormat/>
    <w:rsid w:val="004C4D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3391A"/>
    <w:pPr>
      <w:keepNext/>
      <w:widowControl/>
      <w:tabs>
        <w:tab w:val="num" w:pos="1080"/>
      </w:tabs>
      <w:autoSpaceDE/>
      <w:autoSpaceDN/>
      <w:adjustRightInd/>
      <w:ind w:left="1080" w:hanging="720"/>
      <w:outlineLvl w:val="2"/>
    </w:pPr>
    <w:rPr>
      <w:b/>
      <w:bCs/>
      <w:sz w:val="20"/>
      <w:szCs w:val="20"/>
    </w:rPr>
  </w:style>
  <w:style w:type="paragraph" w:styleId="Heading4">
    <w:name w:val="heading 4"/>
    <w:basedOn w:val="Normal"/>
    <w:next w:val="Normal"/>
    <w:link w:val="Heading4Char"/>
    <w:uiPriority w:val="9"/>
    <w:qFormat/>
    <w:rsid w:val="0053391A"/>
    <w:pPr>
      <w:keepNext/>
      <w:widowControl/>
      <w:tabs>
        <w:tab w:val="num" w:pos="1224"/>
      </w:tabs>
      <w:autoSpaceDE/>
      <w:autoSpaceDN/>
      <w:adjustRightInd/>
      <w:ind w:left="1224" w:hanging="864"/>
      <w:outlineLvl w:val="3"/>
    </w:pPr>
    <w:rPr>
      <w:b/>
      <w:sz w:val="22"/>
      <w:szCs w:val="22"/>
    </w:rPr>
  </w:style>
  <w:style w:type="paragraph" w:styleId="Heading5">
    <w:name w:val="heading 5"/>
    <w:basedOn w:val="Normal"/>
    <w:next w:val="Normal"/>
    <w:link w:val="Heading5Char"/>
    <w:uiPriority w:val="9"/>
    <w:qFormat/>
    <w:rsid w:val="0053391A"/>
    <w:pPr>
      <w:keepNext/>
      <w:widowControl/>
      <w:tabs>
        <w:tab w:val="num" w:pos="1368"/>
      </w:tabs>
      <w:autoSpaceDE/>
      <w:autoSpaceDN/>
      <w:adjustRightInd/>
      <w:ind w:left="1368" w:hanging="1008"/>
      <w:jc w:val="both"/>
      <w:outlineLvl w:val="4"/>
    </w:pPr>
    <w:rPr>
      <w:sz w:val="22"/>
      <w:u w:val="single"/>
    </w:rPr>
  </w:style>
  <w:style w:type="paragraph" w:styleId="Heading6">
    <w:name w:val="heading 6"/>
    <w:basedOn w:val="Normal"/>
    <w:next w:val="Normal"/>
    <w:link w:val="Heading6Char"/>
    <w:uiPriority w:val="9"/>
    <w:qFormat/>
    <w:rsid w:val="0053391A"/>
    <w:pPr>
      <w:keepNext/>
      <w:widowControl/>
      <w:tabs>
        <w:tab w:val="num" w:pos="1512"/>
      </w:tabs>
      <w:autoSpaceDE/>
      <w:autoSpaceDN/>
      <w:adjustRightInd/>
      <w:ind w:left="1512" w:hanging="1152"/>
      <w:outlineLvl w:val="5"/>
    </w:pPr>
    <w:rPr>
      <w:b/>
      <w:bCs/>
      <w:smallCaps/>
    </w:rPr>
  </w:style>
  <w:style w:type="paragraph" w:styleId="Heading7">
    <w:name w:val="heading 7"/>
    <w:basedOn w:val="Normal"/>
    <w:next w:val="Normal"/>
    <w:link w:val="Heading7Char"/>
    <w:uiPriority w:val="9"/>
    <w:qFormat/>
    <w:rsid w:val="0053391A"/>
    <w:pPr>
      <w:keepNext/>
      <w:widowControl/>
      <w:tabs>
        <w:tab w:val="num" w:pos="1656"/>
      </w:tabs>
      <w:autoSpaceDE/>
      <w:autoSpaceDN/>
      <w:adjustRightInd/>
      <w:ind w:left="1656" w:hanging="1296"/>
      <w:outlineLvl w:val="6"/>
    </w:pPr>
    <w:rPr>
      <w:b/>
      <w:bCs/>
      <w:color w:val="FF0000"/>
      <w:sz w:val="22"/>
    </w:rPr>
  </w:style>
  <w:style w:type="paragraph" w:styleId="Heading8">
    <w:name w:val="heading 8"/>
    <w:basedOn w:val="Normal"/>
    <w:next w:val="Normal"/>
    <w:link w:val="Heading8Char"/>
    <w:uiPriority w:val="9"/>
    <w:qFormat/>
    <w:rsid w:val="0053391A"/>
    <w:pPr>
      <w:keepNext/>
      <w:widowControl/>
      <w:tabs>
        <w:tab w:val="num" w:pos="1800"/>
      </w:tabs>
      <w:autoSpaceDE/>
      <w:autoSpaceDN/>
      <w:adjustRightInd/>
      <w:ind w:left="1800" w:hanging="1440"/>
      <w:jc w:val="both"/>
      <w:outlineLvl w:val="7"/>
    </w:pPr>
    <w:rPr>
      <w:b/>
      <w:bCs/>
      <w:sz w:val="22"/>
    </w:rPr>
  </w:style>
  <w:style w:type="paragraph" w:styleId="Heading9">
    <w:name w:val="heading 9"/>
    <w:basedOn w:val="Normal"/>
    <w:next w:val="Normal"/>
    <w:link w:val="Heading9Char"/>
    <w:uiPriority w:val="9"/>
    <w:qFormat/>
    <w:rsid w:val="0053391A"/>
    <w:pPr>
      <w:keepNext/>
      <w:framePr w:w="7141" w:h="1081" w:hSpace="180" w:wrap="around" w:vAnchor="text" w:hAnchor="page" w:x="3661" w:y="-179"/>
      <w:widowControl/>
      <w:tabs>
        <w:tab w:val="num" w:pos="1944"/>
      </w:tabs>
      <w:ind w:left="1944" w:hanging="1584"/>
      <w:outlineLvl w:val="8"/>
    </w:pPr>
    <w:rPr>
      <w:b/>
      <w:bCs/>
      <w:caps/>
      <w:color w:val="000000"/>
      <w:sz w:val="28"/>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0F1"/>
    <w:rPr>
      <w:rFonts w:ascii="Arial" w:hAnsi="Arial" w:cs="Arial"/>
      <w:b/>
      <w:bCs/>
      <w:kern w:val="32"/>
      <w:sz w:val="32"/>
      <w:szCs w:val="32"/>
      <w:lang w:val="en-US" w:eastAsia="en-US" w:bidi="ar-SA"/>
    </w:rPr>
  </w:style>
  <w:style w:type="character" w:customStyle="1" w:styleId="Heading2Char1">
    <w:name w:val="Heading 2 Char1"/>
    <w:aliases w:val="Heading 2 Char Char Char Char"/>
    <w:basedOn w:val="DefaultParagraphFont"/>
    <w:link w:val="Heading2"/>
    <w:uiPriority w:val="9"/>
    <w:rsid w:val="00885487"/>
    <w:rPr>
      <w:rFonts w:ascii="Arial" w:hAnsi="Arial" w:cs="Arial"/>
      <w:b/>
      <w:bCs/>
      <w:i/>
      <w:iCs/>
      <w:sz w:val="28"/>
      <w:szCs w:val="28"/>
      <w:lang w:val="en-US" w:eastAsia="en-US" w:bidi="ar-SA"/>
    </w:rPr>
  </w:style>
  <w:style w:type="character" w:styleId="FootnoteReference">
    <w:name w:val="footnote reference"/>
    <w:aliases w:val="16 Point,Superscript 6 Point,Superscript 6 Point + 11 pt,ftref, BVI fnr,BVI fnr, BVI fnr Car Car,BVI fnr Car, BVI fnr Car Car Car Car,Footnote text,BVI fnr Car Car,BVI fnr Car Car Car Car,Footnotes refss"/>
    <w:uiPriority w:val="99"/>
  </w:style>
  <w:style w:type="paragraph" w:styleId="TOC1">
    <w:name w:val="toc 1"/>
    <w:basedOn w:val="Normal"/>
    <w:next w:val="Normal"/>
    <w:autoRedefine/>
    <w:uiPriority w:val="39"/>
    <w:rsid w:val="00FD6184"/>
    <w:rPr>
      <w:bCs/>
      <w:caps/>
      <w:sz w:val="20"/>
      <w:szCs w:val="20"/>
    </w:rPr>
  </w:style>
  <w:style w:type="paragraph" w:styleId="TOC2">
    <w:name w:val="toc 2"/>
    <w:basedOn w:val="Normal"/>
    <w:next w:val="Normal"/>
    <w:autoRedefine/>
    <w:uiPriority w:val="39"/>
    <w:rsid w:val="00635A68"/>
    <w:pPr>
      <w:ind w:left="567"/>
    </w:pPr>
    <w:rPr>
      <w:smallCaps/>
      <w:sz w:val="20"/>
      <w:szCs w:val="20"/>
    </w:rPr>
  </w:style>
  <w:style w:type="paragraph" w:customStyle="1" w:styleId="Quick">
    <w:name w:val="Quick _"/>
    <w:basedOn w:val="Normal"/>
    <w:pPr>
      <w:ind w:left="720" w:hanging="720"/>
    </w:pPr>
  </w:style>
  <w:style w:type="character" w:styleId="Hyperlink">
    <w:name w:val="Hyperlink"/>
    <w:basedOn w:val="DefaultParagraphFont"/>
    <w:uiPriority w:val="99"/>
    <w:rsid w:val="005A0F30"/>
    <w:rPr>
      <w:color w:val="0000FF"/>
      <w:u w:val="single"/>
    </w:rPr>
  </w:style>
  <w:style w:type="paragraph" w:styleId="Header">
    <w:name w:val="header"/>
    <w:aliases w:val="EthylHeader"/>
    <w:basedOn w:val="Normal"/>
    <w:link w:val="HeaderChar"/>
    <w:uiPriority w:val="99"/>
    <w:rsid w:val="001A38ED"/>
    <w:pPr>
      <w:tabs>
        <w:tab w:val="center" w:pos="4320"/>
        <w:tab w:val="right" w:pos="8640"/>
      </w:tabs>
    </w:pPr>
  </w:style>
  <w:style w:type="paragraph" w:styleId="Footer">
    <w:name w:val="footer"/>
    <w:basedOn w:val="Normal"/>
    <w:link w:val="FooterChar"/>
    <w:uiPriority w:val="99"/>
    <w:rsid w:val="001A38ED"/>
    <w:pPr>
      <w:tabs>
        <w:tab w:val="center" w:pos="4320"/>
        <w:tab w:val="right" w:pos="8640"/>
      </w:tabs>
    </w:pPr>
  </w:style>
  <w:style w:type="paragraph" w:styleId="TOC3">
    <w:name w:val="toc 3"/>
    <w:basedOn w:val="Normal"/>
    <w:next w:val="Normal"/>
    <w:autoRedefine/>
    <w:uiPriority w:val="39"/>
    <w:rsid w:val="00410486"/>
    <w:pPr>
      <w:tabs>
        <w:tab w:val="left" w:pos="1874"/>
        <w:tab w:val="right" w:leader="dot" w:pos="9629"/>
      </w:tabs>
      <w:ind w:left="1134"/>
    </w:pPr>
    <w:rPr>
      <w:i/>
      <w:iCs/>
      <w:noProof/>
      <w:sz w:val="20"/>
      <w:szCs w:val="20"/>
    </w:rPr>
  </w:style>
  <w:style w:type="paragraph" w:styleId="TOC4">
    <w:name w:val="toc 4"/>
    <w:basedOn w:val="Normal"/>
    <w:next w:val="Normal"/>
    <w:autoRedefine/>
    <w:semiHidden/>
    <w:rsid w:val="002F57CE"/>
    <w:pPr>
      <w:ind w:left="720"/>
    </w:pPr>
    <w:rPr>
      <w:sz w:val="18"/>
      <w:szCs w:val="18"/>
    </w:rPr>
  </w:style>
  <w:style w:type="paragraph" w:styleId="TOC5">
    <w:name w:val="toc 5"/>
    <w:basedOn w:val="Normal"/>
    <w:next w:val="Normal"/>
    <w:autoRedefine/>
    <w:semiHidden/>
    <w:rsid w:val="002F57CE"/>
    <w:pPr>
      <w:ind w:left="960"/>
    </w:pPr>
    <w:rPr>
      <w:sz w:val="18"/>
      <w:szCs w:val="18"/>
    </w:rPr>
  </w:style>
  <w:style w:type="paragraph" w:styleId="TOC6">
    <w:name w:val="toc 6"/>
    <w:basedOn w:val="Normal"/>
    <w:next w:val="Normal"/>
    <w:autoRedefine/>
    <w:semiHidden/>
    <w:rsid w:val="002F57CE"/>
    <w:pPr>
      <w:ind w:left="1200"/>
    </w:pPr>
    <w:rPr>
      <w:sz w:val="18"/>
      <w:szCs w:val="18"/>
    </w:rPr>
  </w:style>
  <w:style w:type="paragraph" w:styleId="TOC7">
    <w:name w:val="toc 7"/>
    <w:basedOn w:val="Normal"/>
    <w:next w:val="Normal"/>
    <w:autoRedefine/>
    <w:semiHidden/>
    <w:rsid w:val="002F57CE"/>
    <w:pPr>
      <w:ind w:left="1440"/>
    </w:pPr>
    <w:rPr>
      <w:sz w:val="18"/>
      <w:szCs w:val="18"/>
    </w:rPr>
  </w:style>
  <w:style w:type="paragraph" w:styleId="TOC8">
    <w:name w:val="toc 8"/>
    <w:basedOn w:val="Normal"/>
    <w:next w:val="Normal"/>
    <w:autoRedefine/>
    <w:semiHidden/>
    <w:rsid w:val="002F57CE"/>
    <w:pPr>
      <w:ind w:left="1680"/>
    </w:pPr>
    <w:rPr>
      <w:sz w:val="18"/>
      <w:szCs w:val="18"/>
    </w:rPr>
  </w:style>
  <w:style w:type="paragraph" w:styleId="TOC9">
    <w:name w:val="toc 9"/>
    <w:basedOn w:val="Normal"/>
    <w:next w:val="Normal"/>
    <w:autoRedefine/>
    <w:semiHidden/>
    <w:rsid w:val="002F57CE"/>
    <w:pPr>
      <w:ind w:left="1920"/>
    </w:pPr>
    <w:rPr>
      <w:sz w:val="18"/>
      <w:szCs w:val="18"/>
    </w:rPr>
  </w:style>
  <w:style w:type="table" w:styleId="TableGrid">
    <w:name w:val="Table Grid"/>
    <w:basedOn w:val="TableNormal"/>
    <w:uiPriority w:val="59"/>
    <w:rsid w:val="004C4D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ft"/>
    <w:basedOn w:val="Normal"/>
    <w:link w:val="FootnoteTextChar"/>
    <w:rsid w:val="00026F8E"/>
    <w:pPr>
      <w:widowControl/>
      <w:autoSpaceDE/>
      <w:autoSpaceDN/>
      <w:adjustRightInd/>
      <w:jc w:val="both"/>
    </w:pPr>
    <w:rPr>
      <w:sz w:val="18"/>
      <w:szCs w:val="20"/>
    </w:rPr>
  </w:style>
  <w:style w:type="paragraph" w:customStyle="1" w:styleId="BankNormal">
    <w:name w:val="BankNormal"/>
    <w:basedOn w:val="Normal"/>
    <w:rsid w:val="0053391A"/>
    <w:pPr>
      <w:widowControl/>
      <w:autoSpaceDE/>
      <w:autoSpaceDN/>
      <w:adjustRightInd/>
      <w:spacing w:after="240"/>
      <w:jc w:val="both"/>
    </w:pPr>
    <w:rPr>
      <w:sz w:val="22"/>
      <w:szCs w:val="20"/>
      <w:lang w:val="en-GB"/>
    </w:rPr>
  </w:style>
  <w:style w:type="character" w:styleId="FollowedHyperlink">
    <w:name w:val="FollowedHyperlink"/>
    <w:basedOn w:val="DefaultParagraphFont"/>
    <w:uiPriority w:val="99"/>
    <w:rsid w:val="008140E4"/>
    <w:rPr>
      <w:color w:val="800080"/>
      <w:u w:val="single"/>
    </w:rPr>
  </w:style>
  <w:style w:type="paragraph" w:styleId="BodyText">
    <w:name w:val="Body Text"/>
    <w:basedOn w:val="Normal"/>
    <w:link w:val="BodyTextChar"/>
    <w:qFormat/>
    <w:rsid w:val="00672660"/>
    <w:pPr>
      <w:widowControl/>
      <w:overflowPunct w:val="0"/>
      <w:jc w:val="both"/>
      <w:textAlignment w:val="baseline"/>
    </w:pPr>
    <w:rPr>
      <w:rFonts w:ascii="Garamond" w:hAnsi="Garamond"/>
      <w:sz w:val="22"/>
      <w:szCs w:val="20"/>
      <w:lang w:val="fr-CA"/>
    </w:rPr>
  </w:style>
  <w:style w:type="paragraph" w:customStyle="1" w:styleId="a">
    <w:name w:val="_"/>
    <w:basedOn w:val="Normal"/>
    <w:rsid w:val="00142B5F"/>
    <w:pPr>
      <w:ind w:left="2268" w:hanging="567"/>
    </w:pPr>
  </w:style>
  <w:style w:type="paragraph" w:customStyle="1" w:styleId="CharCharCharChar">
    <w:name w:val="Char Char Char Char"/>
    <w:basedOn w:val="Normal"/>
    <w:rsid w:val="00613FDD"/>
    <w:pPr>
      <w:widowControl/>
      <w:autoSpaceDE/>
      <w:autoSpaceDN/>
      <w:adjustRightInd/>
      <w:spacing w:after="160" w:line="240" w:lineRule="exact"/>
    </w:pPr>
    <w:rPr>
      <w:rFonts w:ascii="Verdana" w:hAnsi="Verdana"/>
      <w:sz w:val="20"/>
      <w:szCs w:val="20"/>
    </w:rPr>
  </w:style>
  <w:style w:type="paragraph" w:customStyle="1" w:styleId="Puce">
    <w:name w:val="Puce"/>
    <w:basedOn w:val="Normal"/>
    <w:rsid w:val="00613FDD"/>
    <w:pPr>
      <w:widowControl/>
      <w:numPr>
        <w:numId w:val="2"/>
      </w:numPr>
      <w:autoSpaceDE/>
      <w:autoSpaceDN/>
      <w:adjustRightInd/>
    </w:pPr>
  </w:style>
  <w:style w:type="paragraph" w:customStyle="1" w:styleId="Titlepageaddress">
    <w:name w:val="Title page address"/>
    <w:basedOn w:val="Normal"/>
    <w:rsid w:val="006B4EF5"/>
    <w:pPr>
      <w:widowControl/>
      <w:tabs>
        <w:tab w:val="left" w:pos="567"/>
        <w:tab w:val="left" w:pos="851"/>
        <w:tab w:val="left" w:pos="1134"/>
        <w:tab w:val="left" w:pos="1418"/>
        <w:tab w:val="left" w:pos="1701"/>
      </w:tabs>
      <w:autoSpaceDE/>
      <w:autoSpaceDN/>
      <w:adjustRightInd/>
      <w:jc w:val="both"/>
    </w:pPr>
    <w:rPr>
      <w:rFonts w:ascii="Arial" w:hAnsi="Arial" w:cs="Arial"/>
      <w:sz w:val="16"/>
      <w:lang w:val="en-CA" w:eastAsia="fr-CA"/>
    </w:rPr>
  </w:style>
  <w:style w:type="paragraph" w:customStyle="1" w:styleId="Titlepage1">
    <w:name w:val="Title page 1"/>
    <w:basedOn w:val="Normal"/>
    <w:rsid w:val="006B4EF5"/>
    <w:pPr>
      <w:widowControl/>
      <w:tabs>
        <w:tab w:val="left" w:pos="567"/>
        <w:tab w:val="left" w:pos="851"/>
        <w:tab w:val="left" w:pos="1134"/>
        <w:tab w:val="left" w:pos="1418"/>
        <w:tab w:val="left" w:pos="1701"/>
      </w:tabs>
      <w:autoSpaceDE/>
      <w:autoSpaceDN/>
      <w:adjustRightInd/>
      <w:jc w:val="center"/>
    </w:pPr>
    <w:rPr>
      <w:rFonts w:ascii="Arial" w:hAnsi="Arial"/>
      <w:b/>
      <w:lang w:val="en-CA" w:eastAsia="fr-CA"/>
    </w:rPr>
  </w:style>
  <w:style w:type="paragraph" w:customStyle="1" w:styleId="Titlepage2">
    <w:name w:val="Title page 2"/>
    <w:basedOn w:val="Normal"/>
    <w:rsid w:val="006B4EF5"/>
    <w:pPr>
      <w:widowControl/>
      <w:tabs>
        <w:tab w:val="left" w:pos="567"/>
        <w:tab w:val="left" w:pos="851"/>
        <w:tab w:val="left" w:pos="1134"/>
        <w:tab w:val="left" w:pos="1418"/>
        <w:tab w:val="left" w:pos="1701"/>
      </w:tabs>
      <w:autoSpaceDE/>
      <w:autoSpaceDN/>
      <w:adjustRightInd/>
      <w:jc w:val="center"/>
    </w:pPr>
    <w:rPr>
      <w:rFonts w:ascii="Arial" w:hAnsi="Arial"/>
      <w:lang w:val="en-CA" w:eastAsia="fr-CA"/>
    </w:rPr>
  </w:style>
  <w:style w:type="paragraph" w:customStyle="1" w:styleId="Titlepage3">
    <w:name w:val="Title page 3"/>
    <w:basedOn w:val="Normal"/>
    <w:rsid w:val="006B4EF5"/>
    <w:pPr>
      <w:widowControl/>
      <w:tabs>
        <w:tab w:val="left" w:pos="567"/>
        <w:tab w:val="left" w:pos="851"/>
        <w:tab w:val="left" w:pos="1134"/>
        <w:tab w:val="left" w:pos="1418"/>
        <w:tab w:val="left" w:pos="1701"/>
      </w:tabs>
      <w:autoSpaceDE/>
      <w:autoSpaceDN/>
      <w:adjustRightInd/>
      <w:jc w:val="center"/>
    </w:pPr>
    <w:rPr>
      <w:rFonts w:ascii="Garamond" w:hAnsi="Garamond"/>
      <w:lang w:val="en-CA" w:eastAsia="fr-CA"/>
    </w:rPr>
  </w:style>
  <w:style w:type="paragraph" w:customStyle="1" w:styleId="Tableau-">
    <w:name w:val="Tableau - •"/>
    <w:basedOn w:val="Normal"/>
    <w:rsid w:val="002D6BE3"/>
    <w:pPr>
      <w:widowControl/>
      <w:tabs>
        <w:tab w:val="left" w:pos="108"/>
      </w:tabs>
      <w:overflowPunct w:val="0"/>
      <w:spacing w:before="60" w:after="60" w:line="180" w:lineRule="exact"/>
      <w:ind w:left="187" w:right="72" w:hanging="115"/>
      <w:textAlignment w:val="baseline"/>
    </w:pPr>
    <w:rPr>
      <w:sz w:val="18"/>
      <w:szCs w:val="20"/>
      <w:lang w:val="fr-FR"/>
    </w:rPr>
  </w:style>
  <w:style w:type="paragraph" w:customStyle="1" w:styleId="Tableau-Texte">
    <w:name w:val="Tableau - Texte"/>
    <w:basedOn w:val="Normal"/>
    <w:rsid w:val="002D6BE3"/>
    <w:pPr>
      <w:widowControl/>
      <w:overflowPunct w:val="0"/>
      <w:spacing w:before="60" w:after="60" w:line="180" w:lineRule="exact"/>
      <w:ind w:left="72" w:right="72"/>
      <w:textAlignment w:val="baseline"/>
    </w:pPr>
    <w:rPr>
      <w:sz w:val="18"/>
      <w:szCs w:val="20"/>
      <w:lang w:val="fr-FR"/>
    </w:rPr>
  </w:style>
  <w:style w:type="paragraph" w:customStyle="1" w:styleId="Acronyms">
    <w:name w:val="Acronyms"/>
    <w:basedOn w:val="Normal"/>
    <w:rsid w:val="00FF0593"/>
    <w:pPr>
      <w:widowControl/>
      <w:tabs>
        <w:tab w:val="left" w:pos="1701"/>
      </w:tabs>
      <w:autoSpaceDE/>
      <w:autoSpaceDN/>
      <w:adjustRightInd/>
      <w:ind w:left="1701" w:hanging="1701"/>
      <w:jc w:val="both"/>
    </w:pPr>
    <w:rPr>
      <w:rFonts w:ascii="Garamond" w:hAnsi="Garamond"/>
      <w:sz w:val="22"/>
      <w:lang w:val="en-CA" w:eastAsia="fr-CA"/>
    </w:rPr>
  </w:style>
  <w:style w:type="paragraph" w:customStyle="1" w:styleId="Table10">
    <w:name w:val="Table 10"/>
    <w:basedOn w:val="Normal"/>
    <w:rsid w:val="00FF0593"/>
    <w:pPr>
      <w:widowControl/>
      <w:tabs>
        <w:tab w:val="left" w:pos="567"/>
        <w:tab w:val="left" w:pos="851"/>
        <w:tab w:val="left" w:pos="1134"/>
        <w:tab w:val="left" w:pos="1418"/>
        <w:tab w:val="left" w:pos="1701"/>
      </w:tabs>
      <w:autoSpaceDE/>
      <w:autoSpaceDN/>
      <w:adjustRightInd/>
      <w:jc w:val="both"/>
    </w:pPr>
    <w:rPr>
      <w:rFonts w:ascii="Arial" w:hAnsi="Arial"/>
      <w:sz w:val="20"/>
      <w:lang w:val="en-CA" w:eastAsia="fr-CA"/>
    </w:rPr>
  </w:style>
  <w:style w:type="paragraph" w:customStyle="1" w:styleId="Table75">
    <w:name w:val="Table 7.5"/>
    <w:basedOn w:val="Normal"/>
    <w:rsid w:val="00D64D5D"/>
    <w:pPr>
      <w:widowControl/>
      <w:tabs>
        <w:tab w:val="left" w:pos="567"/>
        <w:tab w:val="left" w:pos="851"/>
        <w:tab w:val="left" w:pos="1134"/>
        <w:tab w:val="left" w:pos="1418"/>
        <w:tab w:val="left" w:pos="1701"/>
      </w:tabs>
      <w:autoSpaceDE/>
      <w:autoSpaceDN/>
      <w:adjustRightInd/>
    </w:pPr>
    <w:rPr>
      <w:rFonts w:ascii="Arial" w:hAnsi="Arial"/>
      <w:sz w:val="15"/>
      <w:lang w:val="en-CA" w:eastAsia="fr-CA"/>
    </w:rPr>
  </w:style>
  <w:style w:type="paragraph" w:customStyle="1" w:styleId="Listepuces75">
    <w:name w:val="Liste à puces 7.5"/>
    <w:basedOn w:val="Table75"/>
    <w:rsid w:val="00D64D5D"/>
    <w:pPr>
      <w:numPr>
        <w:numId w:val="3"/>
      </w:numPr>
    </w:pPr>
  </w:style>
  <w:style w:type="paragraph" w:styleId="Title">
    <w:name w:val="Title"/>
    <w:basedOn w:val="Normal"/>
    <w:link w:val="TitleChar"/>
    <w:uiPriority w:val="10"/>
    <w:qFormat/>
    <w:rsid w:val="001C0A7F"/>
    <w:pPr>
      <w:widowControl/>
      <w:autoSpaceDE/>
      <w:autoSpaceDN/>
      <w:adjustRightInd/>
      <w:jc w:val="center"/>
    </w:pPr>
    <w:rPr>
      <w:b/>
      <w:bCs/>
      <w:lang w:val="lv-LV"/>
    </w:rPr>
  </w:style>
  <w:style w:type="paragraph" w:styleId="Subtitle">
    <w:name w:val="Subtitle"/>
    <w:basedOn w:val="Normal"/>
    <w:link w:val="SubtitleChar"/>
    <w:uiPriority w:val="11"/>
    <w:qFormat/>
    <w:rsid w:val="001C0A7F"/>
    <w:pPr>
      <w:widowControl/>
      <w:autoSpaceDE/>
      <w:autoSpaceDN/>
      <w:adjustRightInd/>
      <w:jc w:val="center"/>
    </w:pPr>
    <w:rPr>
      <w:i/>
      <w:iCs/>
      <w:lang w:val="lv-LV"/>
    </w:rPr>
  </w:style>
  <w:style w:type="paragraph" w:customStyle="1" w:styleId="StyleBulletBold">
    <w:name w:val="Style Bullet + Bold"/>
    <w:basedOn w:val="Normal"/>
    <w:rsid w:val="001C0A7F"/>
    <w:pPr>
      <w:widowControl/>
      <w:numPr>
        <w:numId w:val="4"/>
      </w:numPr>
      <w:autoSpaceDE/>
      <w:autoSpaceDN/>
      <w:adjustRightInd/>
    </w:pPr>
  </w:style>
  <w:style w:type="character" w:styleId="PageNumber">
    <w:name w:val="page number"/>
    <w:basedOn w:val="DefaultParagraphFont"/>
    <w:uiPriority w:val="99"/>
    <w:rsid w:val="001C0A7F"/>
  </w:style>
  <w:style w:type="paragraph" w:customStyle="1" w:styleId="Default">
    <w:name w:val="Default"/>
    <w:rsid w:val="001C0A7F"/>
    <w:pPr>
      <w:autoSpaceDE w:val="0"/>
      <w:autoSpaceDN w:val="0"/>
      <w:adjustRightInd w:val="0"/>
    </w:pPr>
    <w:rPr>
      <w:rFonts w:ascii="Arial" w:eastAsia="MS Mincho" w:hAnsi="Arial" w:cs="Myriad Pro"/>
      <w:color w:val="000000"/>
      <w:sz w:val="24"/>
      <w:szCs w:val="24"/>
      <w:lang w:eastAsia="ja-JP"/>
    </w:rPr>
  </w:style>
  <w:style w:type="paragraph" w:customStyle="1" w:styleId="BodyText23">
    <w:name w:val="Body Text 23"/>
    <w:basedOn w:val="Normal"/>
    <w:rsid w:val="00EB1F2D"/>
    <w:pPr>
      <w:tabs>
        <w:tab w:val="left" w:pos="547"/>
      </w:tabs>
      <w:autoSpaceDE/>
      <w:autoSpaceDN/>
      <w:adjustRightInd/>
    </w:pPr>
    <w:rPr>
      <w:snapToGrid w:val="0"/>
      <w:sz w:val="22"/>
      <w:szCs w:val="20"/>
    </w:rPr>
  </w:style>
  <w:style w:type="paragraph" w:customStyle="1" w:styleId="Sub-section">
    <w:name w:val="Sub-section"/>
    <w:basedOn w:val="Normal"/>
    <w:rsid w:val="00573588"/>
    <w:pPr>
      <w:widowControl/>
      <w:tabs>
        <w:tab w:val="left" w:pos="567"/>
        <w:tab w:val="left" w:pos="851"/>
        <w:tab w:val="left" w:pos="1134"/>
        <w:tab w:val="left" w:pos="1418"/>
        <w:tab w:val="left" w:pos="1701"/>
      </w:tabs>
      <w:autoSpaceDE/>
      <w:autoSpaceDN/>
      <w:adjustRightInd/>
      <w:jc w:val="both"/>
    </w:pPr>
    <w:rPr>
      <w:rFonts w:ascii="Arial" w:hAnsi="Arial"/>
      <w:b/>
      <w:i/>
      <w:sz w:val="20"/>
      <w:lang w:val="en-CA" w:eastAsia="fr-CA"/>
    </w:rPr>
  </w:style>
  <w:style w:type="paragraph" w:styleId="BalloonText">
    <w:name w:val="Balloon Text"/>
    <w:basedOn w:val="Normal"/>
    <w:link w:val="BalloonTextChar"/>
    <w:uiPriority w:val="99"/>
    <w:semiHidden/>
    <w:rsid w:val="0011272B"/>
    <w:rPr>
      <w:rFonts w:ascii="Tahoma" w:hAnsi="Tahoma" w:cs="Tahoma"/>
      <w:sz w:val="16"/>
      <w:szCs w:val="16"/>
    </w:rPr>
  </w:style>
  <w:style w:type="paragraph" w:styleId="BodyText3">
    <w:name w:val="Body Text 3"/>
    <w:basedOn w:val="Normal"/>
    <w:link w:val="BodyText3Char"/>
    <w:uiPriority w:val="99"/>
    <w:rsid w:val="008945E8"/>
    <w:pPr>
      <w:widowControl/>
      <w:autoSpaceDE/>
      <w:autoSpaceDN/>
      <w:adjustRightInd/>
      <w:jc w:val="both"/>
    </w:pPr>
    <w:rPr>
      <w:szCs w:val="20"/>
    </w:rPr>
  </w:style>
  <w:style w:type="paragraph" w:styleId="BodyTextIndent3">
    <w:name w:val="Body Text Indent 3"/>
    <w:basedOn w:val="Normal"/>
    <w:rsid w:val="008945E8"/>
    <w:pPr>
      <w:widowControl/>
      <w:autoSpaceDE/>
      <w:autoSpaceDN/>
      <w:adjustRightInd/>
      <w:spacing w:after="120"/>
      <w:ind w:left="360"/>
    </w:pPr>
    <w:rPr>
      <w:sz w:val="16"/>
      <w:szCs w:val="16"/>
    </w:rPr>
  </w:style>
  <w:style w:type="paragraph" w:styleId="ListBullet2">
    <w:name w:val="List Bullet 2"/>
    <w:basedOn w:val="Normal"/>
    <w:autoRedefine/>
    <w:rsid w:val="00F83D63"/>
    <w:pPr>
      <w:widowControl/>
      <w:autoSpaceDE/>
      <w:autoSpaceDN/>
      <w:adjustRightInd/>
      <w:ind w:left="360"/>
    </w:pPr>
    <w:rPr>
      <w:bCs/>
      <w:sz w:val="22"/>
    </w:rPr>
  </w:style>
  <w:style w:type="character" w:customStyle="1" w:styleId="Heading2Char">
    <w:name w:val="Heading 2 Char"/>
    <w:basedOn w:val="DefaultParagraphFont"/>
    <w:uiPriority w:val="9"/>
    <w:rsid w:val="008945E8"/>
    <w:rPr>
      <w:rFonts w:ascii="Arial" w:hAnsi="Arial" w:cs="Arial"/>
      <w:b/>
      <w:bCs/>
      <w:i/>
      <w:iCs/>
      <w:sz w:val="28"/>
      <w:szCs w:val="28"/>
      <w:lang w:val="en-US" w:eastAsia="en-US" w:bidi="ar-SA"/>
    </w:rPr>
  </w:style>
  <w:style w:type="paragraph" w:styleId="Caption">
    <w:name w:val="caption"/>
    <w:basedOn w:val="Normal"/>
    <w:next w:val="Normal"/>
    <w:qFormat/>
    <w:rsid w:val="00E10FA3"/>
    <w:rPr>
      <w:b/>
      <w:bCs/>
      <w:sz w:val="20"/>
      <w:szCs w:val="20"/>
    </w:rPr>
  </w:style>
  <w:style w:type="paragraph" w:styleId="BodyText2">
    <w:name w:val="Body Text 2"/>
    <w:basedOn w:val="Normal"/>
    <w:link w:val="BodyText2Char"/>
    <w:uiPriority w:val="99"/>
    <w:rsid w:val="001D4A97"/>
    <w:pPr>
      <w:spacing w:after="120" w:line="480" w:lineRule="auto"/>
    </w:pPr>
  </w:style>
  <w:style w:type="paragraph" w:styleId="PlainText">
    <w:name w:val="Plain Text"/>
    <w:basedOn w:val="Normal"/>
    <w:rsid w:val="001D4A97"/>
    <w:pPr>
      <w:widowControl/>
      <w:autoSpaceDE/>
      <w:autoSpaceDN/>
      <w:adjustRightInd/>
    </w:pPr>
    <w:rPr>
      <w:rFonts w:ascii="Courier New" w:hAnsi="Courier New" w:cs="Tahoma"/>
      <w:sz w:val="20"/>
      <w:szCs w:val="20"/>
      <w:lang w:val="en-GB"/>
    </w:rPr>
  </w:style>
  <w:style w:type="paragraph" w:customStyle="1" w:styleId="Document1">
    <w:name w:val="Document 1"/>
    <w:rsid w:val="00B74D96"/>
    <w:pPr>
      <w:keepNext/>
      <w:keepLines/>
      <w:widowControl w:val="0"/>
      <w:tabs>
        <w:tab w:val="left" w:pos="-720"/>
      </w:tabs>
      <w:suppressAutoHyphens/>
    </w:pPr>
    <w:rPr>
      <w:rFonts w:ascii="Courier New" w:hAnsi="Courier New" w:cs="Tahoma"/>
      <w:snapToGrid w:val="0"/>
      <w:sz w:val="24"/>
      <w:szCs w:val="24"/>
    </w:rPr>
  </w:style>
  <w:style w:type="paragraph" w:styleId="DocumentMap">
    <w:name w:val="Document Map"/>
    <w:basedOn w:val="Normal"/>
    <w:link w:val="DocumentMapChar"/>
    <w:uiPriority w:val="99"/>
    <w:semiHidden/>
    <w:rsid w:val="00B74D96"/>
    <w:pPr>
      <w:widowControl/>
      <w:shd w:val="clear" w:color="auto" w:fill="000080"/>
      <w:autoSpaceDE/>
      <w:autoSpaceDN/>
      <w:adjustRightInd/>
    </w:pPr>
    <w:rPr>
      <w:rFonts w:ascii="Tahoma" w:hAnsi="Tahoma" w:cs="MS Gothic"/>
      <w:sz w:val="20"/>
      <w:szCs w:val="20"/>
      <w:lang w:val="en-GB"/>
    </w:rPr>
  </w:style>
  <w:style w:type="paragraph" w:styleId="BodyTextIndent2">
    <w:name w:val="Body Text Indent 2"/>
    <w:basedOn w:val="Normal"/>
    <w:rsid w:val="00B74D96"/>
    <w:pPr>
      <w:widowControl/>
      <w:autoSpaceDE/>
      <w:autoSpaceDN/>
      <w:adjustRightInd/>
      <w:ind w:left="270" w:hanging="270"/>
    </w:pPr>
    <w:rPr>
      <w:b/>
      <w:bCs/>
      <w:sz w:val="20"/>
      <w:szCs w:val="20"/>
    </w:rPr>
  </w:style>
  <w:style w:type="paragraph" w:styleId="List2">
    <w:name w:val="List 2"/>
    <w:basedOn w:val="Normal"/>
    <w:rsid w:val="00B74D96"/>
    <w:pPr>
      <w:widowControl/>
      <w:tabs>
        <w:tab w:val="num" w:pos="720"/>
      </w:tabs>
      <w:autoSpaceDE/>
      <w:autoSpaceDN/>
      <w:adjustRightInd/>
      <w:spacing w:before="60" w:after="120"/>
      <w:ind w:left="720" w:hanging="720"/>
    </w:pPr>
  </w:style>
  <w:style w:type="paragraph" w:styleId="CommentText">
    <w:name w:val="annotation text"/>
    <w:basedOn w:val="Normal"/>
    <w:link w:val="CommentTextChar"/>
    <w:rsid w:val="00B74D96"/>
    <w:pPr>
      <w:widowControl/>
      <w:autoSpaceDE/>
      <w:autoSpaceDN/>
      <w:adjustRightInd/>
    </w:pPr>
    <w:rPr>
      <w:sz w:val="20"/>
      <w:szCs w:val="20"/>
    </w:rPr>
  </w:style>
  <w:style w:type="paragraph" w:customStyle="1" w:styleId="1AutoList2">
    <w:name w:val="1AutoList2"/>
    <w:rsid w:val="00B74D96"/>
    <w:pPr>
      <w:widowControl w:val="0"/>
      <w:tabs>
        <w:tab w:val="left" w:pos="720"/>
      </w:tabs>
      <w:ind w:left="720" w:hanging="720"/>
      <w:jc w:val="both"/>
    </w:pPr>
    <w:rPr>
      <w:snapToGrid w:val="0"/>
      <w:sz w:val="24"/>
      <w:szCs w:val="24"/>
      <w:lang w:eastAsia="en-GB"/>
    </w:rPr>
  </w:style>
  <w:style w:type="paragraph" w:styleId="EndnoteText">
    <w:name w:val="endnote text"/>
    <w:basedOn w:val="Normal"/>
    <w:semiHidden/>
    <w:rsid w:val="00B74D96"/>
    <w:pPr>
      <w:autoSpaceDE/>
      <w:autoSpaceDN/>
      <w:adjustRightInd/>
    </w:pPr>
    <w:rPr>
      <w:lang w:val="en-GB"/>
    </w:rPr>
  </w:style>
  <w:style w:type="paragraph" w:styleId="CommentSubject">
    <w:name w:val="annotation subject"/>
    <w:basedOn w:val="CommentText"/>
    <w:next w:val="CommentText"/>
    <w:link w:val="CommentSubjectChar"/>
    <w:uiPriority w:val="99"/>
    <w:semiHidden/>
    <w:rsid w:val="00B74D96"/>
    <w:rPr>
      <w:b/>
      <w:bCs/>
      <w:lang w:val="en-GB"/>
    </w:rPr>
  </w:style>
  <w:style w:type="paragraph" w:styleId="NormalWeb">
    <w:name w:val="Normal (Web)"/>
    <w:aliases w:val=" webb"/>
    <w:basedOn w:val="Normal"/>
    <w:uiPriority w:val="99"/>
    <w:rsid w:val="00B74D96"/>
    <w:pPr>
      <w:widowControl/>
      <w:autoSpaceDE/>
      <w:autoSpaceDN/>
      <w:adjustRightInd/>
      <w:spacing w:before="100" w:beforeAutospacing="1" w:after="100" w:afterAutospacing="1" w:line="260" w:lineRule="atLeast"/>
    </w:pPr>
    <w:rPr>
      <w:rFonts w:ascii="Verdana" w:hAnsi="Verdana"/>
      <w:color w:val="000000"/>
      <w:sz w:val="20"/>
      <w:szCs w:val="20"/>
    </w:rPr>
  </w:style>
  <w:style w:type="paragraph" w:customStyle="1" w:styleId="titleguidered">
    <w:name w:val="titleguidered"/>
    <w:basedOn w:val="Normal"/>
    <w:rsid w:val="00B74D96"/>
    <w:pPr>
      <w:widowControl/>
      <w:autoSpaceDE/>
      <w:autoSpaceDN/>
      <w:adjustRightInd/>
      <w:spacing w:before="100" w:beforeAutospacing="1" w:after="100" w:afterAutospacing="1" w:line="260" w:lineRule="atLeast"/>
    </w:pPr>
    <w:rPr>
      <w:rFonts w:ascii="Verdana" w:hAnsi="Verdana"/>
      <w:b/>
      <w:bCs/>
      <w:color w:val="993333"/>
      <w:spacing w:val="20"/>
    </w:rPr>
  </w:style>
  <w:style w:type="character" w:styleId="Strong">
    <w:name w:val="Strong"/>
    <w:basedOn w:val="DefaultParagraphFont"/>
    <w:uiPriority w:val="22"/>
    <w:qFormat/>
    <w:rsid w:val="00B74D96"/>
    <w:rPr>
      <w:b/>
      <w:bCs/>
    </w:rPr>
  </w:style>
  <w:style w:type="numbering" w:styleId="111111">
    <w:name w:val="Outline List 2"/>
    <w:basedOn w:val="NoList"/>
    <w:rsid w:val="00385612"/>
    <w:pPr>
      <w:numPr>
        <w:numId w:val="7"/>
      </w:numPr>
    </w:pPr>
  </w:style>
  <w:style w:type="character" w:styleId="CommentReference">
    <w:name w:val="annotation reference"/>
    <w:basedOn w:val="DefaultParagraphFont"/>
    <w:uiPriority w:val="99"/>
    <w:semiHidden/>
    <w:rsid w:val="00385612"/>
    <w:rPr>
      <w:sz w:val="16"/>
      <w:szCs w:val="16"/>
    </w:rPr>
  </w:style>
  <w:style w:type="paragraph" w:customStyle="1" w:styleId="Memoheading">
    <w:name w:val="Memo heading"/>
    <w:rsid w:val="00385612"/>
    <w:rPr>
      <w:noProof/>
    </w:rPr>
  </w:style>
  <w:style w:type="character" w:customStyle="1" w:styleId="Heading2CharCharCharCharChar">
    <w:name w:val="Heading 2 Char Char Char Char Char"/>
    <w:basedOn w:val="DefaultParagraphFont"/>
    <w:rsid w:val="00385612"/>
    <w:rPr>
      <w:rFonts w:ascii="Arial" w:hAnsi="Arial"/>
      <w:b/>
      <w:kern w:val="28"/>
      <w:sz w:val="22"/>
      <w:lang w:val="en-US" w:eastAsia="en-US" w:bidi="ar-SA"/>
    </w:rPr>
  </w:style>
  <w:style w:type="paragraph" w:customStyle="1" w:styleId="05">
    <w:name w:val="05"/>
    <w:basedOn w:val="Normal"/>
    <w:rsid w:val="00385612"/>
    <w:pPr>
      <w:widowControl/>
      <w:autoSpaceDE/>
      <w:autoSpaceDN/>
      <w:adjustRightInd/>
      <w:ind w:left="300" w:right="4" w:hanging="300"/>
      <w:jc w:val="both"/>
    </w:pPr>
    <w:rPr>
      <w:rFonts w:ascii="Times" w:hAnsi="Times"/>
      <w:szCs w:val="20"/>
      <w:lang w:val="fr-FR"/>
    </w:rPr>
  </w:style>
  <w:style w:type="character" w:customStyle="1" w:styleId="a0">
    <w:name w:val="_a"/>
    <w:basedOn w:val="DefaultParagraphFont"/>
    <w:rsid w:val="00385612"/>
  </w:style>
  <w:style w:type="paragraph" w:customStyle="1" w:styleId="f4">
    <w:name w:val="f4"/>
    <w:rsid w:val="00385612"/>
    <w:pPr>
      <w:widowControl w:val="0"/>
    </w:pPr>
    <w:rPr>
      <w:sz w:val="22"/>
    </w:rPr>
  </w:style>
  <w:style w:type="paragraph" w:styleId="BodyTextIndent">
    <w:name w:val="Body Text Indent"/>
    <w:basedOn w:val="Normal"/>
    <w:link w:val="BodyTextIndentChar"/>
    <w:uiPriority w:val="99"/>
    <w:rsid w:val="00E20F3C"/>
    <w:pPr>
      <w:spacing w:after="120"/>
      <w:ind w:left="360"/>
    </w:pPr>
  </w:style>
  <w:style w:type="paragraph" w:customStyle="1" w:styleId="TOCI">
    <w:name w:val="TOCI"/>
    <w:basedOn w:val="Default"/>
    <w:next w:val="Default"/>
    <w:rsid w:val="00E20F3C"/>
    <w:pPr>
      <w:widowControl w:val="0"/>
    </w:pPr>
    <w:rPr>
      <w:rFonts w:ascii="Times New Roman" w:eastAsia="Times New Roman" w:hAnsi="Times New Roman" w:cs="Times New Roman"/>
      <w:color w:val="auto"/>
      <w:lang w:eastAsia="en-US"/>
    </w:rPr>
  </w:style>
  <w:style w:type="paragraph" w:customStyle="1" w:styleId="Emission">
    <w:name w:val="Emission"/>
    <w:basedOn w:val="Normal"/>
    <w:next w:val="Normal"/>
    <w:rsid w:val="00FA2B7A"/>
    <w:pPr>
      <w:widowControl/>
      <w:autoSpaceDE/>
      <w:autoSpaceDN/>
      <w:adjustRightInd/>
      <w:ind w:left="5103"/>
    </w:pPr>
    <w:rPr>
      <w:szCs w:val="20"/>
      <w:lang w:val="en-GB" w:eastAsia="en-GB"/>
    </w:rPr>
  </w:style>
  <w:style w:type="paragraph" w:customStyle="1" w:styleId="Bullets">
    <w:name w:val="Bullets"/>
    <w:basedOn w:val="Normal"/>
    <w:rsid w:val="00FA2B7A"/>
    <w:pPr>
      <w:widowControl/>
      <w:numPr>
        <w:numId w:val="9"/>
      </w:numPr>
      <w:autoSpaceDE/>
      <w:autoSpaceDN/>
      <w:adjustRightInd/>
    </w:pPr>
  </w:style>
  <w:style w:type="paragraph" w:customStyle="1" w:styleId="InterofficeMemorandumheading">
    <w:name w:val="Interoffice Memorandum heading"/>
    <w:basedOn w:val="Memoheading"/>
    <w:rsid w:val="00F83D63"/>
    <w:pPr>
      <w:tabs>
        <w:tab w:val="left" w:pos="6840"/>
        <w:tab w:val="left" w:pos="8368"/>
      </w:tabs>
    </w:pPr>
    <w:rPr>
      <w:b/>
      <w:sz w:val="22"/>
    </w:rPr>
  </w:style>
  <w:style w:type="paragraph" w:customStyle="1" w:styleId="Memofooter">
    <w:name w:val="Memo footer"/>
    <w:basedOn w:val="Normal"/>
    <w:rsid w:val="00F83D63"/>
    <w:pPr>
      <w:framePr w:w="10637" w:h="433" w:hSpace="180" w:wrap="around" w:vAnchor="text" w:hAnchor="page" w:x="933" w:y="148"/>
      <w:widowControl/>
      <w:pBdr>
        <w:top w:val="single" w:sz="6" w:space="1" w:color="auto"/>
        <w:left w:val="single" w:sz="6" w:space="1" w:color="auto"/>
        <w:bottom w:val="single" w:sz="6" w:space="1" w:color="auto"/>
        <w:right w:val="single" w:sz="6" w:space="1" w:color="auto"/>
      </w:pBdr>
      <w:autoSpaceDE/>
      <w:autoSpaceDN/>
      <w:adjustRightInd/>
    </w:pPr>
    <w:rPr>
      <w:rFonts w:ascii="Myriad Pro" w:hAnsi="Myriad Pro"/>
      <w:sz w:val="18"/>
      <w:szCs w:val="20"/>
    </w:rPr>
  </w:style>
  <w:style w:type="paragraph" w:customStyle="1" w:styleId="CharCharCharCharCharCharCharCharCharCharCharChar">
    <w:name w:val="Char Char Char Char Char Char Char Char Char Char Char Char"/>
    <w:basedOn w:val="Normal"/>
    <w:rsid w:val="00F83D63"/>
    <w:pPr>
      <w:widowControl/>
      <w:tabs>
        <w:tab w:val="left" w:pos="709"/>
      </w:tabs>
      <w:autoSpaceDE/>
      <w:autoSpaceDN/>
      <w:adjustRightInd/>
    </w:pPr>
    <w:rPr>
      <w:rFonts w:ascii="Tahoma" w:hAnsi="Tahoma"/>
      <w:lang w:val="pl-PL" w:eastAsia="pl-PL"/>
    </w:rPr>
  </w:style>
  <w:style w:type="paragraph" w:customStyle="1" w:styleId="CharCharChar">
    <w:name w:val="Char Char Char"/>
    <w:basedOn w:val="Normal"/>
    <w:rsid w:val="00F83D63"/>
    <w:pPr>
      <w:widowControl/>
      <w:tabs>
        <w:tab w:val="left" w:pos="709"/>
      </w:tabs>
      <w:autoSpaceDE/>
      <w:autoSpaceDN/>
      <w:adjustRightInd/>
    </w:pPr>
    <w:rPr>
      <w:rFonts w:ascii="Tahoma" w:hAnsi="Tahoma"/>
      <w:lang w:val="pl-PL" w:eastAsia="pl-PL"/>
    </w:rPr>
  </w:style>
  <w:style w:type="paragraph" w:customStyle="1" w:styleId="CharCharCharCharCharCharCharCharChar">
    <w:name w:val="Char Char Char Char Char Char Char Char Char"/>
    <w:basedOn w:val="Normal"/>
    <w:rsid w:val="00F83D63"/>
    <w:pPr>
      <w:widowControl/>
      <w:tabs>
        <w:tab w:val="left" w:pos="709"/>
      </w:tabs>
      <w:autoSpaceDE/>
      <w:autoSpaceDN/>
      <w:adjustRightInd/>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F83D63"/>
    <w:pPr>
      <w:widowControl/>
      <w:tabs>
        <w:tab w:val="left" w:pos="709"/>
      </w:tabs>
      <w:autoSpaceDE/>
      <w:autoSpaceDN/>
      <w:adjustRightInd/>
    </w:pPr>
    <w:rPr>
      <w:rFonts w:ascii="Tahoma" w:hAnsi="Tahoma"/>
      <w:lang w:val="pl-PL" w:eastAsia="pl-PL"/>
    </w:rPr>
  </w:style>
  <w:style w:type="paragraph" w:customStyle="1" w:styleId="Outline">
    <w:name w:val="Outline"/>
    <w:basedOn w:val="Normal"/>
    <w:rsid w:val="00F83D63"/>
    <w:pPr>
      <w:widowControl/>
      <w:autoSpaceDE/>
      <w:autoSpaceDN/>
      <w:adjustRightInd/>
      <w:spacing w:before="240"/>
      <w:jc w:val="both"/>
    </w:pPr>
    <w:rPr>
      <w:kern w:val="28"/>
      <w:szCs w:val="20"/>
    </w:rPr>
  </w:style>
  <w:style w:type="character" w:customStyle="1" w:styleId="CharChar1">
    <w:name w:val="Char Char1"/>
    <w:basedOn w:val="DefaultParagraphFont"/>
    <w:rsid w:val="00F83D63"/>
    <w:rPr>
      <w:rFonts w:ascii="Arial" w:hAnsi="Arial" w:cs="Arial"/>
      <w:b/>
      <w:bCs/>
      <w:kern w:val="32"/>
      <w:sz w:val="32"/>
      <w:szCs w:val="32"/>
      <w:lang w:val="en-US" w:eastAsia="en-US" w:bidi="ar-SA"/>
    </w:rPr>
  </w:style>
  <w:style w:type="character" w:customStyle="1" w:styleId="CharChar">
    <w:name w:val="Char Char"/>
    <w:basedOn w:val="DefaultParagraphFont"/>
    <w:rsid w:val="00F83D63"/>
    <w:rPr>
      <w:rFonts w:ascii="Arial" w:hAnsi="Arial" w:cs="Arial"/>
      <w:b/>
      <w:bCs/>
      <w:i/>
      <w:iCs/>
      <w:sz w:val="28"/>
      <w:szCs w:val="28"/>
      <w:lang w:val="en-US" w:eastAsia="en-US" w:bidi="ar-SA"/>
    </w:rPr>
  </w:style>
  <w:style w:type="paragraph" w:customStyle="1" w:styleId="a1">
    <w:name w:val="Основной текст"/>
    <w:basedOn w:val="Normal"/>
    <w:rsid w:val="001C0C78"/>
    <w:pPr>
      <w:widowControl/>
      <w:adjustRightInd/>
      <w:spacing w:after="120"/>
    </w:pPr>
    <w:rPr>
      <w:sz w:val="20"/>
      <w:szCs w:val="20"/>
      <w:lang w:val="ru-RU" w:eastAsia="nl-NL"/>
    </w:rPr>
  </w:style>
  <w:style w:type="paragraph" w:customStyle="1" w:styleId="font5">
    <w:name w:val="font5"/>
    <w:basedOn w:val="Normal"/>
    <w:rsid w:val="001C0C78"/>
    <w:pPr>
      <w:widowControl/>
      <w:autoSpaceDE/>
      <w:autoSpaceDN/>
      <w:adjustRightInd/>
      <w:spacing w:before="100" w:beforeAutospacing="1" w:after="100" w:afterAutospacing="1"/>
    </w:pPr>
    <w:rPr>
      <w:rFonts w:eastAsia="Arial Unicode MS"/>
      <w:b/>
      <w:bCs/>
      <w:sz w:val="18"/>
      <w:szCs w:val="18"/>
    </w:rPr>
  </w:style>
  <w:style w:type="paragraph" w:customStyle="1" w:styleId="a3">
    <w:name w:val="a3"/>
    <w:basedOn w:val="Heading2"/>
    <w:rsid w:val="001C0C78"/>
    <w:pPr>
      <w:widowControl/>
      <w:autoSpaceDE/>
      <w:autoSpaceDN/>
      <w:adjustRightInd/>
      <w:spacing w:before="0"/>
      <w:jc w:val="both"/>
    </w:pPr>
    <w:rPr>
      <w:rFonts w:ascii="Times New Roman Bold" w:hAnsi="Times New Roman Bold" w:cs="Times New Roman"/>
      <w:bCs w:val="0"/>
      <w:i w:val="0"/>
      <w:caps/>
      <w:sz w:val="24"/>
      <w:szCs w:val="24"/>
    </w:rPr>
  </w:style>
  <w:style w:type="paragraph" w:customStyle="1" w:styleId="StyleHeading3NotBold">
    <w:name w:val="Style Heading 3 + Not Bold"/>
    <w:basedOn w:val="Heading3"/>
    <w:rsid w:val="001C0C78"/>
    <w:pPr>
      <w:numPr>
        <w:numId w:val="5"/>
      </w:numPr>
    </w:pPr>
    <w:rPr>
      <w:bCs w:val="0"/>
      <w:sz w:val="24"/>
      <w:szCs w:val="24"/>
    </w:rPr>
  </w:style>
  <w:style w:type="paragraph" w:customStyle="1" w:styleId="CharCharCharCharChar">
    <w:name w:val="Char Char Char Char Char"/>
    <w:basedOn w:val="Normal"/>
    <w:rsid w:val="00D03AFB"/>
    <w:pPr>
      <w:widowControl/>
      <w:tabs>
        <w:tab w:val="left" w:pos="709"/>
      </w:tabs>
      <w:autoSpaceDE/>
      <w:autoSpaceDN/>
      <w:adjustRightInd/>
    </w:pPr>
    <w:rPr>
      <w:rFonts w:ascii="Tahoma" w:hAnsi="Tahoma"/>
      <w:lang w:val="pl-PL" w:eastAsia="pl-PL"/>
    </w:rPr>
  </w:style>
  <w:style w:type="paragraph" w:customStyle="1" w:styleId="a2">
    <w:name w:val="(文字) (文字)"/>
    <w:basedOn w:val="Heading2"/>
    <w:rsid w:val="00D03AFB"/>
    <w:pPr>
      <w:pageBreakBefore/>
      <w:widowControl/>
      <w:tabs>
        <w:tab w:val="left" w:pos="850"/>
        <w:tab w:val="left" w:pos="1191"/>
        <w:tab w:val="left" w:pos="1531"/>
      </w:tabs>
      <w:autoSpaceDE/>
      <w:autoSpaceDN/>
      <w:adjustRightInd/>
      <w:spacing w:before="120" w:after="120"/>
      <w:jc w:val="center"/>
    </w:pPr>
    <w:rPr>
      <w:rFonts w:ascii="Tahoma" w:hAnsi="Tahoma" w:cs="Tahoma"/>
      <w:bCs w:val="0"/>
      <w:i w:val="0"/>
      <w:iCs w:val="0"/>
      <w:color w:val="FFFFFF"/>
      <w:spacing w:val="20"/>
      <w:sz w:val="22"/>
      <w:szCs w:val="22"/>
      <w:lang w:val="en-GB" w:eastAsia="zh-CN"/>
    </w:rPr>
  </w:style>
  <w:style w:type="paragraph" w:customStyle="1" w:styleId="para0">
    <w:name w:val="para"/>
    <w:basedOn w:val="Normal"/>
    <w:rsid w:val="00D03AFB"/>
    <w:pPr>
      <w:widowControl/>
      <w:autoSpaceDE/>
      <w:autoSpaceDN/>
      <w:adjustRightInd/>
      <w:spacing w:after="180"/>
      <w:jc w:val="both"/>
    </w:pPr>
    <w:rPr>
      <w:snapToGrid w:val="0"/>
      <w:sz w:val="22"/>
      <w:szCs w:val="20"/>
    </w:rPr>
  </w:style>
  <w:style w:type="character" w:customStyle="1" w:styleId="Heading1Char1">
    <w:name w:val="Heading 1 Char1"/>
    <w:basedOn w:val="DefaultParagraphFont"/>
    <w:uiPriority w:val="9"/>
    <w:rsid w:val="00D03AFB"/>
    <w:rPr>
      <w:rFonts w:ascii="Arial" w:hAnsi="Arial" w:cs="Arial"/>
      <w:b/>
      <w:bCs/>
      <w:kern w:val="32"/>
      <w:sz w:val="32"/>
      <w:szCs w:val="32"/>
      <w:lang w:val="en-US" w:eastAsia="en-US" w:bidi="ar-SA"/>
    </w:rPr>
  </w:style>
  <w:style w:type="character" w:customStyle="1" w:styleId="Heading2Char2">
    <w:name w:val="Heading 2 Char2"/>
    <w:aliases w:val="Heading 2 Char Char Char Char1"/>
    <w:basedOn w:val="DefaultParagraphFont"/>
    <w:rsid w:val="00D03AFB"/>
    <w:rPr>
      <w:rFonts w:ascii="Arial" w:hAnsi="Arial" w:cs="Arial"/>
      <w:b/>
      <w:bCs/>
      <w:i/>
      <w:iCs/>
      <w:sz w:val="28"/>
      <w:szCs w:val="28"/>
      <w:lang w:val="en-US" w:eastAsia="en-US" w:bidi="ar-SA"/>
    </w:rPr>
  </w:style>
  <w:style w:type="character" w:customStyle="1" w:styleId="Natalia">
    <w:name w:val="Natalia"/>
    <w:basedOn w:val="DefaultParagraphFont"/>
    <w:semiHidden/>
    <w:rsid w:val="00D03AFB"/>
    <w:rPr>
      <w:rFonts w:ascii="Arial" w:hAnsi="Arial" w:cs="Arial"/>
      <w:color w:val="000080"/>
      <w:sz w:val="20"/>
      <w:szCs w:val="20"/>
    </w:rPr>
  </w:style>
  <w:style w:type="character" w:customStyle="1" w:styleId="Char">
    <w:name w:val="Char"/>
    <w:basedOn w:val="DefaultParagraphFont"/>
    <w:rsid w:val="00F20A4A"/>
    <w:rPr>
      <w:rFonts w:ascii="Arial" w:hAnsi="Arial" w:cs="Arial"/>
      <w:b/>
      <w:bCs/>
      <w:kern w:val="32"/>
      <w:sz w:val="32"/>
      <w:szCs w:val="32"/>
      <w:lang w:val="en-US" w:eastAsia="en-US" w:bidi="ar-SA"/>
    </w:rPr>
  </w:style>
  <w:style w:type="paragraph" w:customStyle="1" w:styleId="Balonteksts">
    <w:name w:val="Balonteksts"/>
    <w:basedOn w:val="Normal"/>
    <w:semiHidden/>
    <w:rsid w:val="000F520F"/>
    <w:pPr>
      <w:widowControl/>
      <w:autoSpaceDE/>
      <w:autoSpaceDN/>
      <w:adjustRightInd/>
    </w:pPr>
    <w:rPr>
      <w:rFonts w:ascii="Tahoma" w:hAnsi="Tahoma" w:cs="Tahoma"/>
      <w:sz w:val="16"/>
      <w:szCs w:val="16"/>
    </w:rPr>
  </w:style>
  <w:style w:type="paragraph" w:customStyle="1" w:styleId="BodyText1">
    <w:name w:val="Body Text 1"/>
    <w:basedOn w:val="BodyText"/>
    <w:rsid w:val="000F520F"/>
    <w:pPr>
      <w:numPr>
        <w:numId w:val="13"/>
      </w:numPr>
      <w:overflowPunct/>
      <w:autoSpaceDE/>
      <w:autoSpaceDN/>
      <w:adjustRightInd/>
      <w:spacing w:before="240" w:line="240" w:lineRule="atLeast"/>
      <w:textAlignment w:val="auto"/>
    </w:pPr>
    <w:rPr>
      <w:rFonts w:ascii="Times New Roman" w:hAnsi="Times New Roman"/>
      <w:sz w:val="24"/>
      <w:lang w:val="en-US"/>
    </w:rPr>
  </w:style>
  <w:style w:type="character" w:styleId="Emphasis">
    <w:name w:val="Emphasis"/>
    <w:basedOn w:val="DefaultParagraphFont"/>
    <w:uiPriority w:val="20"/>
    <w:qFormat/>
    <w:rsid w:val="000F520F"/>
    <w:rPr>
      <w:i/>
      <w:iCs/>
    </w:rPr>
  </w:style>
  <w:style w:type="paragraph" w:customStyle="1" w:styleId="NormalIP2">
    <w:name w:val="Normal IP 2"/>
    <w:basedOn w:val="Normal"/>
    <w:rsid w:val="00A35E5B"/>
    <w:pPr>
      <w:widowControl/>
      <w:autoSpaceDE/>
      <w:autoSpaceDN/>
      <w:adjustRightInd/>
      <w:spacing w:before="80" w:after="80"/>
      <w:jc w:val="both"/>
    </w:pPr>
    <w:rPr>
      <w:iCs/>
      <w:lang w:val="lv-LV" w:eastAsia="lv-LV"/>
    </w:rPr>
  </w:style>
  <w:style w:type="paragraph" w:styleId="TableofFigures">
    <w:name w:val="table of figures"/>
    <w:basedOn w:val="Normal"/>
    <w:next w:val="Normal"/>
    <w:uiPriority w:val="99"/>
    <w:rsid w:val="00146645"/>
    <w:pPr>
      <w:ind w:left="480" w:hanging="480"/>
    </w:pPr>
    <w:rPr>
      <w:rFonts w:ascii="Arial" w:hAnsi="Arial"/>
      <w:sz w:val="20"/>
    </w:rPr>
  </w:style>
  <w:style w:type="paragraph" w:styleId="Index1">
    <w:name w:val="index 1"/>
    <w:basedOn w:val="Normal"/>
    <w:next w:val="Normal"/>
    <w:autoRedefine/>
    <w:semiHidden/>
    <w:rsid w:val="00146645"/>
    <w:pPr>
      <w:ind w:left="240" w:hanging="240"/>
    </w:pPr>
  </w:style>
  <w:style w:type="paragraph" w:styleId="Index2">
    <w:name w:val="index 2"/>
    <w:basedOn w:val="Normal"/>
    <w:next w:val="Normal"/>
    <w:autoRedefine/>
    <w:semiHidden/>
    <w:rsid w:val="00146645"/>
    <w:pPr>
      <w:ind w:left="480" w:hanging="240"/>
    </w:pPr>
  </w:style>
  <w:style w:type="paragraph" w:styleId="Index3">
    <w:name w:val="index 3"/>
    <w:basedOn w:val="Normal"/>
    <w:next w:val="Normal"/>
    <w:autoRedefine/>
    <w:semiHidden/>
    <w:rsid w:val="00146645"/>
    <w:pPr>
      <w:ind w:left="720" w:hanging="240"/>
    </w:pPr>
  </w:style>
  <w:style w:type="paragraph" w:styleId="Index4">
    <w:name w:val="index 4"/>
    <w:basedOn w:val="Normal"/>
    <w:next w:val="Normal"/>
    <w:autoRedefine/>
    <w:semiHidden/>
    <w:rsid w:val="00146645"/>
    <w:pPr>
      <w:ind w:left="960" w:hanging="240"/>
    </w:pPr>
  </w:style>
  <w:style w:type="paragraph" w:styleId="Index5">
    <w:name w:val="index 5"/>
    <w:basedOn w:val="Normal"/>
    <w:next w:val="Normal"/>
    <w:autoRedefine/>
    <w:semiHidden/>
    <w:rsid w:val="00146645"/>
    <w:pPr>
      <w:ind w:left="1200" w:hanging="240"/>
    </w:pPr>
  </w:style>
  <w:style w:type="paragraph" w:styleId="Index6">
    <w:name w:val="index 6"/>
    <w:basedOn w:val="Normal"/>
    <w:next w:val="Normal"/>
    <w:autoRedefine/>
    <w:semiHidden/>
    <w:rsid w:val="00146645"/>
    <w:pPr>
      <w:ind w:left="1440" w:hanging="240"/>
    </w:pPr>
  </w:style>
  <w:style w:type="paragraph" w:styleId="Index7">
    <w:name w:val="index 7"/>
    <w:basedOn w:val="Normal"/>
    <w:next w:val="Normal"/>
    <w:autoRedefine/>
    <w:semiHidden/>
    <w:rsid w:val="00146645"/>
    <w:pPr>
      <w:ind w:left="1680" w:hanging="240"/>
    </w:pPr>
  </w:style>
  <w:style w:type="paragraph" w:styleId="Index8">
    <w:name w:val="index 8"/>
    <w:basedOn w:val="Normal"/>
    <w:next w:val="Normal"/>
    <w:autoRedefine/>
    <w:semiHidden/>
    <w:rsid w:val="00146645"/>
    <w:pPr>
      <w:ind w:left="1920" w:hanging="240"/>
    </w:pPr>
  </w:style>
  <w:style w:type="paragraph" w:styleId="Index9">
    <w:name w:val="index 9"/>
    <w:basedOn w:val="Normal"/>
    <w:next w:val="Normal"/>
    <w:autoRedefine/>
    <w:semiHidden/>
    <w:rsid w:val="00146645"/>
    <w:pPr>
      <w:ind w:left="2160" w:hanging="240"/>
    </w:pPr>
  </w:style>
  <w:style w:type="paragraph" w:styleId="IndexHeading">
    <w:name w:val="index heading"/>
    <w:basedOn w:val="Normal"/>
    <w:next w:val="Index1"/>
    <w:semiHidden/>
    <w:rsid w:val="00146645"/>
  </w:style>
  <w:style w:type="paragraph" w:customStyle="1" w:styleId="Heading1a">
    <w:name w:val="Heading 1a"/>
    <w:basedOn w:val="Normal"/>
    <w:next w:val="Normal"/>
    <w:rsid w:val="00146645"/>
    <w:pPr>
      <w:keepNext/>
      <w:keepLines/>
      <w:widowControl/>
      <w:numPr>
        <w:numId w:val="14"/>
      </w:numPr>
      <w:autoSpaceDE/>
      <w:autoSpaceDN/>
      <w:adjustRightInd/>
      <w:spacing w:before="1440" w:after="240"/>
      <w:jc w:val="center"/>
      <w:outlineLvl w:val="0"/>
    </w:pPr>
    <w:rPr>
      <w:b/>
      <w:caps/>
      <w:sz w:val="32"/>
      <w:szCs w:val="20"/>
    </w:rPr>
  </w:style>
  <w:style w:type="paragraph" w:customStyle="1" w:styleId="MainParanoChapter">
    <w:name w:val="Main Para no Chapter #"/>
    <w:basedOn w:val="Normal"/>
    <w:rsid w:val="00146645"/>
    <w:pPr>
      <w:widowControl/>
      <w:numPr>
        <w:ilvl w:val="1"/>
        <w:numId w:val="14"/>
      </w:numPr>
      <w:autoSpaceDE/>
      <w:autoSpaceDN/>
      <w:adjustRightInd/>
      <w:spacing w:after="240"/>
      <w:outlineLvl w:val="1"/>
    </w:pPr>
    <w:rPr>
      <w:szCs w:val="20"/>
    </w:rPr>
  </w:style>
  <w:style w:type="paragraph" w:customStyle="1" w:styleId="Sub-Para1underX">
    <w:name w:val="Sub-Para 1 under X."/>
    <w:basedOn w:val="Normal"/>
    <w:rsid w:val="00146645"/>
    <w:pPr>
      <w:widowControl/>
      <w:numPr>
        <w:ilvl w:val="2"/>
        <w:numId w:val="14"/>
      </w:numPr>
      <w:autoSpaceDE/>
      <w:autoSpaceDN/>
      <w:adjustRightInd/>
      <w:spacing w:after="240"/>
      <w:outlineLvl w:val="2"/>
    </w:pPr>
    <w:rPr>
      <w:szCs w:val="20"/>
    </w:rPr>
  </w:style>
  <w:style w:type="paragraph" w:customStyle="1" w:styleId="Sub-Para2underX">
    <w:name w:val="Sub-Para 2 under X."/>
    <w:basedOn w:val="Normal"/>
    <w:rsid w:val="00146645"/>
    <w:pPr>
      <w:widowControl/>
      <w:numPr>
        <w:ilvl w:val="3"/>
        <w:numId w:val="14"/>
      </w:numPr>
      <w:autoSpaceDE/>
      <w:autoSpaceDN/>
      <w:adjustRightInd/>
      <w:spacing w:after="240"/>
      <w:outlineLvl w:val="3"/>
    </w:pPr>
    <w:rPr>
      <w:szCs w:val="20"/>
    </w:rPr>
  </w:style>
  <w:style w:type="paragraph" w:customStyle="1" w:styleId="Sub-Para3underX">
    <w:name w:val="Sub-Para 3 under X."/>
    <w:basedOn w:val="Normal"/>
    <w:rsid w:val="00146645"/>
    <w:pPr>
      <w:widowControl/>
      <w:numPr>
        <w:ilvl w:val="4"/>
        <w:numId w:val="14"/>
      </w:numPr>
      <w:autoSpaceDE/>
      <w:autoSpaceDN/>
      <w:adjustRightInd/>
      <w:spacing w:after="240"/>
      <w:outlineLvl w:val="4"/>
    </w:pPr>
    <w:rPr>
      <w:szCs w:val="20"/>
    </w:rPr>
  </w:style>
  <w:style w:type="paragraph" w:customStyle="1" w:styleId="Sub-Para4underX">
    <w:name w:val="Sub-Para 4 under X."/>
    <w:basedOn w:val="Normal"/>
    <w:rsid w:val="00146645"/>
    <w:pPr>
      <w:widowControl/>
      <w:numPr>
        <w:ilvl w:val="5"/>
        <w:numId w:val="14"/>
      </w:numPr>
      <w:autoSpaceDE/>
      <w:autoSpaceDN/>
      <w:adjustRightInd/>
      <w:spacing w:after="240"/>
      <w:outlineLvl w:val="5"/>
    </w:pPr>
    <w:rPr>
      <w:szCs w:val="20"/>
    </w:rPr>
  </w:style>
  <w:style w:type="paragraph" w:customStyle="1" w:styleId="SLONormal">
    <w:name w:val="SLO Normal"/>
    <w:rsid w:val="00B04376"/>
    <w:pPr>
      <w:overflowPunct w:val="0"/>
      <w:autoSpaceDE w:val="0"/>
      <w:autoSpaceDN w:val="0"/>
      <w:adjustRightInd w:val="0"/>
      <w:spacing w:before="120" w:after="120"/>
      <w:jc w:val="both"/>
      <w:textAlignment w:val="baseline"/>
    </w:pPr>
    <w:rPr>
      <w:noProof/>
      <w:sz w:val="24"/>
      <w:szCs w:val="24"/>
      <w:lang w:val="en-GB"/>
    </w:rPr>
  </w:style>
  <w:style w:type="paragraph" w:customStyle="1" w:styleId="StyleHeading2AsianMSMincho">
    <w:name w:val="Style Heading 2 + (Asian) MS Mincho"/>
    <w:basedOn w:val="Heading2"/>
    <w:rsid w:val="00E7048F"/>
    <w:pPr>
      <w:widowControl/>
      <w:autoSpaceDE/>
      <w:autoSpaceDN/>
      <w:adjustRightInd/>
    </w:pPr>
    <w:rPr>
      <w:rFonts w:ascii="CG Times" w:hAnsi="CG Times"/>
      <w:sz w:val="22"/>
    </w:rPr>
  </w:style>
  <w:style w:type="paragraph" w:customStyle="1" w:styleId="smallheading">
    <w:name w:val="small heading"/>
    <w:basedOn w:val="Normal"/>
    <w:rsid w:val="00E7048F"/>
    <w:pPr>
      <w:keepNext/>
      <w:widowControl/>
      <w:autoSpaceDE/>
      <w:autoSpaceDN/>
      <w:adjustRightInd/>
      <w:spacing w:before="480" w:line="312" w:lineRule="auto"/>
      <w:jc w:val="both"/>
    </w:pPr>
    <w:rPr>
      <w:rFonts w:ascii="Arial" w:hAnsi="Arial"/>
      <w:b/>
    </w:rPr>
  </w:style>
  <w:style w:type="paragraph" w:customStyle="1" w:styleId="Style1">
    <w:name w:val="Style1"/>
    <w:basedOn w:val="Normal"/>
    <w:rsid w:val="00E7048F"/>
    <w:pPr>
      <w:widowControl/>
      <w:autoSpaceDE/>
      <w:autoSpaceDN/>
      <w:adjustRightInd/>
      <w:spacing w:before="60" w:after="60" w:line="240" w:lineRule="atLeast"/>
    </w:pPr>
    <w:rPr>
      <w:rFonts w:ascii="Trebuchet MS" w:hAnsi="Trebuchet MS"/>
      <w:bCs/>
      <w:sz w:val="20"/>
      <w:szCs w:val="48"/>
    </w:rPr>
  </w:style>
  <w:style w:type="paragraph" w:styleId="ListParagraph">
    <w:name w:val="List Paragraph"/>
    <w:basedOn w:val="Normal"/>
    <w:link w:val="ListParagraphChar"/>
    <w:uiPriority w:val="34"/>
    <w:qFormat/>
    <w:rsid w:val="002C43B9"/>
    <w:pPr>
      <w:ind w:left="720"/>
      <w:contextualSpacing/>
    </w:p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ft Char"/>
    <w:basedOn w:val="DefaultParagraphFont"/>
    <w:link w:val="FootnoteText"/>
    <w:uiPriority w:val="99"/>
    <w:rsid w:val="001D1D8B"/>
    <w:rPr>
      <w:sz w:val="18"/>
    </w:rPr>
  </w:style>
  <w:style w:type="character" w:customStyle="1" w:styleId="Heading3Char">
    <w:name w:val="Heading 3 Char"/>
    <w:basedOn w:val="DefaultParagraphFont"/>
    <w:link w:val="Heading3"/>
    <w:uiPriority w:val="9"/>
    <w:rsid w:val="005E576B"/>
    <w:rPr>
      <w:b/>
      <w:bCs/>
    </w:rPr>
  </w:style>
  <w:style w:type="paragraph" w:customStyle="1" w:styleId="FootnoteReference1">
    <w:name w:val="Footnote Reference1"/>
    <w:basedOn w:val="Normal"/>
    <w:rsid w:val="001D3F17"/>
    <w:pPr>
      <w:widowControl/>
      <w:autoSpaceDE/>
      <w:autoSpaceDN/>
      <w:adjustRightInd/>
    </w:pPr>
    <w:rPr>
      <w:rFonts w:ascii="Times" w:hAnsi="Times"/>
      <w:snapToGrid w:val="0"/>
      <w:position w:val="7"/>
      <w:sz w:val="22"/>
      <w:szCs w:val="20"/>
    </w:rPr>
  </w:style>
  <w:style w:type="paragraph" w:customStyle="1" w:styleId="GVWDHeading1">
    <w:name w:val="GVWD Heading 1"/>
    <w:basedOn w:val="Normal"/>
    <w:next w:val="Normal"/>
    <w:rsid w:val="001D3F17"/>
    <w:pPr>
      <w:widowControl/>
      <w:numPr>
        <w:numId w:val="20"/>
      </w:numPr>
      <w:autoSpaceDE/>
      <w:autoSpaceDN/>
      <w:adjustRightInd/>
    </w:pPr>
    <w:rPr>
      <w:rFonts w:ascii="Arial" w:eastAsia="SimSun" w:hAnsi="Arial"/>
      <w:b/>
      <w:sz w:val="22"/>
      <w:szCs w:val="20"/>
    </w:rPr>
  </w:style>
  <w:style w:type="paragraph" w:customStyle="1" w:styleId="GVWDHeading2">
    <w:name w:val="GVWD Heading 2"/>
    <w:basedOn w:val="Normal"/>
    <w:next w:val="Normal"/>
    <w:rsid w:val="001D3F17"/>
    <w:pPr>
      <w:widowControl/>
      <w:numPr>
        <w:ilvl w:val="1"/>
        <w:numId w:val="20"/>
      </w:numPr>
      <w:autoSpaceDE/>
      <w:autoSpaceDN/>
      <w:adjustRightInd/>
    </w:pPr>
    <w:rPr>
      <w:rFonts w:ascii="Arial" w:eastAsia="SimSun" w:hAnsi="Arial"/>
      <w:b/>
      <w:sz w:val="22"/>
      <w:szCs w:val="20"/>
    </w:rPr>
  </w:style>
  <w:style w:type="paragraph" w:customStyle="1" w:styleId="21">
    <w:name w:val="Основной текст с отступом 21"/>
    <w:basedOn w:val="Normal"/>
    <w:rsid w:val="001D3F17"/>
    <w:pPr>
      <w:widowControl/>
      <w:tabs>
        <w:tab w:val="left" w:pos="540"/>
      </w:tabs>
      <w:suppressAutoHyphens/>
      <w:autoSpaceDE/>
      <w:autoSpaceDN/>
      <w:adjustRightInd/>
      <w:ind w:left="540" w:hanging="540"/>
    </w:pPr>
    <w:rPr>
      <w:sz w:val="22"/>
      <w:lang w:val="en-GB" w:eastAsia="ar-SA"/>
    </w:rPr>
  </w:style>
  <w:style w:type="paragraph" w:customStyle="1" w:styleId="outcome">
    <w:name w:val="outcome"/>
    <w:basedOn w:val="Normal"/>
    <w:rsid w:val="001D3F17"/>
    <w:pPr>
      <w:widowControl/>
      <w:tabs>
        <w:tab w:val="left" w:pos="1260"/>
      </w:tabs>
      <w:suppressAutoHyphens/>
      <w:autoSpaceDE/>
      <w:autoSpaceDN/>
      <w:adjustRightInd/>
      <w:spacing w:after="120"/>
      <w:ind w:left="1260" w:hanging="1260"/>
      <w:jc w:val="both"/>
    </w:pPr>
    <w:rPr>
      <w:b/>
      <w:bCs/>
      <w:iCs/>
      <w:color w:val="000000"/>
      <w:sz w:val="21"/>
      <w:szCs w:val="22"/>
      <w:lang w:val="en-GB" w:eastAsia="ar-SA"/>
    </w:rPr>
  </w:style>
  <w:style w:type="paragraph" w:customStyle="1" w:styleId="TableHeaderPage">
    <w:name w:val="Table Header Page"/>
    <w:basedOn w:val="Normal"/>
    <w:rsid w:val="001D3F17"/>
    <w:pPr>
      <w:widowControl/>
      <w:autoSpaceDE/>
      <w:autoSpaceDN/>
      <w:adjustRightInd/>
      <w:spacing w:before="60" w:after="60"/>
    </w:pPr>
    <w:rPr>
      <w:b/>
      <w:sz w:val="20"/>
      <w:szCs w:val="20"/>
      <w:lang w:val="en-GB"/>
    </w:rPr>
  </w:style>
  <w:style w:type="paragraph" w:customStyle="1" w:styleId="BodyText21">
    <w:name w:val="Body Text 21"/>
    <w:basedOn w:val="Normal"/>
    <w:rsid w:val="001D3F17"/>
    <w:pPr>
      <w:tabs>
        <w:tab w:val="left" w:pos="360"/>
      </w:tabs>
      <w:autoSpaceDE/>
      <w:autoSpaceDN/>
      <w:adjustRightInd/>
      <w:jc w:val="both"/>
    </w:pPr>
    <w:rPr>
      <w:sz w:val="22"/>
      <w:szCs w:val="20"/>
      <w:lang w:val="en-AU"/>
    </w:rPr>
  </w:style>
  <w:style w:type="paragraph" w:customStyle="1" w:styleId="Text">
    <w:name w:val="Text"/>
    <w:basedOn w:val="Normal"/>
    <w:rsid w:val="001D3F17"/>
    <w:pPr>
      <w:widowControl/>
      <w:autoSpaceDE/>
      <w:autoSpaceDN/>
      <w:adjustRightInd/>
      <w:spacing w:before="240" w:line="252" w:lineRule="auto"/>
      <w:jc w:val="both"/>
    </w:pPr>
    <w:rPr>
      <w:sz w:val="22"/>
      <w:szCs w:val="20"/>
    </w:rPr>
  </w:style>
  <w:style w:type="paragraph" w:customStyle="1" w:styleId="ConsCell">
    <w:name w:val="ConsCell"/>
    <w:rsid w:val="001D3F17"/>
    <w:pPr>
      <w:widowControl w:val="0"/>
      <w:autoSpaceDE w:val="0"/>
      <w:autoSpaceDN w:val="0"/>
      <w:adjustRightInd w:val="0"/>
    </w:pPr>
    <w:rPr>
      <w:rFonts w:ascii="Arial" w:hAnsi="Arial" w:cs="Arial"/>
      <w:lang w:val="ru-RU" w:eastAsia="ru-RU"/>
    </w:rPr>
  </w:style>
  <w:style w:type="paragraph" w:customStyle="1" w:styleId="Outcome0">
    <w:name w:val="Outcome"/>
    <w:basedOn w:val="Normal"/>
    <w:rsid w:val="001D3F17"/>
    <w:pPr>
      <w:widowControl/>
      <w:autoSpaceDE/>
      <w:autoSpaceDN/>
      <w:adjustRightInd/>
    </w:pPr>
    <w:rPr>
      <w:b/>
      <w:sz w:val="22"/>
      <w:szCs w:val="22"/>
    </w:rPr>
  </w:style>
  <w:style w:type="paragraph" w:customStyle="1" w:styleId="TableT">
    <w:name w:val="TableT"/>
    <w:basedOn w:val="Normal"/>
    <w:autoRedefine/>
    <w:uiPriority w:val="99"/>
    <w:rsid w:val="001D3F17"/>
    <w:pPr>
      <w:widowControl/>
      <w:autoSpaceDE/>
      <w:autoSpaceDN/>
      <w:adjustRightInd/>
      <w:ind w:left="18" w:firstLine="6"/>
    </w:pPr>
    <w:rPr>
      <w:sz w:val="20"/>
      <w:szCs w:val="20"/>
    </w:rPr>
  </w:style>
  <w:style w:type="paragraph" w:customStyle="1" w:styleId="NormalbulletsChar">
    <w:name w:val="Normal bullets Char"/>
    <w:basedOn w:val="Normal"/>
    <w:rsid w:val="001D3F17"/>
    <w:pPr>
      <w:widowControl/>
      <w:numPr>
        <w:numId w:val="21"/>
      </w:numPr>
      <w:autoSpaceDE/>
      <w:autoSpaceDN/>
      <w:adjustRightInd/>
    </w:pPr>
    <w:rPr>
      <w:lang w:val="en-GB"/>
    </w:rPr>
  </w:style>
  <w:style w:type="paragraph" w:customStyle="1" w:styleId="CharChar0">
    <w:name w:val="Char Char"/>
    <w:basedOn w:val="Normal"/>
    <w:rsid w:val="001D3F17"/>
    <w:pPr>
      <w:widowControl/>
      <w:autoSpaceDE/>
      <w:autoSpaceDN/>
      <w:adjustRightInd/>
      <w:spacing w:after="160" w:line="240" w:lineRule="exact"/>
    </w:pPr>
    <w:rPr>
      <w:rFonts w:ascii="Arial" w:hAnsi="Arial" w:cs="Arial"/>
      <w:sz w:val="20"/>
      <w:szCs w:val="20"/>
    </w:rPr>
  </w:style>
  <w:style w:type="paragraph" w:customStyle="1" w:styleId="newpara">
    <w:name w:val="newpara"/>
    <w:basedOn w:val="Normal"/>
    <w:rsid w:val="001D3F17"/>
    <w:pPr>
      <w:widowControl/>
      <w:autoSpaceDE/>
      <w:autoSpaceDN/>
      <w:adjustRightInd/>
      <w:spacing w:before="100" w:beforeAutospacing="1" w:after="100" w:afterAutospacing="1"/>
    </w:pPr>
    <w:rPr>
      <w:rFonts w:eastAsia="Arial Unicode MS"/>
    </w:rPr>
  </w:style>
  <w:style w:type="paragraph" w:customStyle="1" w:styleId="para1">
    <w:name w:val="para1"/>
    <w:basedOn w:val="Normal"/>
    <w:rsid w:val="001D3F17"/>
    <w:pPr>
      <w:adjustRightInd/>
      <w:spacing w:after="180"/>
      <w:jc w:val="both"/>
    </w:pPr>
    <w:rPr>
      <w:lang w:val="en-GB"/>
    </w:rPr>
  </w:style>
  <w:style w:type="character" w:customStyle="1" w:styleId="body1">
    <w:name w:val="body1"/>
    <w:basedOn w:val="DefaultParagraphFont"/>
    <w:rsid w:val="001D3F17"/>
    <w:rPr>
      <w:rFonts w:ascii="Arial" w:hAnsi="Arial" w:cs="Arial" w:hint="default"/>
      <w:sz w:val="16"/>
      <w:szCs w:val="16"/>
    </w:rPr>
  </w:style>
  <w:style w:type="paragraph" w:customStyle="1" w:styleId="1">
    <w:name w:val="Стиль1"/>
    <w:basedOn w:val="Normal"/>
    <w:link w:val="10"/>
    <w:rsid w:val="001D3F17"/>
    <w:pPr>
      <w:widowControl/>
      <w:tabs>
        <w:tab w:val="num" w:pos="1260"/>
      </w:tabs>
      <w:autoSpaceDE/>
      <w:autoSpaceDN/>
      <w:adjustRightInd/>
      <w:ind w:left="1260" w:hanging="360"/>
    </w:pPr>
    <w:rPr>
      <w:b/>
    </w:rPr>
  </w:style>
  <w:style w:type="character" w:customStyle="1" w:styleId="10">
    <w:name w:val="Стиль1 Знак"/>
    <w:basedOn w:val="DefaultParagraphFont"/>
    <w:link w:val="1"/>
    <w:rsid w:val="001D3F17"/>
    <w:rPr>
      <w:b/>
      <w:sz w:val="24"/>
      <w:szCs w:val="24"/>
    </w:rPr>
  </w:style>
  <w:style w:type="paragraph" w:customStyle="1" w:styleId="11">
    <w:name w:val="1"/>
    <w:basedOn w:val="Normal"/>
    <w:rsid w:val="001D3F17"/>
    <w:pPr>
      <w:widowControl/>
      <w:autoSpaceDE/>
      <w:autoSpaceDN/>
      <w:adjustRightInd/>
      <w:spacing w:after="160" w:line="240" w:lineRule="exact"/>
    </w:pPr>
    <w:rPr>
      <w:rFonts w:ascii="Arial" w:hAnsi="Arial" w:cs="Arial"/>
      <w:sz w:val="20"/>
      <w:szCs w:val="20"/>
    </w:rPr>
  </w:style>
  <w:style w:type="paragraph" w:customStyle="1" w:styleId="BalloonText1">
    <w:name w:val="Balloon Text1"/>
    <w:basedOn w:val="Normal"/>
    <w:semiHidden/>
    <w:rsid w:val="001D3F17"/>
    <w:pPr>
      <w:widowControl/>
      <w:autoSpaceDE/>
      <w:autoSpaceDN/>
      <w:adjustRightInd/>
    </w:pPr>
    <w:rPr>
      <w:rFonts w:ascii="Tahoma" w:hAnsi="Tahoma" w:cs="Tahoma"/>
      <w:sz w:val="16"/>
      <w:szCs w:val="16"/>
    </w:rPr>
  </w:style>
  <w:style w:type="paragraph" w:styleId="BlockText">
    <w:name w:val="Block Text"/>
    <w:basedOn w:val="Normal"/>
    <w:rsid w:val="001D3F17"/>
    <w:pPr>
      <w:widowControl/>
      <w:autoSpaceDE/>
      <w:autoSpaceDN/>
      <w:adjustRightInd/>
      <w:ind w:left="720" w:right="720"/>
      <w:jc w:val="both"/>
    </w:pPr>
    <w:rPr>
      <w:i/>
      <w:szCs w:val="20"/>
      <w:lang w:val="en-GB"/>
    </w:rPr>
  </w:style>
  <w:style w:type="paragraph" w:customStyle="1" w:styleId="12">
    <w:name w:val="Основной текст1"/>
    <w:basedOn w:val="Normal"/>
    <w:rsid w:val="001D3F17"/>
    <w:pPr>
      <w:widowControl/>
      <w:adjustRightInd/>
      <w:spacing w:after="120"/>
    </w:pPr>
    <w:rPr>
      <w:sz w:val="20"/>
      <w:szCs w:val="20"/>
      <w:lang w:val="ru-RU" w:eastAsia="nl-NL"/>
    </w:rPr>
  </w:style>
  <w:style w:type="character" w:customStyle="1" w:styleId="style221">
    <w:name w:val="style221"/>
    <w:basedOn w:val="DefaultParagraphFont"/>
    <w:rsid w:val="001D3F17"/>
    <w:rPr>
      <w:sz w:val="24"/>
      <w:szCs w:val="24"/>
    </w:rPr>
  </w:style>
  <w:style w:type="paragraph" w:customStyle="1" w:styleId="a4">
    <w:name w:val="Знак"/>
    <w:basedOn w:val="Normal"/>
    <w:rsid w:val="001D3F17"/>
    <w:pPr>
      <w:widowControl/>
      <w:autoSpaceDE/>
      <w:autoSpaceDN/>
      <w:adjustRightInd/>
      <w:spacing w:after="160" w:line="240" w:lineRule="exact"/>
    </w:pPr>
    <w:rPr>
      <w:rFonts w:ascii="Arial" w:hAnsi="Arial" w:cs="Arial"/>
      <w:sz w:val="20"/>
      <w:szCs w:val="20"/>
    </w:rPr>
  </w:style>
  <w:style w:type="paragraph" w:customStyle="1" w:styleId="CommentSubject1">
    <w:name w:val="Comment Subject1"/>
    <w:basedOn w:val="CommentText"/>
    <w:next w:val="CommentText"/>
    <w:semiHidden/>
    <w:rsid w:val="001D3F17"/>
    <w:rPr>
      <w:b/>
      <w:bCs/>
    </w:rPr>
  </w:style>
  <w:style w:type="character" w:customStyle="1" w:styleId="hps">
    <w:name w:val="hps"/>
    <w:basedOn w:val="DefaultParagraphFont"/>
    <w:rsid w:val="001D3F17"/>
  </w:style>
  <w:style w:type="character" w:customStyle="1" w:styleId="hpsatn">
    <w:name w:val="hps atn"/>
    <w:basedOn w:val="DefaultParagraphFont"/>
    <w:rsid w:val="001D3F17"/>
  </w:style>
  <w:style w:type="paragraph" w:customStyle="1" w:styleId="Heading11">
    <w:name w:val="Heading 11"/>
    <w:basedOn w:val="Normal"/>
    <w:next w:val="Normal"/>
    <w:uiPriority w:val="9"/>
    <w:qFormat/>
    <w:rsid w:val="00F2167D"/>
    <w:pPr>
      <w:widowControl/>
      <w:pBdr>
        <w:top w:val="single" w:sz="24" w:space="0" w:color="4F81BD"/>
        <w:left w:val="single" w:sz="24" w:space="0" w:color="4F81BD"/>
        <w:bottom w:val="single" w:sz="24" w:space="0" w:color="4F81BD"/>
        <w:right w:val="single" w:sz="24" w:space="0" w:color="4F81BD"/>
      </w:pBdr>
      <w:shd w:val="clear" w:color="auto" w:fill="4F81BD"/>
      <w:autoSpaceDE/>
      <w:autoSpaceDN/>
      <w:adjustRightInd/>
      <w:spacing w:before="200" w:line="276" w:lineRule="auto"/>
      <w:outlineLvl w:val="0"/>
    </w:pPr>
    <w:rPr>
      <w:rFonts w:ascii="Calibri" w:eastAsia="Calibri" w:hAnsi="Calibri"/>
      <w:b/>
      <w:bCs/>
      <w:caps/>
      <w:color w:val="FFFFFF"/>
      <w:spacing w:val="15"/>
      <w:sz w:val="22"/>
      <w:szCs w:val="22"/>
      <w:lang w:bidi="en-US"/>
    </w:rPr>
  </w:style>
  <w:style w:type="paragraph" w:customStyle="1" w:styleId="Heading21">
    <w:name w:val="Heading 21"/>
    <w:basedOn w:val="Normal"/>
    <w:next w:val="Normal"/>
    <w:uiPriority w:val="9"/>
    <w:unhideWhenUsed/>
    <w:qFormat/>
    <w:rsid w:val="00F2167D"/>
    <w:pPr>
      <w:widowControl/>
      <w:pBdr>
        <w:top w:val="single" w:sz="24" w:space="0" w:color="DBE5F1"/>
        <w:left w:val="single" w:sz="24" w:space="0" w:color="DBE5F1"/>
        <w:bottom w:val="single" w:sz="24" w:space="0" w:color="DBE5F1"/>
        <w:right w:val="single" w:sz="24" w:space="0" w:color="DBE5F1"/>
      </w:pBdr>
      <w:shd w:val="clear" w:color="auto" w:fill="DBE5F1"/>
      <w:autoSpaceDE/>
      <w:autoSpaceDN/>
      <w:adjustRightInd/>
      <w:spacing w:before="200" w:line="276" w:lineRule="auto"/>
      <w:outlineLvl w:val="1"/>
    </w:pPr>
    <w:rPr>
      <w:rFonts w:ascii="Calibri" w:hAnsi="Calibri"/>
      <w:caps/>
      <w:spacing w:val="15"/>
      <w:sz w:val="22"/>
      <w:szCs w:val="22"/>
      <w:lang w:bidi="en-US"/>
    </w:rPr>
  </w:style>
  <w:style w:type="paragraph" w:customStyle="1" w:styleId="Heading31">
    <w:name w:val="Heading 31"/>
    <w:basedOn w:val="Heading51"/>
    <w:next w:val="Normal"/>
    <w:uiPriority w:val="9"/>
    <w:unhideWhenUsed/>
    <w:qFormat/>
    <w:rsid w:val="00F2167D"/>
  </w:style>
  <w:style w:type="paragraph" w:customStyle="1" w:styleId="Heading41">
    <w:name w:val="Heading 41"/>
    <w:basedOn w:val="Normal"/>
    <w:next w:val="Normal"/>
    <w:uiPriority w:val="9"/>
    <w:unhideWhenUsed/>
    <w:qFormat/>
    <w:rsid w:val="00F2167D"/>
    <w:pPr>
      <w:widowControl/>
      <w:pBdr>
        <w:top w:val="dotted" w:sz="6" w:space="2" w:color="4F81BD"/>
        <w:left w:val="dotted" w:sz="6" w:space="2" w:color="4F81BD"/>
      </w:pBdr>
      <w:autoSpaceDE/>
      <w:autoSpaceDN/>
      <w:adjustRightInd/>
      <w:spacing w:before="300" w:line="276" w:lineRule="auto"/>
      <w:outlineLvl w:val="3"/>
    </w:pPr>
    <w:rPr>
      <w:rFonts w:ascii="Calibri" w:hAnsi="Calibri"/>
      <w:caps/>
      <w:color w:val="365F91"/>
      <w:spacing w:val="10"/>
      <w:sz w:val="22"/>
      <w:szCs w:val="22"/>
      <w:lang w:bidi="en-US"/>
    </w:rPr>
  </w:style>
  <w:style w:type="paragraph" w:customStyle="1" w:styleId="Heading51">
    <w:name w:val="Heading 51"/>
    <w:basedOn w:val="Normal"/>
    <w:next w:val="Normal"/>
    <w:uiPriority w:val="9"/>
    <w:unhideWhenUsed/>
    <w:qFormat/>
    <w:rsid w:val="00F2167D"/>
    <w:pPr>
      <w:widowControl/>
      <w:pBdr>
        <w:bottom w:val="single" w:sz="6" w:space="1" w:color="4F81BD"/>
      </w:pBdr>
      <w:autoSpaceDE/>
      <w:autoSpaceDN/>
      <w:adjustRightInd/>
      <w:spacing w:before="300" w:line="276" w:lineRule="auto"/>
      <w:outlineLvl w:val="4"/>
    </w:pPr>
    <w:rPr>
      <w:rFonts w:ascii="Calibri" w:hAnsi="Calibri"/>
      <w:b/>
      <w:caps/>
      <w:spacing w:val="10"/>
      <w:sz w:val="22"/>
      <w:szCs w:val="22"/>
      <w:lang w:bidi="en-US"/>
    </w:rPr>
  </w:style>
  <w:style w:type="paragraph" w:customStyle="1" w:styleId="Heading61">
    <w:name w:val="Heading 61"/>
    <w:basedOn w:val="Normal"/>
    <w:next w:val="Normal"/>
    <w:uiPriority w:val="9"/>
    <w:semiHidden/>
    <w:unhideWhenUsed/>
    <w:qFormat/>
    <w:rsid w:val="00F2167D"/>
    <w:pPr>
      <w:widowControl/>
      <w:pBdr>
        <w:bottom w:val="dotted" w:sz="6" w:space="1" w:color="4F81BD"/>
      </w:pBdr>
      <w:autoSpaceDE/>
      <w:autoSpaceDN/>
      <w:adjustRightInd/>
      <w:spacing w:before="300" w:line="276" w:lineRule="auto"/>
      <w:outlineLvl w:val="5"/>
    </w:pPr>
    <w:rPr>
      <w:rFonts w:ascii="Calibri" w:hAnsi="Calibri"/>
      <w:caps/>
      <w:color w:val="365F91"/>
      <w:spacing w:val="10"/>
      <w:sz w:val="22"/>
      <w:szCs w:val="22"/>
      <w:lang w:bidi="en-US"/>
    </w:rPr>
  </w:style>
  <w:style w:type="paragraph" w:customStyle="1" w:styleId="Heading71">
    <w:name w:val="Heading 71"/>
    <w:basedOn w:val="Normal"/>
    <w:next w:val="Normal"/>
    <w:uiPriority w:val="9"/>
    <w:semiHidden/>
    <w:unhideWhenUsed/>
    <w:qFormat/>
    <w:rsid w:val="00F2167D"/>
    <w:pPr>
      <w:widowControl/>
      <w:autoSpaceDE/>
      <w:autoSpaceDN/>
      <w:adjustRightInd/>
      <w:spacing w:before="300" w:line="276" w:lineRule="auto"/>
      <w:outlineLvl w:val="6"/>
    </w:pPr>
    <w:rPr>
      <w:rFonts w:ascii="Calibri" w:hAnsi="Calibri"/>
      <w:caps/>
      <w:color w:val="365F91"/>
      <w:spacing w:val="10"/>
      <w:sz w:val="22"/>
      <w:szCs w:val="22"/>
      <w:lang w:bidi="en-US"/>
    </w:rPr>
  </w:style>
  <w:style w:type="character" w:customStyle="1" w:styleId="Heading8Char">
    <w:name w:val="Heading 8 Char"/>
    <w:basedOn w:val="DefaultParagraphFont"/>
    <w:link w:val="Heading8"/>
    <w:uiPriority w:val="9"/>
    <w:rsid w:val="00F2167D"/>
    <w:rPr>
      <w:b/>
      <w:bCs/>
      <w:sz w:val="22"/>
      <w:szCs w:val="24"/>
    </w:rPr>
  </w:style>
  <w:style w:type="character" w:customStyle="1" w:styleId="Heading9Char">
    <w:name w:val="Heading 9 Char"/>
    <w:basedOn w:val="DefaultParagraphFont"/>
    <w:link w:val="Heading9"/>
    <w:uiPriority w:val="9"/>
    <w:rsid w:val="00F2167D"/>
    <w:rPr>
      <w:b/>
      <w:bCs/>
      <w:caps/>
      <w:color w:val="000000"/>
      <w:sz w:val="28"/>
      <w:szCs w:val="40"/>
    </w:rPr>
  </w:style>
  <w:style w:type="numbering" w:customStyle="1" w:styleId="NoList1">
    <w:name w:val="No List1"/>
    <w:next w:val="NoList"/>
    <w:uiPriority w:val="99"/>
    <w:semiHidden/>
    <w:unhideWhenUsed/>
    <w:rsid w:val="00F2167D"/>
  </w:style>
  <w:style w:type="character" w:customStyle="1" w:styleId="Heading4Char">
    <w:name w:val="Heading 4 Char"/>
    <w:basedOn w:val="DefaultParagraphFont"/>
    <w:link w:val="Heading4"/>
    <w:uiPriority w:val="9"/>
    <w:rsid w:val="00F2167D"/>
    <w:rPr>
      <w:b/>
      <w:sz w:val="22"/>
      <w:szCs w:val="22"/>
    </w:rPr>
  </w:style>
  <w:style w:type="character" w:customStyle="1" w:styleId="Heading5Char">
    <w:name w:val="Heading 5 Char"/>
    <w:basedOn w:val="DefaultParagraphFont"/>
    <w:link w:val="Heading5"/>
    <w:uiPriority w:val="9"/>
    <w:rsid w:val="00F2167D"/>
    <w:rPr>
      <w:sz w:val="22"/>
      <w:szCs w:val="24"/>
      <w:u w:val="single"/>
    </w:rPr>
  </w:style>
  <w:style w:type="character" w:customStyle="1" w:styleId="Heading6Char">
    <w:name w:val="Heading 6 Char"/>
    <w:basedOn w:val="DefaultParagraphFont"/>
    <w:link w:val="Heading6"/>
    <w:uiPriority w:val="9"/>
    <w:rsid w:val="00F2167D"/>
    <w:rPr>
      <w:b/>
      <w:bCs/>
      <w:smallCaps/>
      <w:sz w:val="24"/>
      <w:szCs w:val="24"/>
    </w:rPr>
  </w:style>
  <w:style w:type="character" w:customStyle="1" w:styleId="Heading7Char">
    <w:name w:val="Heading 7 Char"/>
    <w:basedOn w:val="DefaultParagraphFont"/>
    <w:link w:val="Heading7"/>
    <w:uiPriority w:val="9"/>
    <w:rsid w:val="00F2167D"/>
    <w:rPr>
      <w:b/>
      <w:bCs/>
      <w:color w:val="FF0000"/>
      <w:sz w:val="22"/>
      <w:szCs w:val="24"/>
    </w:rPr>
  </w:style>
  <w:style w:type="paragraph" w:customStyle="1" w:styleId="Caption1">
    <w:name w:val="Caption1"/>
    <w:basedOn w:val="Normal"/>
    <w:next w:val="Normal"/>
    <w:uiPriority w:val="35"/>
    <w:semiHidden/>
    <w:unhideWhenUsed/>
    <w:qFormat/>
    <w:rsid w:val="00F2167D"/>
    <w:pPr>
      <w:widowControl/>
      <w:autoSpaceDE/>
      <w:autoSpaceDN/>
      <w:adjustRightInd/>
      <w:spacing w:before="200" w:after="200" w:line="276" w:lineRule="auto"/>
    </w:pPr>
    <w:rPr>
      <w:rFonts w:ascii="Calibri" w:hAnsi="Calibri"/>
      <w:b/>
      <w:bCs/>
      <w:color w:val="365F91"/>
      <w:sz w:val="16"/>
      <w:szCs w:val="16"/>
      <w:lang w:bidi="en-US"/>
    </w:rPr>
  </w:style>
  <w:style w:type="paragraph" w:customStyle="1" w:styleId="Title1">
    <w:name w:val="Title1"/>
    <w:basedOn w:val="Normal"/>
    <w:next w:val="Normal"/>
    <w:uiPriority w:val="10"/>
    <w:qFormat/>
    <w:rsid w:val="00F2167D"/>
    <w:pPr>
      <w:widowControl/>
      <w:autoSpaceDE/>
      <w:autoSpaceDN/>
      <w:adjustRightInd/>
      <w:spacing w:before="720" w:after="200" w:line="276" w:lineRule="auto"/>
    </w:pPr>
    <w:rPr>
      <w:rFonts w:ascii="Calibri" w:hAnsi="Calibri"/>
      <w:caps/>
      <w:color w:val="4F81BD"/>
      <w:spacing w:val="10"/>
      <w:kern w:val="28"/>
      <w:sz w:val="52"/>
      <w:szCs w:val="52"/>
      <w:lang w:bidi="en-US"/>
    </w:rPr>
  </w:style>
  <w:style w:type="character" w:customStyle="1" w:styleId="TitleChar">
    <w:name w:val="Title Char"/>
    <w:basedOn w:val="DefaultParagraphFont"/>
    <w:link w:val="Title"/>
    <w:uiPriority w:val="10"/>
    <w:rsid w:val="00F2167D"/>
    <w:rPr>
      <w:b/>
      <w:bCs/>
      <w:sz w:val="24"/>
      <w:szCs w:val="24"/>
      <w:lang w:val="lv-LV"/>
    </w:rPr>
  </w:style>
  <w:style w:type="paragraph" w:customStyle="1" w:styleId="Subtitle1">
    <w:name w:val="Subtitle1"/>
    <w:basedOn w:val="Normal"/>
    <w:next w:val="Normal"/>
    <w:uiPriority w:val="11"/>
    <w:qFormat/>
    <w:rsid w:val="00F2167D"/>
    <w:pPr>
      <w:widowControl/>
      <w:autoSpaceDE/>
      <w:autoSpaceDN/>
      <w:adjustRightInd/>
      <w:spacing w:before="200" w:after="1000"/>
    </w:pPr>
    <w:rPr>
      <w:rFonts w:ascii="Calibri" w:hAnsi="Calibri"/>
      <w:caps/>
      <w:color w:val="595959"/>
      <w:spacing w:val="10"/>
      <w:lang w:bidi="en-US"/>
    </w:rPr>
  </w:style>
  <w:style w:type="character" w:customStyle="1" w:styleId="SubtitleChar">
    <w:name w:val="Subtitle Char"/>
    <w:basedOn w:val="DefaultParagraphFont"/>
    <w:link w:val="Subtitle"/>
    <w:uiPriority w:val="11"/>
    <w:rsid w:val="00F2167D"/>
    <w:rPr>
      <w:i/>
      <w:iCs/>
      <w:sz w:val="24"/>
      <w:szCs w:val="24"/>
      <w:lang w:val="lv-LV"/>
    </w:rPr>
  </w:style>
  <w:style w:type="character" w:customStyle="1" w:styleId="Emphasis1">
    <w:name w:val="Emphasis1"/>
    <w:uiPriority w:val="20"/>
    <w:qFormat/>
    <w:rsid w:val="00F2167D"/>
    <w:rPr>
      <w:caps/>
      <w:color w:val="243F60"/>
      <w:spacing w:val="5"/>
    </w:rPr>
  </w:style>
  <w:style w:type="paragraph" w:styleId="NoSpacing">
    <w:name w:val="No Spacing"/>
    <w:basedOn w:val="Normal"/>
    <w:link w:val="NoSpacingChar"/>
    <w:qFormat/>
    <w:rsid w:val="00F2167D"/>
    <w:pPr>
      <w:widowControl/>
      <w:autoSpaceDE/>
      <w:autoSpaceDN/>
      <w:adjustRightInd/>
    </w:pPr>
    <w:rPr>
      <w:rFonts w:ascii="Calibri" w:hAnsi="Calibri"/>
      <w:sz w:val="20"/>
      <w:szCs w:val="20"/>
      <w:lang w:bidi="en-US"/>
    </w:rPr>
  </w:style>
  <w:style w:type="character" w:customStyle="1" w:styleId="NoSpacingChar">
    <w:name w:val="No Spacing Char"/>
    <w:basedOn w:val="DefaultParagraphFont"/>
    <w:link w:val="NoSpacing"/>
    <w:uiPriority w:val="1"/>
    <w:rsid w:val="00F2167D"/>
    <w:rPr>
      <w:rFonts w:ascii="Calibri" w:hAnsi="Calibri"/>
      <w:lang w:bidi="en-US"/>
    </w:rPr>
  </w:style>
  <w:style w:type="paragraph" w:styleId="Quote">
    <w:name w:val="Quote"/>
    <w:basedOn w:val="Normal"/>
    <w:next w:val="Normal"/>
    <w:link w:val="QuoteChar"/>
    <w:uiPriority w:val="29"/>
    <w:qFormat/>
    <w:rsid w:val="00F2167D"/>
    <w:pPr>
      <w:widowControl/>
      <w:autoSpaceDE/>
      <w:autoSpaceDN/>
      <w:adjustRightInd/>
      <w:spacing w:before="200" w:after="200" w:line="276" w:lineRule="auto"/>
    </w:pPr>
    <w:rPr>
      <w:rFonts w:ascii="Calibri" w:hAnsi="Calibri"/>
      <w:i/>
      <w:iCs/>
      <w:sz w:val="20"/>
      <w:szCs w:val="20"/>
      <w:lang w:bidi="en-US"/>
    </w:rPr>
  </w:style>
  <w:style w:type="character" w:customStyle="1" w:styleId="QuoteChar">
    <w:name w:val="Quote Char"/>
    <w:basedOn w:val="DefaultParagraphFont"/>
    <w:link w:val="Quote"/>
    <w:uiPriority w:val="29"/>
    <w:rsid w:val="00F2167D"/>
    <w:rPr>
      <w:rFonts w:ascii="Calibri" w:hAnsi="Calibri"/>
      <w:i/>
      <w:iCs/>
      <w:lang w:bidi="en-US"/>
    </w:rPr>
  </w:style>
  <w:style w:type="paragraph" w:customStyle="1" w:styleId="IntenseQuote1">
    <w:name w:val="Intense Quote1"/>
    <w:basedOn w:val="Normal"/>
    <w:next w:val="Normal"/>
    <w:uiPriority w:val="30"/>
    <w:qFormat/>
    <w:rsid w:val="00F2167D"/>
    <w:pPr>
      <w:widowControl/>
      <w:pBdr>
        <w:top w:val="single" w:sz="4" w:space="10" w:color="4F81BD"/>
        <w:left w:val="single" w:sz="4" w:space="10" w:color="4F81BD"/>
      </w:pBdr>
      <w:autoSpaceDE/>
      <w:autoSpaceDN/>
      <w:adjustRightInd/>
      <w:spacing w:before="200" w:line="276" w:lineRule="auto"/>
      <w:ind w:left="1296" w:right="1152"/>
      <w:jc w:val="both"/>
    </w:pPr>
    <w:rPr>
      <w:rFonts w:ascii="Calibri" w:hAnsi="Calibri"/>
      <w:i/>
      <w:iCs/>
      <w:color w:val="4F81BD"/>
      <w:sz w:val="20"/>
      <w:szCs w:val="20"/>
      <w:lang w:bidi="en-US"/>
    </w:rPr>
  </w:style>
  <w:style w:type="character" w:customStyle="1" w:styleId="IntenseQuoteChar">
    <w:name w:val="Intense Quote Char"/>
    <w:basedOn w:val="DefaultParagraphFont"/>
    <w:link w:val="IntenseQuote"/>
    <w:uiPriority w:val="30"/>
    <w:rsid w:val="00F2167D"/>
    <w:rPr>
      <w:i/>
      <w:iCs/>
      <w:color w:val="4F81BD"/>
    </w:rPr>
  </w:style>
  <w:style w:type="character" w:customStyle="1" w:styleId="SubtleEmphasis1">
    <w:name w:val="Subtle Emphasis1"/>
    <w:uiPriority w:val="19"/>
    <w:qFormat/>
    <w:rsid w:val="00F2167D"/>
    <w:rPr>
      <w:i/>
      <w:iCs/>
      <w:color w:val="243F60"/>
    </w:rPr>
  </w:style>
  <w:style w:type="character" w:customStyle="1" w:styleId="IntenseEmphasis1">
    <w:name w:val="Intense Emphasis1"/>
    <w:uiPriority w:val="21"/>
    <w:qFormat/>
    <w:rsid w:val="00F2167D"/>
    <w:rPr>
      <w:b/>
      <w:bCs/>
      <w:caps/>
      <w:color w:val="243F60"/>
      <w:spacing w:val="10"/>
    </w:rPr>
  </w:style>
  <w:style w:type="character" w:customStyle="1" w:styleId="SubtleReference1">
    <w:name w:val="Subtle Reference1"/>
    <w:uiPriority w:val="31"/>
    <w:qFormat/>
    <w:rsid w:val="00F2167D"/>
    <w:rPr>
      <w:b/>
      <w:bCs/>
      <w:color w:val="4F81BD"/>
    </w:rPr>
  </w:style>
  <w:style w:type="character" w:customStyle="1" w:styleId="IntenseReference1">
    <w:name w:val="Intense Reference1"/>
    <w:uiPriority w:val="32"/>
    <w:qFormat/>
    <w:rsid w:val="00F2167D"/>
    <w:rPr>
      <w:b/>
      <w:bCs/>
      <w:i/>
      <w:iCs/>
      <w:caps/>
      <w:color w:val="4F81BD"/>
    </w:rPr>
  </w:style>
  <w:style w:type="character" w:styleId="BookTitle">
    <w:name w:val="Book Title"/>
    <w:uiPriority w:val="33"/>
    <w:qFormat/>
    <w:rsid w:val="00F2167D"/>
    <w:rPr>
      <w:b/>
      <w:bCs/>
      <w:i/>
      <w:iCs/>
      <w:spacing w:val="9"/>
    </w:rPr>
  </w:style>
  <w:style w:type="paragraph" w:styleId="TOCHeading">
    <w:name w:val="TOC Heading"/>
    <w:basedOn w:val="Heading1"/>
    <w:next w:val="Normal"/>
    <w:uiPriority w:val="39"/>
    <w:semiHidden/>
    <w:unhideWhenUsed/>
    <w:qFormat/>
    <w:rsid w:val="00F2167D"/>
    <w:pPr>
      <w:keepNext w:val="0"/>
      <w:widowControl/>
      <w:pBdr>
        <w:top w:val="single" w:sz="24" w:space="0" w:color="4F81BD"/>
        <w:left w:val="single" w:sz="24" w:space="0" w:color="4F81BD"/>
        <w:bottom w:val="single" w:sz="24" w:space="0" w:color="4F81BD"/>
        <w:right w:val="single" w:sz="24" w:space="0" w:color="4F81BD"/>
      </w:pBdr>
      <w:shd w:val="clear" w:color="auto" w:fill="4F81BD"/>
      <w:autoSpaceDE/>
      <w:autoSpaceDN/>
      <w:adjustRightInd/>
      <w:spacing w:before="200" w:after="0" w:line="276" w:lineRule="auto"/>
      <w:outlineLvl w:val="9"/>
    </w:pPr>
    <w:rPr>
      <w:rFonts w:ascii="Calibri" w:hAnsi="Calibri" w:cs="Times New Roman"/>
      <w:caps/>
      <w:color w:val="FFFFFF"/>
      <w:spacing w:val="15"/>
      <w:kern w:val="0"/>
      <w:sz w:val="22"/>
      <w:szCs w:val="22"/>
      <w:lang w:bidi="en-US"/>
    </w:rPr>
  </w:style>
  <w:style w:type="paragraph" w:customStyle="1" w:styleId="normalbullet">
    <w:name w:val="normal bullet"/>
    <w:basedOn w:val="Normal"/>
    <w:link w:val="normalbulletChar"/>
    <w:qFormat/>
    <w:rsid w:val="00F2167D"/>
    <w:pPr>
      <w:widowControl/>
      <w:numPr>
        <w:numId w:val="22"/>
      </w:numPr>
      <w:autoSpaceDE/>
      <w:autoSpaceDN/>
      <w:adjustRightInd/>
      <w:spacing w:before="60" w:after="60"/>
    </w:pPr>
    <w:rPr>
      <w:rFonts w:ascii="Calibri" w:hAnsi="Calibri"/>
      <w:sz w:val="20"/>
      <w:szCs w:val="20"/>
      <w:lang w:bidi="en-US"/>
    </w:rPr>
  </w:style>
  <w:style w:type="character" w:customStyle="1" w:styleId="normalbulletChar">
    <w:name w:val="normal bullet Char"/>
    <w:basedOn w:val="DefaultParagraphFont"/>
    <w:link w:val="normalbullet"/>
    <w:rsid w:val="00F2167D"/>
    <w:rPr>
      <w:rFonts w:ascii="Calibri" w:hAnsi="Calibri"/>
      <w:lang w:bidi="en-US"/>
    </w:rPr>
  </w:style>
  <w:style w:type="paragraph" w:customStyle="1" w:styleId="Normalbullet0">
    <w:name w:val="Normal bullet"/>
    <w:basedOn w:val="Normal"/>
    <w:link w:val="NormalbulletChar0"/>
    <w:qFormat/>
    <w:rsid w:val="00F2167D"/>
    <w:pPr>
      <w:widowControl/>
      <w:autoSpaceDE/>
      <w:autoSpaceDN/>
      <w:adjustRightInd/>
      <w:spacing w:after="200" w:line="276" w:lineRule="auto"/>
    </w:pPr>
    <w:rPr>
      <w:rFonts w:ascii="Calibri" w:hAnsi="Calibri" w:cs="Calibri"/>
      <w:bCs/>
      <w:sz w:val="22"/>
      <w:szCs w:val="22"/>
      <w:lang w:bidi="en-US"/>
    </w:rPr>
  </w:style>
  <w:style w:type="character" w:customStyle="1" w:styleId="NormalbulletChar0">
    <w:name w:val="Normal bullet Char"/>
    <w:basedOn w:val="DefaultParagraphFont"/>
    <w:link w:val="Normalbullet0"/>
    <w:rsid w:val="00F2167D"/>
    <w:rPr>
      <w:rFonts w:ascii="Calibri" w:hAnsi="Calibri" w:cs="Calibri"/>
      <w:bCs/>
      <w:sz w:val="22"/>
      <w:szCs w:val="22"/>
      <w:lang w:bidi="en-US"/>
    </w:rPr>
  </w:style>
  <w:style w:type="character" w:customStyle="1" w:styleId="BodyTextChar">
    <w:name w:val="Body Text Char"/>
    <w:basedOn w:val="DefaultParagraphFont"/>
    <w:link w:val="BodyText"/>
    <w:rsid w:val="00F2167D"/>
    <w:rPr>
      <w:rFonts w:ascii="Garamond" w:hAnsi="Garamond"/>
      <w:sz w:val="22"/>
      <w:lang w:val="fr-CA"/>
    </w:rPr>
  </w:style>
  <w:style w:type="character" w:customStyle="1" w:styleId="ListParagraphChar">
    <w:name w:val="List Paragraph Char"/>
    <w:basedOn w:val="DefaultParagraphFont"/>
    <w:link w:val="ListParagraph"/>
    <w:uiPriority w:val="99"/>
    <w:rsid w:val="00F2167D"/>
    <w:rPr>
      <w:sz w:val="24"/>
      <w:szCs w:val="24"/>
    </w:rPr>
  </w:style>
  <w:style w:type="character" w:customStyle="1" w:styleId="BalloonTextChar">
    <w:name w:val="Balloon Text Char"/>
    <w:basedOn w:val="DefaultParagraphFont"/>
    <w:link w:val="BalloonText"/>
    <w:uiPriority w:val="99"/>
    <w:semiHidden/>
    <w:rsid w:val="00F2167D"/>
    <w:rPr>
      <w:rFonts w:ascii="Tahoma" w:hAnsi="Tahoma" w:cs="Tahoma"/>
      <w:sz w:val="16"/>
      <w:szCs w:val="16"/>
    </w:rPr>
  </w:style>
  <w:style w:type="character" w:customStyle="1" w:styleId="HeaderChar">
    <w:name w:val="Header Char"/>
    <w:aliases w:val="EthylHeader Char"/>
    <w:basedOn w:val="DefaultParagraphFont"/>
    <w:link w:val="Header"/>
    <w:uiPriority w:val="99"/>
    <w:rsid w:val="00F2167D"/>
    <w:rPr>
      <w:sz w:val="24"/>
      <w:szCs w:val="24"/>
    </w:rPr>
  </w:style>
  <w:style w:type="character" w:customStyle="1" w:styleId="FooterChar">
    <w:name w:val="Footer Char"/>
    <w:basedOn w:val="DefaultParagraphFont"/>
    <w:link w:val="Footer"/>
    <w:uiPriority w:val="99"/>
    <w:rsid w:val="00F2167D"/>
    <w:rPr>
      <w:sz w:val="24"/>
      <w:szCs w:val="24"/>
    </w:rPr>
  </w:style>
  <w:style w:type="character" w:customStyle="1" w:styleId="FollowedHyperlink1">
    <w:name w:val="FollowedHyperlink1"/>
    <w:basedOn w:val="DefaultParagraphFont"/>
    <w:uiPriority w:val="99"/>
    <w:semiHidden/>
    <w:unhideWhenUsed/>
    <w:rsid w:val="00F2167D"/>
    <w:rPr>
      <w:color w:val="800080"/>
      <w:u w:val="single"/>
    </w:rPr>
  </w:style>
  <w:style w:type="character" w:styleId="HTMLCite">
    <w:name w:val="HTML Cite"/>
    <w:basedOn w:val="DefaultParagraphFont"/>
    <w:uiPriority w:val="99"/>
    <w:unhideWhenUsed/>
    <w:rsid w:val="00F2167D"/>
    <w:rPr>
      <w:i w:val="0"/>
      <w:iCs w:val="0"/>
      <w:color w:val="0E774A"/>
    </w:rPr>
  </w:style>
  <w:style w:type="character" w:customStyle="1" w:styleId="CommentTextChar">
    <w:name w:val="Comment Text Char"/>
    <w:basedOn w:val="DefaultParagraphFont"/>
    <w:link w:val="CommentText"/>
    <w:rsid w:val="00F2167D"/>
  </w:style>
  <w:style w:type="character" w:customStyle="1" w:styleId="CommentSubjectChar">
    <w:name w:val="Comment Subject Char"/>
    <w:basedOn w:val="CommentTextChar"/>
    <w:link w:val="CommentSubject"/>
    <w:uiPriority w:val="99"/>
    <w:semiHidden/>
    <w:rsid w:val="00F2167D"/>
    <w:rPr>
      <w:b/>
      <w:bCs/>
      <w:lang w:val="en-GB"/>
    </w:rPr>
  </w:style>
  <w:style w:type="paragraph" w:styleId="Revision">
    <w:name w:val="Revision"/>
    <w:hidden/>
    <w:uiPriority w:val="99"/>
    <w:semiHidden/>
    <w:rsid w:val="00F2167D"/>
    <w:rPr>
      <w:rFonts w:ascii="Calibri" w:hAnsi="Calibri"/>
      <w:lang w:bidi="en-US"/>
    </w:rPr>
  </w:style>
  <w:style w:type="table" w:customStyle="1" w:styleId="LightList1">
    <w:name w:val="Light List1"/>
    <w:basedOn w:val="TableNormal"/>
    <w:uiPriority w:val="61"/>
    <w:rsid w:val="00F2167D"/>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2167D"/>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F2167D"/>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F2167D"/>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F2167D"/>
    <w:rPr>
      <w:rFonts w:ascii="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F2167D"/>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F2167D"/>
    <w:rPr>
      <w:rFonts w:ascii="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63"/>
    <w:rsid w:val="00F2167D"/>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F2167D"/>
    <w:rPr>
      <w:color w:val="808080"/>
    </w:rPr>
  </w:style>
  <w:style w:type="character" w:customStyle="1" w:styleId="apple-style-span">
    <w:name w:val="apple-style-span"/>
    <w:basedOn w:val="DefaultParagraphFont"/>
    <w:rsid w:val="00F2167D"/>
  </w:style>
  <w:style w:type="table" w:customStyle="1" w:styleId="LightShading1">
    <w:name w:val="Light Shading1"/>
    <w:basedOn w:val="TableNormal"/>
    <w:uiPriority w:val="60"/>
    <w:rsid w:val="00F2167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cumentMapChar">
    <w:name w:val="Document Map Char"/>
    <w:basedOn w:val="DefaultParagraphFont"/>
    <w:link w:val="DocumentMap"/>
    <w:uiPriority w:val="99"/>
    <w:semiHidden/>
    <w:rsid w:val="00F2167D"/>
    <w:rPr>
      <w:rFonts w:ascii="Tahoma" w:hAnsi="Tahoma" w:cs="MS Gothic"/>
      <w:shd w:val="clear" w:color="auto" w:fill="000080"/>
      <w:lang w:val="en-GB"/>
    </w:rPr>
  </w:style>
  <w:style w:type="character" w:customStyle="1" w:styleId="BodyText2Char">
    <w:name w:val="Body Text 2 Char"/>
    <w:basedOn w:val="DefaultParagraphFont"/>
    <w:link w:val="BodyText2"/>
    <w:uiPriority w:val="99"/>
    <w:rsid w:val="00F2167D"/>
    <w:rPr>
      <w:sz w:val="24"/>
      <w:szCs w:val="24"/>
    </w:rPr>
  </w:style>
  <w:style w:type="character" w:customStyle="1" w:styleId="Heading3Char1">
    <w:name w:val="Heading 3 Char1"/>
    <w:basedOn w:val="DefaultParagraphFont"/>
    <w:uiPriority w:val="9"/>
    <w:semiHidden/>
    <w:rsid w:val="00F2167D"/>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2167D"/>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2167D"/>
    <w:rPr>
      <w:rFonts w:ascii="Cambria" w:eastAsia="Times New Roman" w:hAnsi="Cambria" w:cs="Times New Roman"/>
      <w:color w:val="243F60"/>
    </w:rPr>
  </w:style>
  <w:style w:type="character" w:customStyle="1" w:styleId="Heading6Char1">
    <w:name w:val="Heading 6 Char1"/>
    <w:basedOn w:val="DefaultParagraphFont"/>
    <w:uiPriority w:val="9"/>
    <w:semiHidden/>
    <w:rsid w:val="00F2167D"/>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2167D"/>
    <w:rPr>
      <w:rFonts w:ascii="Cambria" w:eastAsia="Times New Roman" w:hAnsi="Cambria" w:cs="Times New Roman"/>
      <w:i/>
      <w:iCs/>
      <w:color w:val="404040"/>
    </w:rPr>
  </w:style>
  <w:style w:type="character" w:customStyle="1" w:styleId="TitleChar1">
    <w:name w:val="Title Char1"/>
    <w:basedOn w:val="DefaultParagraphFont"/>
    <w:uiPriority w:val="10"/>
    <w:rsid w:val="00F2167D"/>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uiPriority w:val="11"/>
    <w:rsid w:val="00F2167D"/>
    <w:rPr>
      <w:rFonts w:ascii="Cambria" w:eastAsia="Times New Roman" w:hAnsi="Cambria" w:cs="Times New Roman"/>
      <w:i/>
      <w:iCs/>
      <w:color w:val="4F81BD"/>
      <w:spacing w:val="15"/>
      <w:sz w:val="24"/>
      <w:szCs w:val="24"/>
    </w:rPr>
  </w:style>
  <w:style w:type="paragraph" w:styleId="IntenseQuote">
    <w:name w:val="Intense Quote"/>
    <w:basedOn w:val="Normal"/>
    <w:next w:val="Normal"/>
    <w:link w:val="IntenseQuoteChar"/>
    <w:uiPriority w:val="30"/>
    <w:qFormat/>
    <w:rsid w:val="00F2167D"/>
    <w:pPr>
      <w:widowControl/>
      <w:pBdr>
        <w:bottom w:val="single" w:sz="4" w:space="4" w:color="4F81BD"/>
      </w:pBdr>
      <w:autoSpaceDE/>
      <w:autoSpaceDN/>
      <w:adjustRightInd/>
      <w:spacing w:before="200" w:after="280" w:line="276" w:lineRule="auto"/>
      <w:ind w:left="936" w:right="936"/>
    </w:pPr>
    <w:rPr>
      <w:i/>
      <w:iCs/>
      <w:color w:val="4F81BD"/>
      <w:sz w:val="20"/>
      <w:szCs w:val="20"/>
    </w:rPr>
  </w:style>
  <w:style w:type="character" w:customStyle="1" w:styleId="IntenseQuoteChar1">
    <w:name w:val="Intense Quote Char1"/>
    <w:basedOn w:val="DefaultParagraphFont"/>
    <w:uiPriority w:val="30"/>
    <w:rsid w:val="00F2167D"/>
    <w:rPr>
      <w:b/>
      <w:bCs/>
      <w:i/>
      <w:iCs/>
      <w:color w:val="4F81BD" w:themeColor="accent1"/>
      <w:sz w:val="24"/>
      <w:szCs w:val="24"/>
    </w:rPr>
  </w:style>
  <w:style w:type="character" w:styleId="SubtleEmphasis">
    <w:name w:val="Subtle Emphasis"/>
    <w:basedOn w:val="DefaultParagraphFont"/>
    <w:uiPriority w:val="19"/>
    <w:qFormat/>
    <w:rsid w:val="00F2167D"/>
    <w:rPr>
      <w:i/>
      <w:iCs/>
      <w:color w:val="808080"/>
    </w:rPr>
  </w:style>
  <w:style w:type="character" w:styleId="IntenseEmphasis">
    <w:name w:val="Intense Emphasis"/>
    <w:basedOn w:val="DefaultParagraphFont"/>
    <w:uiPriority w:val="21"/>
    <w:qFormat/>
    <w:rsid w:val="00F2167D"/>
    <w:rPr>
      <w:b/>
      <w:bCs/>
      <w:i/>
      <w:iCs/>
      <w:color w:val="4F81BD"/>
    </w:rPr>
  </w:style>
  <w:style w:type="character" w:styleId="SubtleReference">
    <w:name w:val="Subtle Reference"/>
    <w:basedOn w:val="DefaultParagraphFont"/>
    <w:uiPriority w:val="31"/>
    <w:qFormat/>
    <w:rsid w:val="00F2167D"/>
    <w:rPr>
      <w:smallCaps/>
      <w:color w:val="C0504D"/>
      <w:u w:val="single"/>
    </w:rPr>
  </w:style>
  <w:style w:type="character" w:styleId="IntenseReference">
    <w:name w:val="Intense Reference"/>
    <w:basedOn w:val="DefaultParagraphFont"/>
    <w:uiPriority w:val="32"/>
    <w:qFormat/>
    <w:rsid w:val="00F2167D"/>
    <w:rPr>
      <w:b/>
      <w:bCs/>
      <w:smallCaps/>
      <w:color w:val="C0504D"/>
      <w:spacing w:val="5"/>
      <w:u w:val="single"/>
    </w:rPr>
  </w:style>
  <w:style w:type="table" w:styleId="LightList-Accent2">
    <w:name w:val="Light List Accent 2"/>
    <w:basedOn w:val="TableNormal"/>
    <w:uiPriority w:val="61"/>
    <w:rsid w:val="00F2167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Grid-Accent5">
    <w:name w:val="Colorful Grid Accent 5"/>
    <w:basedOn w:val="TableNormal"/>
    <w:uiPriority w:val="73"/>
    <w:rsid w:val="00F2167D"/>
    <w:rPr>
      <w:rFonts w:ascii="Calibri" w:eastAsia="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1">
    <w:name w:val="Colorful Grid Accent 1"/>
    <w:basedOn w:val="TableNormal"/>
    <w:uiPriority w:val="73"/>
    <w:rsid w:val="00F2167D"/>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odyTextIndentChar">
    <w:name w:val="Body Text Indent Char"/>
    <w:basedOn w:val="DefaultParagraphFont"/>
    <w:link w:val="BodyTextIndent"/>
    <w:uiPriority w:val="99"/>
    <w:rsid w:val="00F2167D"/>
    <w:rPr>
      <w:sz w:val="24"/>
      <w:szCs w:val="24"/>
    </w:rPr>
  </w:style>
  <w:style w:type="paragraph" w:customStyle="1" w:styleId="TableText">
    <w:name w:val="TableText"/>
    <w:autoRedefine/>
    <w:rsid w:val="00157434"/>
    <w:pPr>
      <w:suppressAutoHyphens/>
    </w:pPr>
    <w:rPr>
      <w:sz w:val="18"/>
      <w:szCs w:val="18"/>
      <w:lang w:val="en-GB"/>
    </w:rPr>
  </w:style>
  <w:style w:type="paragraph" w:customStyle="1" w:styleId="Para">
    <w:name w:val="Para"/>
    <w:basedOn w:val="Normal"/>
    <w:autoRedefine/>
    <w:rsid w:val="00157434"/>
    <w:pPr>
      <w:widowControl/>
      <w:numPr>
        <w:numId w:val="24"/>
      </w:numPr>
      <w:autoSpaceDE/>
      <w:autoSpaceDN/>
      <w:adjustRightInd/>
      <w:spacing w:before="120" w:after="180"/>
      <w:ind w:left="0" w:firstLine="0"/>
      <w:jc w:val="both"/>
    </w:pPr>
    <w:rPr>
      <w:sz w:val="22"/>
      <w:szCs w:val="22"/>
    </w:rPr>
  </w:style>
  <w:style w:type="character" w:customStyle="1" w:styleId="BodyText3Char">
    <w:name w:val="Body Text 3 Char"/>
    <w:basedOn w:val="DefaultParagraphFont"/>
    <w:link w:val="BodyText3"/>
    <w:uiPriority w:val="99"/>
    <w:rsid w:val="00157434"/>
    <w:rPr>
      <w:sz w:val="24"/>
    </w:rPr>
  </w:style>
  <w:style w:type="paragraph" w:customStyle="1" w:styleId="TableParagraph">
    <w:name w:val="Table Paragraph"/>
    <w:basedOn w:val="Normal"/>
    <w:uiPriority w:val="1"/>
    <w:qFormat/>
    <w:rsid w:val="005D59CA"/>
    <w:pPr>
      <w:autoSpaceDE/>
      <w:autoSpaceDN/>
      <w:adjustRightInd/>
    </w:pPr>
    <w:rPr>
      <w:rFonts w:asciiTheme="minorHAnsi" w:eastAsiaTheme="minorHAnsi" w:hAnsiTheme="minorHAnsi" w:cstheme="minorBidi"/>
      <w:sz w:val="22"/>
      <w:szCs w:val="22"/>
    </w:rPr>
  </w:style>
  <w:style w:type="paragraph" w:customStyle="1" w:styleId="footnotedescription">
    <w:name w:val="footnote description"/>
    <w:next w:val="Normal"/>
    <w:link w:val="footnotedescriptionChar"/>
    <w:hidden/>
    <w:rsid w:val="00860C57"/>
    <w:pPr>
      <w:spacing w:after="79" w:line="259" w:lineRule="auto"/>
    </w:pPr>
    <w:rPr>
      <w:rFonts w:ascii="Calibri" w:eastAsia="Calibri" w:hAnsi="Calibri" w:cs="Calibri"/>
      <w:color w:val="0000FF"/>
      <w:sz w:val="22"/>
      <w:szCs w:val="28"/>
      <w:u w:val="single" w:color="0000FF"/>
      <w:lang w:bidi="th-TH"/>
    </w:rPr>
  </w:style>
  <w:style w:type="character" w:customStyle="1" w:styleId="footnotedescriptionChar">
    <w:name w:val="footnote description Char"/>
    <w:link w:val="footnotedescription"/>
    <w:rsid w:val="00860C57"/>
    <w:rPr>
      <w:rFonts w:ascii="Calibri" w:eastAsia="Calibri" w:hAnsi="Calibri" w:cs="Calibri"/>
      <w:color w:val="0000FF"/>
      <w:sz w:val="22"/>
      <w:szCs w:val="28"/>
      <w:u w:val="single" w:color="0000FF"/>
      <w:lang w:bidi="th-TH"/>
    </w:rPr>
  </w:style>
  <w:style w:type="character" w:customStyle="1" w:styleId="footnotemark">
    <w:name w:val="footnote mark"/>
    <w:hidden/>
    <w:rsid w:val="00860C57"/>
    <w:rPr>
      <w:rFonts w:ascii="Calibri" w:eastAsia="Calibri" w:hAnsi="Calibri" w:cs="Calibri"/>
      <w:color w:val="000000"/>
      <w:sz w:val="18"/>
      <w:vertAlign w:val="superscript"/>
    </w:rPr>
  </w:style>
  <w:style w:type="numbering" w:customStyle="1" w:styleId="CurrentList1">
    <w:name w:val="Current List1"/>
    <w:uiPriority w:val="99"/>
    <w:rsid w:val="004E655E"/>
    <w:pPr>
      <w:numPr>
        <w:numId w:val="37"/>
      </w:numPr>
    </w:pPr>
  </w:style>
  <w:style w:type="paragraph" w:customStyle="1" w:styleId="CharCharChar1">
    <w:name w:val="Char Char Char1"/>
    <w:basedOn w:val="Normal"/>
    <w:rsid w:val="008430AC"/>
    <w:pPr>
      <w:widowControl/>
      <w:autoSpaceDE/>
      <w:autoSpaceDN/>
      <w:adjustRightInd/>
      <w:spacing w:after="160" w:line="240" w:lineRule="exact"/>
    </w:pPr>
    <w:rPr>
      <w:rFonts w:cs="Arial"/>
      <w:sz w:val="20"/>
      <w:szCs w:val="20"/>
    </w:rPr>
  </w:style>
  <w:style w:type="paragraph" w:customStyle="1" w:styleId="IFADparagraphnumbering">
    <w:name w:val="IFAD paragraph numbering"/>
    <w:basedOn w:val="BodyText"/>
    <w:rsid w:val="008430AC"/>
    <w:pPr>
      <w:numPr>
        <w:numId w:val="52"/>
      </w:numPr>
      <w:overflowPunct/>
      <w:autoSpaceDE/>
      <w:autoSpaceDN/>
      <w:adjustRightInd/>
      <w:spacing w:before="120" w:after="120"/>
      <w:textAlignment w:val="auto"/>
    </w:pPr>
    <w:rPr>
      <w:rFonts w:ascii="Times New Roman" w:hAnsi="Times New Roman"/>
      <w:i/>
      <w:iCs/>
      <w:sz w:val="24"/>
      <w:szCs w:val="22"/>
      <w:lang w:val="fr-FR" w:eastAsia="en-GB"/>
    </w:rPr>
  </w:style>
  <w:style w:type="paragraph" w:customStyle="1" w:styleId="IFADparagraphno2ndlevel">
    <w:name w:val="IFAD paragraph no. 2nd level"/>
    <w:basedOn w:val="IFADparagraphnumbering"/>
    <w:rsid w:val="008430AC"/>
    <w:pPr>
      <w:numPr>
        <w:ilvl w:val="1"/>
      </w:numPr>
    </w:pPr>
  </w:style>
  <w:style w:type="paragraph" w:customStyle="1" w:styleId="IFADparagraphno3rdlevel">
    <w:name w:val="IFAD paragraph no. 3rd level"/>
    <w:basedOn w:val="IFADparagraphnumbering"/>
    <w:rsid w:val="008430AC"/>
    <w:pPr>
      <w:numPr>
        <w:ilvl w:val="2"/>
      </w:numPr>
    </w:pPr>
  </w:style>
  <w:style w:type="paragraph" w:customStyle="1" w:styleId="IFADparagraphno4thlevel">
    <w:name w:val="IFAD paragraph no. 4th level"/>
    <w:basedOn w:val="IFADparagraphnumbering"/>
    <w:rsid w:val="008430AC"/>
    <w:pPr>
      <w:numPr>
        <w:ilvl w:val="3"/>
      </w:numPr>
    </w:pPr>
  </w:style>
  <w:style w:type="paragraph" w:customStyle="1" w:styleId="ParaCharChar">
    <w:name w:val="Para Char Char"/>
    <w:basedOn w:val="Normal"/>
    <w:autoRedefine/>
    <w:rsid w:val="006061B4"/>
    <w:pPr>
      <w:widowControl/>
      <w:numPr>
        <w:numId w:val="68"/>
      </w:numPr>
      <w:tabs>
        <w:tab w:val="left" w:pos="-7200"/>
        <w:tab w:val="left" w:pos="-7110"/>
        <w:tab w:val="left" w:pos="-7020"/>
        <w:tab w:val="left" w:pos="0"/>
      </w:tabs>
      <w:autoSpaceDE/>
      <w:autoSpaceDN/>
      <w:adjustRightInd/>
      <w:ind w:right="360"/>
      <w:jc w:val="both"/>
    </w:pPr>
    <w:rPr>
      <w:rFonts w:eastAsia="Arial Unicode MS" w:cs="Arial"/>
      <w:sz w:val="20"/>
      <w:szCs w:val="20"/>
    </w:rPr>
  </w:style>
  <w:style w:type="character" w:customStyle="1" w:styleId="longtext">
    <w:name w:val="long_text"/>
    <w:rsid w:val="00EA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0950">
      <w:bodyDiv w:val="1"/>
      <w:marLeft w:val="0"/>
      <w:marRight w:val="0"/>
      <w:marTop w:val="0"/>
      <w:marBottom w:val="0"/>
      <w:divBdr>
        <w:top w:val="none" w:sz="0" w:space="0" w:color="auto"/>
        <w:left w:val="none" w:sz="0" w:space="0" w:color="auto"/>
        <w:bottom w:val="none" w:sz="0" w:space="0" w:color="auto"/>
        <w:right w:val="none" w:sz="0" w:space="0" w:color="auto"/>
      </w:divBdr>
    </w:div>
    <w:div w:id="140275536">
      <w:bodyDiv w:val="1"/>
      <w:marLeft w:val="0"/>
      <w:marRight w:val="0"/>
      <w:marTop w:val="0"/>
      <w:marBottom w:val="0"/>
      <w:divBdr>
        <w:top w:val="none" w:sz="0" w:space="0" w:color="auto"/>
        <w:left w:val="none" w:sz="0" w:space="0" w:color="auto"/>
        <w:bottom w:val="none" w:sz="0" w:space="0" w:color="auto"/>
        <w:right w:val="none" w:sz="0" w:space="0" w:color="auto"/>
      </w:divBdr>
    </w:div>
    <w:div w:id="299578441">
      <w:bodyDiv w:val="1"/>
      <w:marLeft w:val="0"/>
      <w:marRight w:val="0"/>
      <w:marTop w:val="0"/>
      <w:marBottom w:val="0"/>
      <w:divBdr>
        <w:top w:val="none" w:sz="0" w:space="0" w:color="auto"/>
        <w:left w:val="none" w:sz="0" w:space="0" w:color="auto"/>
        <w:bottom w:val="none" w:sz="0" w:space="0" w:color="auto"/>
        <w:right w:val="none" w:sz="0" w:space="0" w:color="auto"/>
      </w:divBdr>
    </w:div>
    <w:div w:id="430248044">
      <w:bodyDiv w:val="1"/>
      <w:marLeft w:val="0"/>
      <w:marRight w:val="0"/>
      <w:marTop w:val="0"/>
      <w:marBottom w:val="0"/>
      <w:divBdr>
        <w:top w:val="none" w:sz="0" w:space="0" w:color="auto"/>
        <w:left w:val="none" w:sz="0" w:space="0" w:color="auto"/>
        <w:bottom w:val="none" w:sz="0" w:space="0" w:color="auto"/>
        <w:right w:val="none" w:sz="0" w:space="0" w:color="auto"/>
      </w:divBdr>
    </w:div>
    <w:div w:id="554435061">
      <w:bodyDiv w:val="1"/>
      <w:marLeft w:val="0"/>
      <w:marRight w:val="0"/>
      <w:marTop w:val="0"/>
      <w:marBottom w:val="0"/>
      <w:divBdr>
        <w:top w:val="none" w:sz="0" w:space="0" w:color="auto"/>
        <w:left w:val="none" w:sz="0" w:space="0" w:color="auto"/>
        <w:bottom w:val="none" w:sz="0" w:space="0" w:color="auto"/>
        <w:right w:val="none" w:sz="0" w:space="0" w:color="auto"/>
      </w:divBdr>
    </w:div>
    <w:div w:id="747727201">
      <w:bodyDiv w:val="1"/>
      <w:marLeft w:val="0"/>
      <w:marRight w:val="0"/>
      <w:marTop w:val="0"/>
      <w:marBottom w:val="0"/>
      <w:divBdr>
        <w:top w:val="none" w:sz="0" w:space="0" w:color="auto"/>
        <w:left w:val="none" w:sz="0" w:space="0" w:color="auto"/>
        <w:bottom w:val="none" w:sz="0" w:space="0" w:color="auto"/>
        <w:right w:val="none" w:sz="0" w:space="0" w:color="auto"/>
      </w:divBdr>
    </w:div>
    <w:div w:id="783691991">
      <w:bodyDiv w:val="1"/>
      <w:marLeft w:val="0"/>
      <w:marRight w:val="0"/>
      <w:marTop w:val="0"/>
      <w:marBottom w:val="0"/>
      <w:divBdr>
        <w:top w:val="none" w:sz="0" w:space="0" w:color="auto"/>
        <w:left w:val="none" w:sz="0" w:space="0" w:color="auto"/>
        <w:bottom w:val="none" w:sz="0" w:space="0" w:color="auto"/>
        <w:right w:val="none" w:sz="0" w:space="0" w:color="auto"/>
      </w:divBdr>
    </w:div>
    <w:div w:id="819661599">
      <w:bodyDiv w:val="1"/>
      <w:marLeft w:val="0"/>
      <w:marRight w:val="0"/>
      <w:marTop w:val="0"/>
      <w:marBottom w:val="0"/>
      <w:divBdr>
        <w:top w:val="none" w:sz="0" w:space="0" w:color="auto"/>
        <w:left w:val="none" w:sz="0" w:space="0" w:color="auto"/>
        <w:bottom w:val="none" w:sz="0" w:space="0" w:color="auto"/>
        <w:right w:val="none" w:sz="0" w:space="0" w:color="auto"/>
      </w:divBdr>
    </w:div>
    <w:div w:id="854610403">
      <w:bodyDiv w:val="1"/>
      <w:marLeft w:val="0"/>
      <w:marRight w:val="0"/>
      <w:marTop w:val="0"/>
      <w:marBottom w:val="0"/>
      <w:divBdr>
        <w:top w:val="none" w:sz="0" w:space="0" w:color="auto"/>
        <w:left w:val="none" w:sz="0" w:space="0" w:color="auto"/>
        <w:bottom w:val="none" w:sz="0" w:space="0" w:color="auto"/>
        <w:right w:val="none" w:sz="0" w:space="0" w:color="auto"/>
      </w:divBdr>
    </w:div>
    <w:div w:id="887258560">
      <w:bodyDiv w:val="1"/>
      <w:marLeft w:val="0"/>
      <w:marRight w:val="0"/>
      <w:marTop w:val="0"/>
      <w:marBottom w:val="0"/>
      <w:divBdr>
        <w:top w:val="none" w:sz="0" w:space="0" w:color="auto"/>
        <w:left w:val="none" w:sz="0" w:space="0" w:color="auto"/>
        <w:bottom w:val="none" w:sz="0" w:space="0" w:color="auto"/>
        <w:right w:val="none" w:sz="0" w:space="0" w:color="auto"/>
      </w:divBdr>
      <w:divsChild>
        <w:div w:id="1807888902">
          <w:marLeft w:val="547"/>
          <w:marRight w:val="0"/>
          <w:marTop w:val="134"/>
          <w:marBottom w:val="0"/>
          <w:divBdr>
            <w:top w:val="none" w:sz="0" w:space="0" w:color="auto"/>
            <w:left w:val="none" w:sz="0" w:space="0" w:color="auto"/>
            <w:bottom w:val="none" w:sz="0" w:space="0" w:color="auto"/>
            <w:right w:val="none" w:sz="0" w:space="0" w:color="auto"/>
          </w:divBdr>
        </w:div>
      </w:divsChild>
    </w:div>
    <w:div w:id="1082599988">
      <w:bodyDiv w:val="1"/>
      <w:marLeft w:val="0"/>
      <w:marRight w:val="0"/>
      <w:marTop w:val="0"/>
      <w:marBottom w:val="0"/>
      <w:divBdr>
        <w:top w:val="none" w:sz="0" w:space="0" w:color="auto"/>
        <w:left w:val="none" w:sz="0" w:space="0" w:color="auto"/>
        <w:bottom w:val="none" w:sz="0" w:space="0" w:color="auto"/>
        <w:right w:val="none" w:sz="0" w:space="0" w:color="auto"/>
      </w:divBdr>
    </w:div>
    <w:div w:id="1357778633">
      <w:bodyDiv w:val="1"/>
      <w:marLeft w:val="0"/>
      <w:marRight w:val="0"/>
      <w:marTop w:val="0"/>
      <w:marBottom w:val="0"/>
      <w:divBdr>
        <w:top w:val="none" w:sz="0" w:space="0" w:color="auto"/>
        <w:left w:val="none" w:sz="0" w:space="0" w:color="auto"/>
        <w:bottom w:val="none" w:sz="0" w:space="0" w:color="auto"/>
        <w:right w:val="none" w:sz="0" w:space="0" w:color="auto"/>
      </w:divBdr>
    </w:div>
    <w:div w:id="1834567812">
      <w:bodyDiv w:val="1"/>
      <w:marLeft w:val="0"/>
      <w:marRight w:val="0"/>
      <w:marTop w:val="0"/>
      <w:marBottom w:val="0"/>
      <w:divBdr>
        <w:top w:val="none" w:sz="0" w:space="0" w:color="auto"/>
        <w:left w:val="none" w:sz="0" w:space="0" w:color="auto"/>
        <w:bottom w:val="none" w:sz="0" w:space="0" w:color="auto"/>
        <w:right w:val="none" w:sz="0" w:space="0" w:color="auto"/>
      </w:divBdr>
    </w:div>
    <w:div w:id="187245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6.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green.gov.md" TargetMode="External"/><Relationship Id="rId29" Type="http://schemas.openxmlformats.org/officeDocument/2006/relationships/hyperlink" Target="http://www.undp.md/jobs/current_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r@rec.md" TargetMode="External"/><Relationship Id="rId24" Type="http://schemas.openxmlformats.org/officeDocument/2006/relationships/hyperlink" Target="http://www.green.gov.md"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ictor@rec.md" TargetMode="External"/><Relationship Id="rId23" Type="http://schemas.openxmlformats.org/officeDocument/2006/relationships/hyperlink" Target="http://www.green.gov.md" TargetMode="External"/><Relationship Id="rId28" Type="http://schemas.openxmlformats.org/officeDocument/2006/relationships/hyperlink" Target="http://jobs.undp.org" TargetMode="External"/><Relationship Id="rId36" Type="http://schemas.openxmlformats.org/officeDocument/2006/relationships/header" Target="header6.xml"/><Relationship Id="rId10" Type="http://schemas.openxmlformats.org/officeDocument/2006/relationships/hyperlink" Target="mailto:JJ@Bellamy.net" TargetMode="External"/><Relationship Id="rId19" Type="http://schemas.openxmlformats.org/officeDocument/2006/relationships/header" Target="header3.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J@Bellamy.net" TargetMode="External"/><Relationship Id="rId22" Type="http://schemas.openxmlformats.org/officeDocument/2006/relationships/image" Target="media/image4.png"/><Relationship Id="rId27" Type="http://schemas.openxmlformats.org/officeDocument/2006/relationships/hyperlink" Target="http://www.unevaluation.org/ethicalguidelines" TargetMode="External"/><Relationship Id="rId30" Type="http://schemas.openxmlformats.org/officeDocument/2006/relationships/image" Target="media/image7.jpeg"/><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051E-D808-4CE9-BE5E-EFD2915E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44666</Words>
  <Characters>254599</Characters>
  <Application>Microsoft Office Word</Application>
  <DocSecurity>4</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298668</CharactersWithSpaces>
  <SharedDoc>false</SharedDoc>
  <HyperlinkBase/>
  <HLinks>
    <vt:vector size="138" baseType="variant">
      <vt:variant>
        <vt:i4>7602261</vt:i4>
      </vt:variant>
      <vt:variant>
        <vt:i4>596</vt:i4>
      </vt:variant>
      <vt:variant>
        <vt:i4>0</vt:i4>
      </vt:variant>
      <vt:variant>
        <vt:i4>5</vt:i4>
      </vt:variant>
      <vt:variant>
        <vt:lpwstr>mailto:bao@apollo.lv</vt:lpwstr>
      </vt:variant>
      <vt:variant>
        <vt:lpwstr/>
      </vt:variant>
      <vt:variant>
        <vt:i4>5570685</vt:i4>
      </vt:variant>
      <vt:variant>
        <vt:i4>593</vt:i4>
      </vt:variant>
      <vt:variant>
        <vt:i4>0</vt:i4>
      </vt:variant>
      <vt:variant>
        <vt:i4>5</vt:i4>
      </vt:variant>
      <vt:variant>
        <vt:lpwstr>mailto:ilgonis.strauss@bapa.gov.lv</vt:lpwstr>
      </vt:variant>
      <vt:variant>
        <vt:lpwstr/>
      </vt:variant>
      <vt:variant>
        <vt:i4>2883639</vt:i4>
      </vt:variant>
      <vt:variant>
        <vt:i4>590</vt:i4>
      </vt:variant>
      <vt:variant>
        <vt:i4>0</vt:i4>
      </vt:variant>
      <vt:variant>
        <vt:i4>5</vt:i4>
      </vt:variant>
      <vt:variant>
        <vt:lpwstr>mailto:maris.klindzans@undp.org</vt:lpwstr>
      </vt:variant>
      <vt:variant>
        <vt:lpwstr/>
      </vt:variant>
      <vt:variant>
        <vt:i4>4980748</vt:i4>
      </vt:variant>
      <vt:variant>
        <vt:i4>578</vt:i4>
      </vt:variant>
      <vt:variant>
        <vt:i4>0</vt:i4>
      </vt:variant>
      <vt:variant>
        <vt:i4>5</vt:i4>
      </vt:variant>
      <vt:variant>
        <vt:lpwstr>http://www.centra.lv</vt:lpwstr>
      </vt:variant>
      <vt:variant>
        <vt:lpwstr/>
      </vt:variant>
      <vt:variant>
        <vt:i4>4980748</vt:i4>
      </vt:variant>
      <vt:variant>
        <vt:i4>575</vt:i4>
      </vt:variant>
      <vt:variant>
        <vt:i4>0</vt:i4>
      </vt:variant>
      <vt:variant>
        <vt:i4>5</vt:i4>
      </vt:variant>
      <vt:variant>
        <vt:lpwstr>http://www.centra.lv</vt:lpwstr>
      </vt:variant>
      <vt:variant>
        <vt:lpwstr/>
      </vt:variant>
      <vt:variant>
        <vt:i4>8192070</vt:i4>
      </vt:variant>
      <vt:variant>
        <vt:i4>572</vt:i4>
      </vt:variant>
      <vt:variant>
        <vt:i4>0</vt:i4>
      </vt:variant>
      <vt:variant>
        <vt:i4>5</vt:i4>
      </vt:variant>
      <vt:variant>
        <vt:lpwstr>http://www.unece.org/env/lrtap/pops_h1.htm</vt:lpwstr>
      </vt:variant>
      <vt:variant>
        <vt:lpwstr/>
      </vt:variant>
      <vt:variant>
        <vt:i4>6029319</vt:i4>
      </vt:variant>
      <vt:variant>
        <vt:i4>569</vt:i4>
      </vt:variant>
      <vt:variant>
        <vt:i4>0</vt:i4>
      </vt:variant>
      <vt:variant>
        <vt:i4>5</vt:i4>
      </vt:variant>
      <vt:variant>
        <vt:lpwstr>http://chm.pops.int/Default.aspx</vt:lpwstr>
      </vt:variant>
      <vt:variant>
        <vt:lpwstr/>
      </vt:variant>
      <vt:variant>
        <vt:i4>5111817</vt:i4>
      </vt:variant>
      <vt:variant>
        <vt:i4>566</vt:i4>
      </vt:variant>
      <vt:variant>
        <vt:i4>0</vt:i4>
      </vt:variant>
      <vt:variant>
        <vt:i4>5</vt:i4>
      </vt:variant>
      <vt:variant>
        <vt:lpwstr>http://www.saicm.org/index.php?ql=h&amp;content=home</vt:lpwstr>
      </vt:variant>
      <vt:variant>
        <vt:lpwstr/>
      </vt:variant>
      <vt:variant>
        <vt:i4>7209074</vt:i4>
      </vt:variant>
      <vt:variant>
        <vt:i4>563</vt:i4>
      </vt:variant>
      <vt:variant>
        <vt:i4>0</vt:i4>
      </vt:variant>
      <vt:variant>
        <vt:i4>5</vt:i4>
      </vt:variant>
      <vt:variant>
        <vt:lpwstr>http://www.undp.org/chemicals/montrealprotocol.htm</vt:lpwstr>
      </vt:variant>
      <vt:variant>
        <vt:lpwstr/>
      </vt:variant>
      <vt:variant>
        <vt:i4>5767235</vt:i4>
      </vt:variant>
      <vt:variant>
        <vt:i4>560</vt:i4>
      </vt:variant>
      <vt:variant>
        <vt:i4>0</vt:i4>
      </vt:variant>
      <vt:variant>
        <vt:i4>5</vt:i4>
      </vt:variant>
      <vt:variant>
        <vt:lpwstr>http://ec.europa.eu/environment/pops/index_en.htm</vt:lpwstr>
      </vt:variant>
      <vt:variant>
        <vt:lpwstr/>
      </vt:variant>
      <vt:variant>
        <vt:i4>1245291</vt:i4>
      </vt:variant>
      <vt:variant>
        <vt:i4>557</vt:i4>
      </vt:variant>
      <vt:variant>
        <vt:i4>0</vt:i4>
      </vt:variant>
      <vt:variant>
        <vt:i4>5</vt:i4>
      </vt:variant>
      <vt:variant>
        <vt:lpwstr>http://www.undp.org/gef/05/monitoring/policies.html</vt:lpwstr>
      </vt:variant>
      <vt:variant>
        <vt:lpwstr/>
      </vt:variant>
      <vt:variant>
        <vt:i4>6684777</vt:i4>
      </vt:variant>
      <vt:variant>
        <vt:i4>554</vt:i4>
      </vt:variant>
      <vt:variant>
        <vt:i4>0</vt:i4>
      </vt:variant>
      <vt:variant>
        <vt:i4>5</vt:i4>
      </vt:variant>
      <vt:variant>
        <vt:lpwstr>http://gefweb.org/MonitoringandEvaluation/MEAbout/meabout.html</vt:lpwstr>
      </vt:variant>
      <vt:variant>
        <vt:lpwstr/>
      </vt:variant>
      <vt:variant>
        <vt:i4>2621459</vt:i4>
      </vt:variant>
      <vt:variant>
        <vt:i4>551</vt:i4>
      </vt:variant>
      <vt:variant>
        <vt:i4>0</vt:i4>
      </vt:variant>
      <vt:variant>
        <vt:i4>5</vt:i4>
      </vt:variant>
      <vt:variant>
        <vt:lpwstr>http://www.gefweb.org</vt:lpwstr>
      </vt:variant>
      <vt:variant>
        <vt:lpwstr/>
      </vt:variant>
      <vt:variant>
        <vt:i4>2883639</vt:i4>
      </vt:variant>
      <vt:variant>
        <vt:i4>548</vt:i4>
      </vt:variant>
      <vt:variant>
        <vt:i4>0</vt:i4>
      </vt:variant>
      <vt:variant>
        <vt:i4>5</vt:i4>
      </vt:variant>
      <vt:variant>
        <vt:lpwstr>mailto:maris.klindzans@undp.org</vt:lpwstr>
      </vt:variant>
      <vt:variant>
        <vt:lpwstr/>
      </vt:variant>
      <vt:variant>
        <vt:i4>4194374</vt:i4>
      </vt:variant>
      <vt:variant>
        <vt:i4>545</vt:i4>
      </vt:variant>
      <vt:variant>
        <vt:i4>0</vt:i4>
      </vt:variant>
      <vt:variant>
        <vt:i4>5</vt:i4>
      </vt:variant>
      <vt:variant>
        <vt:lpwstr>http://thegef.org/MonitoringandEvaluation/MEPoliciesProcedures/mepoliciesprocedures.html</vt:lpwstr>
      </vt:variant>
      <vt:variant>
        <vt:lpwstr/>
      </vt:variant>
      <vt:variant>
        <vt:i4>3997751</vt:i4>
      </vt:variant>
      <vt:variant>
        <vt:i4>349</vt:i4>
      </vt:variant>
      <vt:variant>
        <vt:i4>0</vt:i4>
      </vt:variant>
      <vt:variant>
        <vt:i4>5</vt:i4>
      </vt:variant>
      <vt:variant>
        <vt:lpwstr>http://www.lvif.gov.lv</vt:lpwstr>
      </vt:variant>
      <vt:variant>
        <vt:lpwstr/>
      </vt:variant>
      <vt:variant>
        <vt:i4>6422631</vt:i4>
      </vt:variant>
      <vt:variant>
        <vt:i4>228</vt:i4>
      </vt:variant>
      <vt:variant>
        <vt:i4>0</vt:i4>
      </vt:variant>
      <vt:variant>
        <vt:i4>5</vt:i4>
      </vt:variant>
      <vt:variant>
        <vt:lpwstr>mailto:maija.kurte@ekoncepti.lv</vt:lpwstr>
      </vt:variant>
      <vt:variant>
        <vt:lpwstr/>
      </vt:variant>
      <vt:variant>
        <vt:i4>2883687</vt:i4>
      </vt:variant>
      <vt:variant>
        <vt:i4>225</vt:i4>
      </vt:variant>
      <vt:variant>
        <vt:i4>0</vt:i4>
      </vt:variant>
      <vt:variant>
        <vt:i4>5</vt:i4>
      </vt:variant>
      <vt:variant>
        <vt:lpwstr>mailto:JJ@Bellamy.net</vt:lpwstr>
      </vt:variant>
      <vt:variant>
        <vt:lpwstr/>
      </vt:variant>
      <vt:variant>
        <vt:i4>6422631</vt:i4>
      </vt:variant>
      <vt:variant>
        <vt:i4>3</vt:i4>
      </vt:variant>
      <vt:variant>
        <vt:i4>0</vt:i4>
      </vt:variant>
      <vt:variant>
        <vt:i4>5</vt:i4>
      </vt:variant>
      <vt:variant>
        <vt:lpwstr>mailto:maija.kurte@ekoncepti.lv</vt:lpwstr>
      </vt:variant>
      <vt:variant>
        <vt:lpwstr/>
      </vt:variant>
      <vt:variant>
        <vt:i4>2883687</vt:i4>
      </vt:variant>
      <vt:variant>
        <vt:i4>0</vt:i4>
      </vt:variant>
      <vt:variant>
        <vt:i4>0</vt:i4>
      </vt:variant>
      <vt:variant>
        <vt:i4>5</vt:i4>
      </vt:variant>
      <vt:variant>
        <vt:lpwstr>mailto:JJ@Bellamy.net</vt:lpwstr>
      </vt:variant>
      <vt:variant>
        <vt:lpwstr/>
      </vt:variant>
      <vt:variant>
        <vt:i4>655429</vt:i4>
      </vt:variant>
      <vt:variant>
        <vt:i4>-1</vt:i4>
      </vt:variant>
      <vt:variant>
        <vt:i4>2355</vt:i4>
      </vt:variant>
      <vt:variant>
        <vt:i4>1</vt:i4>
      </vt:variant>
      <vt:variant>
        <vt:lpwstr>GEF Logo</vt:lpwstr>
      </vt:variant>
      <vt:variant>
        <vt:lpwstr/>
      </vt:variant>
      <vt:variant>
        <vt:i4>4653065</vt:i4>
      </vt:variant>
      <vt:variant>
        <vt:i4>-1</vt:i4>
      </vt:variant>
      <vt:variant>
        <vt:i4>2358</vt:i4>
      </vt:variant>
      <vt:variant>
        <vt:i4>1</vt:i4>
      </vt:variant>
      <vt:variant>
        <vt:lpwstr>UNDP_blue</vt:lpwstr>
      </vt:variant>
      <vt:variant>
        <vt:lpwstr/>
      </vt:variant>
      <vt:variant>
        <vt:i4>720896</vt:i4>
      </vt:variant>
      <vt:variant>
        <vt:i4>-1</vt:i4>
      </vt:variant>
      <vt:variant>
        <vt:i4>2380</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Jean-Joseph Bellamy</dc:creator>
  <cp:keywords/>
  <dc:description/>
  <cp:lastModifiedBy>Maria Andronic</cp:lastModifiedBy>
  <cp:revision>2</cp:revision>
  <cp:lastPrinted>2015-09-21T20:46:00Z</cp:lastPrinted>
  <dcterms:created xsi:type="dcterms:W3CDTF">2015-12-09T14:43:00Z</dcterms:created>
  <dcterms:modified xsi:type="dcterms:W3CDTF">2015-12-09T14:43:00Z</dcterms:modified>
  <cp:category/>
</cp:coreProperties>
</file>