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2"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4828EA">
        <w:rPr>
          <w:rFonts w:ascii="Calibri" w:eastAsia="Times New Roman" w:hAnsi="Calibri" w:cs="Times New Roman"/>
          <w:sz w:val="20"/>
          <w:szCs w:val="20"/>
        </w:rPr>
        <w:t xml:space="preserve"> project</w:t>
      </w:r>
      <w:r w:rsidRPr="00224F9C">
        <w:rPr>
          <w:rFonts w:ascii="Calibri" w:eastAsia="Times New Roman" w:hAnsi="Calibri" w:cs="Times New Roman"/>
          <w:i/>
          <w:sz w:val="20"/>
          <w:szCs w:val="20"/>
        </w:rPr>
        <w:t xml:space="preserve"> </w:t>
      </w:r>
      <w:proofErr w:type="gramStart"/>
      <w:r w:rsidR="00506E51" w:rsidRPr="00506E51">
        <w:rPr>
          <w:rFonts w:ascii="Calibri" w:eastAsia="Times New Roman" w:hAnsi="Calibri" w:cs="Times New Roman"/>
          <w:i/>
          <w:sz w:val="20"/>
          <w:szCs w:val="20"/>
        </w:rPr>
        <w:t>Strengthening</w:t>
      </w:r>
      <w:proofErr w:type="gramEnd"/>
      <w:r w:rsidR="00506E51" w:rsidRPr="00506E51">
        <w:rPr>
          <w:rFonts w:ascii="Calibri" w:eastAsia="Times New Roman" w:hAnsi="Calibri" w:cs="Times New Roman"/>
          <w:i/>
          <w:sz w:val="20"/>
          <w:szCs w:val="20"/>
        </w:rPr>
        <w:t xml:space="preserve"> capacities to undertake environmental fiscal reform to meet national and global environmental priorities</w:t>
      </w:r>
      <w:r w:rsidR="00506E51" w:rsidRPr="00D6638C">
        <w:rPr>
          <w:rFonts w:ascii="Calibri" w:eastAsia="Times New Roman" w:hAnsi="Calibri" w:cs="Times New Roman"/>
          <w:sz w:val="20"/>
          <w:szCs w:val="20"/>
        </w:rPr>
        <w:t xml:space="preserve">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7"/>
        <w:gridCol w:w="573"/>
        <w:gridCol w:w="1680"/>
        <w:gridCol w:w="2369"/>
        <w:gridCol w:w="181"/>
        <w:gridCol w:w="1889"/>
        <w:gridCol w:w="1963"/>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874C94" w:rsidP="00AE15F9">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lang w:bidi="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r w:rsidR="00AE15F9" w:rsidRPr="00F0073C">
              <w:rPr>
                <w:b/>
                <w:sz w:val="23"/>
                <w:szCs w:val="23"/>
              </w:rPr>
              <w:t xml:space="preserve"> </w:t>
            </w:r>
          </w:p>
        </w:tc>
      </w:tr>
      <w:tr w:rsidR="00D6638C" w:rsidRPr="00D6638C" w:rsidTr="001648ED">
        <w:tblPrEx>
          <w:shd w:val="clear" w:color="auto" w:fill="auto"/>
        </w:tblPrEx>
        <w:trPr>
          <w:trHeight w:val="553"/>
        </w:trPr>
        <w:tc>
          <w:tcPr>
            <w:tcW w:w="756" w:type="pct"/>
            <w:gridSpan w:val="2"/>
            <w:shd w:val="clear" w:color="auto" w:fill="auto"/>
          </w:tcPr>
          <w:p w:rsidR="00D6638C" w:rsidRPr="00235B91" w:rsidRDefault="00D6638C" w:rsidP="00773EC0">
            <w:pPr>
              <w:spacing w:after="0"/>
              <w:rPr>
                <w:rFonts w:ascii="Calibri" w:eastAsia="Times New Roman" w:hAnsi="Calibri" w:cs="Times New Roman"/>
                <w:sz w:val="16"/>
                <w:szCs w:val="16"/>
              </w:rPr>
            </w:pPr>
            <w:r w:rsidRPr="00235B91">
              <w:rPr>
                <w:rFonts w:ascii="Calibri" w:eastAsia="Times New Roman" w:hAnsi="Calibri" w:cs="Times New Roman"/>
                <w:sz w:val="16"/>
                <w:szCs w:val="16"/>
              </w:rPr>
              <w:t>GEF Project ID:</w:t>
            </w:r>
          </w:p>
          <w:p w:rsidR="00773EC0" w:rsidRPr="00235B91" w:rsidRDefault="00773EC0" w:rsidP="00773EC0">
            <w:pPr>
              <w:spacing w:after="0"/>
              <w:rPr>
                <w:rFonts w:ascii="Calibri" w:eastAsia="Arial Unicode MS" w:hAnsi="Calibri" w:cs="Times New Roman"/>
                <w:sz w:val="16"/>
                <w:szCs w:val="16"/>
              </w:rPr>
            </w:pPr>
            <w:r w:rsidRPr="00235B91">
              <w:rPr>
                <w:rFonts w:ascii="Calibri" w:eastAsia="Times New Roman" w:hAnsi="Calibri" w:cs="Times New Roman"/>
                <w:sz w:val="16"/>
                <w:szCs w:val="16"/>
              </w:rPr>
              <w:t>UNDP-GEF PIMS:</w:t>
            </w:r>
          </w:p>
        </w:tc>
        <w:tc>
          <w:tcPr>
            <w:tcW w:w="882" w:type="pct"/>
            <w:shd w:val="clear" w:color="auto" w:fill="auto"/>
            <w:vAlign w:val="center"/>
          </w:tcPr>
          <w:p w:rsidR="001648ED" w:rsidRDefault="001648ED" w:rsidP="00722A70">
            <w:pPr>
              <w:tabs>
                <w:tab w:val="right" w:pos="0"/>
              </w:tabs>
              <w:spacing w:after="0"/>
              <w:rPr>
                <w:rFonts w:ascii="Calibri" w:eastAsia="Times New Roman" w:hAnsi="Calibri" w:cs="Times New Roman"/>
                <w:sz w:val="16"/>
                <w:szCs w:val="16"/>
              </w:rPr>
            </w:pPr>
            <w:r w:rsidRPr="001648ED">
              <w:rPr>
                <w:rFonts w:ascii="Calibri" w:eastAsia="Times New Roman" w:hAnsi="Calibri" w:cs="Times New Roman"/>
                <w:sz w:val="16"/>
                <w:szCs w:val="16"/>
              </w:rPr>
              <w:t>4183</w:t>
            </w:r>
          </w:p>
          <w:p w:rsidR="00D6638C" w:rsidRPr="00235B91" w:rsidRDefault="00722A70" w:rsidP="00722A70">
            <w:pPr>
              <w:tabs>
                <w:tab w:val="right" w:pos="0"/>
              </w:tabs>
              <w:spacing w:after="0"/>
              <w:rPr>
                <w:rFonts w:ascii="Calibri" w:eastAsia="Times New Roman" w:hAnsi="Calibri" w:cs="Times New Roman"/>
                <w:sz w:val="16"/>
                <w:szCs w:val="16"/>
              </w:rPr>
            </w:pPr>
            <w:r w:rsidRPr="00235B91">
              <w:rPr>
                <w:sz w:val="16"/>
                <w:szCs w:val="16"/>
              </w:rPr>
              <w:t>4379</w:t>
            </w:r>
          </w:p>
        </w:tc>
        <w:tc>
          <w:tcPr>
            <w:tcW w:w="1244" w:type="pct"/>
          </w:tcPr>
          <w:p w:rsidR="00D6638C" w:rsidRPr="00235B91" w:rsidRDefault="00D6638C" w:rsidP="00D6638C">
            <w:pPr>
              <w:spacing w:after="0"/>
              <w:jc w:val="right"/>
              <w:rPr>
                <w:rFonts w:ascii="Calibri" w:eastAsia="Arial Unicode MS" w:hAnsi="Calibri" w:cs="Times New Roman"/>
                <w:sz w:val="20"/>
                <w:szCs w:val="20"/>
              </w:rPr>
            </w:pPr>
            <w:r w:rsidRPr="00235B91">
              <w:rPr>
                <w:rFonts w:ascii="Calibri" w:eastAsia="Times New Roman" w:hAnsi="Calibri" w:cs="Times New Roman"/>
                <w:sz w:val="20"/>
                <w:szCs w:val="20"/>
              </w:rPr>
              <w:t> </w:t>
            </w:r>
          </w:p>
        </w:tc>
        <w:tc>
          <w:tcPr>
            <w:tcW w:w="1086" w:type="pct"/>
            <w:gridSpan w:val="2"/>
          </w:tcPr>
          <w:p w:rsidR="00D6638C" w:rsidRPr="00235B91" w:rsidRDefault="00D6638C" w:rsidP="004828EA">
            <w:pPr>
              <w:spacing w:after="0"/>
              <w:jc w:val="center"/>
              <w:rPr>
                <w:rFonts w:ascii="Calibri" w:eastAsia="Arial Unicode MS" w:hAnsi="Calibri" w:cs="Times New Roman"/>
                <w:i/>
                <w:sz w:val="20"/>
                <w:szCs w:val="20"/>
                <w:u w:val="single"/>
              </w:rPr>
            </w:pPr>
            <w:r w:rsidRPr="00235B91">
              <w:rPr>
                <w:rFonts w:ascii="Calibri" w:eastAsia="Times New Roman" w:hAnsi="Calibri" w:cs="Times New Roman"/>
                <w:i/>
                <w:sz w:val="20"/>
                <w:szCs w:val="20"/>
                <w:u w:val="single"/>
              </w:rPr>
              <w:t>at endorsement (US$)</w:t>
            </w:r>
          </w:p>
        </w:tc>
        <w:tc>
          <w:tcPr>
            <w:tcW w:w="1031" w:type="pct"/>
          </w:tcPr>
          <w:p w:rsidR="00D6638C" w:rsidRPr="00235B91" w:rsidRDefault="00D6638C" w:rsidP="004828EA">
            <w:pPr>
              <w:spacing w:after="0"/>
              <w:jc w:val="center"/>
              <w:rPr>
                <w:rFonts w:ascii="Calibri" w:eastAsia="Arial Unicode MS" w:hAnsi="Calibri" w:cs="Times New Roman"/>
                <w:i/>
                <w:sz w:val="20"/>
                <w:szCs w:val="20"/>
                <w:u w:val="single"/>
              </w:rPr>
            </w:pPr>
            <w:r w:rsidRPr="00235B91">
              <w:rPr>
                <w:rFonts w:ascii="Calibri" w:eastAsia="Times New Roman" w:hAnsi="Calibri" w:cs="Times New Roman"/>
                <w:i/>
                <w:sz w:val="20"/>
                <w:szCs w:val="20"/>
                <w:u w:val="single"/>
              </w:rPr>
              <w:t>at completion (US$)</w:t>
            </w:r>
          </w:p>
        </w:tc>
      </w:tr>
      <w:tr w:rsidR="00D6638C" w:rsidRPr="00D6638C" w:rsidTr="001648ED">
        <w:tblPrEx>
          <w:shd w:val="clear" w:color="auto" w:fill="auto"/>
        </w:tblPrEx>
        <w:trPr>
          <w:trHeight w:val="278"/>
        </w:trPr>
        <w:tc>
          <w:tcPr>
            <w:tcW w:w="756" w:type="pct"/>
            <w:gridSpan w:val="2"/>
            <w:shd w:val="clear" w:color="auto" w:fill="auto"/>
          </w:tcPr>
          <w:p w:rsidR="00773EC0" w:rsidRPr="00235B91" w:rsidRDefault="00773EC0" w:rsidP="00773EC0">
            <w:pPr>
              <w:spacing w:after="0"/>
              <w:rPr>
                <w:rFonts w:ascii="Calibri" w:eastAsia="Times New Roman" w:hAnsi="Calibri" w:cs="Times New Roman"/>
                <w:sz w:val="16"/>
                <w:szCs w:val="16"/>
              </w:rPr>
            </w:pPr>
            <w:r w:rsidRPr="00235B91">
              <w:rPr>
                <w:rFonts w:ascii="Calibri" w:eastAsia="Times New Roman" w:hAnsi="Calibri" w:cs="Times New Roman"/>
                <w:sz w:val="16"/>
                <w:szCs w:val="16"/>
              </w:rPr>
              <w:t xml:space="preserve">UNDP </w:t>
            </w:r>
            <w:proofErr w:type="spellStart"/>
            <w:r w:rsidRPr="00235B91">
              <w:rPr>
                <w:rFonts w:ascii="Calibri" w:eastAsia="Times New Roman" w:hAnsi="Calibri" w:cs="Times New Roman"/>
                <w:sz w:val="16"/>
                <w:szCs w:val="16"/>
              </w:rPr>
              <w:t>proj</w:t>
            </w:r>
            <w:proofErr w:type="spellEnd"/>
            <w:r w:rsidRPr="00235B91">
              <w:rPr>
                <w:rFonts w:ascii="Calibri" w:eastAsia="Times New Roman" w:hAnsi="Calibri" w:cs="Times New Roman"/>
                <w:sz w:val="16"/>
                <w:szCs w:val="16"/>
              </w:rPr>
              <w:t>. num.:</w:t>
            </w:r>
          </w:p>
          <w:p w:rsidR="00D6638C" w:rsidRPr="00235B91" w:rsidRDefault="00773EC0" w:rsidP="00D6638C">
            <w:pPr>
              <w:spacing w:after="0"/>
              <w:jc w:val="right"/>
              <w:rPr>
                <w:rFonts w:ascii="Calibri" w:eastAsia="Times New Roman" w:hAnsi="Calibri" w:cs="Times New Roman"/>
                <w:sz w:val="16"/>
                <w:szCs w:val="16"/>
              </w:rPr>
            </w:pPr>
            <w:r w:rsidRPr="00235B91">
              <w:rPr>
                <w:rFonts w:ascii="Calibri" w:eastAsia="Times New Roman" w:hAnsi="Calibri" w:cs="Times New Roman"/>
                <w:sz w:val="16"/>
                <w:szCs w:val="16"/>
              </w:rPr>
              <w:t>Atlas</w:t>
            </w:r>
            <w:r w:rsidR="00D6638C" w:rsidRPr="00235B91">
              <w:rPr>
                <w:rFonts w:ascii="Calibri" w:eastAsia="Times New Roman" w:hAnsi="Calibri" w:cs="Times New Roman"/>
                <w:sz w:val="16"/>
                <w:szCs w:val="16"/>
              </w:rPr>
              <w:t xml:space="preserve"> Project ID:</w:t>
            </w:r>
          </w:p>
          <w:p w:rsidR="00773EC0" w:rsidRPr="00235B91" w:rsidRDefault="00773EC0" w:rsidP="00D6638C">
            <w:pPr>
              <w:spacing w:after="0"/>
              <w:jc w:val="right"/>
              <w:rPr>
                <w:rFonts w:ascii="Calibri" w:eastAsia="Arial Unicode MS" w:hAnsi="Calibri" w:cs="Times New Roman"/>
                <w:sz w:val="16"/>
                <w:szCs w:val="16"/>
              </w:rPr>
            </w:pPr>
            <w:r w:rsidRPr="00235B91">
              <w:rPr>
                <w:rFonts w:ascii="Calibri" w:eastAsia="Times New Roman" w:hAnsi="Calibri" w:cs="Times New Roman"/>
                <w:sz w:val="16"/>
                <w:szCs w:val="16"/>
              </w:rPr>
              <w:t>Atlas Output ID:</w:t>
            </w:r>
          </w:p>
        </w:tc>
        <w:tc>
          <w:tcPr>
            <w:tcW w:w="882" w:type="pct"/>
            <w:shd w:val="clear" w:color="auto" w:fill="auto"/>
            <w:vAlign w:val="center"/>
          </w:tcPr>
          <w:p w:rsidR="00773EC0" w:rsidRPr="00235B91" w:rsidRDefault="00773EC0" w:rsidP="00D6638C">
            <w:pPr>
              <w:tabs>
                <w:tab w:val="right" w:pos="0"/>
              </w:tabs>
              <w:spacing w:after="0"/>
              <w:rPr>
                <w:rFonts w:ascii="Calibri" w:eastAsia="Times New Roman" w:hAnsi="Calibri" w:cs="Times New Roman"/>
                <w:sz w:val="16"/>
                <w:szCs w:val="16"/>
              </w:rPr>
            </w:pPr>
          </w:p>
          <w:p w:rsidR="00722A70" w:rsidRPr="00235B91" w:rsidRDefault="00722A70" w:rsidP="00D6638C">
            <w:pPr>
              <w:tabs>
                <w:tab w:val="right" w:pos="0"/>
              </w:tabs>
              <w:spacing w:after="0"/>
              <w:rPr>
                <w:sz w:val="16"/>
                <w:szCs w:val="16"/>
              </w:rPr>
            </w:pPr>
            <w:r w:rsidRPr="00235B91">
              <w:rPr>
                <w:sz w:val="16"/>
                <w:szCs w:val="16"/>
              </w:rPr>
              <w:t>78482</w:t>
            </w:r>
          </w:p>
          <w:p w:rsidR="00D6638C" w:rsidRPr="00235B91" w:rsidRDefault="00722A70" w:rsidP="00D6638C">
            <w:pPr>
              <w:tabs>
                <w:tab w:val="right" w:pos="0"/>
              </w:tabs>
              <w:spacing w:after="0"/>
              <w:rPr>
                <w:rFonts w:ascii="Calibri" w:eastAsia="Times New Roman" w:hAnsi="Calibri" w:cs="Times New Roman"/>
                <w:bCs/>
                <w:sz w:val="16"/>
                <w:szCs w:val="16"/>
              </w:rPr>
            </w:pPr>
            <w:r w:rsidRPr="00235B91">
              <w:rPr>
                <w:sz w:val="16"/>
                <w:szCs w:val="16"/>
              </w:rPr>
              <w:t>61741</w:t>
            </w:r>
          </w:p>
        </w:tc>
        <w:tc>
          <w:tcPr>
            <w:tcW w:w="1244" w:type="pct"/>
          </w:tcPr>
          <w:p w:rsidR="00D6638C" w:rsidRPr="00235B91" w:rsidRDefault="00D6638C" w:rsidP="00D6638C">
            <w:pPr>
              <w:spacing w:after="0"/>
              <w:jc w:val="right"/>
              <w:rPr>
                <w:rFonts w:ascii="Calibri" w:eastAsia="Arial Unicode MS" w:hAnsi="Calibri" w:cs="Times New Roman"/>
                <w:sz w:val="20"/>
                <w:szCs w:val="20"/>
              </w:rPr>
            </w:pPr>
            <w:r w:rsidRPr="00235B91">
              <w:rPr>
                <w:rFonts w:ascii="Calibri" w:eastAsia="Times New Roman" w:hAnsi="Calibri" w:cs="Times New Roman"/>
                <w:sz w:val="20"/>
                <w:szCs w:val="20"/>
              </w:rPr>
              <w:t xml:space="preserve">GEF financing: </w:t>
            </w:r>
          </w:p>
        </w:tc>
        <w:tc>
          <w:tcPr>
            <w:tcW w:w="1086" w:type="pct"/>
            <w:gridSpan w:val="2"/>
          </w:tcPr>
          <w:p w:rsidR="00D6638C" w:rsidRPr="00235B91" w:rsidRDefault="00506E51" w:rsidP="00506E51">
            <w:pPr>
              <w:spacing w:after="0"/>
              <w:rPr>
                <w:rFonts w:ascii="Calibri" w:eastAsia="Arial Unicode MS" w:hAnsi="Calibri" w:cs="Times New Roman"/>
                <w:sz w:val="20"/>
                <w:szCs w:val="20"/>
              </w:rPr>
            </w:pPr>
            <w:r w:rsidRPr="00235B91">
              <w:rPr>
                <w:rFonts w:ascii="Calibri" w:eastAsia="Times New Roman" w:hAnsi="Calibri" w:cs="Times New Roman"/>
                <w:sz w:val="20"/>
                <w:szCs w:val="20"/>
              </w:rPr>
              <w:t>510</w:t>
            </w:r>
            <w:r w:rsidR="00AE15F9" w:rsidRPr="00235B91">
              <w:rPr>
                <w:rFonts w:ascii="Calibri" w:eastAsia="Times New Roman" w:hAnsi="Calibri" w:cs="Times New Roman"/>
                <w:sz w:val="20"/>
                <w:szCs w:val="20"/>
              </w:rPr>
              <w:t>,</w:t>
            </w:r>
            <w:r w:rsidRPr="00235B91">
              <w:rPr>
                <w:rFonts w:ascii="Calibri" w:eastAsia="Times New Roman" w:hAnsi="Calibri" w:cs="Times New Roman"/>
                <w:sz w:val="20"/>
                <w:szCs w:val="20"/>
              </w:rPr>
              <w:t>450</w:t>
            </w:r>
          </w:p>
        </w:tc>
        <w:tc>
          <w:tcPr>
            <w:tcW w:w="1031" w:type="pct"/>
          </w:tcPr>
          <w:p w:rsidR="00D6638C" w:rsidRPr="00235B91" w:rsidRDefault="00722A70" w:rsidP="00D6638C">
            <w:pPr>
              <w:spacing w:after="0"/>
              <w:jc w:val="both"/>
              <w:rPr>
                <w:rFonts w:ascii="Calibri" w:eastAsia="Arial Unicode MS" w:hAnsi="Calibri" w:cs="Times New Roman"/>
                <w:sz w:val="20"/>
                <w:szCs w:val="20"/>
              </w:rPr>
            </w:pPr>
            <w:r w:rsidRPr="00235B91">
              <w:rPr>
                <w:rFonts w:ascii="Calibri" w:eastAsia="Times New Roman" w:hAnsi="Calibri" w:cs="Times New Roman"/>
                <w:sz w:val="20"/>
                <w:szCs w:val="20"/>
              </w:rPr>
              <w:t>510,450</w:t>
            </w:r>
          </w:p>
        </w:tc>
      </w:tr>
      <w:tr w:rsidR="00D6638C" w:rsidRPr="00D6638C" w:rsidTr="001648ED">
        <w:tblPrEx>
          <w:shd w:val="clear" w:color="auto" w:fill="auto"/>
        </w:tblPrEx>
        <w:trPr>
          <w:trHeight w:val="269"/>
        </w:trPr>
        <w:tc>
          <w:tcPr>
            <w:tcW w:w="756" w:type="pct"/>
            <w:gridSpan w:val="2"/>
          </w:tcPr>
          <w:p w:rsidR="00D6638C" w:rsidRPr="00235B91" w:rsidRDefault="00D6638C" w:rsidP="00D6638C">
            <w:pPr>
              <w:spacing w:after="0"/>
              <w:jc w:val="right"/>
              <w:rPr>
                <w:rFonts w:ascii="Calibri" w:eastAsia="Times New Roman" w:hAnsi="Calibri" w:cs="Times New Roman"/>
                <w:sz w:val="20"/>
                <w:szCs w:val="20"/>
              </w:rPr>
            </w:pPr>
            <w:r w:rsidRPr="00235B91">
              <w:rPr>
                <w:rFonts w:ascii="Calibri" w:eastAsia="Times New Roman" w:hAnsi="Calibri" w:cs="Times New Roman"/>
                <w:sz w:val="20"/>
                <w:szCs w:val="20"/>
              </w:rPr>
              <w:t>Country:</w:t>
            </w:r>
          </w:p>
        </w:tc>
        <w:tc>
          <w:tcPr>
            <w:tcW w:w="882" w:type="pct"/>
            <w:vAlign w:val="center"/>
          </w:tcPr>
          <w:p w:rsidR="00D6638C" w:rsidRPr="00235B91" w:rsidRDefault="00AE15F9" w:rsidP="00D6638C">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Republic of Moldova</w:t>
            </w:r>
          </w:p>
        </w:tc>
        <w:tc>
          <w:tcPr>
            <w:tcW w:w="1244" w:type="pct"/>
          </w:tcPr>
          <w:p w:rsidR="00D6638C" w:rsidRPr="00235B91" w:rsidRDefault="00D6638C" w:rsidP="00235B91">
            <w:pPr>
              <w:spacing w:after="0"/>
              <w:jc w:val="right"/>
              <w:rPr>
                <w:rFonts w:ascii="Calibri" w:eastAsia="Times New Roman" w:hAnsi="Calibri" w:cs="Times New Roman"/>
                <w:sz w:val="20"/>
                <w:szCs w:val="20"/>
              </w:rPr>
            </w:pPr>
            <w:r w:rsidRPr="00235B91">
              <w:rPr>
                <w:rFonts w:ascii="Calibri" w:eastAsia="Times New Roman" w:hAnsi="Calibri" w:cs="Times New Roman"/>
                <w:bCs/>
                <w:sz w:val="20"/>
                <w:szCs w:val="20"/>
              </w:rPr>
              <w:t>IA/EA own:</w:t>
            </w:r>
          </w:p>
        </w:tc>
        <w:tc>
          <w:tcPr>
            <w:tcW w:w="1086" w:type="pct"/>
            <w:gridSpan w:val="2"/>
          </w:tcPr>
          <w:p w:rsidR="009A66DF" w:rsidRPr="00235B91" w:rsidRDefault="009A66DF" w:rsidP="004828EA">
            <w:pPr>
              <w:spacing w:after="0"/>
              <w:rPr>
                <w:rFonts w:ascii="Calibri" w:eastAsia="Arial Unicode MS" w:hAnsi="Calibri" w:cs="Times New Roman"/>
                <w:sz w:val="20"/>
                <w:szCs w:val="20"/>
              </w:rPr>
            </w:pPr>
            <w:r w:rsidRPr="00235B91">
              <w:rPr>
                <w:rFonts w:ascii="Calibri" w:eastAsia="Arial Unicode MS" w:hAnsi="Calibri" w:cs="Times New Roman"/>
                <w:sz w:val="20"/>
                <w:szCs w:val="20"/>
              </w:rPr>
              <w:t xml:space="preserve">110,000 </w:t>
            </w:r>
          </w:p>
          <w:p w:rsidR="00722A70" w:rsidRPr="00235B91" w:rsidRDefault="00722A70" w:rsidP="00D160DC">
            <w:pPr>
              <w:spacing w:after="0"/>
              <w:rPr>
                <w:rFonts w:ascii="Calibri" w:eastAsia="Arial Unicode MS" w:hAnsi="Calibri" w:cs="Times New Roman"/>
                <w:sz w:val="20"/>
                <w:szCs w:val="20"/>
              </w:rPr>
            </w:pPr>
          </w:p>
        </w:tc>
        <w:tc>
          <w:tcPr>
            <w:tcW w:w="1031" w:type="pct"/>
          </w:tcPr>
          <w:p w:rsidR="00D6638C" w:rsidRPr="00235B91" w:rsidRDefault="00D160DC" w:rsidP="00D6638C">
            <w:pPr>
              <w:spacing w:after="0"/>
              <w:jc w:val="both"/>
              <w:rPr>
                <w:rFonts w:ascii="Calibri" w:eastAsia="Arial Unicode MS" w:hAnsi="Calibri" w:cs="Times New Roman"/>
                <w:sz w:val="20"/>
                <w:szCs w:val="20"/>
              </w:rPr>
            </w:pPr>
            <w:r w:rsidRPr="00235B91">
              <w:rPr>
                <w:rFonts w:ascii="Calibri" w:eastAsia="Arial Unicode MS" w:hAnsi="Calibri" w:cs="Times New Roman"/>
                <w:sz w:val="20"/>
                <w:szCs w:val="20"/>
              </w:rPr>
              <w:t>110,000</w:t>
            </w:r>
          </w:p>
        </w:tc>
      </w:tr>
      <w:tr w:rsidR="00D6638C" w:rsidRPr="00D6638C" w:rsidTr="001648ED">
        <w:tblPrEx>
          <w:shd w:val="clear" w:color="auto" w:fill="auto"/>
        </w:tblPrEx>
        <w:trPr>
          <w:trHeight w:val="296"/>
        </w:trPr>
        <w:tc>
          <w:tcPr>
            <w:tcW w:w="756" w:type="pct"/>
            <w:gridSpan w:val="2"/>
          </w:tcPr>
          <w:p w:rsidR="00D6638C" w:rsidRPr="00235B91" w:rsidRDefault="00D6638C" w:rsidP="00D6638C">
            <w:pPr>
              <w:spacing w:after="0"/>
              <w:jc w:val="right"/>
              <w:rPr>
                <w:rFonts w:ascii="Calibri" w:eastAsia="Times New Roman" w:hAnsi="Calibri" w:cs="Times New Roman"/>
                <w:sz w:val="20"/>
                <w:szCs w:val="20"/>
              </w:rPr>
            </w:pPr>
            <w:r w:rsidRPr="00235B91">
              <w:rPr>
                <w:rFonts w:ascii="Calibri" w:eastAsia="Times New Roman" w:hAnsi="Calibri" w:cs="Times New Roman"/>
                <w:sz w:val="20"/>
                <w:szCs w:val="20"/>
              </w:rPr>
              <w:t>Region:</w:t>
            </w:r>
          </w:p>
        </w:tc>
        <w:tc>
          <w:tcPr>
            <w:tcW w:w="882" w:type="pct"/>
            <w:vAlign w:val="center"/>
          </w:tcPr>
          <w:p w:rsidR="00D6638C" w:rsidRPr="00235B91" w:rsidRDefault="00AE15F9" w:rsidP="00D6638C">
            <w:pPr>
              <w:tabs>
                <w:tab w:val="right" w:pos="0"/>
              </w:tabs>
              <w:spacing w:after="0"/>
              <w:rPr>
                <w:rFonts w:ascii="Calibri" w:eastAsia="Times New Roman" w:hAnsi="Calibri" w:cs="Times New Roman"/>
                <w:sz w:val="20"/>
                <w:szCs w:val="20"/>
                <w:lang w:val="es-ES_tradnl"/>
              </w:rPr>
            </w:pPr>
            <w:r w:rsidRPr="00235B91">
              <w:rPr>
                <w:rFonts w:ascii="Calibri" w:eastAsia="Times New Roman" w:hAnsi="Calibri" w:cs="Times New Roman"/>
                <w:sz w:val="20"/>
                <w:szCs w:val="20"/>
              </w:rPr>
              <w:t>Europe and CIS</w:t>
            </w:r>
          </w:p>
        </w:tc>
        <w:tc>
          <w:tcPr>
            <w:tcW w:w="1244" w:type="pct"/>
          </w:tcPr>
          <w:p w:rsidR="00D6638C" w:rsidRPr="00235B91" w:rsidRDefault="00D6638C" w:rsidP="00D6638C">
            <w:pPr>
              <w:spacing w:after="0"/>
              <w:jc w:val="right"/>
              <w:rPr>
                <w:rFonts w:ascii="Calibri" w:eastAsia="Times New Roman" w:hAnsi="Calibri" w:cs="Times New Roman"/>
                <w:sz w:val="20"/>
                <w:szCs w:val="20"/>
              </w:rPr>
            </w:pPr>
            <w:r w:rsidRPr="00235B91">
              <w:rPr>
                <w:rFonts w:ascii="Calibri" w:eastAsia="Times New Roman" w:hAnsi="Calibri" w:cs="Times New Roman"/>
                <w:bCs/>
                <w:sz w:val="20"/>
                <w:szCs w:val="20"/>
              </w:rPr>
              <w:t>Government</w:t>
            </w:r>
            <w:r w:rsidR="00D160DC" w:rsidRPr="00235B91">
              <w:rPr>
                <w:rFonts w:ascii="Calibri" w:eastAsia="Times New Roman" w:hAnsi="Calibri" w:cs="Times New Roman"/>
                <w:bCs/>
                <w:sz w:val="20"/>
                <w:szCs w:val="20"/>
              </w:rPr>
              <w:t xml:space="preserve"> (in kind)</w:t>
            </w:r>
            <w:r w:rsidRPr="00235B91">
              <w:rPr>
                <w:rFonts w:ascii="Calibri" w:eastAsia="Times New Roman" w:hAnsi="Calibri" w:cs="Times New Roman"/>
                <w:bCs/>
                <w:sz w:val="20"/>
                <w:szCs w:val="20"/>
              </w:rPr>
              <w:t>:</w:t>
            </w:r>
          </w:p>
        </w:tc>
        <w:tc>
          <w:tcPr>
            <w:tcW w:w="1086" w:type="pct"/>
            <w:gridSpan w:val="2"/>
          </w:tcPr>
          <w:p w:rsidR="00D6638C" w:rsidRPr="00235B91" w:rsidRDefault="00722A70" w:rsidP="004828EA">
            <w:pPr>
              <w:spacing w:after="0"/>
              <w:rPr>
                <w:rFonts w:ascii="Calibri" w:eastAsia="Arial Unicode MS" w:hAnsi="Calibri" w:cs="Times New Roman"/>
                <w:sz w:val="20"/>
                <w:szCs w:val="20"/>
              </w:rPr>
            </w:pPr>
            <w:r w:rsidRPr="00235B91">
              <w:rPr>
                <w:rFonts w:ascii="Calibri" w:eastAsia="Arial Unicode MS" w:hAnsi="Calibri" w:cs="Times New Roman"/>
                <w:sz w:val="20"/>
                <w:szCs w:val="20"/>
              </w:rPr>
              <w:t>250,000</w:t>
            </w:r>
          </w:p>
        </w:tc>
        <w:tc>
          <w:tcPr>
            <w:tcW w:w="1031" w:type="pct"/>
          </w:tcPr>
          <w:p w:rsidR="00D6638C" w:rsidRPr="00235B91" w:rsidRDefault="00D6638C" w:rsidP="00D6638C">
            <w:pPr>
              <w:spacing w:after="0"/>
              <w:jc w:val="both"/>
              <w:rPr>
                <w:rFonts w:ascii="Calibri" w:eastAsia="Times New Roman" w:hAnsi="Calibri" w:cs="Times New Roman"/>
                <w:sz w:val="20"/>
                <w:szCs w:val="20"/>
              </w:rPr>
            </w:pPr>
          </w:p>
        </w:tc>
      </w:tr>
      <w:tr w:rsidR="00D6638C" w:rsidRPr="00D6638C" w:rsidTr="001648ED">
        <w:tblPrEx>
          <w:shd w:val="clear" w:color="auto" w:fill="auto"/>
        </w:tblPrEx>
        <w:trPr>
          <w:trHeight w:val="314"/>
        </w:trPr>
        <w:tc>
          <w:tcPr>
            <w:tcW w:w="756" w:type="pct"/>
            <w:gridSpan w:val="2"/>
          </w:tcPr>
          <w:p w:rsidR="00D6638C" w:rsidRPr="00235B91" w:rsidRDefault="00D6638C" w:rsidP="00D6638C">
            <w:pPr>
              <w:spacing w:after="0"/>
              <w:jc w:val="right"/>
              <w:rPr>
                <w:rFonts w:ascii="Calibri" w:eastAsia="Times New Roman" w:hAnsi="Calibri" w:cs="Times New Roman"/>
                <w:sz w:val="20"/>
                <w:szCs w:val="20"/>
              </w:rPr>
            </w:pPr>
            <w:r w:rsidRPr="00235B91">
              <w:rPr>
                <w:rFonts w:ascii="Calibri" w:eastAsia="Times New Roman" w:hAnsi="Calibri" w:cs="Times New Roman"/>
                <w:sz w:val="20"/>
                <w:szCs w:val="20"/>
              </w:rPr>
              <w:t>Focal Area:</w:t>
            </w:r>
          </w:p>
        </w:tc>
        <w:tc>
          <w:tcPr>
            <w:tcW w:w="882" w:type="pct"/>
            <w:vAlign w:val="center"/>
          </w:tcPr>
          <w:p w:rsidR="00D6638C" w:rsidRPr="00235B91" w:rsidRDefault="001648ED" w:rsidP="00D6638C">
            <w:pPr>
              <w:tabs>
                <w:tab w:val="right" w:pos="0"/>
              </w:tabs>
              <w:spacing w:after="0"/>
              <w:rPr>
                <w:rFonts w:ascii="Calibri" w:eastAsia="Times New Roman" w:hAnsi="Calibri" w:cs="Times New Roman"/>
                <w:sz w:val="20"/>
                <w:szCs w:val="20"/>
              </w:rPr>
            </w:pPr>
            <w:r w:rsidRPr="001648ED">
              <w:rPr>
                <w:rFonts w:ascii="Calibri" w:eastAsia="Times New Roman" w:hAnsi="Calibri" w:cs="Times New Roman"/>
                <w:sz w:val="20"/>
                <w:szCs w:val="20"/>
              </w:rPr>
              <w:t>Multi Focal Area</w:t>
            </w:r>
          </w:p>
        </w:tc>
        <w:tc>
          <w:tcPr>
            <w:tcW w:w="1244" w:type="pct"/>
          </w:tcPr>
          <w:p w:rsidR="00D160DC" w:rsidRPr="00235B91" w:rsidRDefault="00D6638C" w:rsidP="00D160DC">
            <w:pPr>
              <w:spacing w:after="0"/>
              <w:jc w:val="right"/>
              <w:rPr>
                <w:rFonts w:ascii="Calibri" w:eastAsia="Times New Roman" w:hAnsi="Calibri" w:cs="Times New Roman"/>
                <w:bCs/>
                <w:sz w:val="20"/>
                <w:szCs w:val="20"/>
              </w:rPr>
            </w:pPr>
            <w:r w:rsidRPr="00235B91">
              <w:rPr>
                <w:rFonts w:ascii="Calibri" w:eastAsia="Times New Roman" w:hAnsi="Calibri" w:cs="Times New Roman"/>
                <w:bCs/>
                <w:sz w:val="20"/>
                <w:szCs w:val="20"/>
              </w:rPr>
              <w:t>Other</w:t>
            </w:r>
            <w:r w:rsidR="00D160DC" w:rsidRPr="00235B91">
              <w:rPr>
                <w:rFonts w:ascii="Calibri" w:eastAsia="Times New Roman" w:hAnsi="Calibri" w:cs="Times New Roman"/>
                <w:bCs/>
                <w:sz w:val="20"/>
                <w:szCs w:val="20"/>
              </w:rPr>
              <w:t>:</w:t>
            </w:r>
          </w:p>
          <w:p w:rsidR="00D160DC" w:rsidRPr="00235B91" w:rsidRDefault="00D160DC" w:rsidP="00D160DC">
            <w:pPr>
              <w:spacing w:after="0"/>
              <w:jc w:val="right"/>
              <w:rPr>
                <w:rFonts w:ascii="Calibri" w:eastAsia="Arial Unicode MS" w:hAnsi="Calibri" w:cs="Times New Roman"/>
                <w:sz w:val="20"/>
                <w:szCs w:val="20"/>
              </w:rPr>
            </w:pPr>
            <w:r w:rsidRPr="00235B91">
              <w:rPr>
                <w:rFonts w:ascii="Calibri" w:eastAsia="Times New Roman" w:hAnsi="Calibri" w:cs="Times New Roman"/>
                <w:bCs/>
                <w:sz w:val="20"/>
                <w:szCs w:val="20"/>
              </w:rPr>
              <w:t>OECD</w:t>
            </w:r>
            <w:r w:rsidR="001A4364" w:rsidRPr="00235B91">
              <w:rPr>
                <w:rFonts w:ascii="Calibri" w:eastAsia="Times New Roman" w:hAnsi="Calibri" w:cs="Times New Roman"/>
                <w:bCs/>
                <w:sz w:val="20"/>
                <w:szCs w:val="20"/>
              </w:rPr>
              <w:t xml:space="preserve"> </w:t>
            </w:r>
            <w:r w:rsidRPr="00235B91">
              <w:rPr>
                <w:rFonts w:ascii="Calibri" w:eastAsia="Arial Unicode MS" w:hAnsi="Calibri" w:cs="Times New Roman"/>
                <w:sz w:val="20"/>
                <w:szCs w:val="20"/>
              </w:rPr>
              <w:t>(in  kind)</w:t>
            </w:r>
          </w:p>
          <w:p w:rsidR="00D160DC" w:rsidRPr="00235B91" w:rsidRDefault="00D160DC" w:rsidP="00D160DC">
            <w:pPr>
              <w:spacing w:after="0"/>
              <w:jc w:val="right"/>
              <w:rPr>
                <w:rFonts w:ascii="Calibri" w:eastAsia="Arial Unicode MS" w:hAnsi="Calibri" w:cs="Times New Roman"/>
                <w:sz w:val="20"/>
                <w:szCs w:val="20"/>
              </w:rPr>
            </w:pPr>
            <w:r w:rsidRPr="00235B91">
              <w:rPr>
                <w:rFonts w:ascii="Calibri" w:eastAsia="Arial Unicode MS" w:hAnsi="Calibri" w:cs="Times New Roman"/>
                <w:sz w:val="20"/>
                <w:szCs w:val="20"/>
              </w:rPr>
              <w:t>UNDP (in kind)</w:t>
            </w:r>
          </w:p>
          <w:p w:rsidR="00D160DC" w:rsidRPr="00235B91" w:rsidRDefault="00D160DC" w:rsidP="00D160DC">
            <w:pPr>
              <w:spacing w:after="0"/>
              <w:jc w:val="right"/>
              <w:rPr>
                <w:rFonts w:ascii="Calibri" w:eastAsia="Arial Unicode MS" w:hAnsi="Calibri" w:cs="Times New Roman"/>
                <w:sz w:val="20"/>
                <w:szCs w:val="20"/>
              </w:rPr>
            </w:pPr>
          </w:p>
          <w:p w:rsidR="00D6638C" w:rsidRPr="00235B91" w:rsidRDefault="00D6638C" w:rsidP="00D6638C">
            <w:pPr>
              <w:spacing w:after="0"/>
              <w:jc w:val="right"/>
              <w:rPr>
                <w:rFonts w:ascii="Calibri" w:eastAsia="Times New Roman" w:hAnsi="Calibri" w:cs="Times New Roman"/>
                <w:sz w:val="20"/>
                <w:szCs w:val="20"/>
              </w:rPr>
            </w:pPr>
          </w:p>
        </w:tc>
        <w:tc>
          <w:tcPr>
            <w:tcW w:w="1086" w:type="pct"/>
            <w:gridSpan w:val="2"/>
          </w:tcPr>
          <w:p w:rsidR="00D160DC" w:rsidRPr="00235B91" w:rsidRDefault="00D160DC" w:rsidP="004828EA">
            <w:pPr>
              <w:spacing w:after="0"/>
              <w:rPr>
                <w:rFonts w:ascii="Calibri" w:eastAsia="Arial Unicode MS" w:hAnsi="Calibri" w:cs="Times New Roman"/>
                <w:sz w:val="20"/>
                <w:szCs w:val="20"/>
              </w:rPr>
            </w:pPr>
          </w:p>
          <w:p w:rsidR="00D6638C" w:rsidRPr="00235B91" w:rsidRDefault="00D160DC" w:rsidP="004828EA">
            <w:pPr>
              <w:spacing w:after="0"/>
              <w:rPr>
                <w:rFonts w:ascii="Calibri" w:eastAsia="Arial Unicode MS" w:hAnsi="Calibri" w:cs="Times New Roman"/>
                <w:sz w:val="20"/>
                <w:szCs w:val="20"/>
              </w:rPr>
            </w:pPr>
            <w:r w:rsidRPr="00235B91">
              <w:rPr>
                <w:rFonts w:ascii="Calibri" w:eastAsia="Arial Unicode MS" w:hAnsi="Calibri" w:cs="Times New Roman"/>
                <w:sz w:val="20"/>
                <w:szCs w:val="20"/>
              </w:rPr>
              <w:t>200,000</w:t>
            </w:r>
          </w:p>
          <w:p w:rsidR="00D160DC" w:rsidRPr="00235B91" w:rsidRDefault="00D160DC" w:rsidP="004828EA">
            <w:pPr>
              <w:spacing w:after="0"/>
              <w:rPr>
                <w:rFonts w:ascii="Calibri" w:eastAsia="Times New Roman" w:hAnsi="Calibri" w:cs="Times New Roman"/>
                <w:sz w:val="20"/>
                <w:szCs w:val="20"/>
              </w:rPr>
            </w:pPr>
            <w:r w:rsidRPr="00235B91">
              <w:rPr>
                <w:rFonts w:ascii="Calibri" w:eastAsia="Arial Unicode MS" w:hAnsi="Calibri" w:cs="Times New Roman"/>
                <w:sz w:val="20"/>
                <w:szCs w:val="20"/>
              </w:rPr>
              <w:t>50,000</w:t>
            </w:r>
          </w:p>
        </w:tc>
        <w:tc>
          <w:tcPr>
            <w:tcW w:w="1031" w:type="pct"/>
          </w:tcPr>
          <w:p w:rsidR="00D6638C" w:rsidRPr="00235B91" w:rsidRDefault="00D6638C" w:rsidP="00D6638C">
            <w:pPr>
              <w:spacing w:after="0"/>
              <w:jc w:val="both"/>
              <w:rPr>
                <w:rFonts w:ascii="Calibri" w:eastAsia="Times New Roman" w:hAnsi="Calibri" w:cs="Times New Roman"/>
                <w:sz w:val="20"/>
                <w:szCs w:val="20"/>
              </w:rPr>
            </w:pPr>
          </w:p>
        </w:tc>
      </w:tr>
      <w:tr w:rsidR="00D6638C" w:rsidRPr="00D6638C" w:rsidTr="001648ED">
        <w:tblPrEx>
          <w:shd w:val="clear" w:color="auto" w:fill="auto"/>
        </w:tblPrEx>
        <w:trPr>
          <w:trHeight w:val="553"/>
        </w:trPr>
        <w:tc>
          <w:tcPr>
            <w:tcW w:w="756" w:type="pct"/>
            <w:gridSpan w:val="2"/>
          </w:tcPr>
          <w:p w:rsidR="00D6638C" w:rsidRPr="00235B91" w:rsidRDefault="00D6638C" w:rsidP="00D6638C">
            <w:pPr>
              <w:spacing w:after="0"/>
              <w:jc w:val="right"/>
              <w:rPr>
                <w:rFonts w:ascii="Calibri" w:eastAsia="Arial Unicode MS" w:hAnsi="Calibri" w:cs="Times New Roman"/>
                <w:sz w:val="20"/>
                <w:szCs w:val="20"/>
              </w:rPr>
            </w:pPr>
            <w:r w:rsidRPr="00235B91">
              <w:rPr>
                <w:rFonts w:ascii="Calibri" w:eastAsia="Times New Roman" w:hAnsi="Calibri" w:cs="Times New Roman"/>
                <w:sz w:val="20"/>
                <w:szCs w:val="20"/>
              </w:rPr>
              <w:t>FA Objectives, (OP/SP):</w:t>
            </w:r>
          </w:p>
        </w:tc>
        <w:tc>
          <w:tcPr>
            <w:tcW w:w="882" w:type="pct"/>
            <w:vAlign w:val="center"/>
          </w:tcPr>
          <w:p w:rsidR="00D6638C" w:rsidRPr="00235B91" w:rsidRDefault="00AE15F9" w:rsidP="004828EA">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S</w:t>
            </w:r>
            <w:r w:rsidR="004828EA" w:rsidRPr="00235B91">
              <w:rPr>
                <w:rFonts w:ascii="Calibri" w:eastAsia="Times New Roman" w:hAnsi="Calibri" w:cs="Times New Roman"/>
                <w:sz w:val="20"/>
                <w:szCs w:val="20"/>
              </w:rPr>
              <w:t>P</w:t>
            </w:r>
            <w:r w:rsidRPr="00235B91">
              <w:rPr>
                <w:rFonts w:ascii="Calibri" w:eastAsia="Times New Roman" w:hAnsi="Calibri" w:cs="Times New Roman"/>
                <w:sz w:val="20"/>
                <w:szCs w:val="20"/>
              </w:rPr>
              <w:t>1</w:t>
            </w:r>
          </w:p>
        </w:tc>
        <w:tc>
          <w:tcPr>
            <w:tcW w:w="1244" w:type="pct"/>
          </w:tcPr>
          <w:p w:rsidR="00D6638C" w:rsidRPr="00235B91" w:rsidRDefault="00D6638C" w:rsidP="00D6638C">
            <w:pPr>
              <w:spacing w:after="0"/>
              <w:jc w:val="right"/>
              <w:rPr>
                <w:rFonts w:ascii="Calibri" w:eastAsia="Times New Roman" w:hAnsi="Calibri" w:cs="Times New Roman"/>
                <w:sz w:val="20"/>
                <w:szCs w:val="20"/>
              </w:rPr>
            </w:pPr>
            <w:r w:rsidRPr="00235B91">
              <w:rPr>
                <w:rFonts w:ascii="Calibri" w:eastAsia="Times New Roman" w:hAnsi="Calibri" w:cs="Times New Roman"/>
                <w:sz w:val="20"/>
                <w:szCs w:val="20"/>
              </w:rPr>
              <w:t>Total co-financing:</w:t>
            </w:r>
          </w:p>
        </w:tc>
        <w:tc>
          <w:tcPr>
            <w:tcW w:w="1086" w:type="pct"/>
            <w:gridSpan w:val="2"/>
          </w:tcPr>
          <w:p w:rsidR="00D6638C" w:rsidRPr="00235B91" w:rsidRDefault="00D160DC" w:rsidP="004828EA">
            <w:pPr>
              <w:spacing w:after="0"/>
              <w:rPr>
                <w:rFonts w:ascii="Calibri" w:eastAsia="Arial Unicode MS" w:hAnsi="Calibri" w:cs="Times New Roman"/>
                <w:sz w:val="20"/>
                <w:szCs w:val="20"/>
              </w:rPr>
            </w:pPr>
            <w:r w:rsidRPr="00235B91">
              <w:rPr>
                <w:rFonts w:ascii="Calibri" w:eastAsia="Arial Unicode MS" w:hAnsi="Calibri" w:cs="Times New Roman"/>
                <w:sz w:val="20"/>
                <w:szCs w:val="20"/>
              </w:rPr>
              <w:t xml:space="preserve">610,000 </w:t>
            </w:r>
          </w:p>
          <w:p w:rsidR="00D160DC" w:rsidRPr="00235B91" w:rsidRDefault="00D160DC" w:rsidP="004828EA">
            <w:pPr>
              <w:spacing w:after="0"/>
              <w:rPr>
                <w:rFonts w:ascii="Calibri" w:eastAsia="Arial Unicode MS" w:hAnsi="Calibri" w:cs="Times New Roman"/>
                <w:sz w:val="20"/>
                <w:szCs w:val="20"/>
              </w:rPr>
            </w:pPr>
            <w:r w:rsidRPr="00235B91">
              <w:rPr>
                <w:rFonts w:ascii="Calibri" w:eastAsia="Arial Unicode MS" w:hAnsi="Calibri" w:cs="Times New Roman"/>
                <w:sz w:val="20"/>
                <w:szCs w:val="20"/>
              </w:rPr>
              <w:t>(incl. 500,000 in kind)</w:t>
            </w:r>
          </w:p>
        </w:tc>
        <w:tc>
          <w:tcPr>
            <w:tcW w:w="1031" w:type="pct"/>
          </w:tcPr>
          <w:p w:rsidR="00D6638C" w:rsidRDefault="005E5626" w:rsidP="00D6638C">
            <w:pPr>
              <w:spacing w:after="0"/>
              <w:jc w:val="both"/>
              <w:rPr>
                <w:rFonts w:ascii="Calibri" w:eastAsia="Times New Roman" w:hAnsi="Calibri" w:cs="Times New Roman"/>
                <w:sz w:val="20"/>
                <w:szCs w:val="20"/>
              </w:rPr>
            </w:pPr>
            <w:r w:rsidRPr="00235B91">
              <w:rPr>
                <w:rFonts w:ascii="Calibri" w:eastAsia="Times New Roman" w:hAnsi="Calibri" w:cs="Times New Roman"/>
                <w:sz w:val="20"/>
                <w:szCs w:val="20"/>
              </w:rPr>
              <w:t>610,000</w:t>
            </w:r>
          </w:p>
          <w:p w:rsidR="001648ED" w:rsidRPr="00235B91" w:rsidRDefault="001648ED" w:rsidP="00D6638C">
            <w:pPr>
              <w:spacing w:after="0"/>
              <w:jc w:val="both"/>
              <w:rPr>
                <w:rFonts w:ascii="Calibri" w:eastAsia="Times New Roman" w:hAnsi="Calibri" w:cs="Times New Roman"/>
                <w:sz w:val="20"/>
                <w:szCs w:val="20"/>
              </w:rPr>
            </w:pPr>
            <w:r w:rsidRPr="00235B91">
              <w:rPr>
                <w:rFonts w:ascii="Calibri" w:eastAsia="Arial Unicode MS" w:hAnsi="Calibri" w:cs="Times New Roman"/>
                <w:sz w:val="20"/>
                <w:szCs w:val="20"/>
              </w:rPr>
              <w:t>(incl. 500,000 in kind)</w:t>
            </w:r>
          </w:p>
        </w:tc>
      </w:tr>
      <w:tr w:rsidR="00D6638C" w:rsidRPr="00D6638C" w:rsidTr="001648ED">
        <w:tblPrEx>
          <w:shd w:val="clear" w:color="auto" w:fill="auto"/>
        </w:tblPrEx>
        <w:trPr>
          <w:trHeight w:val="341"/>
        </w:trPr>
        <w:tc>
          <w:tcPr>
            <w:tcW w:w="756" w:type="pct"/>
            <w:gridSpan w:val="2"/>
          </w:tcPr>
          <w:p w:rsidR="00D6638C" w:rsidRPr="00235B91" w:rsidRDefault="00D6638C" w:rsidP="00D6638C">
            <w:pPr>
              <w:spacing w:after="0"/>
              <w:jc w:val="right"/>
              <w:rPr>
                <w:rFonts w:ascii="Calibri" w:eastAsia="Arial Unicode MS" w:hAnsi="Calibri" w:cs="Times New Roman"/>
                <w:sz w:val="20"/>
                <w:szCs w:val="20"/>
              </w:rPr>
            </w:pPr>
            <w:r w:rsidRPr="00235B91">
              <w:rPr>
                <w:rFonts w:ascii="Calibri" w:eastAsia="Times New Roman" w:hAnsi="Calibri" w:cs="Times New Roman"/>
                <w:sz w:val="20"/>
                <w:szCs w:val="20"/>
              </w:rPr>
              <w:t>Executing Agency:</w:t>
            </w:r>
          </w:p>
        </w:tc>
        <w:tc>
          <w:tcPr>
            <w:tcW w:w="882" w:type="pct"/>
            <w:vAlign w:val="center"/>
          </w:tcPr>
          <w:p w:rsidR="00D6638C" w:rsidRPr="00235B91" w:rsidRDefault="00AE15F9" w:rsidP="00D6638C">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Ministry of Environment</w:t>
            </w:r>
          </w:p>
        </w:tc>
        <w:tc>
          <w:tcPr>
            <w:tcW w:w="1244" w:type="pct"/>
          </w:tcPr>
          <w:p w:rsidR="00D6638C" w:rsidRPr="00235B91" w:rsidRDefault="00D6638C" w:rsidP="00D6638C">
            <w:pPr>
              <w:spacing w:after="0"/>
              <w:jc w:val="right"/>
              <w:rPr>
                <w:rFonts w:ascii="Calibri" w:eastAsia="Arial Unicode MS" w:hAnsi="Calibri" w:cs="Times New Roman"/>
                <w:sz w:val="20"/>
                <w:szCs w:val="20"/>
              </w:rPr>
            </w:pPr>
            <w:r w:rsidRPr="00235B91">
              <w:rPr>
                <w:rFonts w:ascii="Calibri" w:eastAsia="Times New Roman" w:hAnsi="Calibri" w:cs="Times New Roman"/>
                <w:sz w:val="20"/>
                <w:szCs w:val="20"/>
              </w:rPr>
              <w:t>Total Project Cost:</w:t>
            </w:r>
          </w:p>
        </w:tc>
        <w:tc>
          <w:tcPr>
            <w:tcW w:w="1086" w:type="pct"/>
            <w:gridSpan w:val="2"/>
          </w:tcPr>
          <w:p w:rsidR="00D6638C" w:rsidRPr="00235B91" w:rsidRDefault="00D160DC" w:rsidP="004828EA">
            <w:pPr>
              <w:spacing w:after="0"/>
              <w:rPr>
                <w:rFonts w:ascii="Calibri" w:eastAsia="Arial Unicode MS" w:hAnsi="Calibri" w:cs="Times New Roman"/>
                <w:sz w:val="20"/>
                <w:szCs w:val="20"/>
              </w:rPr>
            </w:pPr>
            <w:r w:rsidRPr="00235B91">
              <w:rPr>
                <w:rFonts w:ascii="Calibri" w:eastAsia="Arial Unicode MS" w:hAnsi="Calibri" w:cs="Times New Roman"/>
                <w:sz w:val="20"/>
                <w:szCs w:val="20"/>
              </w:rPr>
              <w:t>1,120,450</w:t>
            </w:r>
          </w:p>
          <w:p w:rsidR="00D160DC" w:rsidRPr="00235B91" w:rsidRDefault="00D160DC" w:rsidP="004828EA">
            <w:pPr>
              <w:spacing w:after="0"/>
              <w:rPr>
                <w:rFonts w:ascii="Calibri" w:eastAsia="Arial Unicode MS" w:hAnsi="Calibri" w:cs="Times New Roman"/>
                <w:sz w:val="20"/>
                <w:szCs w:val="20"/>
              </w:rPr>
            </w:pPr>
            <w:r w:rsidRPr="00235B91">
              <w:rPr>
                <w:rFonts w:ascii="Calibri" w:eastAsia="Arial Unicode MS" w:hAnsi="Calibri" w:cs="Times New Roman"/>
                <w:sz w:val="20"/>
                <w:szCs w:val="20"/>
              </w:rPr>
              <w:t>(incl. 500,000 in kind)</w:t>
            </w:r>
          </w:p>
        </w:tc>
        <w:tc>
          <w:tcPr>
            <w:tcW w:w="1031" w:type="pct"/>
          </w:tcPr>
          <w:p w:rsidR="00D6638C" w:rsidRDefault="005E5626" w:rsidP="00D6638C">
            <w:pPr>
              <w:spacing w:after="0"/>
              <w:jc w:val="both"/>
              <w:rPr>
                <w:rFonts w:ascii="Calibri" w:eastAsia="Arial Unicode MS" w:hAnsi="Calibri" w:cs="Times New Roman"/>
                <w:sz w:val="20"/>
                <w:szCs w:val="20"/>
              </w:rPr>
            </w:pPr>
            <w:r w:rsidRPr="00235B91">
              <w:rPr>
                <w:rFonts w:ascii="Calibri" w:eastAsia="Arial Unicode MS" w:hAnsi="Calibri" w:cs="Times New Roman"/>
                <w:sz w:val="20"/>
                <w:szCs w:val="20"/>
              </w:rPr>
              <w:t>1,120,450</w:t>
            </w:r>
          </w:p>
          <w:p w:rsidR="001648ED" w:rsidRPr="00235B91" w:rsidRDefault="001648ED" w:rsidP="00D6638C">
            <w:pPr>
              <w:spacing w:after="0"/>
              <w:jc w:val="both"/>
              <w:rPr>
                <w:rFonts w:ascii="Calibri" w:eastAsia="Arial Unicode MS" w:hAnsi="Calibri" w:cs="Times New Roman"/>
                <w:sz w:val="20"/>
                <w:szCs w:val="20"/>
              </w:rPr>
            </w:pPr>
            <w:r w:rsidRPr="00235B91">
              <w:rPr>
                <w:rFonts w:ascii="Calibri" w:eastAsia="Arial Unicode MS" w:hAnsi="Calibri" w:cs="Times New Roman"/>
                <w:sz w:val="20"/>
                <w:szCs w:val="20"/>
              </w:rPr>
              <w:t>(incl. 500,000 in kind)</w:t>
            </w:r>
          </w:p>
        </w:tc>
      </w:tr>
      <w:tr w:rsidR="00D6638C" w:rsidRPr="00D6638C" w:rsidTr="001648ED">
        <w:tblPrEx>
          <w:shd w:val="clear" w:color="auto" w:fill="auto"/>
        </w:tblPrEx>
        <w:trPr>
          <w:trHeight w:val="368"/>
        </w:trPr>
        <w:tc>
          <w:tcPr>
            <w:tcW w:w="756" w:type="pct"/>
            <w:gridSpan w:val="2"/>
            <w:vMerge w:val="restart"/>
          </w:tcPr>
          <w:p w:rsidR="00D6638C" w:rsidRPr="00235B91" w:rsidRDefault="00D6638C" w:rsidP="00D6638C">
            <w:pPr>
              <w:spacing w:after="0"/>
              <w:jc w:val="right"/>
              <w:rPr>
                <w:rFonts w:ascii="Calibri" w:eastAsia="Arial Unicode MS" w:hAnsi="Calibri" w:cs="Times New Roman"/>
                <w:sz w:val="20"/>
                <w:szCs w:val="20"/>
              </w:rPr>
            </w:pPr>
            <w:r w:rsidRPr="00235B91">
              <w:rPr>
                <w:rFonts w:ascii="Calibri" w:eastAsia="Times New Roman" w:hAnsi="Calibri" w:cs="Times New Roman"/>
                <w:sz w:val="20"/>
                <w:szCs w:val="20"/>
              </w:rPr>
              <w:t>Other Partners involved:</w:t>
            </w:r>
          </w:p>
        </w:tc>
        <w:tc>
          <w:tcPr>
            <w:tcW w:w="882" w:type="pct"/>
            <w:vMerge w:val="restart"/>
            <w:vAlign w:val="center"/>
          </w:tcPr>
          <w:p w:rsidR="00506E51" w:rsidRPr="00235B91" w:rsidRDefault="00506E51" w:rsidP="00506E51">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OECD</w:t>
            </w:r>
            <w:r w:rsidR="00AE15F9" w:rsidRPr="00235B91">
              <w:rPr>
                <w:rFonts w:ascii="Calibri" w:eastAsia="Times New Roman" w:hAnsi="Calibri" w:cs="Times New Roman"/>
                <w:sz w:val="20"/>
                <w:szCs w:val="20"/>
              </w:rPr>
              <w:t xml:space="preserve">, </w:t>
            </w:r>
          </w:p>
          <w:p w:rsidR="00D6638C" w:rsidRPr="00235B91" w:rsidRDefault="00AE15F9" w:rsidP="00506E51">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Local public Authorities</w:t>
            </w:r>
          </w:p>
        </w:tc>
        <w:tc>
          <w:tcPr>
            <w:tcW w:w="2331" w:type="pct"/>
            <w:gridSpan w:val="3"/>
          </w:tcPr>
          <w:p w:rsidR="00D6638C" w:rsidRPr="00235B91" w:rsidRDefault="00D6638C" w:rsidP="00D6638C">
            <w:pPr>
              <w:tabs>
                <w:tab w:val="right" w:pos="0"/>
              </w:tabs>
              <w:spacing w:after="0"/>
              <w:jc w:val="right"/>
              <w:rPr>
                <w:rFonts w:ascii="Calibri" w:eastAsia="Times New Roman" w:hAnsi="Calibri" w:cs="Times New Roman"/>
                <w:sz w:val="20"/>
                <w:szCs w:val="20"/>
              </w:rPr>
            </w:pPr>
            <w:proofErr w:type="spellStart"/>
            <w:r w:rsidRPr="00235B91">
              <w:rPr>
                <w:rFonts w:ascii="Calibri" w:eastAsia="Times New Roman" w:hAnsi="Calibri" w:cs="Times New Roman"/>
                <w:sz w:val="20"/>
                <w:szCs w:val="20"/>
              </w:rPr>
              <w:t>ProDoc</w:t>
            </w:r>
            <w:proofErr w:type="spellEnd"/>
            <w:r w:rsidRPr="00235B91">
              <w:rPr>
                <w:rFonts w:ascii="Calibri" w:eastAsia="Times New Roman" w:hAnsi="Calibri" w:cs="Times New Roman"/>
                <w:sz w:val="20"/>
                <w:szCs w:val="20"/>
              </w:rPr>
              <w:t xml:space="preserve"> Signature (date project began): </w:t>
            </w:r>
          </w:p>
        </w:tc>
        <w:tc>
          <w:tcPr>
            <w:tcW w:w="1031" w:type="pct"/>
            <w:vAlign w:val="center"/>
          </w:tcPr>
          <w:p w:rsidR="00D6638C" w:rsidRPr="00235B91" w:rsidRDefault="00D160DC" w:rsidP="00D160DC">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28</w:t>
            </w:r>
            <w:r w:rsidR="004950AE" w:rsidRPr="00235B91">
              <w:rPr>
                <w:rFonts w:ascii="Calibri" w:eastAsia="Times New Roman" w:hAnsi="Calibri" w:cs="Times New Roman"/>
                <w:sz w:val="20"/>
                <w:szCs w:val="20"/>
              </w:rPr>
              <w:t>.</w:t>
            </w:r>
            <w:r w:rsidRPr="00235B91">
              <w:rPr>
                <w:rFonts w:ascii="Calibri" w:eastAsia="Times New Roman" w:hAnsi="Calibri" w:cs="Times New Roman"/>
                <w:sz w:val="20"/>
                <w:szCs w:val="20"/>
              </w:rPr>
              <w:t>1</w:t>
            </w:r>
            <w:r w:rsidR="004950AE" w:rsidRPr="00235B91">
              <w:rPr>
                <w:rFonts w:ascii="Calibri" w:eastAsia="Times New Roman" w:hAnsi="Calibri" w:cs="Times New Roman"/>
                <w:sz w:val="20"/>
                <w:szCs w:val="20"/>
              </w:rPr>
              <w:t>0.20</w:t>
            </w:r>
            <w:r w:rsidRPr="00235B91">
              <w:rPr>
                <w:rFonts w:ascii="Calibri" w:eastAsia="Times New Roman" w:hAnsi="Calibri" w:cs="Times New Roman"/>
                <w:sz w:val="20"/>
                <w:szCs w:val="20"/>
              </w:rPr>
              <w:t>11</w:t>
            </w:r>
          </w:p>
        </w:tc>
      </w:tr>
      <w:tr w:rsidR="00D6638C" w:rsidRPr="00D6638C" w:rsidTr="001648ED">
        <w:tblPrEx>
          <w:shd w:val="clear" w:color="auto" w:fill="auto"/>
        </w:tblPrEx>
        <w:trPr>
          <w:trHeight w:val="144"/>
        </w:trPr>
        <w:tc>
          <w:tcPr>
            <w:tcW w:w="756" w:type="pct"/>
            <w:gridSpan w:val="2"/>
            <w:vMerge/>
            <w:vAlign w:val="center"/>
          </w:tcPr>
          <w:p w:rsidR="00D6638C" w:rsidRPr="00235B91" w:rsidRDefault="00D6638C" w:rsidP="00D6638C">
            <w:pPr>
              <w:spacing w:after="0"/>
              <w:rPr>
                <w:rFonts w:ascii="Calibri" w:eastAsia="Arial Unicode MS" w:hAnsi="Calibri" w:cs="Times New Roman"/>
                <w:sz w:val="20"/>
                <w:szCs w:val="20"/>
              </w:rPr>
            </w:pPr>
          </w:p>
        </w:tc>
        <w:tc>
          <w:tcPr>
            <w:tcW w:w="882" w:type="pct"/>
            <w:vMerge/>
          </w:tcPr>
          <w:p w:rsidR="00D6638C" w:rsidRPr="00235B91" w:rsidRDefault="00D6638C" w:rsidP="00D6638C">
            <w:pPr>
              <w:tabs>
                <w:tab w:val="right" w:pos="0"/>
              </w:tabs>
              <w:spacing w:after="0"/>
              <w:jc w:val="center"/>
              <w:rPr>
                <w:rFonts w:ascii="Calibri" w:eastAsia="Times New Roman" w:hAnsi="Calibri" w:cs="Times New Roman"/>
                <w:sz w:val="20"/>
                <w:szCs w:val="20"/>
              </w:rPr>
            </w:pPr>
          </w:p>
        </w:tc>
        <w:tc>
          <w:tcPr>
            <w:tcW w:w="1339" w:type="pct"/>
            <w:gridSpan w:val="2"/>
          </w:tcPr>
          <w:p w:rsidR="00D6638C" w:rsidRPr="00235B91" w:rsidRDefault="00D6638C" w:rsidP="00D6638C">
            <w:pPr>
              <w:spacing w:after="0"/>
              <w:jc w:val="right"/>
              <w:rPr>
                <w:rFonts w:ascii="Calibri" w:eastAsia="Arial Unicode MS" w:hAnsi="Calibri" w:cs="Times New Roman"/>
                <w:sz w:val="20"/>
                <w:szCs w:val="20"/>
              </w:rPr>
            </w:pPr>
            <w:r w:rsidRPr="00235B91">
              <w:rPr>
                <w:rFonts w:ascii="Calibri" w:eastAsia="Times New Roman" w:hAnsi="Calibri" w:cs="Times New Roman"/>
                <w:sz w:val="20"/>
                <w:szCs w:val="20"/>
              </w:rPr>
              <w:t>(Operational) Closing Date:</w:t>
            </w:r>
          </w:p>
        </w:tc>
        <w:tc>
          <w:tcPr>
            <w:tcW w:w="992" w:type="pct"/>
          </w:tcPr>
          <w:p w:rsidR="00D6638C" w:rsidRPr="00235B91" w:rsidRDefault="00D6638C" w:rsidP="00D6638C">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Proposed:</w:t>
            </w:r>
          </w:p>
          <w:p w:rsidR="00D6638C" w:rsidRPr="00235B91" w:rsidRDefault="004950AE" w:rsidP="00722A70">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 xml:space="preserve">31 </w:t>
            </w:r>
            <w:r w:rsidR="00722A70" w:rsidRPr="00235B91">
              <w:rPr>
                <w:rFonts w:ascii="Calibri" w:eastAsia="Times New Roman" w:hAnsi="Calibri" w:cs="Times New Roman"/>
                <w:sz w:val="20"/>
                <w:szCs w:val="20"/>
              </w:rPr>
              <w:t>December</w:t>
            </w:r>
            <w:r w:rsidRPr="00235B91">
              <w:rPr>
                <w:rFonts w:ascii="Calibri" w:eastAsia="Times New Roman" w:hAnsi="Calibri" w:cs="Times New Roman"/>
                <w:sz w:val="20"/>
                <w:szCs w:val="20"/>
              </w:rPr>
              <w:t xml:space="preserve"> 201</w:t>
            </w:r>
            <w:r w:rsidR="00722A70" w:rsidRPr="00235B91">
              <w:rPr>
                <w:rFonts w:ascii="Calibri" w:eastAsia="Times New Roman" w:hAnsi="Calibri" w:cs="Times New Roman"/>
                <w:sz w:val="20"/>
                <w:szCs w:val="20"/>
              </w:rPr>
              <w:t>4</w:t>
            </w:r>
          </w:p>
        </w:tc>
        <w:tc>
          <w:tcPr>
            <w:tcW w:w="1031" w:type="pct"/>
          </w:tcPr>
          <w:p w:rsidR="00D6638C" w:rsidRPr="00235B91" w:rsidRDefault="00D6638C" w:rsidP="00D6638C">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Actual:</w:t>
            </w:r>
          </w:p>
          <w:p w:rsidR="00D6638C" w:rsidRPr="00235B91" w:rsidRDefault="004950AE" w:rsidP="00506E51">
            <w:pPr>
              <w:tabs>
                <w:tab w:val="right" w:pos="0"/>
              </w:tabs>
              <w:spacing w:after="0"/>
              <w:rPr>
                <w:rFonts w:ascii="Calibri" w:eastAsia="Times New Roman" w:hAnsi="Calibri" w:cs="Times New Roman"/>
                <w:sz w:val="20"/>
                <w:szCs w:val="20"/>
              </w:rPr>
            </w:pPr>
            <w:r w:rsidRPr="00235B91">
              <w:rPr>
                <w:rFonts w:ascii="Calibri" w:eastAsia="Times New Roman" w:hAnsi="Calibri" w:cs="Times New Roman"/>
                <w:sz w:val="20"/>
                <w:szCs w:val="20"/>
              </w:rPr>
              <w:t xml:space="preserve">31 </w:t>
            </w:r>
            <w:r w:rsidR="00506E51" w:rsidRPr="00235B91">
              <w:rPr>
                <w:rFonts w:ascii="Calibri" w:eastAsia="Times New Roman" w:hAnsi="Calibri" w:cs="Times New Roman"/>
                <w:sz w:val="20"/>
                <w:szCs w:val="20"/>
              </w:rPr>
              <w:t>Septem</w:t>
            </w:r>
            <w:r w:rsidRPr="00235B91">
              <w:rPr>
                <w:rFonts w:ascii="Calibri" w:eastAsia="Times New Roman" w:hAnsi="Calibri" w:cs="Times New Roman"/>
                <w:sz w:val="20"/>
                <w:szCs w:val="20"/>
              </w:rPr>
              <w:t>ber 201</w:t>
            </w:r>
            <w:r w:rsidR="00506E51" w:rsidRPr="00235B91">
              <w:rPr>
                <w:rFonts w:ascii="Calibri" w:eastAsia="Times New Roman" w:hAnsi="Calibri" w:cs="Times New Roman"/>
                <w:sz w:val="20"/>
                <w:szCs w:val="20"/>
              </w:rPr>
              <w:t>5</w:t>
            </w:r>
          </w:p>
        </w:tc>
      </w:tr>
    </w:tbl>
    <w:p w:rsidR="00D6638C" w:rsidRPr="00B913F1" w:rsidRDefault="00D6638C" w:rsidP="00F05366">
      <w:pPr>
        <w:pStyle w:val="Heading51"/>
      </w:pPr>
      <w:bookmarkStart w:id="4" w:name="_Toc321341549"/>
      <w:r w:rsidRPr="00B913F1">
        <w:t>Objective and Scope</w:t>
      </w:r>
      <w:bookmarkEnd w:id="4"/>
    </w:p>
    <w:p w:rsidR="004B36F1" w:rsidRPr="007D6326" w:rsidRDefault="00D6638C" w:rsidP="004B36F1">
      <w:pPr>
        <w:rPr>
          <w:bCs/>
          <w:sz w:val="20"/>
        </w:rPr>
      </w:pPr>
      <w:r w:rsidRPr="00D6638C">
        <w:rPr>
          <w:rFonts w:ascii="Calibri" w:eastAsia="Times New Roman" w:hAnsi="Calibri" w:cs="Times New Roman"/>
          <w:sz w:val="20"/>
          <w:szCs w:val="20"/>
        </w:rPr>
        <w:t>The project was designed to</w:t>
      </w:r>
      <w:r w:rsidRPr="004828EA">
        <w:rPr>
          <w:rFonts w:ascii="Calibri" w:eastAsia="Times New Roman" w:hAnsi="Calibri" w:cs="Times New Roman"/>
          <w:sz w:val="20"/>
          <w:szCs w:val="20"/>
        </w:rPr>
        <w:t xml:space="preserve">: </w:t>
      </w:r>
      <w:r w:rsidR="004B36F1" w:rsidRPr="007D6326">
        <w:rPr>
          <w:bCs/>
          <w:sz w:val="20"/>
        </w:rPr>
        <w:t xml:space="preserve">build capacities for implementing environmental fiscal reforms (EFR) that will produce increased national and global environmental benefits through the adoption of selected subsidies, fees, fines, taxes and other appropriate fiscal </w:t>
      </w:r>
      <w:r w:rsidR="004B36F1" w:rsidRPr="00235B91">
        <w:rPr>
          <w:bCs/>
          <w:sz w:val="20"/>
        </w:rPr>
        <w:t xml:space="preserve">instruments. The reforms will focus on creating conditions, financial incentives and disincentives, and decreased opportunity costs to undertake actions that deliver global environmental outcomes.  The expected outcome is that EFR will be adopted as an important element of </w:t>
      </w:r>
      <w:smartTag w:uri="urn:schemas-microsoft-com:office:smarttags" w:element="country-region">
        <w:smartTag w:uri="urn:schemas-microsoft-com:office:smarttags" w:element="place">
          <w:r w:rsidR="004B36F1" w:rsidRPr="00235B91">
            <w:rPr>
              <w:bCs/>
              <w:sz w:val="20"/>
            </w:rPr>
            <w:t>Moldova</w:t>
          </w:r>
        </w:smartTag>
      </w:smartTag>
      <w:r w:rsidR="004B36F1" w:rsidRPr="00235B91">
        <w:rPr>
          <w:bCs/>
          <w:sz w:val="20"/>
        </w:rPr>
        <w:t xml:space="preserve">'s development policy, whereby improved fiscal and financial instruments and their use would strengthen regulatory and other approaches to environmentally sound and sustainable development, with a particular emphasis of meeting obligations under the three Rio Conventions. The project will also contribute to and complement a </w:t>
      </w:r>
      <w:r w:rsidR="004B36F1" w:rsidRPr="007D6326">
        <w:rPr>
          <w:bCs/>
          <w:sz w:val="20"/>
        </w:rPr>
        <w:t xml:space="preserve">broader national decentralization </w:t>
      </w:r>
      <w:r w:rsidR="004B36F1" w:rsidRPr="007D6326">
        <w:rPr>
          <w:bCs/>
          <w:sz w:val="20"/>
        </w:rPr>
        <w:lastRenderedPageBreak/>
        <w:t>reform process, including policy planning at the national level, redesigning of competencies and responsibilities of local and sub-national governments and reforming local government revenue systems.  In order to reach Government of Moldova's objective, the project will adopt a focused and comprehensive strategy co</w:t>
      </w:r>
      <w:r w:rsidR="004B36F1">
        <w:rPr>
          <w:bCs/>
          <w:sz w:val="20"/>
        </w:rPr>
        <w:t xml:space="preserve">mposed of three main components:  (1) </w:t>
      </w:r>
      <w:r w:rsidR="004B36F1" w:rsidRPr="007D6326">
        <w:rPr>
          <w:bCs/>
          <w:sz w:val="20"/>
        </w:rPr>
        <w:t>Reform of environmentally harmful subsidies, green subsidies, as well as environmental charges within the agricultural and energy sectors</w:t>
      </w:r>
      <w:r w:rsidR="004B36F1">
        <w:rPr>
          <w:bCs/>
          <w:sz w:val="20"/>
        </w:rPr>
        <w:t>, (2)</w:t>
      </w:r>
      <w:r w:rsidR="004B36F1" w:rsidRPr="007D6326">
        <w:rPr>
          <w:bCs/>
          <w:sz w:val="20"/>
        </w:rPr>
        <w:t xml:space="preserve"> Capacity development for EFR to build consensu</w:t>
      </w:r>
      <w:r w:rsidR="004B36F1">
        <w:rPr>
          <w:bCs/>
          <w:sz w:val="20"/>
        </w:rPr>
        <w:t xml:space="preserve">s among concerned stakeholders, and (3) </w:t>
      </w:r>
      <w:r w:rsidR="004B36F1" w:rsidRPr="007D6326">
        <w:rPr>
          <w:bCs/>
          <w:sz w:val="20"/>
        </w:rPr>
        <w:t>Component 3: Integration of EFR in local and central planning processes</w:t>
      </w:r>
      <w:r w:rsidR="004B36F1">
        <w:rPr>
          <w:bCs/>
          <w:sz w:val="20"/>
        </w:rPr>
        <w:t>.</w:t>
      </w:r>
    </w:p>
    <w:p w:rsidR="00D6638C" w:rsidRPr="00D6638C" w:rsidRDefault="00D6638C" w:rsidP="00BA547A">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w:t>
      </w:r>
      <w:r w:rsidR="004B36F1">
        <w:rPr>
          <w:rFonts w:ascii="Calibri" w:eastAsia="Times New Roman" w:hAnsi="Calibri" w:cs="Times New Roman"/>
          <w:sz w:val="20"/>
          <w:szCs w:val="20"/>
        </w:rPr>
        <w:t xml:space="preserve">erminal </w:t>
      </w:r>
      <w:r w:rsidRPr="00D6638C">
        <w:rPr>
          <w:rFonts w:ascii="Calibri" w:eastAsia="Times New Roman" w:hAnsi="Calibri" w:cs="Times New Roman"/>
          <w:sz w:val="20"/>
          <w:szCs w:val="20"/>
        </w:rPr>
        <w:t>E</w:t>
      </w:r>
      <w:r w:rsidR="004B36F1">
        <w:rPr>
          <w:rFonts w:ascii="Calibri" w:eastAsia="Times New Roman" w:hAnsi="Calibri" w:cs="Times New Roman"/>
          <w:sz w:val="20"/>
          <w:szCs w:val="20"/>
        </w:rPr>
        <w:t>valuation</w:t>
      </w:r>
      <w:r w:rsidRPr="00D6638C">
        <w:rPr>
          <w:rFonts w:ascii="Calibri" w:eastAsia="Times New Roman" w:hAnsi="Calibri" w:cs="Times New Roman"/>
          <w:sz w:val="20"/>
          <w:szCs w:val="20"/>
        </w:rPr>
        <w:t xml:space="preserv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BA547A">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t>
      </w:r>
      <w:r w:rsidRPr="009A3A7D">
        <w:rPr>
          <w:rFonts w:ascii="Calibri" w:eastAsia="Times New Roman" w:hAnsi="Calibri" w:cs="Times New Roman"/>
          <w:sz w:val="20"/>
          <w:szCs w:val="20"/>
        </w:rPr>
        <w:t>with this TOR</w:t>
      </w:r>
      <w:r w:rsidR="000006B7">
        <w:rPr>
          <w:rFonts w:ascii="Calibri" w:eastAsia="Times New Roman" w:hAnsi="Calibri" w:cs="Times New Roman"/>
          <w:sz w:val="20"/>
          <w:szCs w:val="20"/>
        </w:rPr>
        <w:t xml:space="preserve"> (</w:t>
      </w:r>
      <w:hyperlink w:anchor="_TOR_Annex_C:" w:history="1">
        <w:r w:rsidR="000006B7" w:rsidRPr="000006B7">
          <w:rPr>
            <w:rStyle w:val="Hyperlink"/>
            <w:rFonts w:ascii="Calibri" w:eastAsia="Times New Roman" w:hAnsi="Calibri" w:cs="Times New Roman"/>
            <w:i/>
            <w:sz w:val="20"/>
            <w:szCs w:val="20"/>
          </w:rPr>
          <w:t>Annex C</w:t>
        </w:r>
      </w:hyperlink>
      <w:r w:rsidR="000006B7">
        <w:rPr>
          <w:rFonts w:ascii="Calibri" w:eastAsia="Times New Roman" w:hAnsi="Calibri" w:cs="Times New Roman"/>
          <w:sz w:val="20"/>
          <w:szCs w:val="20"/>
        </w:rPr>
        <w:t>).</w:t>
      </w:r>
      <w:r w:rsidRPr="00D6638C">
        <w:rPr>
          <w:rFonts w:ascii="Calibri" w:eastAsia="Times New Roman" w:hAnsi="Calibri" w:cs="Times New Roman"/>
          <w:sz w:val="20"/>
          <w:szCs w:val="20"/>
        </w:rPr>
        <w:t xml:space="preserve"> The evaluator is expected to amend, complete and submit this matrix as part </w:t>
      </w:r>
      <w:r w:rsidR="004B36F1" w:rsidRPr="00D6638C">
        <w:rPr>
          <w:rFonts w:ascii="Calibri" w:eastAsia="Times New Roman" w:hAnsi="Calibri" w:cs="Times New Roman"/>
          <w:sz w:val="20"/>
          <w:szCs w:val="20"/>
        </w:rPr>
        <w:t>of an</w:t>
      </w:r>
      <w:r w:rsidRPr="00D6638C">
        <w:rPr>
          <w:rFonts w:ascii="Calibri" w:eastAsia="Times New Roman" w:hAnsi="Calibri" w:cs="Times New Roman"/>
          <w:sz w:val="20"/>
          <w:szCs w:val="20"/>
        </w:rPr>
        <w:t xml:space="preserve"> evaluation inception report, and shall include it as an annex to the final report.  </w:t>
      </w:r>
    </w:p>
    <w:p w:rsidR="006950B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w:t>
      </w:r>
      <w:r w:rsidRPr="00125D93">
        <w:rPr>
          <w:rFonts w:ascii="Calibri" w:eastAsia="Times New Roman" w:hAnsi="Calibri" w:cs="Times New Roman"/>
          <w:sz w:val="20"/>
          <w:szCs w:val="20"/>
        </w:rPr>
        <w:t>to</w:t>
      </w:r>
      <w:r w:rsidR="00125D93">
        <w:rPr>
          <w:rFonts w:ascii="Calibri" w:eastAsia="Times New Roman" w:hAnsi="Calibri" w:cs="Times New Roman"/>
          <w:sz w:val="20"/>
          <w:szCs w:val="20"/>
        </w:rPr>
        <w:t xml:space="preserve"> </w:t>
      </w:r>
      <w:r w:rsidR="00125D93" w:rsidRPr="00125D93">
        <w:rPr>
          <w:rFonts w:ascii="Calibri" w:eastAsia="Times New Roman" w:hAnsi="Calibri" w:cs="Times New Roman"/>
          <w:i/>
          <w:sz w:val="20"/>
          <w:szCs w:val="20"/>
        </w:rPr>
        <w:t>Chisinau,</w:t>
      </w:r>
      <w:r w:rsidR="00125D93" w:rsidRPr="00125D93">
        <w:rPr>
          <w:rFonts w:ascii="Calibri" w:eastAsia="Times New Roman" w:hAnsi="Calibri" w:cs="Times New Roman"/>
          <w:sz w:val="20"/>
          <w:szCs w:val="20"/>
        </w:rPr>
        <w:t xml:space="preserve"> </w:t>
      </w:r>
      <w:r w:rsidR="00125D93" w:rsidRPr="00125D93">
        <w:rPr>
          <w:rFonts w:ascii="Calibri" w:eastAsia="Times New Roman" w:hAnsi="Calibri" w:cs="Times New Roman"/>
          <w:i/>
          <w:sz w:val="20"/>
          <w:szCs w:val="20"/>
        </w:rPr>
        <w:t>Republic of Moldova</w:t>
      </w:r>
      <w:r w:rsidRPr="00125D93">
        <w:rPr>
          <w:rFonts w:ascii="Calibri" w:eastAsia="Times New Roman" w:hAnsi="Calibri" w:cs="Times New Roman"/>
          <w:sz w:val="20"/>
          <w:szCs w:val="20"/>
        </w:rPr>
        <w:t xml:space="preserve">, including the following project </w:t>
      </w:r>
      <w:r w:rsidR="009A66DF">
        <w:rPr>
          <w:rFonts w:ascii="Calibri" w:eastAsia="Times New Roman" w:hAnsi="Calibri" w:cs="Times New Roman"/>
          <w:sz w:val="20"/>
          <w:szCs w:val="20"/>
        </w:rPr>
        <w:t>pilot towns</w:t>
      </w:r>
      <w:r w:rsidR="0013181B">
        <w:rPr>
          <w:rFonts w:ascii="Calibri" w:eastAsia="Times New Roman" w:hAnsi="Calibri" w:cs="Times New Roman"/>
          <w:sz w:val="20"/>
          <w:szCs w:val="20"/>
        </w:rPr>
        <w:t xml:space="preserve"> -</w:t>
      </w:r>
      <w:r w:rsidR="00125D93" w:rsidRPr="00125D93">
        <w:rPr>
          <w:rFonts w:ascii="Calibri" w:eastAsia="Times New Roman" w:hAnsi="Calibri" w:cs="Times New Roman"/>
          <w:i/>
          <w:sz w:val="20"/>
          <w:szCs w:val="20"/>
          <w:shd w:val="clear" w:color="auto" w:fill="FFFFFF"/>
        </w:rPr>
        <w:t xml:space="preserve"> </w:t>
      </w:r>
      <w:r w:rsidR="009A66DF">
        <w:rPr>
          <w:rFonts w:ascii="Calibri" w:eastAsia="Times New Roman" w:hAnsi="Calibri" w:cs="Times New Roman"/>
          <w:i/>
          <w:sz w:val="20"/>
          <w:szCs w:val="20"/>
          <w:shd w:val="clear" w:color="auto" w:fill="FFFFFF"/>
        </w:rPr>
        <w:t xml:space="preserve">Ungheni and </w:t>
      </w:r>
      <w:proofErr w:type="spellStart"/>
      <w:r w:rsidR="009A66DF">
        <w:rPr>
          <w:rFonts w:ascii="Calibri" w:eastAsia="Times New Roman" w:hAnsi="Calibri" w:cs="Times New Roman"/>
          <w:i/>
          <w:sz w:val="20"/>
          <w:szCs w:val="20"/>
          <w:shd w:val="clear" w:color="auto" w:fill="FFFFFF"/>
        </w:rPr>
        <w:t>Telenesti</w:t>
      </w:r>
      <w:proofErr w:type="spellEnd"/>
      <w:r w:rsidRPr="00125D93">
        <w:rPr>
          <w:rFonts w:ascii="Calibri" w:eastAsia="Times New Roman" w:hAnsi="Calibri" w:cs="Times New Roman"/>
          <w:i/>
          <w:sz w:val="20"/>
          <w:szCs w:val="20"/>
        </w:rPr>
        <w:t>.</w:t>
      </w:r>
      <w:r w:rsidRPr="00125D93">
        <w:rPr>
          <w:rFonts w:ascii="Calibri" w:eastAsia="Times New Roman" w:hAnsi="Calibri" w:cs="Times New Roman"/>
          <w:sz w:val="20"/>
          <w:szCs w:val="20"/>
        </w:rPr>
        <w:t xml:space="preserve"> Interviews will be held with the following organizations and individuals at a minimum:</w:t>
      </w:r>
    </w:p>
    <w:p w:rsidR="00125D93" w:rsidRPr="00125D93" w:rsidRDefault="00125D93" w:rsidP="00F51631">
      <w:pPr>
        <w:pStyle w:val="ListParagraph"/>
        <w:numPr>
          <w:ilvl w:val="0"/>
          <w:numId w:val="7"/>
        </w:numPr>
        <w:spacing w:after="120"/>
        <w:rPr>
          <w:rFonts w:ascii="Calibri" w:hAnsi="Calibri" w:cs="Times New Roman"/>
          <w:i/>
        </w:rPr>
      </w:pPr>
      <w:r w:rsidRPr="00125D93">
        <w:rPr>
          <w:rFonts w:ascii="Calibri" w:hAnsi="Calibri" w:cs="Times New Roman"/>
          <w:i/>
        </w:rPr>
        <w:t xml:space="preserve">UNDP Moldova CO </w:t>
      </w:r>
    </w:p>
    <w:p w:rsidR="00125D93" w:rsidRPr="00125D93" w:rsidRDefault="00125D93" w:rsidP="00F51631">
      <w:pPr>
        <w:pStyle w:val="ListParagraph"/>
        <w:numPr>
          <w:ilvl w:val="0"/>
          <w:numId w:val="7"/>
        </w:numPr>
        <w:spacing w:after="120"/>
        <w:rPr>
          <w:rFonts w:ascii="Calibri" w:hAnsi="Calibri" w:cs="Times New Roman"/>
          <w:i/>
        </w:rPr>
      </w:pPr>
      <w:r w:rsidRPr="00125D93">
        <w:rPr>
          <w:rFonts w:ascii="Calibri" w:hAnsi="Calibri" w:cs="Times New Roman"/>
          <w:i/>
        </w:rPr>
        <w:t>Ministry of Environment</w:t>
      </w:r>
    </w:p>
    <w:p w:rsidR="00125D93" w:rsidRDefault="000B71AE" w:rsidP="00F51631">
      <w:pPr>
        <w:pStyle w:val="ListParagraph"/>
        <w:numPr>
          <w:ilvl w:val="0"/>
          <w:numId w:val="7"/>
        </w:numPr>
        <w:spacing w:after="120"/>
        <w:rPr>
          <w:rFonts w:ascii="Calibri" w:hAnsi="Calibri" w:cs="Times New Roman"/>
          <w:i/>
        </w:rPr>
      </w:pPr>
      <w:r>
        <w:rPr>
          <w:rFonts w:ascii="Calibri" w:hAnsi="Calibri" w:cs="Times New Roman"/>
          <w:i/>
        </w:rPr>
        <w:t>Ministry of Economy</w:t>
      </w:r>
    </w:p>
    <w:p w:rsidR="000B71AE" w:rsidRPr="00125D93" w:rsidRDefault="000B71AE" w:rsidP="00F51631">
      <w:pPr>
        <w:pStyle w:val="ListParagraph"/>
        <w:numPr>
          <w:ilvl w:val="0"/>
          <w:numId w:val="7"/>
        </w:numPr>
        <w:spacing w:after="120"/>
        <w:rPr>
          <w:rFonts w:ascii="Calibri" w:hAnsi="Calibri" w:cs="Times New Roman"/>
          <w:i/>
        </w:rPr>
      </w:pPr>
      <w:r>
        <w:rPr>
          <w:rFonts w:ascii="Calibri" w:hAnsi="Calibri" w:cs="Times New Roman"/>
          <w:i/>
        </w:rPr>
        <w:t>Ministry of Agriculture and Food Industry</w:t>
      </w:r>
    </w:p>
    <w:p w:rsidR="00125D93" w:rsidRPr="00125D93" w:rsidRDefault="000B71AE" w:rsidP="00F51631">
      <w:pPr>
        <w:pStyle w:val="ListParagraph"/>
        <w:numPr>
          <w:ilvl w:val="0"/>
          <w:numId w:val="7"/>
        </w:numPr>
        <w:spacing w:after="120"/>
        <w:rPr>
          <w:rFonts w:ascii="Calibri" w:hAnsi="Calibri" w:cs="Times New Roman"/>
          <w:i/>
        </w:rPr>
      </w:pPr>
      <w:r>
        <w:rPr>
          <w:rFonts w:ascii="Calibri" w:hAnsi="Calibri" w:cs="Times New Roman"/>
          <w:i/>
        </w:rPr>
        <w:t>Ministry of Finance</w:t>
      </w:r>
    </w:p>
    <w:p w:rsidR="00125D93" w:rsidRPr="00125D93" w:rsidRDefault="00125D93" w:rsidP="00F51631">
      <w:pPr>
        <w:pStyle w:val="ListParagraph"/>
        <w:numPr>
          <w:ilvl w:val="0"/>
          <w:numId w:val="7"/>
        </w:numPr>
        <w:spacing w:after="120"/>
        <w:rPr>
          <w:rFonts w:ascii="Calibri" w:hAnsi="Calibri" w:cs="Times New Roman"/>
          <w:i/>
        </w:rPr>
      </w:pPr>
      <w:r w:rsidRPr="00125D93">
        <w:rPr>
          <w:rFonts w:ascii="Calibri" w:hAnsi="Calibri" w:cs="Times New Roman"/>
          <w:i/>
        </w:rPr>
        <w:t xml:space="preserve">Local Public Authorities from </w:t>
      </w:r>
      <w:proofErr w:type="spellStart"/>
      <w:r w:rsidR="000B71AE">
        <w:rPr>
          <w:rFonts w:ascii="Calibri" w:hAnsi="Calibri" w:cs="Times New Roman"/>
          <w:i/>
        </w:rPr>
        <w:t>Telenesti</w:t>
      </w:r>
      <w:proofErr w:type="spellEnd"/>
      <w:r w:rsidR="009A66DF">
        <w:rPr>
          <w:rFonts w:ascii="Calibri" w:hAnsi="Calibri" w:cs="Times New Roman"/>
          <w:i/>
        </w:rPr>
        <w:t xml:space="preserve"> and</w:t>
      </w:r>
      <w:r w:rsidR="000B71AE">
        <w:rPr>
          <w:rFonts w:ascii="Calibri" w:hAnsi="Calibri" w:cs="Times New Roman"/>
          <w:i/>
        </w:rPr>
        <w:t xml:space="preserve"> Ungheni towns</w:t>
      </w:r>
    </w:p>
    <w:p w:rsidR="00125D93" w:rsidRPr="00125D93" w:rsidRDefault="00125D93" w:rsidP="00F51631">
      <w:pPr>
        <w:pStyle w:val="ListParagraph"/>
        <w:numPr>
          <w:ilvl w:val="0"/>
          <w:numId w:val="7"/>
        </w:numPr>
        <w:spacing w:after="120"/>
        <w:rPr>
          <w:rFonts w:ascii="Calibri" w:hAnsi="Calibri" w:cs="Times New Roman"/>
          <w:i/>
        </w:rPr>
      </w:pPr>
      <w:r w:rsidRPr="00125D93">
        <w:rPr>
          <w:rFonts w:ascii="Calibri" w:hAnsi="Calibri" w:cs="Times New Roman"/>
          <w:i/>
        </w:rPr>
        <w:t>NGO “Ecological Movement of Moldova” and/or other NGO’s</w:t>
      </w:r>
      <w:r w:rsidR="009A66DF">
        <w:rPr>
          <w:rFonts w:ascii="Calibri" w:hAnsi="Calibri" w:cs="Times New Roman"/>
          <w:i/>
        </w:rPr>
        <w:t>.</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progress reports</w:t>
      </w:r>
      <w:r w:rsidR="0013181B" w:rsidRPr="00D6638C">
        <w:rPr>
          <w:rFonts w:ascii="Calibri" w:eastAsia="Times New Roman" w:hAnsi="Calibri" w:cs="Times New Roman"/>
          <w:sz w:val="20"/>
          <w:szCs w:val="20"/>
        </w:rPr>
        <w:t xml:space="preserve">, </w:t>
      </w:r>
      <w:r w:rsidR="0013181B">
        <w:rPr>
          <w:rFonts w:ascii="Calibri" w:eastAsia="Times New Roman" w:hAnsi="Calibri" w:cs="Times New Roman"/>
          <w:sz w:val="20"/>
          <w:szCs w:val="20"/>
        </w:rPr>
        <w:t>project</w:t>
      </w:r>
      <w:r w:rsidRPr="00D6638C">
        <w:rPr>
          <w:rFonts w:ascii="Calibri" w:eastAsia="Times New Roman" w:hAnsi="Calibri" w:cs="Times New Roman"/>
          <w:sz w:val="20"/>
          <w:szCs w:val="20"/>
        </w:rPr>
        <w:t xml:space="preserve">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lastRenderedPageBreak/>
        <w:t>Evaluation Criteria &amp; Ratings</w:t>
      </w:r>
      <w:bookmarkEnd w:id="7"/>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9A3A7D">
        <w:rPr>
          <w:rFonts w:ascii="Calibri" w:eastAsia="Times New Roman" w:hAnsi="Calibri" w:cs="Times New Roman"/>
          <w:sz w:val="20"/>
          <w:szCs w:val="20"/>
        </w:rPr>
        <w:t xml:space="preserve">(see </w:t>
      </w:r>
      <w:hyperlink w:anchor="_TOR_Annex_A:" w:history="1">
        <w:r w:rsidRPr="009A3A7D">
          <w:rPr>
            <w:rFonts w:ascii="Calibri" w:eastAsia="Times New Roman" w:hAnsi="Calibri" w:cs="Times New Roman"/>
            <w:color w:val="0000FF"/>
            <w:sz w:val="20"/>
            <w:szCs w:val="20"/>
            <w:u w:val="single"/>
          </w:rPr>
          <w:t xml:space="preserve"> Annex A</w:t>
        </w:r>
      </w:hyperlink>
      <w:r w:rsidRPr="009A3A7D">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874C94"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rsidR="00D6638C" w:rsidRPr="00CC653C" w:rsidRDefault="00D6638C" w:rsidP="009A7641">
      <w:pPr>
        <w:spacing w:before="200" w:after="12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w:t>
      </w:r>
      <w:r w:rsidRPr="00CC653C">
        <w:rPr>
          <w:rFonts w:ascii="Calibri" w:eastAsia="Times New Roman" w:hAnsi="Calibri" w:cs="Times New Roman"/>
          <w:sz w:val="20"/>
          <w:szCs w:val="20"/>
          <w:lang w:val="en-GB"/>
        </w:rPr>
        <w:t xml:space="preserve">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CC653C" w:rsidTr="006C1964">
        <w:tc>
          <w:tcPr>
            <w:tcW w:w="2088" w:type="dxa"/>
            <w:vMerge w:val="restart"/>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Co-financing</w:t>
            </w:r>
          </w:p>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(type/source)</w:t>
            </w:r>
          </w:p>
        </w:tc>
        <w:tc>
          <w:tcPr>
            <w:tcW w:w="1980" w:type="dxa"/>
            <w:gridSpan w:val="2"/>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UNDP own financing (mill. US$)</w:t>
            </w:r>
          </w:p>
        </w:tc>
        <w:tc>
          <w:tcPr>
            <w:tcW w:w="2160" w:type="dxa"/>
            <w:gridSpan w:val="2"/>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Government</w:t>
            </w:r>
          </w:p>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(mill. US$)</w:t>
            </w:r>
          </w:p>
        </w:tc>
        <w:tc>
          <w:tcPr>
            <w:tcW w:w="2070" w:type="dxa"/>
            <w:gridSpan w:val="2"/>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Partner Agency</w:t>
            </w:r>
          </w:p>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(mill. US$)</w:t>
            </w:r>
          </w:p>
        </w:tc>
        <w:tc>
          <w:tcPr>
            <w:tcW w:w="2250" w:type="dxa"/>
            <w:gridSpan w:val="2"/>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Total</w:t>
            </w:r>
          </w:p>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(mill. US$)</w:t>
            </w:r>
          </w:p>
        </w:tc>
      </w:tr>
      <w:tr w:rsidR="00D6638C" w:rsidRPr="00CC653C" w:rsidTr="006C1964">
        <w:trPr>
          <w:trHeight w:val="143"/>
        </w:trPr>
        <w:tc>
          <w:tcPr>
            <w:tcW w:w="2088" w:type="dxa"/>
            <w:vMerge/>
          </w:tcPr>
          <w:p w:rsidR="00D6638C" w:rsidRPr="00CC653C" w:rsidRDefault="00D6638C" w:rsidP="00D6638C">
            <w:pPr>
              <w:spacing w:after="0"/>
              <w:rPr>
                <w:rFonts w:ascii="Calibri" w:eastAsia="Times New Roman" w:hAnsi="Calibri" w:cs="Times New Roman"/>
                <w:sz w:val="20"/>
                <w:szCs w:val="20"/>
              </w:rPr>
            </w:pPr>
          </w:p>
        </w:tc>
        <w:tc>
          <w:tcPr>
            <w:tcW w:w="900"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Planned</w:t>
            </w:r>
          </w:p>
        </w:tc>
        <w:tc>
          <w:tcPr>
            <w:tcW w:w="1080"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 xml:space="preserve">Actual </w:t>
            </w:r>
          </w:p>
        </w:tc>
        <w:tc>
          <w:tcPr>
            <w:tcW w:w="1080"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Planned</w:t>
            </w:r>
          </w:p>
        </w:tc>
        <w:tc>
          <w:tcPr>
            <w:tcW w:w="1080"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Actual</w:t>
            </w:r>
          </w:p>
        </w:tc>
        <w:tc>
          <w:tcPr>
            <w:tcW w:w="1080"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Planned</w:t>
            </w:r>
          </w:p>
        </w:tc>
        <w:tc>
          <w:tcPr>
            <w:tcW w:w="990"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Actual</w:t>
            </w:r>
          </w:p>
        </w:tc>
        <w:tc>
          <w:tcPr>
            <w:tcW w:w="1170"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Actual</w:t>
            </w:r>
          </w:p>
        </w:tc>
        <w:tc>
          <w:tcPr>
            <w:tcW w:w="1080"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Actual</w:t>
            </w:r>
          </w:p>
        </w:tc>
      </w:tr>
      <w:tr w:rsidR="00D6638C" w:rsidRPr="00CC653C" w:rsidTr="006C1964">
        <w:tc>
          <w:tcPr>
            <w:tcW w:w="2088"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 xml:space="preserve">Grants </w:t>
            </w:r>
          </w:p>
        </w:tc>
        <w:tc>
          <w:tcPr>
            <w:tcW w:w="90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990" w:type="dxa"/>
          </w:tcPr>
          <w:p w:rsidR="00D6638C" w:rsidRPr="00CC653C" w:rsidRDefault="00D6638C" w:rsidP="00D6638C">
            <w:pPr>
              <w:spacing w:after="0"/>
              <w:rPr>
                <w:rFonts w:ascii="Calibri" w:eastAsia="Times New Roman" w:hAnsi="Calibri" w:cs="Times New Roman"/>
                <w:sz w:val="20"/>
                <w:szCs w:val="20"/>
              </w:rPr>
            </w:pPr>
          </w:p>
        </w:tc>
        <w:tc>
          <w:tcPr>
            <w:tcW w:w="117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r>
      <w:tr w:rsidR="00D6638C" w:rsidRPr="00CC653C" w:rsidTr="006C1964">
        <w:trPr>
          <w:trHeight w:val="332"/>
        </w:trPr>
        <w:tc>
          <w:tcPr>
            <w:tcW w:w="2088" w:type="dxa"/>
          </w:tcPr>
          <w:p w:rsidR="00D6638C" w:rsidRPr="00CC653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 xml:space="preserve">Loans/Concessions </w:t>
            </w:r>
          </w:p>
        </w:tc>
        <w:tc>
          <w:tcPr>
            <w:tcW w:w="90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990" w:type="dxa"/>
          </w:tcPr>
          <w:p w:rsidR="00D6638C" w:rsidRPr="00CC653C" w:rsidRDefault="00D6638C" w:rsidP="00D6638C">
            <w:pPr>
              <w:spacing w:after="0"/>
              <w:rPr>
                <w:rFonts w:ascii="Calibri" w:eastAsia="Times New Roman" w:hAnsi="Calibri" w:cs="Times New Roman"/>
                <w:sz w:val="20"/>
                <w:szCs w:val="20"/>
              </w:rPr>
            </w:pPr>
          </w:p>
        </w:tc>
        <w:tc>
          <w:tcPr>
            <w:tcW w:w="117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r>
      <w:tr w:rsidR="00D6638C" w:rsidRPr="00CC653C" w:rsidTr="009A7641">
        <w:trPr>
          <w:trHeight w:val="293"/>
        </w:trPr>
        <w:tc>
          <w:tcPr>
            <w:tcW w:w="2088" w:type="dxa"/>
          </w:tcPr>
          <w:p w:rsidR="00D6638C" w:rsidRPr="00CC653C" w:rsidRDefault="00D6638C" w:rsidP="009A7641">
            <w:pPr>
              <w:numPr>
                <w:ilvl w:val="0"/>
                <w:numId w:val="2"/>
              </w:numPr>
              <w:spacing w:before="60" w:after="60" w:line="240" w:lineRule="auto"/>
              <w:ind w:left="360"/>
              <w:rPr>
                <w:rFonts w:ascii="Calibri" w:eastAsia="Times New Roman" w:hAnsi="Calibri" w:cs="Times New Roman"/>
                <w:sz w:val="20"/>
                <w:szCs w:val="20"/>
              </w:rPr>
            </w:pPr>
            <w:r w:rsidRPr="00CC653C">
              <w:rPr>
                <w:rFonts w:ascii="Calibri" w:eastAsia="Times New Roman" w:hAnsi="Calibri" w:cs="Times New Roman"/>
                <w:sz w:val="20"/>
                <w:szCs w:val="20"/>
              </w:rPr>
              <w:t>In-kind support</w:t>
            </w:r>
          </w:p>
        </w:tc>
        <w:tc>
          <w:tcPr>
            <w:tcW w:w="90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990" w:type="dxa"/>
          </w:tcPr>
          <w:p w:rsidR="00D6638C" w:rsidRPr="00CC653C" w:rsidRDefault="00D6638C" w:rsidP="00D6638C">
            <w:pPr>
              <w:spacing w:after="0"/>
              <w:rPr>
                <w:rFonts w:ascii="Calibri" w:eastAsia="Times New Roman" w:hAnsi="Calibri" w:cs="Times New Roman"/>
                <w:sz w:val="20"/>
                <w:szCs w:val="20"/>
              </w:rPr>
            </w:pPr>
          </w:p>
        </w:tc>
        <w:tc>
          <w:tcPr>
            <w:tcW w:w="117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r>
      <w:tr w:rsidR="00D6638C" w:rsidRPr="00CC653C" w:rsidTr="006C1964">
        <w:tc>
          <w:tcPr>
            <w:tcW w:w="2088" w:type="dxa"/>
          </w:tcPr>
          <w:p w:rsidR="00D6638C" w:rsidRPr="00CC653C" w:rsidRDefault="00D6638C" w:rsidP="009A7641">
            <w:pPr>
              <w:numPr>
                <w:ilvl w:val="0"/>
                <w:numId w:val="2"/>
              </w:numPr>
              <w:spacing w:before="60" w:after="60" w:line="240" w:lineRule="auto"/>
              <w:ind w:left="360"/>
              <w:rPr>
                <w:rFonts w:ascii="Calibri" w:eastAsia="Times New Roman" w:hAnsi="Calibri" w:cs="Times New Roman"/>
                <w:sz w:val="20"/>
                <w:szCs w:val="20"/>
              </w:rPr>
            </w:pPr>
            <w:r w:rsidRPr="00CC653C">
              <w:rPr>
                <w:rFonts w:ascii="Calibri" w:eastAsia="Times New Roman" w:hAnsi="Calibri" w:cs="Times New Roman"/>
                <w:sz w:val="20"/>
                <w:szCs w:val="20"/>
              </w:rPr>
              <w:t>Other</w:t>
            </w:r>
          </w:p>
        </w:tc>
        <w:tc>
          <w:tcPr>
            <w:tcW w:w="90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c>
          <w:tcPr>
            <w:tcW w:w="990" w:type="dxa"/>
          </w:tcPr>
          <w:p w:rsidR="00D6638C" w:rsidRPr="00CC653C" w:rsidRDefault="00D6638C" w:rsidP="00D6638C">
            <w:pPr>
              <w:spacing w:after="0"/>
              <w:rPr>
                <w:rFonts w:ascii="Calibri" w:eastAsia="Times New Roman" w:hAnsi="Calibri" w:cs="Times New Roman"/>
                <w:sz w:val="20"/>
                <w:szCs w:val="20"/>
              </w:rPr>
            </w:pPr>
          </w:p>
        </w:tc>
        <w:tc>
          <w:tcPr>
            <w:tcW w:w="1170" w:type="dxa"/>
          </w:tcPr>
          <w:p w:rsidR="00D6638C" w:rsidRPr="00CC653C" w:rsidRDefault="00D6638C" w:rsidP="00D6638C">
            <w:pPr>
              <w:spacing w:after="0"/>
              <w:rPr>
                <w:rFonts w:ascii="Calibri" w:eastAsia="Times New Roman" w:hAnsi="Calibri" w:cs="Times New Roman"/>
                <w:sz w:val="20"/>
                <w:szCs w:val="20"/>
              </w:rPr>
            </w:pPr>
          </w:p>
        </w:tc>
        <w:tc>
          <w:tcPr>
            <w:tcW w:w="1080" w:type="dxa"/>
          </w:tcPr>
          <w:p w:rsidR="00D6638C" w:rsidRPr="00CC653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CC653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0"/>
      <w:bookmarkEnd w:id="1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lastRenderedPageBreak/>
        <w:t>Impact</w:t>
      </w:r>
      <w:bookmarkEnd w:id="17"/>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w:t>
      </w:r>
      <w:r w:rsidRPr="00125D93">
        <w:rPr>
          <w:rFonts w:ascii="Calibri" w:eastAsia="Times New Roman" w:hAnsi="Calibri" w:cs="Times New Roman"/>
          <w:sz w:val="20"/>
          <w:szCs w:val="20"/>
        </w:rPr>
        <w:t>in</w:t>
      </w:r>
      <w:r w:rsidR="00125D93">
        <w:rPr>
          <w:rFonts w:ascii="Calibri" w:eastAsia="Times New Roman" w:hAnsi="Calibri" w:cs="Times New Roman"/>
          <w:sz w:val="20"/>
          <w:szCs w:val="20"/>
        </w:rPr>
        <w:t xml:space="preserve"> the</w:t>
      </w:r>
      <w:r w:rsidR="00125D93" w:rsidRPr="00125D93">
        <w:rPr>
          <w:rFonts w:ascii="Calibri" w:eastAsia="Times New Roman" w:hAnsi="Calibri" w:cs="Times New Roman"/>
          <w:sz w:val="20"/>
          <w:szCs w:val="20"/>
        </w:rPr>
        <w:t xml:space="preserve"> </w:t>
      </w:r>
      <w:r w:rsidR="00125D93" w:rsidRPr="002C78BD">
        <w:rPr>
          <w:rFonts w:ascii="Calibri" w:eastAsia="Times New Roman" w:hAnsi="Calibri" w:cs="Times New Roman"/>
          <w:sz w:val="20"/>
          <w:szCs w:val="20"/>
        </w:rPr>
        <w:t>Republic of Moldova</w:t>
      </w:r>
      <w:r w:rsidR="00125D93" w:rsidRPr="00125D93">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w:t>
      </w:r>
      <w:r w:rsidRPr="002B2119">
        <w:rPr>
          <w:rFonts w:ascii="Calibri" w:eastAsia="Times New Roman" w:hAnsi="Calibri" w:cs="Times New Roman"/>
          <w:sz w:val="20"/>
          <w:szCs w:val="20"/>
        </w:rPr>
        <w:t>The UNDP CO will contract</w:t>
      </w:r>
      <w:r w:rsidRPr="00D6638C">
        <w:rPr>
          <w:rFonts w:ascii="Calibri" w:eastAsia="Times New Roman" w:hAnsi="Calibri" w:cs="Times New Roman"/>
          <w:sz w:val="20"/>
          <w:szCs w:val="20"/>
        </w:rPr>
        <w:t xml:space="preserve">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total duration of the evaluation will be</w:t>
      </w:r>
      <w:r w:rsidR="00125D93">
        <w:rPr>
          <w:rFonts w:ascii="Calibri" w:eastAsia="Times New Roman" w:hAnsi="Calibri" w:cs="Times New Roman"/>
          <w:sz w:val="20"/>
          <w:szCs w:val="20"/>
        </w:rPr>
        <w:t xml:space="preserve"> 20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13181B" w:rsidP="00E95CF5">
            <w:pPr>
              <w:spacing w:after="0"/>
              <w:rPr>
                <w:rFonts w:ascii="Calibri" w:eastAsia="Times New Roman" w:hAnsi="Calibri" w:cs="Times New Roman"/>
                <w:b/>
                <w:sz w:val="20"/>
                <w:szCs w:val="20"/>
              </w:rPr>
            </w:pPr>
            <w:r>
              <w:rPr>
                <w:rFonts w:ascii="Calibri" w:eastAsia="Times New Roman" w:hAnsi="Calibri" w:cs="Times New Roman"/>
                <w:i/>
                <w:sz w:val="20"/>
                <w:szCs w:val="20"/>
              </w:rPr>
              <w:t>4</w:t>
            </w:r>
            <w:r w:rsidR="00125D93">
              <w:rPr>
                <w:rFonts w:ascii="Calibri" w:eastAsia="Times New Roman" w:hAnsi="Calibri" w:cs="Times New Roman"/>
                <w:i/>
                <w:sz w:val="20"/>
                <w:szCs w:val="20"/>
              </w:rPr>
              <w:t xml:space="preserve"> days</w:t>
            </w:r>
            <w:r w:rsidR="00D6638C" w:rsidRPr="00D6638C">
              <w:rPr>
                <w:rFonts w:ascii="Calibri" w:eastAsia="Times New Roman" w:hAnsi="Calibri" w:cs="Times New Roman"/>
                <w:sz w:val="20"/>
                <w:szCs w:val="20"/>
              </w:rPr>
              <w:t xml:space="preserve"> </w:t>
            </w:r>
          </w:p>
        </w:tc>
        <w:tc>
          <w:tcPr>
            <w:tcW w:w="3071" w:type="dxa"/>
          </w:tcPr>
          <w:p w:rsidR="00D6638C" w:rsidRPr="00224F9C" w:rsidRDefault="009A66DF" w:rsidP="009A66DF">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rPr>
              <w:t>July</w:t>
            </w:r>
            <w:r w:rsidR="00197EF8">
              <w:rPr>
                <w:rFonts w:ascii="Calibri" w:eastAsia="Times New Roman" w:hAnsi="Calibri" w:cs="Times New Roman"/>
                <w:i/>
                <w:sz w:val="20"/>
                <w:szCs w:val="20"/>
              </w:rPr>
              <w:t xml:space="preserve"> </w:t>
            </w:r>
            <w:r w:rsidR="00CC653C">
              <w:rPr>
                <w:rFonts w:ascii="Calibri" w:eastAsia="Times New Roman" w:hAnsi="Calibri" w:cs="Times New Roman"/>
                <w:i/>
                <w:sz w:val="20"/>
                <w:szCs w:val="20"/>
              </w:rPr>
              <w:t>2</w:t>
            </w:r>
            <w:r w:rsidR="00197EF8">
              <w:rPr>
                <w:rFonts w:ascii="Calibri" w:eastAsia="Times New Roman" w:hAnsi="Calibri" w:cs="Times New Roman"/>
                <w:i/>
                <w:sz w:val="20"/>
                <w:szCs w:val="20"/>
              </w:rPr>
              <w:t>0</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125D93" w:rsidP="00E95CF5">
            <w:pPr>
              <w:spacing w:after="0"/>
              <w:rPr>
                <w:rFonts w:ascii="Calibri" w:eastAsia="Times New Roman" w:hAnsi="Calibri" w:cs="Times New Roman"/>
                <w:b/>
                <w:sz w:val="20"/>
                <w:szCs w:val="20"/>
              </w:rPr>
            </w:pPr>
            <w:r>
              <w:rPr>
                <w:rFonts w:ascii="Calibri" w:eastAsia="Times New Roman" w:hAnsi="Calibri" w:cs="Times New Roman"/>
                <w:i/>
                <w:sz w:val="20"/>
                <w:szCs w:val="20"/>
              </w:rPr>
              <w:t>6 days</w:t>
            </w:r>
          </w:p>
        </w:tc>
        <w:tc>
          <w:tcPr>
            <w:tcW w:w="3071" w:type="dxa"/>
          </w:tcPr>
          <w:p w:rsidR="00D6638C" w:rsidRPr="00224F9C" w:rsidRDefault="009A66DF" w:rsidP="004C5BF9">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rPr>
              <w:t>August</w:t>
            </w:r>
            <w:r w:rsidR="00197EF8">
              <w:rPr>
                <w:rFonts w:ascii="Calibri" w:eastAsia="Times New Roman" w:hAnsi="Calibri" w:cs="Times New Roman"/>
                <w:i/>
                <w:sz w:val="20"/>
                <w:szCs w:val="20"/>
              </w:rPr>
              <w:t xml:space="preserve"> </w:t>
            </w:r>
            <w:r w:rsidR="00CC653C">
              <w:rPr>
                <w:rFonts w:ascii="Calibri" w:eastAsia="Times New Roman" w:hAnsi="Calibri" w:cs="Times New Roman"/>
                <w:i/>
                <w:sz w:val="20"/>
                <w:szCs w:val="20"/>
              </w:rPr>
              <w:t xml:space="preserve">10 </w:t>
            </w:r>
            <w:r w:rsidR="00197EF8">
              <w:rPr>
                <w:rFonts w:ascii="Calibri" w:eastAsia="Times New Roman" w:hAnsi="Calibri" w:cs="Times New Roman"/>
                <w:i/>
                <w:sz w:val="20"/>
                <w:szCs w:val="20"/>
              </w:rPr>
              <w:t xml:space="preserve">– </w:t>
            </w:r>
            <w:r w:rsidR="00CC653C">
              <w:rPr>
                <w:rFonts w:ascii="Calibri" w:eastAsia="Times New Roman" w:hAnsi="Calibri" w:cs="Times New Roman"/>
                <w:i/>
                <w:sz w:val="20"/>
                <w:szCs w:val="20"/>
              </w:rPr>
              <w:t>15</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125D93" w:rsidP="00E95CF5">
            <w:pPr>
              <w:spacing w:after="0"/>
              <w:rPr>
                <w:rFonts w:ascii="Calibri" w:eastAsia="Times New Roman" w:hAnsi="Calibri" w:cs="Times New Roman"/>
                <w:b/>
                <w:sz w:val="20"/>
                <w:szCs w:val="20"/>
              </w:rPr>
            </w:pPr>
            <w:r>
              <w:rPr>
                <w:rFonts w:ascii="Calibri" w:eastAsia="Times New Roman" w:hAnsi="Calibri" w:cs="Times New Roman"/>
                <w:i/>
                <w:sz w:val="20"/>
                <w:szCs w:val="20"/>
              </w:rPr>
              <w:t>8 days</w:t>
            </w:r>
            <w:r w:rsidR="00D6638C" w:rsidRPr="00D6638C">
              <w:rPr>
                <w:rFonts w:ascii="Calibri" w:eastAsia="Times New Roman" w:hAnsi="Calibri" w:cs="Times New Roman"/>
                <w:sz w:val="20"/>
                <w:szCs w:val="20"/>
              </w:rPr>
              <w:t xml:space="preserve"> </w:t>
            </w:r>
          </w:p>
        </w:tc>
        <w:tc>
          <w:tcPr>
            <w:tcW w:w="3071" w:type="dxa"/>
          </w:tcPr>
          <w:p w:rsidR="00D6638C" w:rsidRPr="00224F9C" w:rsidRDefault="009A66DF" w:rsidP="004C5BF9">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rPr>
              <w:t>Septem</w:t>
            </w:r>
            <w:r w:rsidR="00197EF8">
              <w:rPr>
                <w:rFonts w:ascii="Calibri" w:eastAsia="Times New Roman" w:hAnsi="Calibri" w:cs="Times New Roman"/>
                <w:i/>
                <w:sz w:val="20"/>
                <w:szCs w:val="20"/>
              </w:rPr>
              <w:t xml:space="preserve">ber </w:t>
            </w:r>
            <w:r w:rsidR="00CC653C">
              <w:rPr>
                <w:rFonts w:ascii="Calibri" w:eastAsia="Times New Roman" w:hAnsi="Calibri" w:cs="Times New Roman"/>
                <w:i/>
                <w:sz w:val="20"/>
                <w:szCs w:val="20"/>
              </w:rPr>
              <w:t>1</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125D93" w:rsidP="00E95CF5">
            <w:pPr>
              <w:spacing w:after="0"/>
              <w:rPr>
                <w:rFonts w:ascii="Calibri" w:eastAsia="Times New Roman" w:hAnsi="Calibri" w:cs="Times New Roman"/>
                <w:sz w:val="20"/>
                <w:szCs w:val="20"/>
              </w:rPr>
            </w:pPr>
            <w:r>
              <w:rPr>
                <w:rFonts w:ascii="Calibri" w:eastAsia="Times New Roman" w:hAnsi="Calibri" w:cs="Times New Roman"/>
                <w:i/>
                <w:sz w:val="20"/>
                <w:szCs w:val="20"/>
              </w:rPr>
              <w:t>2 days</w:t>
            </w:r>
          </w:p>
        </w:tc>
        <w:tc>
          <w:tcPr>
            <w:tcW w:w="3071" w:type="dxa"/>
          </w:tcPr>
          <w:p w:rsidR="00D6638C" w:rsidRPr="00224F9C" w:rsidRDefault="009A66DF" w:rsidP="004C5BF9">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rPr>
              <w:t>September</w:t>
            </w:r>
            <w:r w:rsidR="00197EF8">
              <w:rPr>
                <w:rFonts w:ascii="Calibri" w:eastAsia="Times New Roman" w:hAnsi="Calibri" w:cs="Times New Roman"/>
                <w:i/>
                <w:sz w:val="20"/>
                <w:szCs w:val="20"/>
              </w:rPr>
              <w:t xml:space="preserve"> </w:t>
            </w:r>
            <w:r w:rsidR="00CC653C">
              <w:rPr>
                <w:rFonts w:ascii="Calibri" w:eastAsia="Times New Roman" w:hAnsi="Calibri" w:cs="Times New Roman"/>
                <w:i/>
                <w:sz w:val="20"/>
                <w:szCs w:val="20"/>
              </w:rPr>
              <w:t>10</w:t>
            </w:r>
          </w:p>
        </w:tc>
      </w:tr>
    </w:tbl>
    <w:p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4B36F1">
        <w:trPr>
          <w:tblHeader/>
        </w:trPr>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5" w:name="_Toc321341558"/>
      <w:r w:rsidRPr="00D6638C">
        <w:lastRenderedPageBreak/>
        <w:t>Team Composition</w:t>
      </w:r>
      <w:bookmarkEnd w:id="35"/>
    </w:p>
    <w:p w:rsidR="00D6638C" w:rsidRPr="00D6638C" w:rsidRDefault="00D6638C" w:rsidP="00235CE0">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evaluation team will be composed of</w:t>
      </w:r>
      <w:r w:rsidR="00197EF8">
        <w:rPr>
          <w:rFonts w:ascii="Calibri" w:eastAsia="Times New Roman" w:hAnsi="Calibri" w:cs="Times New Roman"/>
          <w:sz w:val="20"/>
          <w:szCs w:val="20"/>
        </w:rPr>
        <w:t xml:space="preserve"> </w:t>
      </w:r>
      <w:r w:rsidR="00197EF8" w:rsidRPr="002C78BD">
        <w:rPr>
          <w:rFonts w:ascii="Calibri" w:eastAsia="Times New Roman" w:hAnsi="Calibri" w:cs="Times New Roman"/>
          <w:sz w:val="20"/>
          <w:szCs w:val="20"/>
        </w:rPr>
        <w:t>one international and one national evaluator</w:t>
      </w:r>
      <w:r w:rsidR="00197EF8" w:rsidRPr="00197EF8">
        <w:rPr>
          <w:rFonts w:ascii="Calibri" w:eastAsia="Times New Roman" w:hAnsi="Calibri" w:cs="Times New Roman"/>
          <w:i/>
          <w:sz w:val="20"/>
          <w:szCs w:val="20"/>
        </w:rPr>
        <w:t>.</w:t>
      </w:r>
      <w:r w:rsidR="00197EF8" w:rsidRPr="00197EF8">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consultants shall have prior experience in evaluating similar projects.  Experience with GEF financed projects is an advantage</w:t>
      </w:r>
      <w:r w:rsidR="00197EF8">
        <w:rPr>
          <w:rFonts w:ascii="Calibri" w:eastAsia="Times New Roman" w:hAnsi="Calibri" w:cs="Times New Roman"/>
          <w:sz w:val="20"/>
          <w:szCs w:val="20"/>
        </w:rPr>
        <w:t xml:space="preserve">. </w:t>
      </w:r>
      <w:r w:rsidR="00197EF8" w:rsidRPr="002C78BD">
        <w:rPr>
          <w:rFonts w:ascii="Calibri" w:eastAsia="Times New Roman" w:hAnsi="Calibri" w:cs="Times New Roman"/>
          <w:sz w:val="20"/>
          <w:szCs w:val="20"/>
        </w:rPr>
        <w:t>The international evaluator will be designated as the team leader and will be responsible for finalizing the evaluation report.</w:t>
      </w:r>
      <w:r w:rsidR="00197EF8" w:rsidRPr="00197EF8" w:rsidDel="00197EF8">
        <w:rPr>
          <w:rFonts w:ascii="Calibri" w:eastAsia="Times New Roman" w:hAnsi="Calibri" w:cs="Times New Roman"/>
          <w:sz w:val="20"/>
          <w:szCs w:val="20"/>
        </w:rPr>
        <w:t xml:space="preserve"> </w:t>
      </w:r>
      <w:r w:rsidRPr="00197EF8">
        <w:rPr>
          <w:rFonts w:ascii="Calibri" w:eastAsia="Times New Roman" w:hAnsi="Calibri" w:cs="Times New Roman"/>
          <w:sz w:val="20"/>
          <w:szCs w:val="20"/>
        </w:rPr>
        <w:t>The evaluators selected should not have participated in the project preparation and/or impleme</w:t>
      </w:r>
      <w:r w:rsidRPr="00D6638C">
        <w:rPr>
          <w:rFonts w:ascii="Calibri" w:eastAsia="Times New Roman" w:hAnsi="Calibri" w:cs="Times New Roman"/>
          <w:sz w:val="20"/>
          <w:szCs w:val="20"/>
        </w:rPr>
        <w:t>ntation and should not have conflict of interest with project related activities.</w:t>
      </w:r>
    </w:p>
    <w:p w:rsidR="00D6638C" w:rsidRDefault="00D6638C" w:rsidP="00F05366">
      <w:pPr>
        <w:pStyle w:val="Heading51"/>
      </w:pPr>
      <w:bookmarkStart w:id="36" w:name="_Toc278193977"/>
      <w:bookmarkStart w:id="37" w:name="_Toc299122835"/>
      <w:bookmarkStart w:id="38" w:name="_Toc299122857"/>
      <w:bookmarkStart w:id="39" w:name="_Toc299126624"/>
      <w:bookmarkStart w:id="40" w:name="_Toc299133050"/>
      <w:bookmarkStart w:id="41" w:name="_Toc321341559"/>
      <w:r w:rsidRPr="00D6638C">
        <w:t>Evaluator Ethics</w:t>
      </w:r>
      <w:bookmarkEnd w:id="36"/>
      <w:bookmarkEnd w:id="37"/>
      <w:bookmarkEnd w:id="38"/>
      <w:bookmarkEnd w:id="39"/>
      <w:bookmarkEnd w:id="40"/>
      <w:bookmarkEnd w:id="41"/>
    </w:p>
    <w:p w:rsidR="00D6638C" w:rsidRPr="009A7641" w:rsidRDefault="00D6638C" w:rsidP="002C78BD">
      <w:pPr>
        <w:spacing w:before="200"/>
        <w:rPr>
          <w:rStyle w:val="Hyperlink"/>
          <w:rFonts w:ascii="Calibri" w:eastAsia="Times New Roman" w:hAnsi="Calibri" w:cs="Times New Roman"/>
          <w:sz w:val="20"/>
          <w:szCs w:val="20"/>
        </w:rPr>
      </w:pPr>
      <w:r w:rsidRPr="009A7641">
        <w:rPr>
          <w:sz w:val="20"/>
          <w:szCs w:val="20"/>
        </w:rPr>
        <w:t xml:space="preserve">Evaluation consultants will be held to the highest ethical standards and are required to sign a Code of Conduct </w:t>
      </w:r>
      <w:r w:rsidR="00F05366" w:rsidRPr="009A7641">
        <w:rPr>
          <w:sz w:val="20"/>
          <w:szCs w:val="20"/>
        </w:rPr>
        <w:t>(Annex E) u</w:t>
      </w:r>
      <w:r w:rsidRPr="009A7641">
        <w:rPr>
          <w:sz w:val="20"/>
          <w:szCs w:val="20"/>
        </w:rPr>
        <w:t xml:space="preserve">pon acceptance of the assignment. UNDP evaluations are conducted in accordance with the principles outlined in the </w:t>
      </w:r>
      <w:hyperlink r:id="rId11" w:history="1">
        <w:r w:rsidRPr="009A7641">
          <w:rPr>
            <w:rStyle w:val="Hyperlink"/>
            <w:rFonts w:ascii="Calibri" w:eastAsia="Times New Roman" w:hAnsi="Calibri" w:cs="Times New Roman"/>
            <w:sz w:val="20"/>
            <w:szCs w:val="20"/>
          </w:rPr>
          <w:t>UNEG 'Ethical Guidelines for Evaluations'</w:t>
        </w:r>
      </w:hyperlink>
      <w:r w:rsidR="00AE5B30" w:rsidRPr="009A7641">
        <w:rPr>
          <w:rStyle w:val="Hyperlink"/>
          <w:rFonts w:ascii="Calibri" w:eastAsia="Times New Roman" w:hAnsi="Calibri" w:cs="Times New Roman"/>
          <w:sz w:val="20"/>
          <w:szCs w:val="20"/>
        </w:rPr>
        <w:t>.</w:t>
      </w:r>
    </w:p>
    <w:p w:rsidR="00AE5B30" w:rsidRPr="009A7641" w:rsidRDefault="00AE5B30" w:rsidP="00AE5B30">
      <w:pPr>
        <w:pStyle w:val="Heading51"/>
      </w:pPr>
      <w:r w:rsidRPr="009A7641">
        <w:rPr>
          <w:rFonts w:cs="Times New Roman"/>
        </w:rPr>
        <w:t xml:space="preserve">DUTIES AND </w:t>
      </w:r>
      <w:r w:rsidR="00E1120B" w:rsidRPr="009A7641">
        <w:rPr>
          <w:rFonts w:cs="Times New Roman"/>
        </w:rPr>
        <w:t>Responsabilities</w:t>
      </w:r>
      <w:r w:rsidRPr="009A7641">
        <w:rPr>
          <w:rFonts w:cs="Times New Roman"/>
        </w:rPr>
        <w:t xml:space="preserve"> OF EVALUATION TEAM</w:t>
      </w:r>
    </w:p>
    <w:p w:rsidR="00AE5B30" w:rsidRPr="009A7641" w:rsidRDefault="00AE5B30" w:rsidP="00AE5B30">
      <w:pPr>
        <w:spacing w:before="60" w:after="60" w:line="240" w:lineRule="auto"/>
        <w:rPr>
          <w:rFonts w:eastAsia="Times New Roman" w:cs="Times New Roman"/>
          <w:sz w:val="20"/>
          <w:szCs w:val="20"/>
        </w:rPr>
      </w:pPr>
    </w:p>
    <w:p w:rsidR="00AE5B30" w:rsidRPr="009A7641" w:rsidRDefault="00AE5B30" w:rsidP="00AE5B30">
      <w:pPr>
        <w:spacing w:before="60" w:after="60" w:line="240" w:lineRule="auto"/>
        <w:rPr>
          <w:rFonts w:eastAsia="Times New Roman" w:cs="Times New Roman"/>
          <w:b/>
          <w:sz w:val="20"/>
          <w:szCs w:val="20"/>
        </w:rPr>
      </w:pPr>
      <w:r w:rsidRPr="009A7641">
        <w:rPr>
          <w:rFonts w:eastAsia="Times New Roman" w:cs="Times New Roman"/>
          <w:b/>
          <w:sz w:val="20"/>
          <w:szCs w:val="20"/>
        </w:rPr>
        <w:t xml:space="preserve">International Expert </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Desk review of documents, development of draft methodology, detailed work plan and TE outline;</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Debriefing with UNDP CO, agreement on the methodology, scope and outline of the TE report;</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Interviews with project implementing partner (executing agency), relevant Government, NGO and donor representatives and UNDP/GEF Regional Technical Advisor;</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 xml:space="preserve">Field visit to the pilot project site (Ungheni and </w:t>
      </w:r>
      <w:proofErr w:type="spellStart"/>
      <w:r w:rsidRPr="009A7641">
        <w:rPr>
          <w:rFonts w:eastAsia="Times New Roman" w:cs="Times New Roman"/>
          <w:sz w:val="20"/>
          <w:szCs w:val="20"/>
        </w:rPr>
        <w:t>Telenesti</w:t>
      </w:r>
      <w:proofErr w:type="spellEnd"/>
      <w:r w:rsidRPr="009A7641">
        <w:rPr>
          <w:rFonts w:eastAsia="Times New Roman" w:cs="Times New Roman"/>
          <w:sz w:val="20"/>
          <w:szCs w:val="20"/>
        </w:rPr>
        <w:t>) and interviews with local stakeholders;</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Elaboration of a summary matrix of the project implementation key findings based on interviews and site visits performed;</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Debriefing with UNDP and project implementing partner;</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Development and submission of the first TE report draft. The draft will be shared with the UNDP CO, UNDP/GEF (UNDP/GEF RCU Istanbul) and key project stakeholders for review and commenting;</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 xml:space="preserve">Finalization and submission of the Response Grid; </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Finalization and submission of the final TE report through incorporating suggestions received on the draft report;</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 xml:space="preserve">Supervision of the work of the national expert (during entire evaluation period). </w:t>
      </w:r>
    </w:p>
    <w:p w:rsidR="00AE5B30" w:rsidRPr="009A7641" w:rsidRDefault="00AE5B30" w:rsidP="00AE5B30">
      <w:pPr>
        <w:spacing w:before="60" w:after="60" w:line="240" w:lineRule="auto"/>
        <w:rPr>
          <w:rFonts w:eastAsia="Times New Roman" w:cs="Times New Roman"/>
          <w:sz w:val="20"/>
          <w:szCs w:val="20"/>
        </w:rPr>
      </w:pPr>
    </w:p>
    <w:p w:rsidR="00AE5B30" w:rsidRPr="009A7641" w:rsidRDefault="00705358" w:rsidP="004A0355">
      <w:pPr>
        <w:spacing w:before="60" w:after="60" w:line="240" w:lineRule="auto"/>
        <w:rPr>
          <w:rFonts w:eastAsia="Times New Roman" w:cs="Times New Roman"/>
          <w:b/>
          <w:sz w:val="20"/>
          <w:szCs w:val="20"/>
        </w:rPr>
      </w:pPr>
      <w:r w:rsidRPr="009A7641">
        <w:rPr>
          <w:rFonts w:eastAsia="Times New Roman" w:cs="Times New Roman"/>
          <w:b/>
          <w:sz w:val="20"/>
          <w:szCs w:val="20"/>
        </w:rPr>
        <w:t>National Expert</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Collection of background materials upon request by International Expert/ TE Team Leader;</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Provision of important inputs in developing methodologies, work plans and MTE report outlines upon request by International Expert/ TE Team Leader;</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Assistance to the International Expert/ TE Team Leader in desk review of materials;</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Assistance to the International Expert/ TE Team Leader in developing the mission agenda and establishing meeting with relevant stakeholders;</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Participation in debriefings with UNDP CO representatives</w:t>
      </w:r>
      <w:r w:rsidR="00E1120B" w:rsidRPr="009A7641">
        <w:rPr>
          <w:rFonts w:eastAsia="Times New Roman" w:cs="Times New Roman"/>
          <w:sz w:val="20"/>
          <w:szCs w:val="20"/>
        </w:rPr>
        <w:t>, project team and  project implementing partners</w:t>
      </w:r>
      <w:r w:rsidRPr="009A7641">
        <w:rPr>
          <w:rFonts w:eastAsia="Times New Roman" w:cs="Times New Roman"/>
          <w:sz w:val="20"/>
          <w:szCs w:val="20"/>
        </w:rPr>
        <w:t>;</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 xml:space="preserve">Assistance to the International Expert/ TE Team Leader in conducting interviews with relevant stakeholders; </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lastRenderedPageBreak/>
        <w:t>Field visit and assistance to the International Expert/ TE Team Leader in interviewing local stakeholders at project sites;</w:t>
      </w:r>
    </w:p>
    <w:p w:rsidR="00AE5B30" w:rsidRPr="009A7641" w:rsidRDefault="00AE5B30" w:rsidP="004A0355">
      <w:pPr>
        <w:numPr>
          <w:ilvl w:val="0"/>
          <w:numId w:val="15"/>
        </w:numPr>
        <w:spacing w:before="60" w:after="60" w:line="240" w:lineRule="auto"/>
        <w:rPr>
          <w:rFonts w:eastAsia="Times New Roman" w:cs="Times New Roman"/>
          <w:sz w:val="20"/>
          <w:szCs w:val="20"/>
        </w:rPr>
      </w:pPr>
      <w:r w:rsidRPr="009A7641">
        <w:rPr>
          <w:rFonts w:eastAsia="Times New Roman" w:cs="Times New Roman"/>
          <w:sz w:val="20"/>
          <w:szCs w:val="20"/>
        </w:rPr>
        <w:t>Assist the International Expert/ TE Team Leader in elaboration of a summary matrix of the project implementation key findings based on interviews and site visits performed;</w:t>
      </w:r>
    </w:p>
    <w:p w:rsidR="00AE5B30" w:rsidRPr="009A7641" w:rsidRDefault="00AE5B30" w:rsidP="009A7641">
      <w:pPr>
        <w:numPr>
          <w:ilvl w:val="0"/>
          <w:numId w:val="15"/>
        </w:numPr>
        <w:spacing w:after="0" w:line="240" w:lineRule="auto"/>
        <w:rPr>
          <w:rFonts w:eastAsia="Times New Roman" w:cs="Times New Roman"/>
          <w:sz w:val="20"/>
          <w:szCs w:val="20"/>
        </w:rPr>
      </w:pPr>
      <w:r w:rsidRPr="009A7641">
        <w:rPr>
          <w:rFonts w:eastAsia="Times New Roman" w:cs="Times New Roman"/>
          <w:sz w:val="20"/>
          <w:szCs w:val="20"/>
        </w:rPr>
        <w:t>Assistance to the International Expert/ TE Team Leader in developing the first draft of the TE report. The draft will be shared with the UNDP CO, UNDP/GEF (UNDP/GEF RCU Istanbul) and key project stakeholders for review and commenting;</w:t>
      </w:r>
    </w:p>
    <w:p w:rsidR="00E1120B" w:rsidRPr="009A7641" w:rsidRDefault="00AE5B30" w:rsidP="009A7641">
      <w:pPr>
        <w:numPr>
          <w:ilvl w:val="0"/>
          <w:numId w:val="15"/>
        </w:numPr>
        <w:spacing w:after="0" w:line="240" w:lineRule="auto"/>
        <w:rPr>
          <w:sz w:val="20"/>
          <w:szCs w:val="20"/>
        </w:rPr>
      </w:pPr>
      <w:r w:rsidRPr="009A7641">
        <w:rPr>
          <w:rFonts w:eastAsia="Times New Roman" w:cs="Times New Roman"/>
          <w:sz w:val="20"/>
          <w:szCs w:val="20"/>
        </w:rPr>
        <w:t xml:space="preserve">Elaboration of the Draft Response Grid based on comments made by UNDP CO, UNDP/GEF (UNDP/GEF RCU Istanbul) and key project stakeholders; </w:t>
      </w:r>
      <w:r w:rsidR="00E1120B" w:rsidRPr="009A7641">
        <w:rPr>
          <w:rFonts w:eastAsia="Times New Roman" w:cs="Times New Roman"/>
          <w:sz w:val="20"/>
          <w:szCs w:val="20"/>
        </w:rPr>
        <w:t xml:space="preserve"> </w:t>
      </w:r>
    </w:p>
    <w:p w:rsidR="00AE5B30" w:rsidRPr="009A7641" w:rsidRDefault="00AE5B30" w:rsidP="009A7641">
      <w:pPr>
        <w:numPr>
          <w:ilvl w:val="0"/>
          <w:numId w:val="15"/>
        </w:numPr>
        <w:spacing w:after="0" w:line="240" w:lineRule="auto"/>
        <w:rPr>
          <w:sz w:val="20"/>
          <w:szCs w:val="20"/>
        </w:rPr>
      </w:pPr>
      <w:r w:rsidRPr="009A7641">
        <w:rPr>
          <w:rFonts w:eastAsia="Times New Roman" w:cs="Times New Roman"/>
          <w:sz w:val="20"/>
          <w:szCs w:val="20"/>
        </w:rPr>
        <w:t>Assistance to the International Expert/ TE Team Leader in finalization of the Final Terminal Evaluation Report</w:t>
      </w:r>
      <w:r w:rsidR="00E1120B" w:rsidRPr="009A7641">
        <w:rPr>
          <w:rFonts w:eastAsia="Times New Roman" w:cs="Times New Roman"/>
          <w:sz w:val="20"/>
          <w:szCs w:val="20"/>
        </w:rPr>
        <w:t>.</w:t>
      </w:r>
    </w:p>
    <w:p w:rsidR="00197EF8" w:rsidRPr="009A7641" w:rsidRDefault="00D6638C" w:rsidP="002C78BD">
      <w:pPr>
        <w:pStyle w:val="Heading51"/>
        <w:rPr>
          <w:highlight w:val="lightGray"/>
          <w:shd w:val="clear" w:color="auto" w:fill="FFFFFF"/>
        </w:rPr>
      </w:pPr>
      <w:bookmarkStart w:id="42" w:name="_Toc299126626"/>
      <w:bookmarkStart w:id="43" w:name="_Toc299133051"/>
      <w:bookmarkStart w:id="44" w:name="_Toc321341560"/>
      <w:bookmarkStart w:id="45" w:name="_Toc299122837"/>
      <w:bookmarkStart w:id="46" w:name="_Toc299122859"/>
      <w:bookmarkStart w:id="47" w:name="_Toc299126627"/>
      <w:r w:rsidRPr="009A7641">
        <w:t>Payment modalities and specifications</w:t>
      </w:r>
      <w:bookmarkEnd w:id="42"/>
      <w:bookmarkEnd w:id="43"/>
      <w:bookmarkEnd w:id="44"/>
      <w:r w:rsidR="00E23201" w:rsidRPr="009A7641">
        <w:t xml:space="preserve"> </w:t>
      </w:r>
    </w:p>
    <w:p w:rsidR="0009473F" w:rsidRPr="002C78BD" w:rsidRDefault="0009473F" w:rsidP="002C78BD">
      <w:pPr>
        <w:spacing w:before="200"/>
        <w:jc w:val="both"/>
        <w:rPr>
          <w:rFonts w:ascii="Calibri" w:eastAsia="Times New Roman" w:hAnsi="Calibri" w:cs="Times New Roman"/>
          <w:sz w:val="20"/>
          <w:szCs w:val="20"/>
          <w:shd w:val="clear" w:color="auto" w:fill="FFFFFF"/>
        </w:rPr>
      </w:pPr>
      <w:r w:rsidRPr="002C78BD">
        <w:rPr>
          <w:rFonts w:ascii="Calibri" w:eastAsia="Times New Roman" w:hAnsi="Calibri" w:cs="Times New Roman"/>
          <w:sz w:val="20"/>
          <w:szCs w:val="20"/>
          <w:shd w:val="clear" w:color="auto" w:fill="FFFFFF"/>
        </w:rPr>
        <w:t xml:space="preserve">The </w:t>
      </w:r>
      <w:r w:rsidR="00705358">
        <w:rPr>
          <w:rFonts w:ascii="Calibri" w:eastAsia="Times New Roman" w:hAnsi="Calibri" w:cs="Times New Roman"/>
          <w:sz w:val="20"/>
          <w:szCs w:val="20"/>
          <w:shd w:val="clear" w:color="auto" w:fill="FFFFFF"/>
        </w:rPr>
        <w:t>International consultant</w:t>
      </w:r>
      <w:r w:rsidRPr="002C78BD">
        <w:rPr>
          <w:rFonts w:ascii="Calibri" w:eastAsia="Times New Roman" w:hAnsi="Calibri" w:cs="Times New Roman"/>
          <w:sz w:val="20"/>
          <w:szCs w:val="20"/>
          <w:shd w:val="clear" w:color="auto" w:fill="FFFFFF"/>
        </w:rPr>
        <w:t xml:space="preserve"> will be hired for maximum 20 days under Individual Contract (IC) with maximum 14 days of home</w:t>
      </w:r>
      <w:r w:rsidR="00235CE0">
        <w:rPr>
          <w:rFonts w:ascii="Calibri" w:eastAsia="Times New Roman" w:hAnsi="Calibri" w:cs="Times New Roman"/>
          <w:sz w:val="20"/>
          <w:szCs w:val="20"/>
          <w:shd w:val="clear" w:color="auto" w:fill="FFFFFF"/>
        </w:rPr>
        <w:t>-based</w:t>
      </w:r>
      <w:r w:rsidRPr="002C78BD">
        <w:rPr>
          <w:rFonts w:ascii="Calibri" w:eastAsia="Times New Roman" w:hAnsi="Calibri" w:cs="Times New Roman"/>
          <w:sz w:val="20"/>
          <w:szCs w:val="20"/>
          <w:shd w:val="clear" w:color="auto" w:fill="FFFFFF"/>
        </w:rPr>
        <w:t xml:space="preserve"> work and maximum 6 days of mission to Moldova. DSA payments will be made based actual days spent in Moldova in according to local DSA rate. Fee payments will be made based on following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AE5B30">
        <w:tc>
          <w:tcPr>
            <w:tcW w:w="1264"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427"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AE5B30">
        <w:tc>
          <w:tcPr>
            <w:tcW w:w="1264" w:type="dxa"/>
          </w:tcPr>
          <w:p w:rsidR="00D6638C" w:rsidRPr="00E23201" w:rsidRDefault="00B21E40"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w:t>
            </w:r>
            <w:r w:rsidRPr="00E23201">
              <w:rPr>
                <w:rFonts w:ascii="Calibri" w:eastAsia="Times New Roman" w:hAnsi="Calibri" w:cs="Times New Roman"/>
                <w:i/>
                <w:sz w:val="20"/>
                <w:szCs w:val="20"/>
              </w:rPr>
              <w:t>0</w:t>
            </w:r>
            <w:r w:rsidR="00D6638C" w:rsidRPr="00E23201">
              <w:rPr>
                <w:rFonts w:ascii="Calibri" w:eastAsia="Times New Roman" w:hAnsi="Calibri" w:cs="Times New Roman"/>
                <w:i/>
                <w:sz w:val="20"/>
                <w:szCs w:val="20"/>
              </w:rPr>
              <w:t>%</w:t>
            </w:r>
          </w:p>
        </w:tc>
        <w:tc>
          <w:tcPr>
            <w:tcW w:w="842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AE5B30">
        <w:tc>
          <w:tcPr>
            <w:tcW w:w="1264" w:type="dxa"/>
          </w:tcPr>
          <w:p w:rsidR="00D6638C" w:rsidRPr="00E23201" w:rsidRDefault="00B21E40"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5</w:t>
            </w:r>
            <w:r w:rsidRPr="00E23201">
              <w:rPr>
                <w:rFonts w:ascii="Calibri" w:eastAsia="Times New Roman" w:hAnsi="Calibri" w:cs="Times New Roman"/>
                <w:i/>
                <w:sz w:val="20"/>
                <w:szCs w:val="20"/>
              </w:rPr>
              <w:t>0</w:t>
            </w:r>
            <w:r w:rsidR="00D6638C" w:rsidRPr="00E23201">
              <w:rPr>
                <w:rFonts w:ascii="Calibri" w:eastAsia="Times New Roman" w:hAnsi="Calibri" w:cs="Times New Roman"/>
                <w:i/>
                <w:sz w:val="20"/>
                <w:szCs w:val="20"/>
              </w:rPr>
              <w:t>%</w:t>
            </w:r>
          </w:p>
        </w:tc>
        <w:tc>
          <w:tcPr>
            <w:tcW w:w="842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AE5B30">
        <w:tc>
          <w:tcPr>
            <w:tcW w:w="1264" w:type="dxa"/>
          </w:tcPr>
          <w:p w:rsidR="00D6638C" w:rsidRPr="00E23201" w:rsidRDefault="00B21E40"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w:t>
            </w:r>
            <w:r w:rsidRPr="00E23201">
              <w:rPr>
                <w:rFonts w:ascii="Calibri" w:eastAsia="Times New Roman" w:hAnsi="Calibri" w:cs="Times New Roman"/>
                <w:i/>
                <w:sz w:val="20"/>
                <w:szCs w:val="20"/>
              </w:rPr>
              <w:t>0</w:t>
            </w:r>
            <w:r w:rsidR="00D6638C" w:rsidRPr="00E23201">
              <w:rPr>
                <w:rFonts w:ascii="Calibri" w:eastAsia="Times New Roman" w:hAnsi="Calibri" w:cs="Times New Roman"/>
                <w:i/>
                <w:sz w:val="20"/>
                <w:szCs w:val="20"/>
              </w:rPr>
              <w:t>%</w:t>
            </w:r>
          </w:p>
        </w:tc>
        <w:tc>
          <w:tcPr>
            <w:tcW w:w="842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AE5B30" w:rsidRPr="009A7641" w:rsidRDefault="00AE5B30" w:rsidP="00AE5B30">
      <w:pPr>
        <w:pStyle w:val="Heading51"/>
      </w:pPr>
      <w:bookmarkStart w:id="48" w:name="_Toc299133052"/>
      <w:bookmarkStart w:id="49" w:name="_Toc321341561"/>
      <w:r w:rsidRPr="009A7641">
        <w:rPr>
          <w:rFonts w:cs="Times New Roman"/>
        </w:rPr>
        <w:t>Required Qualifications and Competencies</w:t>
      </w:r>
    </w:p>
    <w:p w:rsidR="00AE5B30" w:rsidRPr="009A7641" w:rsidRDefault="00AE5B30" w:rsidP="009A7641">
      <w:pPr>
        <w:spacing w:before="200" w:after="0"/>
        <w:rPr>
          <w:rFonts w:eastAsia="Times New Roman" w:cs="Times New Roman"/>
          <w:sz w:val="20"/>
          <w:szCs w:val="20"/>
        </w:rPr>
      </w:pPr>
      <w:r w:rsidRPr="009A7641">
        <w:rPr>
          <w:rFonts w:eastAsia="Times New Roman" w:cs="Times New Roman"/>
          <w:sz w:val="20"/>
          <w:szCs w:val="20"/>
        </w:rPr>
        <w:t>The International Evaluator must present the following qualifications:</w:t>
      </w:r>
    </w:p>
    <w:p w:rsidR="00AE5B30" w:rsidRPr="009A7641" w:rsidRDefault="00AE5B30" w:rsidP="009A7641">
      <w:pPr>
        <w:pStyle w:val="Default"/>
        <w:numPr>
          <w:ilvl w:val="0"/>
          <w:numId w:val="14"/>
        </w:numPr>
        <w:spacing w:before="0" w:after="0" w:line="240" w:lineRule="auto"/>
        <w:ind w:left="1080"/>
        <w:jc w:val="both"/>
        <w:rPr>
          <w:rFonts w:asciiTheme="minorHAnsi" w:hAnsiTheme="minorHAnsi" w:cs="Calibri"/>
          <w:color w:val="auto"/>
          <w:sz w:val="20"/>
          <w:szCs w:val="20"/>
        </w:rPr>
      </w:pPr>
      <w:bookmarkStart w:id="50" w:name="OLE_LINK1"/>
      <w:bookmarkStart w:id="51" w:name="OLE_LINK2"/>
      <w:r w:rsidRPr="009A7641">
        <w:rPr>
          <w:rFonts w:asciiTheme="minorHAnsi" w:hAnsiTheme="minorHAnsi" w:cs="Calibri"/>
          <w:color w:val="auto"/>
          <w:sz w:val="20"/>
          <w:szCs w:val="20"/>
        </w:rPr>
        <w:t xml:space="preserve">Master’s degree in </w:t>
      </w:r>
      <w:r w:rsidR="00F51631" w:rsidRPr="009A7641">
        <w:rPr>
          <w:rFonts w:asciiTheme="minorHAnsi" w:hAnsiTheme="minorHAnsi" w:cs="Calibri"/>
          <w:color w:val="auto"/>
          <w:sz w:val="20"/>
          <w:szCs w:val="20"/>
        </w:rPr>
        <w:t>Public Finance</w:t>
      </w:r>
      <w:r w:rsidRPr="009A7641">
        <w:rPr>
          <w:rFonts w:asciiTheme="minorHAnsi" w:hAnsiTheme="minorHAnsi" w:cs="Calibri"/>
          <w:color w:val="auto"/>
          <w:sz w:val="20"/>
          <w:szCs w:val="20"/>
        </w:rPr>
        <w:t xml:space="preserve">, Environmental management or other related areas; </w:t>
      </w:r>
    </w:p>
    <w:p w:rsidR="00AE5B30" w:rsidRPr="009A7641" w:rsidRDefault="00AE5B30" w:rsidP="009A7641">
      <w:pPr>
        <w:pStyle w:val="Default"/>
        <w:numPr>
          <w:ilvl w:val="0"/>
          <w:numId w:val="14"/>
        </w:numPr>
        <w:spacing w:before="0" w:after="0" w:line="240" w:lineRule="auto"/>
        <w:ind w:left="1080"/>
        <w:jc w:val="both"/>
        <w:rPr>
          <w:rFonts w:asciiTheme="minorHAnsi" w:hAnsiTheme="minorHAnsi" w:cs="Calibri"/>
          <w:color w:val="auto"/>
          <w:sz w:val="20"/>
          <w:szCs w:val="20"/>
        </w:rPr>
      </w:pPr>
      <w:r w:rsidRPr="009A7641">
        <w:rPr>
          <w:rFonts w:asciiTheme="minorHAnsi" w:hAnsiTheme="minorHAnsi" w:cs="Calibri"/>
          <w:color w:val="auto"/>
          <w:sz w:val="20"/>
          <w:szCs w:val="20"/>
        </w:rPr>
        <w:t xml:space="preserve">7 years of working experience in providing management or consultancy services to the </w:t>
      </w:r>
      <w:r w:rsidR="00F51631" w:rsidRPr="009A7641">
        <w:rPr>
          <w:rFonts w:asciiTheme="minorHAnsi" w:hAnsiTheme="minorHAnsi" w:cs="Calibri"/>
          <w:color w:val="auto"/>
          <w:sz w:val="20"/>
          <w:szCs w:val="20"/>
        </w:rPr>
        <w:t>multi focal area projects</w:t>
      </w:r>
      <w:r w:rsidRPr="009A7641">
        <w:rPr>
          <w:rFonts w:asciiTheme="minorHAnsi" w:hAnsiTheme="minorHAnsi" w:cs="Calibri"/>
          <w:color w:val="auto"/>
          <w:sz w:val="20"/>
          <w:szCs w:val="20"/>
        </w:rPr>
        <w:t xml:space="preserve">, preferably in </w:t>
      </w:r>
      <w:r w:rsidR="00F51631" w:rsidRPr="009A7641">
        <w:rPr>
          <w:rFonts w:asciiTheme="minorHAnsi" w:hAnsiTheme="minorHAnsi" w:cs="Calibri"/>
          <w:color w:val="auto"/>
          <w:sz w:val="20"/>
          <w:szCs w:val="20"/>
        </w:rPr>
        <w:t>environmental</w:t>
      </w:r>
      <w:r w:rsidRPr="009A7641">
        <w:rPr>
          <w:rFonts w:asciiTheme="minorHAnsi" w:hAnsiTheme="minorHAnsi" w:cs="Calibri"/>
          <w:color w:val="auto"/>
          <w:sz w:val="20"/>
          <w:szCs w:val="20"/>
        </w:rPr>
        <w:t xml:space="preserve"> planning and management; </w:t>
      </w:r>
    </w:p>
    <w:p w:rsidR="00AE5B30" w:rsidRPr="009A7641" w:rsidRDefault="00AE5B30" w:rsidP="00F51631">
      <w:pPr>
        <w:pStyle w:val="Default"/>
        <w:numPr>
          <w:ilvl w:val="0"/>
          <w:numId w:val="14"/>
        </w:numPr>
        <w:spacing w:before="0" w:after="0" w:line="240" w:lineRule="auto"/>
        <w:ind w:left="1080"/>
        <w:jc w:val="both"/>
        <w:rPr>
          <w:rFonts w:asciiTheme="minorHAnsi" w:hAnsiTheme="minorHAnsi" w:cs="Calibri"/>
          <w:color w:val="auto"/>
          <w:sz w:val="20"/>
          <w:szCs w:val="20"/>
        </w:rPr>
      </w:pPr>
      <w:r w:rsidRPr="009A7641">
        <w:rPr>
          <w:rFonts w:asciiTheme="minorHAnsi" w:hAnsiTheme="minorHAnsi" w:cs="Calibri"/>
          <w:color w:val="auto"/>
          <w:sz w:val="20"/>
          <w:szCs w:val="20"/>
        </w:rPr>
        <w:t xml:space="preserve">Experience in monitoring and evaluating </w:t>
      </w:r>
      <w:r w:rsidR="00F51631" w:rsidRPr="009A7641">
        <w:rPr>
          <w:rFonts w:asciiTheme="minorHAnsi" w:hAnsiTheme="minorHAnsi" w:cs="Calibri"/>
          <w:color w:val="auto"/>
          <w:sz w:val="20"/>
          <w:szCs w:val="20"/>
        </w:rPr>
        <w:t>environmental</w:t>
      </w:r>
      <w:r w:rsidRPr="009A7641">
        <w:rPr>
          <w:rFonts w:asciiTheme="minorHAnsi" w:hAnsiTheme="minorHAnsi" w:cs="Calibri"/>
          <w:color w:val="auto"/>
          <w:sz w:val="20"/>
          <w:szCs w:val="20"/>
        </w:rPr>
        <w:t xml:space="preserve"> projects for UN or other international development agencies  (at least one project);</w:t>
      </w:r>
    </w:p>
    <w:p w:rsidR="00AE5B30" w:rsidRPr="009A7641" w:rsidRDefault="00AE5B30" w:rsidP="00F51631">
      <w:pPr>
        <w:pStyle w:val="Default"/>
        <w:numPr>
          <w:ilvl w:val="0"/>
          <w:numId w:val="14"/>
        </w:numPr>
        <w:spacing w:before="0" w:after="0" w:line="240" w:lineRule="auto"/>
        <w:ind w:left="1080"/>
        <w:rPr>
          <w:rFonts w:asciiTheme="minorHAnsi" w:hAnsiTheme="minorHAnsi" w:cs="Calibri"/>
          <w:sz w:val="20"/>
          <w:szCs w:val="20"/>
        </w:rPr>
      </w:pPr>
      <w:r w:rsidRPr="009A7641">
        <w:rPr>
          <w:rFonts w:asciiTheme="minorHAnsi" w:hAnsiTheme="minorHAnsi" w:cs="Calibri"/>
          <w:sz w:val="20"/>
          <w:szCs w:val="20"/>
        </w:rPr>
        <w:t xml:space="preserve">Sound knowledge in results-based management (especially results-oriented monitoring and evaluation); </w:t>
      </w:r>
    </w:p>
    <w:p w:rsidR="00AE5B30" w:rsidRPr="009A7641" w:rsidRDefault="00AE5B30" w:rsidP="00F51631">
      <w:pPr>
        <w:numPr>
          <w:ilvl w:val="0"/>
          <w:numId w:val="14"/>
        </w:numPr>
        <w:spacing w:before="60" w:after="60" w:line="240" w:lineRule="auto"/>
        <w:ind w:left="1080"/>
        <w:rPr>
          <w:rFonts w:eastAsia="Times New Roman" w:cs="Times New Roman"/>
          <w:sz w:val="20"/>
          <w:szCs w:val="20"/>
        </w:rPr>
      </w:pPr>
      <w:r w:rsidRPr="009A7641">
        <w:rPr>
          <w:rFonts w:eastAsia="Times New Roman" w:cs="Times New Roman"/>
          <w:sz w:val="20"/>
          <w:szCs w:val="20"/>
        </w:rPr>
        <w:t xml:space="preserve">Experience in GEF </w:t>
      </w:r>
      <w:proofErr w:type="gramStart"/>
      <w:r w:rsidR="00F51631" w:rsidRPr="009A7641">
        <w:rPr>
          <w:rFonts w:eastAsia="Times New Roman" w:cs="Times New Roman"/>
          <w:sz w:val="20"/>
          <w:szCs w:val="20"/>
        </w:rPr>
        <w:t>multi  focal</w:t>
      </w:r>
      <w:proofErr w:type="gramEnd"/>
      <w:r w:rsidR="00F51631" w:rsidRPr="009A7641">
        <w:rPr>
          <w:rFonts w:eastAsia="Times New Roman" w:cs="Times New Roman"/>
          <w:sz w:val="20"/>
          <w:szCs w:val="20"/>
        </w:rPr>
        <w:t xml:space="preserve"> area</w:t>
      </w:r>
      <w:r w:rsidRPr="009A7641">
        <w:rPr>
          <w:rFonts w:eastAsia="Times New Roman" w:cs="Times New Roman"/>
          <w:sz w:val="20"/>
          <w:szCs w:val="20"/>
        </w:rPr>
        <w:t xml:space="preserve"> project design, technical consultancy or evaluation will be an asset</w:t>
      </w:r>
      <w:r w:rsidR="00B27B75">
        <w:rPr>
          <w:rFonts w:eastAsia="Times New Roman" w:cs="Times New Roman"/>
          <w:sz w:val="20"/>
          <w:szCs w:val="20"/>
        </w:rPr>
        <w:t>.</w:t>
      </w:r>
    </w:p>
    <w:bookmarkEnd w:id="50"/>
    <w:bookmarkEnd w:id="51"/>
    <w:p w:rsidR="00705358" w:rsidRPr="009A7641" w:rsidRDefault="00705358" w:rsidP="00AE5B30">
      <w:pPr>
        <w:spacing w:before="60" w:after="60" w:line="240" w:lineRule="auto"/>
        <w:rPr>
          <w:rFonts w:eastAsia="Times New Roman" w:cs="Times New Roman"/>
          <w:sz w:val="20"/>
          <w:szCs w:val="20"/>
          <w:highlight w:val="yellow"/>
          <w:u w:val="single"/>
        </w:rPr>
      </w:pPr>
    </w:p>
    <w:p w:rsidR="00AE5B30" w:rsidRPr="009A7641" w:rsidRDefault="00AE5B30" w:rsidP="009A7641">
      <w:pPr>
        <w:spacing w:before="60" w:after="0" w:line="240" w:lineRule="auto"/>
        <w:rPr>
          <w:rFonts w:eastAsia="Times New Roman" w:cs="Times New Roman"/>
          <w:sz w:val="20"/>
          <w:szCs w:val="20"/>
          <w:u w:val="single"/>
        </w:rPr>
      </w:pPr>
      <w:r w:rsidRPr="009A7641">
        <w:rPr>
          <w:rFonts w:eastAsia="Times New Roman" w:cs="Times New Roman"/>
          <w:sz w:val="20"/>
          <w:szCs w:val="20"/>
          <w:u w:val="single"/>
        </w:rPr>
        <w:t>Competencies:</w:t>
      </w:r>
    </w:p>
    <w:p w:rsidR="00AE5B30" w:rsidRPr="009A7641" w:rsidRDefault="00AE5B30" w:rsidP="00F51631">
      <w:pPr>
        <w:pStyle w:val="Default"/>
        <w:numPr>
          <w:ilvl w:val="0"/>
          <w:numId w:val="14"/>
        </w:numPr>
        <w:spacing w:before="0" w:after="0" w:line="240" w:lineRule="auto"/>
        <w:ind w:left="1080"/>
        <w:jc w:val="both"/>
        <w:rPr>
          <w:rFonts w:asciiTheme="minorHAnsi" w:hAnsiTheme="minorHAnsi" w:cs="Calibri"/>
          <w:color w:val="auto"/>
          <w:sz w:val="20"/>
          <w:szCs w:val="20"/>
        </w:rPr>
      </w:pPr>
      <w:r w:rsidRPr="009A7641">
        <w:rPr>
          <w:rFonts w:asciiTheme="minorHAnsi" w:hAnsiTheme="minorHAnsi" w:cs="Calibri"/>
          <w:color w:val="auto"/>
          <w:sz w:val="20"/>
          <w:szCs w:val="20"/>
        </w:rPr>
        <w:t>Ability to critically analyze issues, find root-causes and suggest optimum solutions;</w:t>
      </w:r>
      <w:bookmarkStart w:id="52" w:name="_GoBack"/>
      <w:bookmarkEnd w:id="52"/>
    </w:p>
    <w:p w:rsidR="00AE5B30" w:rsidRDefault="00AE5B30" w:rsidP="00F51631">
      <w:pPr>
        <w:pStyle w:val="Default"/>
        <w:numPr>
          <w:ilvl w:val="0"/>
          <w:numId w:val="14"/>
        </w:numPr>
        <w:spacing w:before="0" w:after="0" w:line="240" w:lineRule="auto"/>
        <w:ind w:left="1080"/>
        <w:jc w:val="both"/>
        <w:rPr>
          <w:rFonts w:asciiTheme="minorHAnsi" w:hAnsiTheme="minorHAnsi" w:cs="Calibri"/>
          <w:color w:val="auto"/>
          <w:sz w:val="20"/>
          <w:szCs w:val="20"/>
        </w:rPr>
      </w:pPr>
      <w:r w:rsidRPr="009A7641">
        <w:rPr>
          <w:rFonts w:asciiTheme="minorHAnsi" w:hAnsiTheme="minorHAnsi" w:cs="Calibri"/>
          <w:color w:val="auto"/>
          <w:sz w:val="20"/>
          <w:szCs w:val="20"/>
        </w:rPr>
        <w:t xml:space="preserve">Ability to interact with a wide range of partners: government officials, development agencies and etc.; </w:t>
      </w:r>
    </w:p>
    <w:p w:rsidR="00230DF7" w:rsidRPr="009A7641" w:rsidRDefault="00230DF7" w:rsidP="00230DF7">
      <w:pPr>
        <w:pStyle w:val="BodyText3"/>
        <w:numPr>
          <w:ilvl w:val="0"/>
          <w:numId w:val="14"/>
        </w:numPr>
        <w:spacing w:after="0" w:line="240" w:lineRule="auto"/>
        <w:ind w:left="1080"/>
        <w:jc w:val="both"/>
        <w:rPr>
          <w:rFonts w:eastAsia="MS Mincho" w:cs="Calibri"/>
          <w:sz w:val="20"/>
          <w:szCs w:val="20"/>
          <w:lang w:eastAsia="ja-JP"/>
        </w:rPr>
      </w:pPr>
      <w:r w:rsidRPr="009A7641">
        <w:rPr>
          <w:rFonts w:eastAsia="MS Mincho" w:cs="Calibri"/>
          <w:sz w:val="20"/>
          <w:szCs w:val="20"/>
          <w:lang w:eastAsia="ja-JP"/>
        </w:rPr>
        <w:t>Fluent in English both written and spoken; Knowledge of Russian or Romanian will be a strong asset</w:t>
      </w:r>
      <w:r>
        <w:rPr>
          <w:rFonts w:eastAsia="MS Mincho" w:cs="Calibri"/>
          <w:sz w:val="20"/>
          <w:szCs w:val="20"/>
          <w:lang w:eastAsia="ja-JP"/>
        </w:rPr>
        <w:t>;</w:t>
      </w:r>
    </w:p>
    <w:p w:rsidR="00AE5B30" w:rsidRPr="009A7641" w:rsidRDefault="00AE5B30" w:rsidP="00AE5B30">
      <w:pPr>
        <w:pStyle w:val="Default"/>
        <w:numPr>
          <w:ilvl w:val="0"/>
          <w:numId w:val="14"/>
        </w:numPr>
        <w:spacing w:before="60" w:after="60" w:line="240" w:lineRule="auto"/>
        <w:ind w:left="1080"/>
        <w:jc w:val="both"/>
        <w:rPr>
          <w:rFonts w:cs="Times New Roman"/>
          <w:sz w:val="20"/>
          <w:szCs w:val="20"/>
        </w:rPr>
      </w:pPr>
      <w:r w:rsidRPr="009A7641">
        <w:rPr>
          <w:rFonts w:asciiTheme="minorHAnsi" w:hAnsiTheme="minorHAnsi" w:cs="Calibri"/>
          <w:color w:val="auto"/>
          <w:sz w:val="20"/>
          <w:szCs w:val="20"/>
        </w:rPr>
        <w:t>Excellent team working and management skills</w:t>
      </w:r>
      <w:r w:rsidR="004A0355" w:rsidRPr="009A7641">
        <w:rPr>
          <w:rFonts w:asciiTheme="minorHAnsi" w:hAnsiTheme="minorHAnsi" w:cs="Calibri"/>
          <w:color w:val="auto"/>
          <w:sz w:val="20"/>
          <w:szCs w:val="20"/>
        </w:rPr>
        <w:t>.</w:t>
      </w:r>
    </w:p>
    <w:p w:rsidR="00AE5B30" w:rsidRPr="009A7641" w:rsidRDefault="00AE5B30" w:rsidP="00AE5B30">
      <w:pPr>
        <w:spacing w:before="60" w:after="60" w:line="240" w:lineRule="auto"/>
        <w:rPr>
          <w:rFonts w:eastAsia="Times New Roman" w:cs="Times New Roman"/>
          <w:sz w:val="20"/>
          <w:szCs w:val="20"/>
        </w:rPr>
      </w:pPr>
      <w:r w:rsidRPr="009A7641">
        <w:rPr>
          <w:rFonts w:eastAsia="Times New Roman" w:cs="Times New Roman"/>
          <w:sz w:val="20"/>
          <w:szCs w:val="20"/>
        </w:rPr>
        <w:t>CV and/or P11 should provide evidence on the above mentioned qualifications and competencies.</w:t>
      </w:r>
    </w:p>
    <w:p w:rsidR="00D6638C" w:rsidRPr="009A7641" w:rsidRDefault="00D6638C" w:rsidP="00F05366">
      <w:pPr>
        <w:pStyle w:val="Heading51"/>
      </w:pPr>
      <w:r w:rsidRPr="009A7641">
        <w:t>Application process</w:t>
      </w:r>
      <w:bookmarkEnd w:id="45"/>
      <w:bookmarkEnd w:id="46"/>
      <w:bookmarkEnd w:id="47"/>
      <w:bookmarkEnd w:id="48"/>
      <w:bookmarkEnd w:id="4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Applicants are requested to apply online</w:t>
      </w:r>
      <w:r w:rsidR="003A0A1A">
        <w:rPr>
          <w:rFonts w:ascii="Calibri" w:eastAsia="Times New Roman" w:hAnsi="Calibri" w:cs="Times New Roman"/>
          <w:sz w:val="20"/>
          <w:szCs w:val="20"/>
        </w:rPr>
        <w:t xml:space="preserve"> (</w:t>
      </w:r>
      <w:hyperlink r:id="rId12" w:history="1">
        <w:r w:rsidR="003A0A1A" w:rsidRPr="005A4196">
          <w:rPr>
            <w:rStyle w:val="Hyperlink"/>
            <w:rFonts w:ascii="Calibri" w:eastAsia="Times New Roman" w:hAnsi="Calibri" w:cs="Times New Roman"/>
            <w:sz w:val="20"/>
            <w:szCs w:val="20"/>
          </w:rPr>
          <w:t>http://jobs.undp.org</w:t>
        </w:r>
      </w:hyperlink>
      <w:r w:rsidR="003A0A1A">
        <w:rPr>
          <w:rFonts w:ascii="Calibri" w:eastAsia="Times New Roman" w:hAnsi="Calibri" w:cs="Times New Roman"/>
          <w:sz w:val="20"/>
          <w:szCs w:val="20"/>
        </w:rPr>
        <w:t xml:space="preserve"> </w:t>
      </w:r>
      <w:r w:rsidR="003A0A1A" w:rsidRPr="003A0A1A">
        <w:rPr>
          <w:rFonts w:ascii="Calibri" w:eastAsia="Times New Roman" w:hAnsi="Calibri" w:cs="Times New Roman"/>
          <w:sz w:val="20"/>
          <w:szCs w:val="20"/>
        </w:rPr>
        <w:t xml:space="preserve"> and </w:t>
      </w:r>
      <w:hyperlink r:id="rId13" w:history="1">
        <w:r w:rsidR="003A0A1A" w:rsidRPr="005A4196">
          <w:rPr>
            <w:rStyle w:val="Hyperlink"/>
            <w:rFonts w:ascii="Calibri" w:eastAsia="Times New Roman" w:hAnsi="Calibri" w:cs="Times New Roman"/>
            <w:sz w:val="20"/>
            <w:szCs w:val="20"/>
          </w:rPr>
          <w:t>http://www.undp.md/jobs/current_jobs</w:t>
        </w:r>
      </w:hyperlink>
      <w:r w:rsidR="003A0A1A">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by </w:t>
      </w:r>
      <w:r w:rsidR="00EA63B7">
        <w:rPr>
          <w:rFonts w:ascii="Calibri" w:eastAsia="Times New Roman" w:hAnsi="Calibri" w:cs="Times New Roman"/>
          <w:sz w:val="20"/>
          <w:szCs w:val="20"/>
        </w:rPr>
        <w:t xml:space="preserve">June </w:t>
      </w:r>
      <w:r w:rsidR="00705358">
        <w:rPr>
          <w:rFonts w:ascii="Calibri" w:eastAsia="Times New Roman" w:hAnsi="Calibri" w:cs="Times New Roman"/>
          <w:sz w:val="20"/>
          <w:szCs w:val="20"/>
        </w:rPr>
        <w:t>30</w:t>
      </w:r>
      <w:r w:rsidRPr="002C78BD">
        <w:rPr>
          <w:rFonts w:ascii="Calibri" w:eastAsia="Times New Roman" w:hAnsi="Calibri" w:cs="Times New Roman"/>
          <w:sz w:val="20"/>
          <w:szCs w:val="20"/>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w:t>
      </w:r>
      <w:r w:rsidRPr="00D6638C">
        <w:rPr>
          <w:rFonts w:ascii="Calibri" w:eastAsia="Times New Roman" w:hAnsi="Calibri" w:cs="Times New Roman"/>
          <w:sz w:val="20"/>
          <w:szCs w:val="20"/>
        </w:rPr>
        <w:lastRenderedPageBreak/>
        <w:t xml:space="preserve">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r w:rsidRPr="00D6638C">
        <w:rPr>
          <w:rFonts w:ascii="Calibri" w:eastAsia="Times New Roman" w:hAnsi="Calibri" w:cs="Times New Roman"/>
          <w:sz w:val="20"/>
          <w:szCs w:val="20"/>
        </w:rPr>
        <w:br w:type="page"/>
      </w:r>
    </w:p>
    <w:p w:rsidR="00B701CD" w:rsidRDefault="00B701CD" w:rsidP="00D6638C">
      <w:pPr>
        <w:spacing w:before="200"/>
        <w:rPr>
          <w:rFonts w:ascii="Calibri" w:eastAsia="Times New Roman" w:hAnsi="Calibri" w:cs="Times New Roman"/>
          <w:sz w:val="20"/>
          <w:szCs w:val="20"/>
        </w:rPr>
        <w:sectPr w:rsidR="00B701CD" w:rsidSect="00224F9C">
          <w:footerReference w:type="default" r:id="rId14"/>
          <w:pgSz w:w="12240" w:h="15840"/>
          <w:pgMar w:top="1440" w:right="1325" w:bottom="1440" w:left="1440" w:header="708" w:footer="708" w:gutter="0"/>
          <w:cols w:space="708"/>
          <w:docGrid w:linePitch="360"/>
        </w:sectPr>
      </w:pPr>
    </w:p>
    <w:p w:rsidR="00D6638C" w:rsidRDefault="00D6638C" w:rsidP="00F05366">
      <w:pPr>
        <w:pStyle w:val="Heading31"/>
      </w:pPr>
      <w:bookmarkStart w:id="53" w:name="_TOR_Annex_A:"/>
      <w:bookmarkStart w:id="54" w:name="_Toc299122844"/>
      <w:bookmarkStart w:id="55" w:name="_Toc299122866"/>
      <w:bookmarkStart w:id="56" w:name="_Toc299126630"/>
      <w:bookmarkStart w:id="57" w:name="_Toc299133053"/>
      <w:bookmarkStart w:id="58" w:name="_Toc321341562"/>
      <w:bookmarkEnd w:id="53"/>
      <w:r w:rsidRPr="00D6638C">
        <w:lastRenderedPageBreak/>
        <w:t>Annex A: Project Logical Framework</w:t>
      </w:r>
      <w:bookmarkEnd w:id="54"/>
      <w:bookmarkEnd w:id="55"/>
      <w:bookmarkEnd w:id="56"/>
      <w:bookmarkEnd w:id="57"/>
      <w:bookmarkEnd w:id="58"/>
    </w:p>
    <w:p w:rsidR="00D12BDF" w:rsidRPr="00D12BDF" w:rsidRDefault="00D12BDF" w:rsidP="00D12BDF"/>
    <w:p w:rsidR="00D168F5" w:rsidRDefault="00D168F5" w:rsidP="00D6638C">
      <w:pPr>
        <w:spacing w:before="200"/>
        <w:rPr>
          <w:rFonts w:ascii="Calibri" w:eastAsia="Times New Roman" w:hAnsi="Calibri" w:cs="Times New Roman"/>
          <w:i/>
          <w:sz w:val="20"/>
          <w:szCs w:val="20"/>
          <w:lang w:val="en-GB"/>
        </w:rPr>
      </w:pPr>
    </w:p>
    <w:tbl>
      <w:tblPr>
        <w:tblW w:w="509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471"/>
        <w:gridCol w:w="4009"/>
        <w:gridCol w:w="3173"/>
        <w:gridCol w:w="2781"/>
      </w:tblGrid>
      <w:tr w:rsidR="00D168F5" w:rsidRPr="007F26C6" w:rsidTr="00C71584">
        <w:tc>
          <w:tcPr>
            <w:tcW w:w="1292" w:type="pct"/>
            <w:tcBorders>
              <w:top w:val="double" w:sz="4" w:space="0" w:color="auto"/>
              <w:left w:val="double" w:sz="4" w:space="0" w:color="auto"/>
              <w:bottom w:val="single" w:sz="6" w:space="0" w:color="auto"/>
              <w:right w:val="single" w:sz="6" w:space="0" w:color="auto"/>
            </w:tcBorders>
            <w:shd w:val="clear" w:color="auto" w:fill="auto"/>
          </w:tcPr>
          <w:p w:rsidR="00D168F5" w:rsidRPr="004B36F1" w:rsidRDefault="00D168F5" w:rsidP="00AE5B30">
            <w:pPr>
              <w:widowControl w:val="0"/>
              <w:tabs>
                <w:tab w:val="left" w:pos="0"/>
                <w:tab w:val="left" w:pos="708"/>
                <w:tab w:val="left" w:pos="1416"/>
                <w:tab w:val="left" w:pos="2124"/>
                <w:tab w:val="left" w:pos="2832"/>
                <w:tab w:val="left" w:pos="3540"/>
              </w:tabs>
              <w:spacing w:after="0"/>
              <w:rPr>
                <w:b/>
                <w:color w:val="000000" w:themeColor="text1"/>
                <w:sz w:val="16"/>
                <w:szCs w:val="16"/>
              </w:rPr>
            </w:pPr>
            <w:r w:rsidRPr="004B36F1">
              <w:rPr>
                <w:b/>
                <w:color w:val="000000" w:themeColor="text1"/>
                <w:sz w:val="16"/>
                <w:szCs w:val="16"/>
              </w:rPr>
              <w:t>Objectives</w:t>
            </w:r>
          </w:p>
        </w:tc>
        <w:tc>
          <w:tcPr>
            <w:tcW w:w="1492" w:type="pct"/>
            <w:tcBorders>
              <w:top w:val="double" w:sz="4" w:space="0" w:color="auto"/>
              <w:left w:val="single" w:sz="6" w:space="0" w:color="auto"/>
              <w:bottom w:val="single" w:sz="6" w:space="0" w:color="auto"/>
              <w:right w:val="single" w:sz="6" w:space="0" w:color="auto"/>
            </w:tcBorders>
            <w:shd w:val="clear" w:color="auto" w:fill="auto"/>
          </w:tcPr>
          <w:p w:rsidR="00D168F5" w:rsidRPr="004B36F1" w:rsidRDefault="00D168F5" w:rsidP="00AE5B30">
            <w:pPr>
              <w:widowControl w:val="0"/>
              <w:tabs>
                <w:tab w:val="left" w:pos="0"/>
                <w:tab w:val="left" w:pos="708"/>
                <w:tab w:val="left" w:pos="1416"/>
                <w:tab w:val="left" w:pos="2124"/>
                <w:tab w:val="left" w:pos="2832"/>
              </w:tabs>
              <w:spacing w:after="0"/>
              <w:rPr>
                <w:b/>
                <w:color w:val="000000" w:themeColor="text1"/>
                <w:sz w:val="16"/>
                <w:szCs w:val="16"/>
              </w:rPr>
            </w:pPr>
            <w:r w:rsidRPr="004B36F1">
              <w:rPr>
                <w:b/>
                <w:color w:val="000000" w:themeColor="text1"/>
                <w:sz w:val="16"/>
                <w:szCs w:val="16"/>
              </w:rPr>
              <w:t>Indicators</w:t>
            </w:r>
          </w:p>
        </w:tc>
        <w:tc>
          <w:tcPr>
            <w:tcW w:w="1181" w:type="pct"/>
            <w:tcBorders>
              <w:top w:val="double" w:sz="4" w:space="0" w:color="auto"/>
              <w:left w:val="single" w:sz="6" w:space="0" w:color="auto"/>
              <w:bottom w:val="single" w:sz="6" w:space="0" w:color="auto"/>
              <w:right w:val="single" w:sz="6" w:space="0" w:color="auto"/>
            </w:tcBorders>
            <w:shd w:val="clear" w:color="auto" w:fill="auto"/>
          </w:tcPr>
          <w:p w:rsidR="00D168F5" w:rsidRPr="004B36F1" w:rsidRDefault="00D168F5" w:rsidP="00AE5B30">
            <w:pPr>
              <w:widowControl w:val="0"/>
              <w:tabs>
                <w:tab w:val="left" w:pos="0"/>
                <w:tab w:val="left" w:pos="708"/>
                <w:tab w:val="left" w:pos="1416"/>
                <w:tab w:val="left" w:pos="2124"/>
                <w:tab w:val="left" w:pos="2832"/>
              </w:tabs>
              <w:spacing w:after="0"/>
              <w:rPr>
                <w:b/>
                <w:color w:val="000000" w:themeColor="text1"/>
                <w:sz w:val="16"/>
                <w:szCs w:val="16"/>
              </w:rPr>
            </w:pPr>
            <w:r w:rsidRPr="004B36F1">
              <w:rPr>
                <w:b/>
                <w:color w:val="000000" w:themeColor="text1"/>
                <w:sz w:val="16"/>
                <w:szCs w:val="16"/>
              </w:rPr>
              <w:t>Means of verification</w:t>
            </w:r>
          </w:p>
        </w:tc>
        <w:tc>
          <w:tcPr>
            <w:tcW w:w="1036" w:type="pct"/>
            <w:tcBorders>
              <w:top w:val="double" w:sz="4" w:space="0" w:color="auto"/>
              <w:left w:val="single" w:sz="6" w:space="0" w:color="auto"/>
              <w:bottom w:val="single" w:sz="6" w:space="0" w:color="auto"/>
              <w:right w:val="double" w:sz="4" w:space="0" w:color="auto"/>
            </w:tcBorders>
            <w:shd w:val="clear" w:color="auto" w:fill="auto"/>
          </w:tcPr>
          <w:p w:rsidR="00D168F5" w:rsidRPr="004B36F1" w:rsidRDefault="00D168F5" w:rsidP="00AE5B30">
            <w:pPr>
              <w:widowControl w:val="0"/>
              <w:tabs>
                <w:tab w:val="left" w:pos="0"/>
                <w:tab w:val="left" w:pos="708"/>
                <w:tab w:val="left" w:pos="1416"/>
                <w:tab w:val="left" w:pos="2124"/>
                <w:tab w:val="left" w:pos="2832"/>
              </w:tabs>
              <w:spacing w:after="0"/>
              <w:rPr>
                <w:b/>
                <w:color w:val="000000" w:themeColor="text1"/>
                <w:sz w:val="16"/>
                <w:szCs w:val="16"/>
              </w:rPr>
            </w:pPr>
            <w:r w:rsidRPr="004B36F1">
              <w:rPr>
                <w:b/>
                <w:color w:val="000000" w:themeColor="text1"/>
                <w:sz w:val="16"/>
                <w:szCs w:val="16"/>
              </w:rPr>
              <w:t>Key assumptions/comments</w:t>
            </w:r>
          </w:p>
        </w:tc>
      </w:tr>
      <w:tr w:rsidR="00D168F5" w:rsidRPr="007F26C6" w:rsidTr="00C71584">
        <w:trPr>
          <w:trHeight w:val="4164"/>
        </w:trPr>
        <w:tc>
          <w:tcPr>
            <w:tcW w:w="1292" w:type="pct"/>
            <w:tcBorders>
              <w:top w:val="single" w:sz="6" w:space="0" w:color="auto"/>
              <w:left w:val="double" w:sz="4" w:space="0" w:color="auto"/>
              <w:right w:val="single" w:sz="6" w:space="0" w:color="auto"/>
            </w:tcBorders>
            <w:shd w:val="clear" w:color="auto" w:fill="auto"/>
          </w:tcPr>
          <w:p w:rsidR="00D168F5" w:rsidRPr="004B36F1" w:rsidRDefault="00D168F5" w:rsidP="00AE5B30">
            <w:pPr>
              <w:widowControl w:val="0"/>
              <w:tabs>
                <w:tab w:val="left" w:pos="0"/>
                <w:tab w:val="left" w:pos="425"/>
                <w:tab w:val="left" w:pos="708"/>
                <w:tab w:val="left" w:pos="1416"/>
                <w:tab w:val="left" w:pos="2124"/>
                <w:tab w:val="left" w:pos="2832"/>
                <w:tab w:val="left" w:pos="3540"/>
              </w:tabs>
              <w:spacing w:after="0"/>
              <w:rPr>
                <w:bCs/>
                <w:sz w:val="16"/>
                <w:szCs w:val="16"/>
              </w:rPr>
            </w:pPr>
            <w:r w:rsidRPr="004B36F1">
              <w:rPr>
                <w:bCs/>
                <w:sz w:val="16"/>
                <w:szCs w:val="16"/>
                <w:u w:val="single"/>
              </w:rPr>
              <w:t>Project Objective</w:t>
            </w:r>
          </w:p>
          <w:p w:rsidR="00D168F5" w:rsidRPr="004B36F1" w:rsidRDefault="00D168F5" w:rsidP="00AE5B30">
            <w:pPr>
              <w:widowControl w:val="0"/>
              <w:tabs>
                <w:tab w:val="left" w:pos="0"/>
                <w:tab w:val="left" w:pos="708"/>
                <w:tab w:val="left" w:pos="1416"/>
                <w:tab w:val="left" w:pos="2124"/>
                <w:tab w:val="left" w:pos="2832"/>
                <w:tab w:val="left" w:pos="3540"/>
              </w:tabs>
              <w:spacing w:after="0"/>
              <w:rPr>
                <w:bCs/>
                <w:sz w:val="16"/>
                <w:szCs w:val="16"/>
              </w:rPr>
            </w:pPr>
            <w:r w:rsidRPr="004B36F1">
              <w:rPr>
                <w:sz w:val="16"/>
                <w:szCs w:val="16"/>
              </w:rPr>
              <w:t>To build capacities for implementing environmental fiscal reforms (EFR) that will produce increased national and global environmental benefits through the adoption of selected subsidies, fees, fines, taxes and other appropriate fiscal instruments.</w:t>
            </w:r>
          </w:p>
        </w:tc>
        <w:tc>
          <w:tcPr>
            <w:tcW w:w="1492" w:type="pct"/>
            <w:tcBorders>
              <w:top w:val="single" w:sz="6" w:space="0" w:color="auto"/>
              <w:left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Demonstrated global environmental benefits through the adoption of EFR instruments related to biodiversity conservation, reducing GHG emissions and combating land degradation </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Capacity development scorecard ratings increase in a consistent manner (initial rating to be established at project inception workshop) </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Regulatory and operational guidelines adopted by the EFR commission for 5 EFR instruments addressed by the project:</w:t>
            </w:r>
            <w:r w:rsidRPr="004B36F1">
              <w:rPr>
                <w:sz w:val="16"/>
                <w:szCs w:val="16"/>
              </w:rPr>
              <w:t xml:space="preserve"> </w:t>
            </w:r>
          </w:p>
          <w:p w:rsidR="00D168F5" w:rsidRPr="004B36F1" w:rsidRDefault="00D168F5" w:rsidP="00AE5B30">
            <w:pPr>
              <w:widowControl w:val="0"/>
              <w:tabs>
                <w:tab w:val="left" w:pos="294"/>
                <w:tab w:val="left" w:pos="708"/>
                <w:tab w:val="left" w:pos="1416"/>
                <w:tab w:val="left" w:pos="2124"/>
                <w:tab w:val="left" w:pos="2832"/>
                <w:tab w:val="left" w:pos="3540"/>
              </w:tabs>
              <w:autoSpaceDE w:val="0"/>
              <w:autoSpaceDN w:val="0"/>
              <w:adjustRightInd w:val="0"/>
              <w:spacing w:after="0"/>
              <w:ind w:left="294"/>
              <w:rPr>
                <w:bCs/>
                <w:sz w:val="16"/>
                <w:szCs w:val="16"/>
              </w:rPr>
            </w:pPr>
            <w:r w:rsidRPr="004B36F1">
              <w:rPr>
                <w:sz w:val="16"/>
                <w:szCs w:val="16"/>
              </w:rPr>
              <w:t>1) agricultural subsidies scheme/</w:t>
            </w:r>
            <w:proofErr w:type="spellStart"/>
            <w:r w:rsidRPr="004B36F1">
              <w:rPr>
                <w:sz w:val="16"/>
                <w:szCs w:val="16"/>
              </w:rPr>
              <w:t>programme</w:t>
            </w:r>
            <w:proofErr w:type="spellEnd"/>
            <w:r w:rsidRPr="004B36F1">
              <w:rPr>
                <w:sz w:val="16"/>
                <w:szCs w:val="16"/>
              </w:rPr>
              <w:t xml:space="preserve">, </w:t>
            </w:r>
          </w:p>
          <w:p w:rsidR="00D168F5" w:rsidRPr="004B36F1" w:rsidRDefault="00D168F5" w:rsidP="00AE5B30">
            <w:pPr>
              <w:widowControl w:val="0"/>
              <w:tabs>
                <w:tab w:val="left" w:pos="294"/>
                <w:tab w:val="left" w:pos="708"/>
                <w:tab w:val="left" w:pos="1416"/>
                <w:tab w:val="left" w:pos="2124"/>
                <w:tab w:val="left" w:pos="2832"/>
                <w:tab w:val="left" w:pos="3540"/>
              </w:tabs>
              <w:autoSpaceDE w:val="0"/>
              <w:autoSpaceDN w:val="0"/>
              <w:adjustRightInd w:val="0"/>
              <w:spacing w:after="0"/>
              <w:ind w:left="294"/>
              <w:rPr>
                <w:bCs/>
                <w:sz w:val="16"/>
                <w:szCs w:val="16"/>
              </w:rPr>
            </w:pPr>
            <w:r w:rsidRPr="004B36F1">
              <w:rPr>
                <w:sz w:val="16"/>
                <w:szCs w:val="16"/>
              </w:rPr>
              <w:t>2) energy subsidies scheme/</w:t>
            </w:r>
            <w:proofErr w:type="spellStart"/>
            <w:r w:rsidRPr="004B36F1">
              <w:rPr>
                <w:sz w:val="16"/>
                <w:szCs w:val="16"/>
              </w:rPr>
              <w:t>programme</w:t>
            </w:r>
            <w:proofErr w:type="spellEnd"/>
            <w:r w:rsidRPr="004B36F1">
              <w:rPr>
                <w:sz w:val="16"/>
                <w:szCs w:val="16"/>
              </w:rPr>
              <w:t xml:space="preserve">, </w:t>
            </w:r>
          </w:p>
          <w:p w:rsidR="00D168F5" w:rsidRPr="004B36F1" w:rsidRDefault="00D168F5" w:rsidP="00AE5B30">
            <w:pPr>
              <w:widowControl w:val="0"/>
              <w:tabs>
                <w:tab w:val="left" w:pos="294"/>
                <w:tab w:val="left" w:pos="708"/>
                <w:tab w:val="left" w:pos="1416"/>
                <w:tab w:val="left" w:pos="2124"/>
                <w:tab w:val="left" w:pos="2832"/>
                <w:tab w:val="left" w:pos="3540"/>
              </w:tabs>
              <w:autoSpaceDE w:val="0"/>
              <w:autoSpaceDN w:val="0"/>
              <w:adjustRightInd w:val="0"/>
              <w:spacing w:after="0"/>
              <w:ind w:left="294"/>
              <w:rPr>
                <w:bCs/>
                <w:sz w:val="16"/>
                <w:szCs w:val="16"/>
              </w:rPr>
            </w:pPr>
            <w:r w:rsidRPr="004B36F1">
              <w:rPr>
                <w:sz w:val="16"/>
                <w:szCs w:val="16"/>
              </w:rPr>
              <w:t xml:space="preserve">3) environmental charges; </w:t>
            </w:r>
          </w:p>
          <w:p w:rsidR="00D168F5" w:rsidRPr="004B36F1" w:rsidRDefault="00D168F5" w:rsidP="00AE5B30">
            <w:pPr>
              <w:widowControl w:val="0"/>
              <w:tabs>
                <w:tab w:val="left" w:pos="294"/>
                <w:tab w:val="left" w:pos="708"/>
                <w:tab w:val="left" w:pos="1416"/>
                <w:tab w:val="left" w:pos="2124"/>
                <w:tab w:val="left" w:pos="2832"/>
                <w:tab w:val="left" w:pos="3540"/>
              </w:tabs>
              <w:autoSpaceDE w:val="0"/>
              <w:autoSpaceDN w:val="0"/>
              <w:adjustRightInd w:val="0"/>
              <w:spacing w:after="0"/>
              <w:ind w:left="294"/>
              <w:rPr>
                <w:bCs/>
                <w:sz w:val="16"/>
                <w:szCs w:val="16"/>
              </w:rPr>
            </w:pPr>
            <w:r w:rsidRPr="004B36F1">
              <w:rPr>
                <w:sz w:val="16"/>
                <w:szCs w:val="16"/>
              </w:rPr>
              <w:t xml:space="preserve">4) green/environmental subsidies through NEF/LEF; </w:t>
            </w:r>
          </w:p>
          <w:p w:rsidR="00D168F5" w:rsidRPr="004B36F1" w:rsidRDefault="00D168F5" w:rsidP="00AE5B30">
            <w:pPr>
              <w:widowControl w:val="0"/>
              <w:tabs>
                <w:tab w:val="left" w:pos="294"/>
                <w:tab w:val="left" w:pos="708"/>
                <w:tab w:val="left" w:pos="1416"/>
                <w:tab w:val="left" w:pos="2124"/>
                <w:tab w:val="left" w:pos="2832"/>
                <w:tab w:val="left" w:pos="3540"/>
              </w:tabs>
              <w:autoSpaceDE w:val="0"/>
              <w:autoSpaceDN w:val="0"/>
              <w:adjustRightInd w:val="0"/>
              <w:spacing w:after="0"/>
              <w:ind w:left="294"/>
              <w:rPr>
                <w:sz w:val="16"/>
                <w:szCs w:val="16"/>
              </w:rPr>
            </w:pPr>
            <w:r w:rsidRPr="004B36F1">
              <w:rPr>
                <w:sz w:val="16"/>
                <w:szCs w:val="16"/>
              </w:rPr>
              <w:t>5) new eco-technology subsidies</w:t>
            </w:r>
          </w:p>
          <w:p w:rsidR="00D168F5" w:rsidRPr="004B36F1" w:rsidRDefault="00D168F5" w:rsidP="00AE5B30">
            <w:pPr>
              <w:widowControl w:val="0"/>
              <w:tabs>
                <w:tab w:val="left" w:pos="294"/>
                <w:tab w:val="left" w:pos="708"/>
                <w:tab w:val="left" w:pos="1416"/>
                <w:tab w:val="left" w:pos="2124"/>
                <w:tab w:val="left" w:pos="2832"/>
                <w:tab w:val="left" w:pos="3540"/>
              </w:tabs>
              <w:autoSpaceDE w:val="0"/>
              <w:autoSpaceDN w:val="0"/>
              <w:adjustRightInd w:val="0"/>
              <w:spacing w:after="0"/>
              <w:ind w:left="294"/>
              <w:rPr>
                <w:bCs/>
                <w:sz w:val="16"/>
                <w:szCs w:val="16"/>
              </w:rPr>
            </w:pP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sz w:val="16"/>
                <w:szCs w:val="16"/>
              </w:rPr>
              <w:t>Medium-Term Expenditure budget reflects increased national allocations to meet CBD, CCD, and FCCC targets</w:t>
            </w:r>
          </w:p>
          <w:p w:rsidR="00D168F5" w:rsidRPr="004B36F1" w:rsidRDefault="00D168F5" w:rsidP="00AE5B30">
            <w:pPr>
              <w:widowControl w:val="0"/>
              <w:tabs>
                <w:tab w:val="left" w:pos="0"/>
                <w:tab w:val="left" w:pos="1416"/>
                <w:tab w:val="left" w:pos="2124"/>
                <w:tab w:val="left" w:pos="2832"/>
                <w:tab w:val="left" w:pos="3540"/>
              </w:tabs>
              <w:autoSpaceDE w:val="0"/>
              <w:autoSpaceDN w:val="0"/>
              <w:adjustRightInd w:val="0"/>
              <w:spacing w:after="0"/>
              <w:ind w:left="360"/>
              <w:rPr>
                <w:sz w:val="16"/>
                <w:szCs w:val="16"/>
              </w:rPr>
            </w:pPr>
          </w:p>
          <w:p w:rsidR="00D168F5" w:rsidRPr="004B36F1" w:rsidRDefault="00D168F5" w:rsidP="00AE5B30">
            <w:pPr>
              <w:widowControl w:val="0"/>
              <w:tabs>
                <w:tab w:val="left" w:pos="0"/>
                <w:tab w:val="left" w:pos="1416"/>
                <w:tab w:val="left" w:pos="2124"/>
                <w:tab w:val="left" w:pos="2832"/>
                <w:tab w:val="left" w:pos="3540"/>
              </w:tabs>
              <w:autoSpaceDE w:val="0"/>
              <w:autoSpaceDN w:val="0"/>
              <w:adjustRightInd w:val="0"/>
              <w:spacing w:after="0"/>
              <w:ind w:left="360"/>
              <w:rPr>
                <w:bCs/>
                <w:sz w:val="16"/>
                <w:szCs w:val="16"/>
              </w:rPr>
            </w:pPr>
          </w:p>
        </w:tc>
        <w:tc>
          <w:tcPr>
            <w:tcW w:w="1181" w:type="pct"/>
            <w:tcBorders>
              <w:top w:val="single" w:sz="6" w:space="0" w:color="auto"/>
              <w:left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Three case studies are published based the lessons learned related to improved national financing for CBD, CCD, and FCCC implementation through the EFR in Moldova</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RDefault="00D168F5" w:rsidP="00F51631">
            <w:pPr>
              <w:widowControl w:val="0"/>
              <w:numPr>
                <w:ilvl w:val="0"/>
                <w:numId w:val="10"/>
              </w:numPr>
              <w:spacing w:after="0" w:line="240" w:lineRule="auto"/>
              <w:rPr>
                <w:sz w:val="16"/>
                <w:szCs w:val="16"/>
              </w:rPr>
            </w:pPr>
            <w:r w:rsidRPr="004B36F1">
              <w:rPr>
                <w:sz w:val="16"/>
                <w:szCs w:val="16"/>
              </w:rPr>
              <w:t>Capacity Scorecard applied at project inception and as part of the mid-term and final evaluations</w:t>
            </w:r>
          </w:p>
          <w:p w:rsidR="00D168F5" w:rsidRPr="004B36F1" w:rsidRDefault="00D168F5" w:rsidP="00AE5B30">
            <w:pPr>
              <w:widowControl w:val="0"/>
              <w:spacing w:after="0"/>
              <w:rPr>
                <w:sz w:val="16"/>
                <w:szCs w:val="16"/>
              </w:rPr>
            </w:pP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sz w:val="16"/>
                <w:szCs w:val="16"/>
              </w:rPr>
              <w:t xml:space="preserve">Recommendations for legislative texts and technical guidelines </w:t>
            </w:r>
            <w:r w:rsidRPr="004B36F1">
              <w:rPr>
                <w:bCs/>
                <w:sz w:val="16"/>
                <w:szCs w:val="16"/>
              </w:rPr>
              <w:t>elaborated and submitted for political debate and adoption</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sz w:val="16"/>
                <w:szCs w:val="16"/>
              </w:rPr>
            </w:pPr>
            <w:r w:rsidRPr="004B36F1">
              <w:rPr>
                <w:bCs/>
                <w:sz w:val="16"/>
                <w:szCs w:val="16"/>
              </w:rPr>
              <w:t>Comparative analysis of past MTEF with new and improved MTEF prepared by end of the project</w:t>
            </w:r>
            <w:r w:rsidRPr="004B36F1">
              <w:rPr>
                <w:sz w:val="16"/>
                <w:szCs w:val="16"/>
              </w:rPr>
              <w:t xml:space="preserve"> </w:t>
            </w:r>
          </w:p>
        </w:tc>
        <w:tc>
          <w:tcPr>
            <w:tcW w:w="1036" w:type="pct"/>
            <w:tcBorders>
              <w:top w:val="single" w:sz="6" w:space="0" w:color="auto"/>
              <w:left w:val="single" w:sz="6" w:space="0" w:color="auto"/>
              <w:right w:val="double" w:sz="4"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Political and economic stability</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Concerned stakeholders adopt and enforce EFR recommendations as part of the Environment Law and Tax Code</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Eco-technology investments are viable in Moldova</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proofErr w:type="spellStart"/>
            <w:r w:rsidRPr="004B36F1">
              <w:rPr>
                <w:bCs/>
                <w:sz w:val="16"/>
                <w:szCs w:val="16"/>
              </w:rPr>
              <w:t>MoE</w:t>
            </w:r>
            <w:proofErr w:type="spellEnd"/>
            <w:r w:rsidRPr="004B36F1">
              <w:rPr>
                <w:bCs/>
                <w:sz w:val="16"/>
                <w:szCs w:val="16"/>
              </w:rPr>
              <w:t xml:space="preserve"> engage in NEF/LEFs restructuring </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proofErr w:type="spellStart"/>
            <w:r w:rsidRPr="004B36F1">
              <w:rPr>
                <w:bCs/>
                <w:sz w:val="16"/>
                <w:szCs w:val="16"/>
              </w:rPr>
              <w:t>MoE</w:t>
            </w:r>
            <w:proofErr w:type="spellEnd"/>
            <w:r w:rsidRPr="004B36F1">
              <w:rPr>
                <w:bCs/>
                <w:sz w:val="16"/>
                <w:szCs w:val="16"/>
              </w:rPr>
              <w:t xml:space="preserve"> engage in eco-</w:t>
            </w:r>
            <w:r w:rsidRPr="004B36F1" w:rsidDel="00D01490">
              <w:rPr>
                <w:bCs/>
                <w:sz w:val="16"/>
                <w:szCs w:val="16"/>
              </w:rPr>
              <w:t xml:space="preserve"> </w:t>
            </w:r>
            <w:r w:rsidRPr="004B36F1">
              <w:rPr>
                <w:bCs/>
                <w:sz w:val="16"/>
                <w:szCs w:val="16"/>
              </w:rPr>
              <w:t xml:space="preserve">charges reform </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tc>
      </w:tr>
      <w:tr w:rsidR="00D168F5" w:rsidRPr="007F26C6" w:rsidTr="00C71584">
        <w:trPr>
          <w:trHeight w:val="460"/>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rsidR="00D168F5" w:rsidRPr="004B36F1" w:rsidRDefault="00D168F5" w:rsidP="00AE5B30">
            <w:pPr>
              <w:widowControl w:val="0"/>
              <w:tabs>
                <w:tab w:val="num" w:pos="425"/>
                <w:tab w:val="left" w:pos="1416"/>
                <w:tab w:val="left" w:pos="2124"/>
                <w:tab w:val="left" w:pos="2832"/>
                <w:tab w:val="left" w:pos="3540"/>
              </w:tabs>
              <w:spacing w:after="0"/>
              <w:rPr>
                <w:b/>
                <w:iCs/>
                <w:sz w:val="16"/>
                <w:szCs w:val="16"/>
                <w:u w:val="single"/>
              </w:rPr>
            </w:pPr>
            <w:r w:rsidRPr="004B36F1">
              <w:rPr>
                <w:b/>
                <w:iCs/>
                <w:sz w:val="16"/>
                <w:szCs w:val="16"/>
                <w:u w:val="single"/>
              </w:rPr>
              <w:t>Component 1:</w:t>
            </w:r>
            <w:r w:rsidRPr="004B36F1">
              <w:rPr>
                <w:b/>
                <w:sz w:val="16"/>
                <w:szCs w:val="16"/>
                <w:u w:val="single"/>
              </w:rPr>
              <w:t xml:space="preserve">  Reform of environmentally harmful subsidies, green subsidies as well as environmental charges</w:t>
            </w:r>
          </w:p>
        </w:tc>
      </w:tr>
      <w:tr w:rsidR="00D168F5" w:rsidRPr="007F26C6" w:rsidTr="00C71584">
        <w:trPr>
          <w:trHeight w:val="1545"/>
        </w:trPr>
        <w:tc>
          <w:tcPr>
            <w:tcW w:w="1292" w:type="pct"/>
            <w:tcBorders>
              <w:top w:val="single" w:sz="6" w:space="0" w:color="auto"/>
              <w:left w:val="double" w:sz="4" w:space="0" w:color="auto"/>
              <w:bottom w:val="single" w:sz="6" w:space="0" w:color="auto"/>
              <w:right w:val="single" w:sz="6" w:space="0" w:color="auto"/>
            </w:tcBorders>
            <w:shd w:val="clear" w:color="auto" w:fill="auto"/>
          </w:tcPr>
          <w:p w:rsidR="00D168F5" w:rsidRPr="004B36F1" w:rsidRDefault="00D168F5" w:rsidP="00AE5B30">
            <w:pPr>
              <w:rPr>
                <w:sz w:val="16"/>
                <w:szCs w:val="16"/>
              </w:rPr>
            </w:pPr>
            <w:r w:rsidRPr="004B36F1">
              <w:rPr>
                <w:sz w:val="16"/>
                <w:szCs w:val="16"/>
                <w:u w:val="single"/>
              </w:rPr>
              <w:t>Sub-component 1.1:</w:t>
            </w:r>
            <w:r w:rsidRPr="004B36F1">
              <w:rPr>
                <w:sz w:val="16"/>
                <w:szCs w:val="16"/>
              </w:rPr>
              <w:t xml:space="preserve"> Introduce policy reform in the area of environmentally harmful subsidies</w:t>
            </w:r>
          </w:p>
          <w:p w:rsidR="00D168F5" w:rsidRPr="004B36F1" w:rsidRDefault="00D168F5" w:rsidP="00AE5B30">
            <w:pPr>
              <w:rPr>
                <w:bCs/>
                <w:sz w:val="16"/>
                <w:szCs w:val="16"/>
              </w:rPr>
            </w:pPr>
          </w:p>
          <w:p w:rsidR="00D168F5" w:rsidRPr="004B36F1" w:rsidRDefault="00D168F5" w:rsidP="00AE5B30">
            <w:pPr>
              <w:rPr>
                <w:bCs/>
                <w:sz w:val="16"/>
                <w:szCs w:val="16"/>
              </w:rPr>
            </w:pPr>
          </w:p>
        </w:tc>
        <w:tc>
          <w:tcPr>
            <w:tcW w:w="1492" w:type="pct"/>
            <w:tcBorders>
              <w:top w:val="single" w:sz="6" w:space="0" w:color="auto"/>
              <w:left w:val="single" w:sz="6" w:space="0" w:color="auto"/>
              <w:bottom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sz w:val="16"/>
                <w:szCs w:val="16"/>
              </w:rPr>
            </w:pPr>
            <w:r w:rsidRPr="004B36F1">
              <w:rPr>
                <w:bCs/>
                <w:sz w:val="16"/>
                <w:szCs w:val="16"/>
              </w:rPr>
              <w:t xml:space="preserve">Feasibility of reform proposals to energy pricing and subsidies and </w:t>
            </w:r>
            <w:r w:rsidRPr="004B36F1">
              <w:rPr>
                <w:sz w:val="16"/>
                <w:szCs w:val="16"/>
              </w:rPr>
              <w:t>adoption of  appropriate legal amendments and implementation measures is confirmed</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Feasibility of  reform proposals to agricultural subsidies and </w:t>
            </w:r>
            <w:r w:rsidRPr="004B36F1">
              <w:rPr>
                <w:sz w:val="16"/>
                <w:szCs w:val="16"/>
              </w:rPr>
              <w:t>adoption of appropriate  legal amendments and implementation measures is confirmed</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tc>
        <w:tc>
          <w:tcPr>
            <w:tcW w:w="1181" w:type="pct"/>
            <w:tcBorders>
              <w:top w:val="single" w:sz="6" w:space="0" w:color="auto"/>
              <w:left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Level of VAT rates, excise tax rates and import duties on energy products (and other possible pricing factors) after reform implementation</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sz w:val="16"/>
                <w:szCs w:val="16"/>
              </w:rPr>
            </w:pPr>
            <w:r w:rsidRPr="004B36F1">
              <w:rPr>
                <w:bCs/>
                <w:sz w:val="16"/>
                <w:szCs w:val="16"/>
              </w:rPr>
              <w:t xml:space="preserve">Identification of options for greening and reforming current agricultural subsidies, focusing on the development of new markets </w:t>
            </w:r>
          </w:p>
        </w:tc>
        <w:tc>
          <w:tcPr>
            <w:tcW w:w="1036" w:type="pct"/>
            <w:vMerge w:val="restart"/>
            <w:tcBorders>
              <w:top w:val="single" w:sz="6" w:space="0" w:color="auto"/>
              <w:left w:val="single" w:sz="6" w:space="0" w:color="auto"/>
              <w:right w:val="double" w:sz="4"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Readiness and willingness of concerned ministries (especially ministers responsible for environment, agriculture and energy) and subordinated institutions to implement good international practice</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Proposed EFR instruments and reform can effectively be based </w:t>
            </w:r>
            <w:r w:rsidRPr="004B36F1">
              <w:rPr>
                <w:bCs/>
                <w:sz w:val="16"/>
                <w:szCs w:val="16"/>
              </w:rPr>
              <w:lastRenderedPageBreak/>
              <w:t xml:space="preserve">on national policies and linked to relevant EU environmental policy (for example, there is no comprehensive environmental policy at the moment that could, among others, outline steps towards EU approximation) </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p w:rsidR="00D168F5" w:rsidRPr="004B36F1" w:rsidDel="008B005C"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tc>
      </w:tr>
      <w:tr w:rsidR="00D168F5" w:rsidRPr="007F26C6" w:rsidTr="00C71584">
        <w:trPr>
          <w:trHeight w:val="1175"/>
        </w:trPr>
        <w:tc>
          <w:tcPr>
            <w:tcW w:w="1292" w:type="pct"/>
            <w:tcBorders>
              <w:top w:val="single" w:sz="6" w:space="0" w:color="auto"/>
              <w:left w:val="double" w:sz="4" w:space="0" w:color="auto"/>
              <w:bottom w:val="single" w:sz="6" w:space="0" w:color="auto"/>
              <w:right w:val="single" w:sz="6" w:space="0" w:color="auto"/>
            </w:tcBorders>
            <w:shd w:val="clear" w:color="auto" w:fill="auto"/>
          </w:tcPr>
          <w:p w:rsidR="00D168F5" w:rsidRPr="004B36F1" w:rsidRDefault="00D168F5" w:rsidP="00AE5B30">
            <w:pPr>
              <w:rPr>
                <w:sz w:val="16"/>
                <w:szCs w:val="16"/>
              </w:rPr>
            </w:pPr>
            <w:r w:rsidRPr="004B36F1">
              <w:rPr>
                <w:sz w:val="16"/>
                <w:szCs w:val="16"/>
                <w:u w:val="single"/>
              </w:rPr>
              <w:lastRenderedPageBreak/>
              <w:t>Sub-Component 1.2:</w:t>
            </w:r>
            <w:r w:rsidRPr="004B36F1">
              <w:rPr>
                <w:sz w:val="16"/>
                <w:szCs w:val="16"/>
              </w:rPr>
              <w:t xml:space="preserve"> Reform of environmental charges and facilitation of eco-technology investments</w:t>
            </w:r>
          </w:p>
        </w:tc>
        <w:tc>
          <w:tcPr>
            <w:tcW w:w="1492" w:type="pct"/>
            <w:tcBorders>
              <w:top w:val="single" w:sz="6" w:space="0" w:color="auto"/>
              <w:left w:val="single" w:sz="6" w:space="0" w:color="auto"/>
              <w:bottom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Feasibility of reform proposals for several environmental charges currently in force </w:t>
            </w:r>
            <w:r w:rsidRPr="004B36F1">
              <w:rPr>
                <w:sz w:val="16"/>
                <w:szCs w:val="16"/>
              </w:rPr>
              <w:t>is confirmed</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Number of identified eco-technologies that have true potential to be mainstreamed in Moldova</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Readiness of eco-technology investment scheme for implementation </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r w:rsidRPr="004B36F1">
              <w:rPr>
                <w:sz w:val="16"/>
                <w:szCs w:val="16"/>
              </w:rPr>
              <w:t xml:space="preserve"> </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tc>
        <w:tc>
          <w:tcPr>
            <w:tcW w:w="1181" w:type="pct"/>
            <w:tcBorders>
              <w:left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Identification of policy and legal options for environmental charges including considering environmental, economic and fiscal effects</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Market analysis of current (financing) markets for several groups and  types of eco-technology solutions that could be mainstreamed in Moldova</w:t>
            </w:r>
          </w:p>
        </w:tc>
        <w:tc>
          <w:tcPr>
            <w:tcW w:w="1036" w:type="pct"/>
            <w:vMerge/>
            <w:tcBorders>
              <w:left w:val="single" w:sz="6" w:space="0" w:color="auto"/>
              <w:right w:val="double" w:sz="4" w:space="0" w:color="auto"/>
            </w:tcBorders>
            <w:shd w:val="clear" w:color="auto" w:fill="auto"/>
          </w:tcPr>
          <w:p w:rsidR="00D168F5" w:rsidRPr="004B36F1" w:rsidRDefault="00D168F5" w:rsidP="00AE5B30">
            <w:pPr>
              <w:widowControl w:val="0"/>
              <w:spacing w:after="0"/>
              <w:ind w:left="360"/>
              <w:rPr>
                <w:bCs/>
                <w:sz w:val="16"/>
                <w:szCs w:val="16"/>
              </w:rPr>
            </w:pPr>
          </w:p>
        </w:tc>
      </w:tr>
      <w:tr w:rsidR="00D168F5" w:rsidRPr="007F26C6" w:rsidTr="00C71584">
        <w:trPr>
          <w:trHeight w:val="1175"/>
        </w:trPr>
        <w:tc>
          <w:tcPr>
            <w:tcW w:w="1292" w:type="pct"/>
            <w:tcBorders>
              <w:top w:val="single" w:sz="6" w:space="0" w:color="auto"/>
              <w:left w:val="double" w:sz="4" w:space="0" w:color="auto"/>
              <w:bottom w:val="single" w:sz="6" w:space="0" w:color="auto"/>
              <w:right w:val="single" w:sz="6" w:space="0" w:color="auto"/>
            </w:tcBorders>
            <w:shd w:val="clear" w:color="auto" w:fill="auto"/>
          </w:tcPr>
          <w:p w:rsidR="00D168F5" w:rsidRPr="004B36F1" w:rsidRDefault="00D168F5" w:rsidP="00AE5B30">
            <w:pPr>
              <w:rPr>
                <w:bCs/>
                <w:sz w:val="16"/>
                <w:szCs w:val="16"/>
              </w:rPr>
            </w:pPr>
            <w:r w:rsidRPr="004B36F1">
              <w:rPr>
                <w:bCs/>
                <w:sz w:val="16"/>
                <w:szCs w:val="16"/>
                <w:u w:val="single"/>
              </w:rPr>
              <w:lastRenderedPageBreak/>
              <w:t>Sub-Component 1.3:</w:t>
            </w:r>
            <w:r w:rsidRPr="004B36F1">
              <w:rPr>
                <w:bCs/>
                <w:sz w:val="16"/>
                <w:szCs w:val="16"/>
              </w:rPr>
              <w:t xml:space="preserve"> Improved regulations and operational management of the National and Local Ecological Funds (NEF/LEFs)</w:t>
            </w:r>
          </w:p>
          <w:p w:rsidR="00D168F5" w:rsidRPr="004B36F1" w:rsidRDefault="00D168F5" w:rsidP="00AE5B30">
            <w:pPr>
              <w:rPr>
                <w:sz w:val="16"/>
                <w:szCs w:val="16"/>
              </w:rPr>
            </w:pPr>
          </w:p>
          <w:p w:rsidR="00D168F5" w:rsidRPr="004B36F1" w:rsidRDefault="00D168F5" w:rsidP="00AE5B30">
            <w:pPr>
              <w:rPr>
                <w:sz w:val="16"/>
                <w:szCs w:val="16"/>
                <w:u w:val="single"/>
              </w:rPr>
            </w:pPr>
          </w:p>
        </w:tc>
        <w:tc>
          <w:tcPr>
            <w:tcW w:w="1492" w:type="pct"/>
            <w:tcBorders>
              <w:top w:val="single" w:sz="6" w:space="0" w:color="auto"/>
              <w:left w:val="single" w:sz="6" w:space="0" w:color="auto"/>
              <w:bottom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Implementation of good international practice in managing public environment expenditure </w:t>
            </w:r>
            <w:proofErr w:type="spellStart"/>
            <w:r w:rsidRPr="004B36F1">
              <w:rPr>
                <w:bCs/>
                <w:sz w:val="16"/>
                <w:szCs w:val="16"/>
              </w:rPr>
              <w:t>programmes</w:t>
            </w:r>
            <w:proofErr w:type="spellEnd"/>
            <w:r w:rsidRPr="004B36F1">
              <w:rPr>
                <w:bCs/>
                <w:sz w:val="16"/>
                <w:szCs w:val="16"/>
              </w:rPr>
              <w:t xml:space="preserve"> applied to NEF/LEF management, especially the areas governance, spending strategies, project cycle management, procurement and reporting/promotion</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tc>
        <w:tc>
          <w:tcPr>
            <w:tcW w:w="1181" w:type="pct"/>
            <w:tcBorders>
              <w:left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Procedures for project cycle management (PCM) for 2-3 main spending areas;</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Procurement procedures in line with relevant domestic and EU procurement legislation/practice</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Short and long-term spending strategy of NEF/LEFs</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Revised statutes of the NEF/LEFs</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Website of NEF/LEFs</w:t>
            </w:r>
          </w:p>
        </w:tc>
        <w:tc>
          <w:tcPr>
            <w:tcW w:w="1036" w:type="pct"/>
            <w:vMerge/>
            <w:tcBorders>
              <w:left w:val="single" w:sz="6" w:space="0" w:color="auto"/>
              <w:right w:val="double" w:sz="4" w:space="0" w:color="auto"/>
            </w:tcBorders>
            <w:shd w:val="clear" w:color="auto" w:fill="auto"/>
          </w:tcPr>
          <w:p w:rsidR="00D168F5" w:rsidRPr="004B36F1" w:rsidRDefault="00D168F5" w:rsidP="00AE5B30">
            <w:pPr>
              <w:widowControl w:val="0"/>
              <w:spacing w:after="0"/>
              <w:ind w:left="360"/>
              <w:rPr>
                <w:bCs/>
                <w:sz w:val="16"/>
                <w:szCs w:val="16"/>
              </w:rPr>
            </w:pPr>
          </w:p>
        </w:tc>
      </w:tr>
      <w:tr w:rsidR="00D168F5" w:rsidRPr="007F26C6" w:rsidTr="00C71584">
        <w:trPr>
          <w:trHeight w:val="342"/>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
                <w:iCs/>
                <w:sz w:val="16"/>
                <w:szCs w:val="16"/>
                <w:u w:val="single"/>
              </w:rPr>
            </w:pPr>
            <w:bookmarkStart w:id="59" w:name="_Toc299122845"/>
            <w:bookmarkStart w:id="60" w:name="_Toc299122867"/>
            <w:bookmarkStart w:id="61" w:name="_Toc299126631"/>
            <w:r w:rsidRPr="004B36F1">
              <w:rPr>
                <w:b/>
                <w:iCs/>
                <w:sz w:val="16"/>
                <w:szCs w:val="16"/>
                <w:u w:val="single"/>
              </w:rPr>
              <w:t>Component 3:</w:t>
            </w:r>
            <w:r w:rsidRPr="004B36F1">
              <w:rPr>
                <w:b/>
                <w:sz w:val="16"/>
                <w:szCs w:val="16"/>
                <w:u w:val="single"/>
              </w:rPr>
              <w:t xml:space="preserve">  Integration of EFR in local and central planning processes</w:t>
            </w:r>
          </w:p>
        </w:tc>
      </w:tr>
      <w:tr w:rsidR="00D168F5" w:rsidRPr="007F26C6" w:rsidTr="00C71584">
        <w:trPr>
          <w:trHeight w:val="1175"/>
        </w:trPr>
        <w:tc>
          <w:tcPr>
            <w:tcW w:w="1292" w:type="pct"/>
            <w:tcBorders>
              <w:top w:val="single" w:sz="6" w:space="0" w:color="auto"/>
              <w:left w:val="double" w:sz="4" w:space="0" w:color="auto"/>
              <w:bottom w:val="single" w:sz="6" w:space="0" w:color="auto"/>
              <w:right w:val="single" w:sz="6" w:space="0" w:color="auto"/>
            </w:tcBorders>
            <w:shd w:val="clear" w:color="auto" w:fill="auto"/>
          </w:tcPr>
          <w:p w:rsidR="00D168F5" w:rsidRPr="004B36F1" w:rsidRDefault="00D168F5" w:rsidP="00AE5B30">
            <w:pPr>
              <w:rPr>
                <w:sz w:val="16"/>
                <w:szCs w:val="16"/>
              </w:rPr>
            </w:pPr>
            <w:r w:rsidRPr="004B36F1">
              <w:rPr>
                <w:sz w:val="16"/>
                <w:szCs w:val="16"/>
                <w:u w:val="single"/>
              </w:rPr>
              <w:t>Sub-Component 3.1:</w:t>
            </w:r>
            <w:r w:rsidRPr="004B36F1">
              <w:rPr>
                <w:sz w:val="16"/>
                <w:szCs w:val="16"/>
              </w:rPr>
              <w:t xml:space="preserve"> EFR instruments integrated in the decentralization process</w:t>
            </w:r>
          </w:p>
          <w:p w:rsidR="00D168F5" w:rsidRPr="004B36F1" w:rsidRDefault="00D168F5" w:rsidP="00AE5B30">
            <w:pPr>
              <w:rPr>
                <w:b/>
                <w:sz w:val="16"/>
                <w:szCs w:val="16"/>
              </w:rPr>
            </w:pPr>
          </w:p>
          <w:p w:rsidR="00D168F5" w:rsidRPr="004B36F1" w:rsidRDefault="00D168F5" w:rsidP="00AE5B30">
            <w:pPr>
              <w:rPr>
                <w:sz w:val="16"/>
                <w:szCs w:val="16"/>
                <w:u w:val="single"/>
              </w:rPr>
            </w:pPr>
          </w:p>
        </w:tc>
        <w:tc>
          <w:tcPr>
            <w:tcW w:w="1492" w:type="pct"/>
            <w:tcBorders>
              <w:top w:val="single" w:sz="6" w:space="0" w:color="auto"/>
              <w:left w:val="single" w:sz="6" w:space="0" w:color="auto"/>
              <w:bottom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A common coordination work plan with the Joint Integrated Local Development Programme (JILDP) developed</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Regular meetings of the Sub-group under the working group Financial Decentralization were held</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Identification of environmental management priorities within the Local Development Strategies took place</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Greening JILDP’s Performance Based Budgeting system to address local environmental priorities</w:t>
            </w:r>
          </w:p>
        </w:tc>
        <w:tc>
          <w:tcPr>
            <w:tcW w:w="1181" w:type="pct"/>
            <w:vMerge w:val="restart"/>
            <w:tcBorders>
              <w:top w:val="single" w:sz="6" w:space="0" w:color="auto"/>
              <w:left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Yearly joint work plan between the UNDP/GEF EFR project and JILDP</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Minutes f meeting of Sub-group under the working group Financial Decentralization</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Assessment of environmental management priorities within the Local Development Strategies </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Identification of fiscal reform for local environmental taxes that can be integrated in the PBB system</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proofErr w:type="spellStart"/>
            <w:r w:rsidRPr="004B36F1">
              <w:rPr>
                <w:bCs/>
                <w:sz w:val="16"/>
                <w:szCs w:val="16"/>
              </w:rPr>
              <w:t>MoE</w:t>
            </w:r>
            <w:proofErr w:type="spellEnd"/>
            <w:r w:rsidRPr="004B36F1">
              <w:rPr>
                <w:bCs/>
                <w:sz w:val="16"/>
                <w:szCs w:val="16"/>
              </w:rPr>
              <w:t xml:space="preserve"> reports confirming  stabilized or increased budget allocations and spending on national and global environmental priorities</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Costing study and financing strategy to implement Rio Conventions</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Comparative analysis of pre-existing MTEF with MTEF that is strengthened under the project to meet Rio Convention targets</w:t>
            </w:r>
          </w:p>
          <w:p w:rsidR="00D168F5" w:rsidRPr="004B36F1"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sz w:val="16"/>
                <w:szCs w:val="16"/>
              </w:rPr>
            </w:pPr>
          </w:p>
        </w:tc>
        <w:tc>
          <w:tcPr>
            <w:tcW w:w="1036" w:type="pct"/>
            <w:vMerge w:val="restart"/>
            <w:tcBorders>
              <w:top w:val="single" w:sz="6" w:space="0" w:color="auto"/>
              <w:left w:val="single" w:sz="6" w:space="0" w:color="auto"/>
              <w:right w:val="double" w:sz="4" w:space="0" w:color="auto"/>
            </w:tcBorders>
            <w:shd w:val="clear" w:color="auto" w:fill="auto"/>
          </w:tcPr>
          <w:p w:rsidR="00D168F5" w:rsidRPr="004B36F1" w:rsidRDefault="00D168F5" w:rsidP="00F51631">
            <w:pPr>
              <w:widowControl w:val="0"/>
              <w:numPr>
                <w:ilvl w:val="0"/>
                <w:numId w:val="10"/>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Cooperation with the Joint Integrated Local Development Programme (JILDP) is supported by the </w:t>
            </w:r>
            <w:r w:rsidRPr="004B36F1">
              <w:rPr>
                <w:sz w:val="16"/>
                <w:szCs w:val="16"/>
              </w:rPr>
              <w:t>State Chancellery</w:t>
            </w:r>
            <w:r w:rsidRPr="004B36F1">
              <w:rPr>
                <w:bCs/>
                <w:sz w:val="16"/>
                <w:szCs w:val="16"/>
              </w:rPr>
              <w:t xml:space="preserve"> and </w:t>
            </w:r>
            <w:proofErr w:type="spellStart"/>
            <w:r w:rsidRPr="004B36F1">
              <w:rPr>
                <w:bCs/>
                <w:sz w:val="16"/>
                <w:szCs w:val="16"/>
              </w:rPr>
              <w:t>MoE</w:t>
            </w:r>
            <w:proofErr w:type="spellEnd"/>
          </w:p>
          <w:p w:rsidR="00D168F5" w:rsidRPr="004B36F1" w:rsidRDefault="00D168F5" w:rsidP="00F51631">
            <w:pPr>
              <w:widowControl w:val="0"/>
              <w:numPr>
                <w:ilvl w:val="0"/>
                <w:numId w:val="10"/>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Pilot LPAs within the  JILDP accept to engage in the identification of policy and legal options for collection and distribution of taxes at decentralized level for environmental management </w:t>
            </w:r>
          </w:p>
          <w:p w:rsidR="00D168F5" w:rsidRPr="004B36F1" w:rsidRDefault="00D168F5" w:rsidP="00F51631">
            <w:pPr>
              <w:widowControl w:val="0"/>
              <w:numPr>
                <w:ilvl w:val="0"/>
                <w:numId w:val="10"/>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Effective and efficient cooperation between Ministry of Finance and Ministry of Environment as well as other relevant line ministries can be established</w:t>
            </w:r>
          </w:p>
          <w:p w:rsidR="00D168F5" w:rsidRPr="004B36F1" w:rsidDel="008B005C" w:rsidRDefault="00D168F5" w:rsidP="00F51631">
            <w:pPr>
              <w:widowControl w:val="0"/>
              <w:numPr>
                <w:ilvl w:val="0"/>
                <w:numId w:val="10"/>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The is a sufficiency of human resources within the various government agencies that can absorb the green budgeting and planning training provided, and translate these into high </w:t>
            </w:r>
            <w:proofErr w:type="spellStart"/>
            <w:r w:rsidRPr="004B36F1">
              <w:rPr>
                <w:bCs/>
                <w:sz w:val="16"/>
                <w:szCs w:val="16"/>
              </w:rPr>
              <w:t>calibre</w:t>
            </w:r>
            <w:proofErr w:type="spellEnd"/>
            <w:r w:rsidRPr="004B36F1">
              <w:rPr>
                <w:bCs/>
                <w:sz w:val="16"/>
                <w:szCs w:val="16"/>
              </w:rPr>
              <w:t xml:space="preserve"> financial strategies and plans.</w:t>
            </w:r>
          </w:p>
        </w:tc>
      </w:tr>
      <w:tr w:rsidR="00D168F5" w:rsidRPr="002C5538" w:rsidTr="00C71584">
        <w:trPr>
          <w:trHeight w:val="1175"/>
        </w:trPr>
        <w:tc>
          <w:tcPr>
            <w:tcW w:w="1292" w:type="pct"/>
            <w:tcBorders>
              <w:top w:val="single" w:sz="6" w:space="0" w:color="auto"/>
              <w:left w:val="double" w:sz="4" w:space="0" w:color="auto"/>
              <w:bottom w:val="single" w:sz="6" w:space="0" w:color="auto"/>
              <w:right w:val="single" w:sz="6" w:space="0" w:color="auto"/>
            </w:tcBorders>
            <w:shd w:val="clear" w:color="auto" w:fill="auto"/>
          </w:tcPr>
          <w:p w:rsidR="00D168F5" w:rsidRPr="004B36F1" w:rsidRDefault="00D168F5" w:rsidP="00AE5B30">
            <w:pPr>
              <w:rPr>
                <w:sz w:val="16"/>
                <w:szCs w:val="16"/>
              </w:rPr>
            </w:pPr>
            <w:r w:rsidRPr="004B36F1">
              <w:rPr>
                <w:sz w:val="16"/>
                <w:szCs w:val="16"/>
                <w:u w:val="single"/>
              </w:rPr>
              <w:t xml:space="preserve">Sub-Component 3.2: </w:t>
            </w:r>
            <w:r w:rsidRPr="004B36F1">
              <w:rPr>
                <w:sz w:val="16"/>
                <w:szCs w:val="16"/>
              </w:rPr>
              <w:t xml:space="preserve">EFR instruments integrated into governmental budgeting and MTEF processes </w:t>
            </w:r>
          </w:p>
        </w:tc>
        <w:tc>
          <w:tcPr>
            <w:tcW w:w="1492" w:type="pct"/>
            <w:tcBorders>
              <w:top w:val="single" w:sz="6" w:space="0" w:color="auto"/>
              <w:left w:val="single" w:sz="6" w:space="0" w:color="auto"/>
              <w:bottom w:val="single" w:sz="6" w:space="0" w:color="auto"/>
              <w:right w:val="single" w:sz="6" w:space="0" w:color="auto"/>
            </w:tcBorders>
            <w:shd w:val="clear" w:color="auto" w:fill="auto"/>
          </w:tcPr>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B</w:t>
            </w:r>
            <w:r w:rsidRPr="004B36F1">
              <w:rPr>
                <w:sz w:val="16"/>
                <w:szCs w:val="16"/>
              </w:rPr>
              <w:t>udget and MTEF planning is effectively greened in line with good international practice</w:t>
            </w:r>
          </w:p>
          <w:p w:rsidR="00D168F5" w:rsidRPr="004B36F1" w:rsidRDefault="00D168F5" w:rsidP="00F51631">
            <w:pPr>
              <w:widowControl w:val="0"/>
              <w:numPr>
                <w:ilvl w:val="0"/>
                <w:numId w:val="9"/>
              </w:numPr>
              <w:tabs>
                <w:tab w:val="left" w:pos="0"/>
                <w:tab w:val="left" w:pos="708"/>
                <w:tab w:val="left" w:pos="1416"/>
                <w:tab w:val="left" w:pos="2124"/>
                <w:tab w:val="left" w:pos="2832"/>
                <w:tab w:val="left" w:pos="3540"/>
              </w:tabs>
              <w:autoSpaceDE w:val="0"/>
              <w:autoSpaceDN w:val="0"/>
              <w:adjustRightInd w:val="0"/>
              <w:spacing w:after="0" w:line="240" w:lineRule="auto"/>
              <w:rPr>
                <w:bCs/>
                <w:sz w:val="16"/>
                <w:szCs w:val="16"/>
              </w:rPr>
            </w:pPr>
            <w:r w:rsidRPr="004B36F1">
              <w:rPr>
                <w:bCs/>
                <w:sz w:val="16"/>
                <w:szCs w:val="16"/>
              </w:rPr>
              <w:t xml:space="preserve">Increased and improved budget allocations and investment finance for biodiversity conservation, addressing climate change, and activities to combat land degradation (all per Rio Convention targets) </w:t>
            </w:r>
          </w:p>
        </w:tc>
        <w:tc>
          <w:tcPr>
            <w:tcW w:w="1181" w:type="pct"/>
            <w:vMerge/>
            <w:tcBorders>
              <w:left w:val="single" w:sz="6" w:space="0" w:color="auto"/>
              <w:right w:val="single" w:sz="6" w:space="0" w:color="auto"/>
            </w:tcBorders>
            <w:shd w:val="clear" w:color="auto" w:fill="auto"/>
          </w:tcPr>
          <w:p w:rsidR="00D168F5" w:rsidRPr="002C5538" w:rsidRDefault="00D168F5" w:rsidP="00F51631">
            <w:pPr>
              <w:widowControl w:val="0"/>
              <w:numPr>
                <w:ilvl w:val="0"/>
                <w:numId w:val="11"/>
              </w:numPr>
              <w:tabs>
                <w:tab w:val="left" w:pos="0"/>
                <w:tab w:val="left" w:pos="708"/>
                <w:tab w:val="left" w:pos="1416"/>
                <w:tab w:val="left" w:pos="2124"/>
                <w:tab w:val="left" w:pos="2832"/>
                <w:tab w:val="left" w:pos="3540"/>
              </w:tabs>
              <w:autoSpaceDE w:val="0"/>
              <w:autoSpaceDN w:val="0"/>
              <w:adjustRightInd w:val="0"/>
              <w:spacing w:after="0" w:line="240" w:lineRule="auto"/>
              <w:rPr>
                <w:bCs/>
              </w:rPr>
            </w:pPr>
          </w:p>
        </w:tc>
        <w:tc>
          <w:tcPr>
            <w:tcW w:w="1036" w:type="pct"/>
            <w:vMerge/>
            <w:tcBorders>
              <w:left w:val="single" w:sz="6" w:space="0" w:color="auto"/>
              <w:right w:val="double" w:sz="4" w:space="0" w:color="auto"/>
            </w:tcBorders>
            <w:shd w:val="clear" w:color="auto" w:fill="auto"/>
          </w:tcPr>
          <w:p w:rsidR="00D168F5" w:rsidRPr="002C5538" w:rsidRDefault="00D168F5" w:rsidP="00AE5B30">
            <w:pPr>
              <w:widowControl w:val="0"/>
              <w:tabs>
                <w:tab w:val="left" w:pos="0"/>
                <w:tab w:val="left" w:pos="708"/>
                <w:tab w:val="left" w:pos="1416"/>
                <w:tab w:val="left" w:pos="2124"/>
                <w:tab w:val="left" w:pos="2832"/>
                <w:tab w:val="left" w:pos="3540"/>
              </w:tabs>
              <w:autoSpaceDE w:val="0"/>
              <w:autoSpaceDN w:val="0"/>
              <w:adjustRightInd w:val="0"/>
              <w:spacing w:after="0"/>
              <w:rPr>
                <w:bCs/>
              </w:rPr>
            </w:pPr>
          </w:p>
        </w:tc>
      </w:tr>
    </w:tbl>
    <w:p w:rsidR="00B701CD" w:rsidRDefault="00B701CD">
      <w:pPr>
        <w:rPr>
          <w:rFonts w:ascii="Calibri" w:eastAsia="Times New Roman" w:hAnsi="Calibri" w:cs="Times New Roman"/>
          <w:sz w:val="20"/>
          <w:szCs w:val="20"/>
        </w:rPr>
        <w:sectPr w:rsidR="00B701CD" w:rsidSect="00B701CD">
          <w:pgSz w:w="15840" w:h="12240" w:orient="landscape"/>
          <w:pgMar w:top="1440" w:right="1440" w:bottom="1325" w:left="1440" w:header="706" w:footer="706" w:gutter="0"/>
          <w:cols w:space="708"/>
          <w:docGrid w:linePitch="360"/>
        </w:sectPr>
      </w:pPr>
    </w:p>
    <w:p w:rsidR="00D6638C" w:rsidRPr="00D6638C" w:rsidRDefault="00D6638C" w:rsidP="00F05366">
      <w:pPr>
        <w:pStyle w:val="Heading31"/>
      </w:pPr>
      <w:bookmarkStart w:id="62" w:name="_TOR_Annex_B:"/>
      <w:bookmarkStart w:id="63" w:name="_Toc299133054"/>
      <w:bookmarkStart w:id="64" w:name="_Toc321341563"/>
      <w:bookmarkEnd w:id="62"/>
      <w:r w:rsidRPr="00D6638C">
        <w:lastRenderedPageBreak/>
        <w:t>Annex B: List of Documents to be reviewed by the evaluators</w:t>
      </w:r>
      <w:bookmarkEnd w:id="59"/>
      <w:bookmarkEnd w:id="60"/>
      <w:bookmarkEnd w:id="61"/>
      <w:bookmarkEnd w:id="63"/>
      <w:bookmarkEnd w:id="64"/>
    </w:p>
    <w:p w:rsidR="00D6638C" w:rsidRPr="002C78BD" w:rsidRDefault="00D6638C" w:rsidP="00D6638C">
      <w:pPr>
        <w:spacing w:before="200"/>
        <w:rPr>
          <w:rFonts w:ascii="Calibri" w:eastAsia="Times New Roman" w:hAnsi="Calibri" w:cs="Times New Roman"/>
          <w:i/>
          <w:sz w:val="20"/>
          <w:szCs w:val="20"/>
          <w:lang w:val="en-GB"/>
        </w:rPr>
      </w:pP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Project document and its annexes;</w:t>
      </w:r>
    </w:p>
    <w:p w:rsidR="00C71584"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 xml:space="preserve">Project </w:t>
      </w:r>
      <w:r w:rsidR="00C71584" w:rsidRPr="002C78BD">
        <w:rPr>
          <w:rFonts w:ascii="Calibri" w:eastAsia="Times New Roman" w:hAnsi="Calibri" w:cs="Times New Roman"/>
          <w:sz w:val="20"/>
          <w:szCs w:val="20"/>
          <w:lang w:val="en-GB"/>
        </w:rPr>
        <w:t>Annual/Quarter operational and progress reports;</w:t>
      </w: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Annual/Quarter work plans;</w:t>
      </w: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 xml:space="preserve">Project financial work plans and expenditure reports; </w:t>
      </w: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201</w:t>
      </w:r>
      <w:r w:rsidR="00C71584">
        <w:rPr>
          <w:rFonts w:ascii="Calibri" w:eastAsia="Times New Roman" w:hAnsi="Calibri" w:cs="Times New Roman"/>
          <w:sz w:val="20"/>
          <w:szCs w:val="20"/>
          <w:lang w:val="en-GB"/>
        </w:rPr>
        <w:t>3</w:t>
      </w:r>
      <w:r w:rsidRPr="002C78BD">
        <w:rPr>
          <w:rFonts w:ascii="Calibri" w:eastAsia="Times New Roman" w:hAnsi="Calibri" w:cs="Times New Roman"/>
          <w:sz w:val="20"/>
          <w:szCs w:val="20"/>
          <w:lang w:val="en-GB"/>
        </w:rPr>
        <w:t>, 201</w:t>
      </w:r>
      <w:r w:rsidR="00C71584">
        <w:rPr>
          <w:rFonts w:ascii="Calibri" w:eastAsia="Times New Roman" w:hAnsi="Calibri" w:cs="Times New Roman"/>
          <w:sz w:val="20"/>
          <w:szCs w:val="20"/>
          <w:lang w:val="en-GB"/>
        </w:rPr>
        <w:t>4</w:t>
      </w:r>
      <w:r w:rsidRPr="002C78BD">
        <w:rPr>
          <w:rFonts w:ascii="Calibri" w:eastAsia="Times New Roman" w:hAnsi="Calibri" w:cs="Times New Roman"/>
          <w:sz w:val="20"/>
          <w:szCs w:val="20"/>
          <w:lang w:val="en-GB"/>
        </w:rPr>
        <w:t xml:space="preserve"> and 201</w:t>
      </w:r>
      <w:r w:rsidR="00C71584">
        <w:rPr>
          <w:rFonts w:ascii="Calibri" w:eastAsia="Times New Roman" w:hAnsi="Calibri" w:cs="Times New Roman"/>
          <w:sz w:val="20"/>
          <w:szCs w:val="20"/>
          <w:lang w:val="en-GB"/>
        </w:rPr>
        <w:t>5</w:t>
      </w:r>
      <w:r w:rsidRPr="002C78BD">
        <w:rPr>
          <w:rFonts w:ascii="Calibri" w:eastAsia="Times New Roman" w:hAnsi="Calibri" w:cs="Times New Roman"/>
          <w:sz w:val="20"/>
          <w:szCs w:val="20"/>
          <w:lang w:val="en-GB"/>
        </w:rPr>
        <w:t xml:space="preserve"> UNDP/GEF Project Implementation Reviews (PIR); </w:t>
      </w: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Minutes of the PSC meetings;</w:t>
      </w: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Mission Reports of International Experts;</w:t>
      </w:r>
    </w:p>
    <w:p w:rsidR="008358E4" w:rsidRPr="002C78BD" w:rsidRDefault="008358E4"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Reports of International and National Experts</w:t>
      </w:r>
    </w:p>
    <w:p w:rsidR="005E5626" w:rsidRPr="002C78BD" w:rsidRDefault="005E5626"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 xml:space="preserve">Research </w:t>
      </w:r>
      <w:r>
        <w:rPr>
          <w:rFonts w:ascii="Calibri" w:eastAsia="Times New Roman" w:hAnsi="Calibri" w:cs="Times New Roman"/>
          <w:sz w:val="20"/>
          <w:szCs w:val="20"/>
          <w:lang w:val="en-GB"/>
        </w:rPr>
        <w:t>studie</w:t>
      </w:r>
      <w:r w:rsidRPr="002C78BD">
        <w:rPr>
          <w:rFonts w:ascii="Calibri" w:eastAsia="Times New Roman" w:hAnsi="Calibri" w:cs="Times New Roman"/>
          <w:sz w:val="20"/>
          <w:szCs w:val="20"/>
          <w:lang w:val="en-GB"/>
        </w:rPr>
        <w:t>s;</w:t>
      </w:r>
    </w:p>
    <w:p w:rsidR="00B701CD" w:rsidRPr="002C78BD" w:rsidRDefault="008358E4"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Media information</w:t>
      </w:r>
      <w:r w:rsidR="00B701CD" w:rsidRPr="002C78BD">
        <w:rPr>
          <w:rFonts w:ascii="Calibri" w:eastAsia="Times New Roman" w:hAnsi="Calibri" w:cs="Times New Roman"/>
          <w:sz w:val="20"/>
          <w:szCs w:val="20"/>
          <w:lang w:val="en-GB"/>
        </w:rPr>
        <w:t>;</w:t>
      </w: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 xml:space="preserve">GEF Monitoring and Evaluation Policies; </w:t>
      </w: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 xml:space="preserve">Handbook on planning, monitoring and evaluating for development results;  </w:t>
      </w:r>
    </w:p>
    <w:p w:rsidR="00B701CD" w:rsidRPr="002C78BD" w:rsidRDefault="00B701CD" w:rsidP="00F51631">
      <w:pPr>
        <w:numPr>
          <w:ilvl w:val="0"/>
          <w:numId w:val="6"/>
        </w:numPr>
        <w:spacing w:after="0" w:line="240" w:lineRule="auto"/>
        <w:jc w:val="both"/>
        <w:rPr>
          <w:rFonts w:ascii="Calibri" w:eastAsia="Times New Roman" w:hAnsi="Calibri" w:cs="Times New Roman"/>
          <w:sz w:val="20"/>
          <w:szCs w:val="20"/>
          <w:lang w:val="en-GB"/>
        </w:rPr>
      </w:pPr>
      <w:r w:rsidRPr="002C78BD">
        <w:rPr>
          <w:rFonts w:ascii="Calibri" w:eastAsia="Times New Roman" w:hAnsi="Calibri" w:cs="Times New Roman"/>
          <w:sz w:val="20"/>
          <w:szCs w:val="20"/>
          <w:lang w:val="en-GB"/>
        </w:rPr>
        <w:t>Other upon request.</w:t>
      </w:r>
    </w:p>
    <w:p w:rsidR="00B701CD" w:rsidRPr="00D6638C" w:rsidRDefault="00B701CD" w:rsidP="00D6638C">
      <w:pPr>
        <w:spacing w:before="200"/>
        <w:rPr>
          <w:rFonts w:ascii="Calibri" w:eastAsia="Times New Roman" w:hAnsi="Calibri" w:cs="Times New Roman"/>
          <w:i/>
          <w:sz w:val="20"/>
          <w:szCs w:val="20"/>
          <w:highlight w:val="lightGray"/>
          <w:lang w:val="en-GB"/>
        </w:rPr>
        <w:sectPr w:rsidR="00B701CD" w:rsidRPr="00D6638C" w:rsidSect="00224F9C">
          <w:pgSz w:w="12240" w:h="15840"/>
          <w:pgMar w:top="1440" w:right="1325" w:bottom="1440" w:left="1440" w:header="708" w:footer="708" w:gutter="0"/>
          <w:cols w:space="708"/>
          <w:docGrid w:linePitch="360"/>
        </w:sectPr>
      </w:pPr>
    </w:p>
    <w:p w:rsidR="00D6638C" w:rsidRDefault="00D6638C" w:rsidP="00F05366">
      <w:pPr>
        <w:pStyle w:val="Heading31"/>
      </w:pPr>
      <w:bookmarkStart w:id="65" w:name="_TOR_Annex_C:"/>
      <w:bookmarkStart w:id="66" w:name="_Toc321341564"/>
      <w:bookmarkStart w:id="67" w:name="_Toc299122846"/>
      <w:bookmarkStart w:id="68" w:name="_Toc299122868"/>
      <w:bookmarkStart w:id="69" w:name="_Toc299126632"/>
      <w:bookmarkEnd w:id="65"/>
      <w:r w:rsidRPr="00D6638C">
        <w:lastRenderedPageBreak/>
        <w:t xml:space="preserve">Annex C: </w:t>
      </w:r>
      <w:r w:rsidRPr="002C78BD">
        <w:t>Evaluation Questions</w:t>
      </w:r>
      <w:bookmarkEnd w:id="66"/>
    </w:p>
    <w:p w:rsidR="00E23201" w:rsidRPr="00E23201" w:rsidRDefault="00E23201" w:rsidP="00E23201"/>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523AD8">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523AD8">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523AD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523AD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Is the Project relevant to UNCBD and GEF objectives?</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523AD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Is the Project relevant to UNDP objectives?</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0B3B48" w:rsidRPr="00D6638C" w:rsidTr="00523AD8">
        <w:trPr>
          <w:gridAfter w:val="1"/>
          <w:wAfter w:w="21" w:type="dxa"/>
        </w:trPr>
        <w:tc>
          <w:tcPr>
            <w:tcW w:w="199" w:type="dxa"/>
            <w:tcBorders>
              <w:top w:val="nil"/>
              <w:left w:val="nil"/>
              <w:bottom w:val="nil"/>
              <w:right w:val="nil"/>
            </w:tcBorders>
            <w:shd w:val="pct12" w:color="auto" w:fill="FFFFFF"/>
          </w:tcPr>
          <w:p w:rsidR="000B3B48" w:rsidRPr="00D6638C" w:rsidRDefault="000B3B4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0B3B48" w:rsidRPr="00523AD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Is the Project relevant to Moldova’s environmental objectives, policies and strategic documents?</w:t>
            </w:r>
          </w:p>
        </w:tc>
        <w:tc>
          <w:tcPr>
            <w:tcW w:w="387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0B3B48" w:rsidRPr="00D6638C" w:rsidTr="00523AD8">
        <w:trPr>
          <w:gridAfter w:val="1"/>
          <w:wAfter w:w="21" w:type="dxa"/>
        </w:trPr>
        <w:tc>
          <w:tcPr>
            <w:tcW w:w="199" w:type="dxa"/>
            <w:tcBorders>
              <w:top w:val="nil"/>
              <w:left w:val="nil"/>
              <w:bottom w:val="nil"/>
              <w:right w:val="nil"/>
            </w:tcBorders>
            <w:shd w:val="pct12" w:color="auto" w:fill="FFFFFF"/>
          </w:tcPr>
          <w:p w:rsidR="000B3B48" w:rsidRPr="00D6638C" w:rsidRDefault="000B3B4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0B3B48" w:rsidRPr="00523AD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Does the Project address the needs of target beneficiaries?</w:t>
            </w:r>
          </w:p>
        </w:tc>
        <w:tc>
          <w:tcPr>
            <w:tcW w:w="387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0B3B48" w:rsidRPr="00D6638C" w:rsidTr="00523AD8">
        <w:trPr>
          <w:gridAfter w:val="1"/>
          <w:wAfter w:w="21" w:type="dxa"/>
        </w:trPr>
        <w:tc>
          <w:tcPr>
            <w:tcW w:w="199" w:type="dxa"/>
            <w:tcBorders>
              <w:top w:val="nil"/>
              <w:left w:val="nil"/>
              <w:bottom w:val="nil"/>
              <w:right w:val="nil"/>
            </w:tcBorders>
            <w:shd w:val="pct12" w:color="auto" w:fill="FFFFFF"/>
          </w:tcPr>
          <w:p w:rsidR="000B3B48" w:rsidRPr="00D6638C" w:rsidRDefault="000B3B4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0B3B48" w:rsidRPr="00523AD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Is the Project internally coherent in its design?</w:t>
            </w:r>
          </w:p>
        </w:tc>
        <w:tc>
          <w:tcPr>
            <w:tcW w:w="387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0B3B48" w:rsidRPr="00D6638C" w:rsidTr="00523AD8">
        <w:trPr>
          <w:gridAfter w:val="1"/>
          <w:wAfter w:w="21" w:type="dxa"/>
        </w:trPr>
        <w:tc>
          <w:tcPr>
            <w:tcW w:w="199" w:type="dxa"/>
            <w:tcBorders>
              <w:top w:val="nil"/>
              <w:left w:val="nil"/>
              <w:bottom w:val="nil"/>
              <w:right w:val="nil"/>
            </w:tcBorders>
            <w:shd w:val="pct12" w:color="auto" w:fill="FFFFFF"/>
          </w:tcPr>
          <w:p w:rsidR="000B3B48" w:rsidRPr="00D6638C" w:rsidRDefault="000B3B4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0B3B48" w:rsidRPr="00523AD8" w:rsidRDefault="000B3B48" w:rsidP="00F51631">
            <w:pPr>
              <w:numPr>
                <w:ilvl w:val="0"/>
                <w:numId w:val="1"/>
              </w:numPr>
              <w:spacing w:after="0" w:line="240" w:lineRule="auto"/>
              <w:rPr>
                <w:rFonts w:cstheme="minorHAnsi"/>
                <w:sz w:val="20"/>
                <w:szCs w:val="20"/>
                <w:lang w:val="en-GB" w:eastAsia="ru-RU"/>
              </w:rPr>
            </w:pPr>
            <w:r>
              <w:rPr>
                <w:rFonts w:cstheme="minorHAnsi"/>
                <w:sz w:val="20"/>
                <w:szCs w:val="20"/>
                <w:lang w:val="en-CA" w:eastAsia="ru-RU"/>
              </w:rPr>
              <w:t>How is the Project</w:t>
            </w:r>
            <w:r>
              <w:rPr>
                <w:rFonts w:cstheme="minorHAnsi"/>
                <w:sz w:val="20"/>
                <w:szCs w:val="20"/>
                <w:lang w:eastAsia="ru-RU"/>
              </w:rPr>
              <w:t xml:space="preserve"> complementary to activities of other stakeholders and donors activity in the region?</w:t>
            </w:r>
          </w:p>
        </w:tc>
        <w:tc>
          <w:tcPr>
            <w:tcW w:w="387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0B3B48" w:rsidRPr="00D6638C" w:rsidTr="00523AD8">
        <w:trPr>
          <w:gridAfter w:val="1"/>
          <w:wAfter w:w="21" w:type="dxa"/>
        </w:trPr>
        <w:tc>
          <w:tcPr>
            <w:tcW w:w="199" w:type="dxa"/>
            <w:tcBorders>
              <w:top w:val="nil"/>
              <w:left w:val="nil"/>
              <w:bottom w:val="nil"/>
              <w:right w:val="nil"/>
            </w:tcBorders>
            <w:shd w:val="pct12" w:color="auto" w:fill="FFFFFF"/>
          </w:tcPr>
          <w:p w:rsidR="000B3B48" w:rsidRPr="00D6638C" w:rsidRDefault="000B3B4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0B3B4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How could the Project better target and address the priorities and development challenges of targeted beneficiaries?</w:t>
            </w:r>
          </w:p>
        </w:tc>
        <w:tc>
          <w:tcPr>
            <w:tcW w:w="387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0B3B48" w:rsidP="00F51631">
            <w:pPr>
              <w:numPr>
                <w:ilvl w:val="0"/>
                <w:numId w:val="1"/>
              </w:numPr>
              <w:spacing w:after="0" w:line="240" w:lineRule="auto"/>
              <w:rPr>
                <w:rFonts w:ascii="Calibri" w:eastAsia="Times New Roman" w:hAnsi="Calibri" w:cs="Calibri"/>
                <w:sz w:val="20"/>
                <w:szCs w:val="20"/>
              </w:rPr>
            </w:pPr>
            <w:r>
              <w:rPr>
                <w:rFonts w:cstheme="minorHAnsi"/>
                <w:sz w:val="20"/>
                <w:szCs w:val="20"/>
                <w:lang w:eastAsia="ru-RU"/>
              </w:rPr>
              <w:t>To what extent are the outputs and activities of the project consistent with the intended project objective and goal?</w:t>
            </w:r>
            <w:r w:rsidRPr="00D6638C">
              <w:rPr>
                <w:rFonts w:ascii="Calibri" w:eastAsia="Times New Roman" w:hAnsi="Calibri" w:cs="Calibri"/>
                <w:sz w:val="20"/>
                <w:szCs w:val="20"/>
              </w:rPr>
              <w:t xml:space="preserve"> </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523AD8" w:rsidRDefault="000B3B48" w:rsidP="00F51631">
            <w:pPr>
              <w:numPr>
                <w:ilvl w:val="0"/>
                <w:numId w:val="1"/>
              </w:numPr>
              <w:spacing w:after="0" w:line="240" w:lineRule="auto"/>
              <w:rPr>
                <w:rFonts w:cstheme="minorHAnsi"/>
                <w:sz w:val="20"/>
                <w:szCs w:val="20"/>
                <w:lang w:eastAsia="ru-RU"/>
              </w:rPr>
            </w:pPr>
            <w:r>
              <w:rPr>
                <w:rFonts w:cstheme="minorHAnsi"/>
                <w:sz w:val="20"/>
                <w:szCs w:val="20"/>
                <w:lang w:eastAsia="ru-RU"/>
              </w:rPr>
              <w:t>To what extent have implemented outputs produced or contributed to attaining the expected outcomes?</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0B3B48" w:rsidRPr="00D6638C" w:rsidTr="00523AD8">
        <w:tc>
          <w:tcPr>
            <w:tcW w:w="199" w:type="dxa"/>
            <w:tcBorders>
              <w:top w:val="nil"/>
              <w:left w:val="nil"/>
              <w:bottom w:val="nil"/>
              <w:right w:val="nil"/>
            </w:tcBorders>
            <w:shd w:val="pct12" w:color="auto" w:fill="FFFFFF"/>
          </w:tcPr>
          <w:p w:rsidR="000B3B48" w:rsidRPr="00D6638C" w:rsidRDefault="000B3B4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0B3B48" w:rsidRPr="00523AD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How was risk and risk mitigation being managed?</w:t>
            </w:r>
          </w:p>
        </w:tc>
        <w:tc>
          <w:tcPr>
            <w:tcW w:w="387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0B3B48" w:rsidRPr="00D6638C" w:rsidTr="00523AD8">
        <w:tc>
          <w:tcPr>
            <w:tcW w:w="199" w:type="dxa"/>
            <w:tcBorders>
              <w:top w:val="nil"/>
              <w:left w:val="nil"/>
              <w:bottom w:val="nil"/>
              <w:right w:val="nil"/>
            </w:tcBorders>
            <w:shd w:val="pct12" w:color="auto" w:fill="FFFFFF"/>
          </w:tcPr>
          <w:p w:rsidR="000B3B48" w:rsidRPr="00D6638C" w:rsidRDefault="000B3B4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0B3B48" w:rsidRPr="00523AD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What lessons have been learnt for the Project to achieve its outcomes?</w:t>
            </w:r>
          </w:p>
        </w:tc>
        <w:tc>
          <w:tcPr>
            <w:tcW w:w="387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rPr>
            </w:pPr>
          </w:p>
        </w:tc>
        <w:tc>
          <w:tcPr>
            <w:tcW w:w="6158" w:type="dxa"/>
            <w:tcBorders>
              <w:left w:val="nil"/>
            </w:tcBorders>
          </w:tcPr>
          <w:p w:rsidR="00D6638C" w:rsidRPr="00523AD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What changes could have been made (if any) to the design of the Project in order to improve the achievement of the Project’ expected results?</w:t>
            </w: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0B3B48" w:rsidRPr="00D6638C" w:rsidTr="00523AD8">
        <w:tc>
          <w:tcPr>
            <w:tcW w:w="199" w:type="dxa"/>
            <w:tcBorders>
              <w:top w:val="nil"/>
              <w:left w:val="nil"/>
              <w:bottom w:val="nil"/>
              <w:right w:val="nil"/>
            </w:tcBorders>
            <w:shd w:val="pct12" w:color="auto" w:fill="FFFFFF"/>
          </w:tcPr>
          <w:p w:rsidR="000B3B48" w:rsidRPr="00D6638C" w:rsidRDefault="000B3B4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rPr>
            </w:pPr>
          </w:p>
        </w:tc>
        <w:tc>
          <w:tcPr>
            <w:tcW w:w="6158" w:type="dxa"/>
            <w:tcBorders>
              <w:left w:val="nil"/>
            </w:tcBorders>
          </w:tcPr>
          <w:p w:rsidR="000B3B48" w:rsidRDefault="000B3B48"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How could the Project be more effective in achieving its results?</w:t>
            </w:r>
          </w:p>
        </w:tc>
        <w:tc>
          <w:tcPr>
            <w:tcW w:w="3870" w:type="dxa"/>
          </w:tcPr>
          <w:p w:rsidR="000B3B48" w:rsidRPr="00D6638C" w:rsidRDefault="000B3B48"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rPr>
            </w:pPr>
          </w:p>
        </w:tc>
        <w:tc>
          <w:tcPr>
            <w:tcW w:w="2430" w:type="dxa"/>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0B3B48" w:rsidRPr="00D6638C" w:rsidRDefault="000B3B48"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lastRenderedPageBreak/>
              <w:t>Efficiency: Was the project implemented efficiently, in-line with international and national norms and standards?</w:t>
            </w: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Was adaptive management used or needed to ensure efficient resource use?</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D6638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Were the accounting and financial systems in place adequate for Project management and producing accurate and timely financial information?</w:t>
            </w:r>
          </w:p>
        </w:tc>
        <w:tc>
          <w:tcPr>
            <w:tcW w:w="3870" w:type="dxa"/>
            <w:tcBorders>
              <w:bottom w:val="nil"/>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E962F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Were progress reports produced accurately, timely and respond to reporting requirements including adaptive management changes?</w:t>
            </w:r>
          </w:p>
        </w:tc>
        <w:tc>
          <w:tcPr>
            <w:tcW w:w="387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E962F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Was Project implementation as cost effective as originally proposed (planned vs. actual)?</w:t>
            </w:r>
          </w:p>
        </w:tc>
        <w:tc>
          <w:tcPr>
            <w:tcW w:w="387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E962F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Was the leveraging of funds (co-financing) happening as planned?</w:t>
            </w:r>
          </w:p>
        </w:tc>
        <w:tc>
          <w:tcPr>
            <w:tcW w:w="387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E962F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Were the findings, lessons learned and recommendations shared among Project stakeholders, UNDP and GEF Staff and other relevant organizations for ongoing Project adjustment and improvement?</w:t>
            </w:r>
          </w:p>
        </w:tc>
        <w:tc>
          <w:tcPr>
            <w:tcW w:w="387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E962F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Did the Project mainstream gender considerations into its implementation?</w:t>
            </w:r>
          </w:p>
        </w:tc>
        <w:tc>
          <w:tcPr>
            <w:tcW w:w="387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E962F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Which partnerships/linkages were facilitated? Can be considered sustainable?</w:t>
            </w:r>
          </w:p>
        </w:tc>
        <w:tc>
          <w:tcPr>
            <w:tcW w:w="387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Pr>
                <w:rFonts w:cstheme="minorHAnsi"/>
                <w:sz w:val="20"/>
                <w:szCs w:val="20"/>
                <w:lang w:val="en-CA" w:eastAsia="ru-RU"/>
              </w:rPr>
              <w:t xml:space="preserve">   Did the Project take into account local capacity in design and implementation of the Project?</w:t>
            </w:r>
          </w:p>
        </w:tc>
        <w:tc>
          <w:tcPr>
            <w:tcW w:w="387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rPr>
            </w:pPr>
            <w:r w:rsidRPr="00310398">
              <w:rPr>
                <w:rFonts w:eastAsia="Times New Roman" w:cstheme="minorHAnsi"/>
                <w:sz w:val="20"/>
                <w:szCs w:val="20"/>
              </w:rPr>
              <w:t xml:space="preserve"> Sustainability: To what extent are there financial, institutional, social-economic, and/or environmental risks to sustaining long-term project results?</w:t>
            </w: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Are sustainability issues adequately integrated in Project design?</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523AD8"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Did the Project adequately address financial and economic sustainability issues?</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E962FC" w:rsidRPr="00E962FC"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 xml:space="preserve">Is there evidence that Project partners will continue their activities beyond Project support?  </w:t>
            </w:r>
          </w:p>
        </w:tc>
        <w:tc>
          <w:tcPr>
            <w:tcW w:w="387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E962FC" w:rsidRPr="00E962FC"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Are laws, policies and frameworks being addressed through the Project, in order to address sustainability of key initiatives and reforms?</w:t>
            </w:r>
          </w:p>
        </w:tc>
        <w:tc>
          <w:tcPr>
            <w:tcW w:w="387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E962FC" w:rsidRPr="00E962FC"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 xml:space="preserve">Is the capacity in place at the national and local levels adequate to ensure sustainability of the results achieved to date? </w:t>
            </w:r>
          </w:p>
        </w:tc>
        <w:tc>
          <w:tcPr>
            <w:tcW w:w="387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E962FC" w:rsidRPr="00E962FC" w:rsidRDefault="00E962FC"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 xml:space="preserve">Are Project activities and results being replicated elsewhere and/or scaled up? </w:t>
            </w:r>
          </w:p>
        </w:tc>
        <w:tc>
          <w:tcPr>
            <w:tcW w:w="387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r>
              <w:rPr>
                <w:rFonts w:cstheme="minorHAnsi"/>
                <w:sz w:val="20"/>
                <w:szCs w:val="20"/>
                <w:lang w:val="en-CA" w:eastAsia="ru-RU"/>
              </w:rPr>
              <w:t>What are the main challenges that may hinder sustainability of results?</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523AD8">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rPr>
            </w:pPr>
            <w:r w:rsidRPr="00310398">
              <w:rPr>
                <w:rFonts w:eastAsia="Times New Roman" w:cstheme="minorHAnsi"/>
                <w:b/>
                <w:iCs/>
                <w:sz w:val="20"/>
                <w:szCs w:val="20"/>
              </w:rPr>
              <w:t xml:space="preserve">Impact: Are there indications that the project has contributed to, or enabled progress toward, reduced environmental stress and/or improved ecological status?  </w:t>
            </w:r>
          </w:p>
        </w:tc>
      </w:tr>
      <w:tr w:rsidR="00D6638C" w:rsidRPr="00D6638C" w:rsidTr="00523AD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D6638C" w:rsidRPr="00523AD8" w:rsidRDefault="00E962FC" w:rsidP="00F51631">
            <w:pPr>
              <w:numPr>
                <w:ilvl w:val="0"/>
                <w:numId w:val="1"/>
              </w:numPr>
              <w:spacing w:after="0" w:line="240" w:lineRule="auto"/>
              <w:rPr>
                <w:rFonts w:cstheme="minorHAnsi"/>
                <w:sz w:val="20"/>
                <w:szCs w:val="20"/>
                <w:lang w:val="en-GB" w:eastAsia="ru-RU"/>
              </w:rPr>
            </w:pPr>
            <w:r>
              <w:rPr>
                <w:rFonts w:cstheme="minorHAnsi"/>
                <w:sz w:val="20"/>
                <w:szCs w:val="20"/>
                <w:lang w:eastAsia="ru-RU"/>
              </w:rPr>
              <w:t xml:space="preserve">Will the project achieve its long-term goal to </w:t>
            </w:r>
            <w:r w:rsidR="00DE27B4">
              <w:rPr>
                <w:rFonts w:cstheme="minorHAnsi"/>
                <w:sz w:val="20"/>
                <w:szCs w:val="20"/>
                <w:lang w:eastAsia="ru-RU"/>
              </w:rPr>
              <w:t>improve the coverage and management effectiveness of protected area system in Moldova</w:t>
            </w:r>
            <w:r>
              <w:rPr>
                <w:rFonts w:cstheme="minorHAnsi"/>
                <w:sz w:val="20"/>
                <w:szCs w:val="20"/>
                <w:lang w:eastAsia="ru-RU"/>
              </w:rPr>
              <w:t>?</w:t>
            </w:r>
          </w:p>
        </w:tc>
        <w:tc>
          <w:tcPr>
            <w:tcW w:w="387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E962FC" w:rsidRPr="00DE27B4" w:rsidRDefault="00DE27B4" w:rsidP="00F51631">
            <w:pPr>
              <w:numPr>
                <w:ilvl w:val="0"/>
                <w:numId w:val="1"/>
              </w:numPr>
              <w:spacing w:after="0" w:line="240" w:lineRule="auto"/>
              <w:rPr>
                <w:rFonts w:cstheme="minorHAnsi"/>
                <w:sz w:val="20"/>
                <w:szCs w:val="20"/>
                <w:lang w:eastAsia="ru-RU"/>
              </w:rPr>
            </w:pPr>
            <w:r>
              <w:rPr>
                <w:rFonts w:cstheme="minorHAnsi"/>
                <w:sz w:val="20"/>
                <w:szCs w:val="20"/>
                <w:lang w:eastAsia="ru-RU"/>
              </w:rPr>
              <w:t>What is the level of sensitization and awareness about the protected area management approach?</w:t>
            </w:r>
          </w:p>
        </w:tc>
        <w:tc>
          <w:tcPr>
            <w:tcW w:w="387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E962FC" w:rsidRPr="00DE27B4" w:rsidRDefault="00DE27B4" w:rsidP="00F51631">
            <w:pPr>
              <w:numPr>
                <w:ilvl w:val="0"/>
                <w:numId w:val="1"/>
              </w:numPr>
              <w:spacing w:after="0" w:line="240" w:lineRule="auto"/>
              <w:rPr>
                <w:rFonts w:cstheme="minorHAnsi"/>
                <w:sz w:val="20"/>
                <w:szCs w:val="20"/>
                <w:lang w:eastAsia="ru-RU"/>
              </w:rPr>
            </w:pPr>
            <w:r>
              <w:rPr>
                <w:rFonts w:cstheme="minorHAnsi"/>
                <w:sz w:val="20"/>
                <w:szCs w:val="20"/>
                <w:lang w:eastAsia="ru-RU"/>
              </w:rPr>
              <w:t>What is the impact of the demonstrated approach in private, public and/or at individual levels?</w:t>
            </w:r>
          </w:p>
        </w:tc>
        <w:tc>
          <w:tcPr>
            <w:tcW w:w="387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E962FC" w:rsidRPr="00DE27B4" w:rsidRDefault="00DE27B4" w:rsidP="00F51631">
            <w:pPr>
              <w:numPr>
                <w:ilvl w:val="0"/>
                <w:numId w:val="1"/>
              </w:numPr>
              <w:spacing w:after="0" w:line="240" w:lineRule="auto"/>
              <w:rPr>
                <w:rFonts w:cstheme="minorHAnsi"/>
                <w:sz w:val="20"/>
                <w:szCs w:val="20"/>
                <w:lang w:eastAsia="ru-RU"/>
              </w:rPr>
            </w:pPr>
            <w:r>
              <w:rPr>
                <w:rFonts w:cstheme="minorHAnsi"/>
                <w:sz w:val="20"/>
                <w:szCs w:val="20"/>
                <w:lang w:eastAsia="ru-RU"/>
              </w:rPr>
              <w:t>Were cross-cutting issues identified and reflected during the project implementation?</w:t>
            </w:r>
          </w:p>
        </w:tc>
        <w:tc>
          <w:tcPr>
            <w:tcW w:w="387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E962FC" w:rsidRPr="00D6638C" w:rsidTr="00523AD8">
        <w:tc>
          <w:tcPr>
            <w:tcW w:w="199" w:type="dxa"/>
            <w:tcBorders>
              <w:top w:val="nil"/>
              <w:left w:val="nil"/>
              <w:bottom w:val="nil"/>
              <w:right w:val="nil"/>
            </w:tcBorders>
            <w:shd w:val="pct12" w:color="auto" w:fill="FFFFFF"/>
          </w:tcPr>
          <w:p w:rsidR="00E962FC" w:rsidRPr="00D6638C" w:rsidRDefault="00E962F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tcBorders>
          </w:tcPr>
          <w:p w:rsidR="00E962FC" w:rsidRPr="00523AD8" w:rsidRDefault="00DE27B4" w:rsidP="00F51631">
            <w:pPr>
              <w:numPr>
                <w:ilvl w:val="0"/>
                <w:numId w:val="1"/>
              </w:numPr>
              <w:spacing w:after="0" w:line="240" w:lineRule="auto"/>
              <w:rPr>
                <w:rFonts w:cstheme="minorHAnsi"/>
                <w:sz w:val="20"/>
                <w:szCs w:val="20"/>
                <w:lang w:val="en-CA" w:eastAsia="ru-RU"/>
              </w:rPr>
            </w:pPr>
            <w:r>
              <w:rPr>
                <w:rFonts w:cstheme="minorHAnsi"/>
                <w:sz w:val="20"/>
                <w:szCs w:val="20"/>
                <w:lang w:val="en-CA" w:eastAsia="ru-RU"/>
              </w:rPr>
              <w:t>How could the Project build on its apparent successes and learn from its weaknesses in order to enhance the potential for impact of ongoing and future initiatives?</w:t>
            </w:r>
          </w:p>
        </w:tc>
        <w:tc>
          <w:tcPr>
            <w:tcW w:w="387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E962FC" w:rsidRPr="00D6638C" w:rsidRDefault="00E962FC"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E27B4" w:rsidRPr="00D6638C" w:rsidTr="00523AD8">
        <w:tc>
          <w:tcPr>
            <w:tcW w:w="199" w:type="dxa"/>
            <w:tcBorders>
              <w:top w:val="nil"/>
              <w:left w:val="nil"/>
              <w:bottom w:val="nil"/>
              <w:right w:val="nil"/>
            </w:tcBorders>
            <w:shd w:val="pct12" w:color="auto" w:fill="FFFFFF"/>
          </w:tcPr>
          <w:p w:rsidR="00DE27B4" w:rsidRPr="00D6638C" w:rsidRDefault="00DE27B4"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rPr>
            </w:pPr>
          </w:p>
        </w:tc>
        <w:tc>
          <w:tcPr>
            <w:tcW w:w="6158" w:type="dxa"/>
            <w:tcBorders>
              <w:left w:val="nil"/>
              <w:bottom w:val="single" w:sz="6" w:space="0" w:color="auto"/>
            </w:tcBorders>
          </w:tcPr>
          <w:p w:rsidR="00DE27B4" w:rsidRPr="00D6638C" w:rsidRDefault="00DE27B4"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E27B4" w:rsidRPr="00D6638C" w:rsidRDefault="00DE27B4"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E27B4" w:rsidRPr="00D6638C" w:rsidRDefault="00DE27B4"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E27B4" w:rsidRPr="00D6638C" w:rsidRDefault="00DE27B4" w:rsidP="00F51631">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70" w:name="_TOR_Annex_D:"/>
      <w:bookmarkStart w:id="71" w:name="_Toc321341565"/>
      <w:bookmarkEnd w:id="70"/>
      <w:r w:rsidRPr="00D6638C">
        <w:lastRenderedPageBreak/>
        <w:t>Annex D: Rating</w:t>
      </w:r>
      <w:r w:rsidR="00E77635">
        <w:t xml:space="preserve"> Scales</w:t>
      </w:r>
      <w:bookmarkEnd w:id="71"/>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2" w:name="_Toc299133056"/>
      <w:bookmarkStart w:id="73" w:name="_Toc321341566"/>
      <w:r w:rsidRPr="00D6638C">
        <w:lastRenderedPageBreak/>
        <w:t xml:space="preserve">Annex E: Evaluation Consultant Code of Conduct </w:t>
      </w:r>
      <w:r w:rsidR="00B913F1">
        <w:t xml:space="preserve">and </w:t>
      </w:r>
      <w:r w:rsidRPr="00D6638C">
        <w:t>Agreement Form</w:t>
      </w:r>
      <w:bookmarkEnd w:id="67"/>
      <w:bookmarkEnd w:id="68"/>
      <w:bookmarkEnd w:id="69"/>
      <w:bookmarkEnd w:id="72"/>
      <w:bookmarkEnd w:id="73"/>
    </w:p>
    <w:p w:rsidR="00B913F1" w:rsidRDefault="00B913F1" w:rsidP="00B913F1">
      <w:pPr>
        <w:autoSpaceDE w:val="0"/>
        <w:autoSpaceDN w:val="0"/>
        <w:adjustRightInd w:val="0"/>
        <w:spacing w:after="0" w:line="240" w:lineRule="auto"/>
        <w:rPr>
          <w:rFonts w:ascii="Myriad-Bold" w:hAnsi="Myriad-Bold" w:cs="Myriad-Bold"/>
          <w:b/>
          <w:bCs/>
          <w:color w:val="000000"/>
          <w:lang w:val="en-GB"/>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rPr>
      </w:pPr>
      <w:r w:rsidRPr="00B913F1">
        <w:rPr>
          <w:rFonts w:cstheme="minorHAnsi"/>
          <w:b/>
          <w:bCs/>
          <w:color w:val="000000"/>
          <w:sz w:val="24"/>
          <w:szCs w:val="24"/>
          <w:lang w:val="en-GB"/>
        </w:rPr>
        <w:t>Evaluators:</w:t>
      </w:r>
    </w:p>
    <w:p w:rsidR="00B913F1" w:rsidRDefault="00B913F1" w:rsidP="00F51631">
      <w:pPr>
        <w:pStyle w:val="ListParagraph"/>
        <w:numPr>
          <w:ilvl w:val="0"/>
          <w:numId w:val="5"/>
        </w:numPr>
        <w:rPr>
          <w:rFonts w:eastAsia="ACaslon-Regular"/>
          <w:lang w:val="en-GB"/>
        </w:rPr>
      </w:pPr>
      <w:r w:rsidRPr="00B913F1">
        <w:rPr>
          <w:rFonts w:eastAsia="ACaslon-Regular"/>
          <w:lang w:val="en-GB"/>
        </w:rPr>
        <w:t>Must present information that is complete and fair in its assessment of strengths and weaknesses so that decisions or actions taken are well founded</w:t>
      </w:r>
      <w:r>
        <w:rPr>
          <w:rFonts w:eastAsia="ACaslon-Regular"/>
          <w:lang w:val="en-GB"/>
        </w:rPr>
        <w:t>.</w:t>
      </w:r>
      <w:r w:rsidRPr="00B913F1">
        <w:rPr>
          <w:rFonts w:eastAsia="ACaslon-Regular"/>
          <w:lang w:val="en-GB"/>
        </w:rPr>
        <w:t xml:space="preserve">  </w:t>
      </w:r>
    </w:p>
    <w:p w:rsidR="00B913F1" w:rsidRPr="00B913F1" w:rsidRDefault="00B913F1" w:rsidP="00F51631">
      <w:pPr>
        <w:pStyle w:val="ListParagraph"/>
        <w:numPr>
          <w:ilvl w:val="0"/>
          <w:numId w:val="5"/>
        </w:numPr>
        <w:rPr>
          <w:rFonts w:eastAsia="ACaslon-Regular"/>
          <w:lang w:val="en-GB"/>
        </w:rPr>
      </w:pPr>
      <w:r w:rsidRPr="00B913F1">
        <w:rPr>
          <w:rFonts w:eastAsia="ACaslon-Regular"/>
          <w:lang w:val="en-GB"/>
        </w:rPr>
        <w:t>Must disclose the full set of evaluation findings along with information on their limitations and have this accessible to all affected by the evaluation with expressed</w:t>
      </w:r>
      <w:r>
        <w:rPr>
          <w:rFonts w:eastAsia="ACaslon-Regular"/>
          <w:lang w:val="en-GB"/>
        </w:rPr>
        <w:t xml:space="preserve"> </w:t>
      </w:r>
      <w:r w:rsidRPr="00B913F1">
        <w:rPr>
          <w:rFonts w:eastAsia="ACaslon-Regular"/>
          <w:lang w:val="en-GB"/>
        </w:rPr>
        <w:t xml:space="preserve">legal rights to receive results. </w:t>
      </w:r>
    </w:p>
    <w:p w:rsidR="00B913F1" w:rsidRPr="00B913F1" w:rsidRDefault="00B913F1" w:rsidP="00F51631">
      <w:pPr>
        <w:pStyle w:val="ListParagraph"/>
        <w:numPr>
          <w:ilvl w:val="0"/>
          <w:numId w:val="5"/>
        </w:numPr>
        <w:rPr>
          <w:rFonts w:eastAsia="ACaslon-Regular"/>
          <w:lang w:val="en-GB"/>
        </w:rPr>
      </w:pPr>
      <w:r w:rsidRPr="00B913F1">
        <w:rPr>
          <w:rFonts w:eastAsia="ACaslon-Regular"/>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F51631">
      <w:pPr>
        <w:pStyle w:val="ListParagraph"/>
        <w:numPr>
          <w:ilvl w:val="0"/>
          <w:numId w:val="5"/>
        </w:numPr>
        <w:rPr>
          <w:rFonts w:eastAsia="ACaslon-Regular"/>
          <w:lang w:val="en-GB"/>
        </w:rPr>
      </w:pPr>
      <w:r w:rsidRPr="00B913F1">
        <w:rPr>
          <w:rFonts w:eastAsia="ACaslon-Regular"/>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F51631">
      <w:pPr>
        <w:pStyle w:val="ListParagraph"/>
        <w:numPr>
          <w:ilvl w:val="0"/>
          <w:numId w:val="5"/>
        </w:numPr>
        <w:rPr>
          <w:rFonts w:eastAsia="ACaslon-Regular"/>
          <w:lang w:val="en-GB"/>
        </w:rPr>
      </w:pPr>
      <w:r w:rsidRPr="00B913F1">
        <w:rPr>
          <w:rFonts w:eastAsia="ACaslon-Regular"/>
          <w:lang w:val="en-GB"/>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rPr>
        <w:t xml:space="preserve"> </w:t>
      </w:r>
      <w:r w:rsidRPr="00B913F1">
        <w:rPr>
          <w:rFonts w:eastAsia="ACaslon-Regular"/>
          <w:lang w:val="en-GB"/>
        </w:rPr>
        <w:t xml:space="preserve">dignity and self-worth. </w:t>
      </w:r>
    </w:p>
    <w:p w:rsidR="00B913F1" w:rsidRPr="00B913F1" w:rsidRDefault="00B913F1" w:rsidP="00F51631">
      <w:pPr>
        <w:pStyle w:val="ListParagraph"/>
        <w:numPr>
          <w:ilvl w:val="0"/>
          <w:numId w:val="5"/>
        </w:numPr>
        <w:rPr>
          <w:rFonts w:eastAsia="ACaslon-Regular"/>
          <w:lang w:val="en-GB"/>
        </w:rPr>
      </w:pPr>
      <w:r w:rsidRPr="00B913F1">
        <w:rPr>
          <w:rFonts w:eastAsia="ACaslon-Regular"/>
          <w:lang w:val="en-GB"/>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F51631">
      <w:pPr>
        <w:pStyle w:val="ListParagraph"/>
        <w:numPr>
          <w:ilvl w:val="0"/>
          <w:numId w:val="5"/>
        </w:numPr>
      </w:pPr>
      <w:r w:rsidRPr="00B913F1">
        <w:rPr>
          <w:rFonts w:eastAsia="ACaslon-Regular"/>
          <w:lang w:val="en-GB"/>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874C94"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874C94" w:rsidRPr="00D6638C">
        <w:rPr>
          <w:rFonts w:ascii="Calibri" w:eastAsia="Times New Roman" w:hAnsi="Calibri" w:cs="Calibri"/>
          <w:color w:val="000000"/>
          <w:u w:val="single"/>
        </w:rPr>
      </w:r>
      <w:r w:rsidR="00874C94"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874C94"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D6638C">
        <w:lastRenderedPageBreak/>
        <w:t>Annex F: Evaluation Report Outline</w:t>
      </w:r>
      <w:bookmarkEnd w:id="75"/>
      <w:bookmarkEnd w:id="76"/>
      <w:bookmarkEnd w:id="77"/>
      <w:bookmarkEnd w:id="78"/>
      <w:r w:rsidRPr="00D6638C">
        <w:rPr>
          <w:vertAlign w:val="superscript"/>
        </w:rPr>
        <w:footnoteReference w:id="4"/>
      </w:r>
      <w:bookmarkEnd w:id="79"/>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F5163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F5163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F5163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F5163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F5163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F51631">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F5163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F5163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F51631">
            <w:pPr>
              <w:numPr>
                <w:ilvl w:val="0"/>
                <w:numId w:val="2"/>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F5163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F5163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F5163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F51631">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F51631">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F51631">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80" w:name="_TOR_Annex_G:"/>
      <w:bookmarkStart w:id="81" w:name="_Toc299133058"/>
      <w:bookmarkStart w:id="82" w:name="_Toc299122848"/>
      <w:bookmarkStart w:id="83" w:name="_Toc299122870"/>
      <w:bookmarkStart w:id="84" w:name="_Toc299126634"/>
      <w:bookmarkEnd w:id="80"/>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5" w:name="_TOR_Annex_G:_1"/>
      <w:bookmarkStart w:id="86" w:name="_Toc321341568"/>
      <w:bookmarkEnd w:id="85"/>
      <w:r w:rsidRPr="00F05366">
        <w:lastRenderedPageBreak/>
        <w:t>Annex G: Evaluation Report Clearance Form</w:t>
      </w:r>
      <w:bookmarkEnd w:id="81"/>
      <w:bookmarkEnd w:id="86"/>
    </w:p>
    <w:p w:rsidR="00D6638C" w:rsidRPr="00D6638C" w:rsidRDefault="00705358"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381000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rsidR="00E1120B" w:rsidRPr="0084083F" w:rsidRDefault="00E1120B" w:rsidP="00D6638C">
                            <w:pPr>
                              <w:rPr>
                                <w:rFonts w:eastAsia="Batang"/>
                              </w:rPr>
                            </w:pPr>
                            <w:r w:rsidRPr="0084083F">
                              <w:rPr>
                                <w:rFonts w:eastAsia="Batang"/>
                              </w:rPr>
                              <w:t>Evaluation Report Reviewed and Cleared by</w:t>
                            </w:r>
                          </w:p>
                          <w:p w:rsidR="00E1120B" w:rsidRPr="0084083F" w:rsidRDefault="00E1120B" w:rsidP="00D6638C">
                            <w:r w:rsidRPr="0084083F">
                              <w:t>UNDP Country Office</w:t>
                            </w:r>
                          </w:p>
                          <w:p w:rsidR="00E1120B" w:rsidRPr="0084083F" w:rsidRDefault="00E1120B" w:rsidP="00D6638C">
                            <w:r w:rsidRPr="0084083F">
                              <w:t>Name:  ___________________________________________________</w:t>
                            </w:r>
                          </w:p>
                          <w:p w:rsidR="00E1120B" w:rsidRPr="0084083F" w:rsidRDefault="00E1120B" w:rsidP="00D6638C">
                            <w:r w:rsidRPr="0084083F">
                              <w:t>Signature: ______________________________       Date: _________________________________</w:t>
                            </w:r>
                          </w:p>
                          <w:p w:rsidR="00E1120B" w:rsidRPr="0084083F" w:rsidRDefault="00E1120B" w:rsidP="00D6638C">
                            <w:r w:rsidRPr="0084083F">
                              <w:t>UNDP GEF R</w:t>
                            </w:r>
                            <w:r>
                              <w:t>TA</w:t>
                            </w:r>
                          </w:p>
                          <w:p w:rsidR="00E1120B" w:rsidRPr="0084083F" w:rsidRDefault="00E1120B" w:rsidP="00D6638C">
                            <w:r w:rsidRPr="0084083F">
                              <w:t>Name:  _</w:t>
                            </w:r>
                            <w:r w:rsidRPr="002B7819" w:rsidDel="00D37A85">
                              <w:t xml:space="preserve"> </w:t>
                            </w:r>
                            <w:r w:rsidRPr="0084083F">
                              <w:t>__________________________________________________</w:t>
                            </w:r>
                          </w:p>
                          <w:p w:rsidR="00E1120B" w:rsidRPr="0084083F" w:rsidRDefault="00E1120B"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E1120B" w:rsidRPr="0084083F" w:rsidRDefault="00E1120B" w:rsidP="00D6638C">
                      <w:pPr>
                        <w:rPr>
                          <w:rFonts w:eastAsia="Batang"/>
                        </w:rPr>
                      </w:pPr>
                      <w:r w:rsidRPr="0084083F">
                        <w:rPr>
                          <w:rFonts w:eastAsia="Batang"/>
                        </w:rPr>
                        <w:t>Evaluation Report Reviewed and Cleared by</w:t>
                      </w:r>
                    </w:p>
                    <w:p w:rsidR="00E1120B" w:rsidRPr="0084083F" w:rsidRDefault="00E1120B" w:rsidP="00D6638C">
                      <w:r w:rsidRPr="0084083F">
                        <w:t>UNDP Country Office</w:t>
                      </w:r>
                    </w:p>
                    <w:p w:rsidR="00E1120B" w:rsidRPr="0084083F" w:rsidRDefault="00E1120B" w:rsidP="00D6638C">
                      <w:r w:rsidRPr="0084083F">
                        <w:t>Name:  ___________________________________________________</w:t>
                      </w:r>
                    </w:p>
                    <w:p w:rsidR="00E1120B" w:rsidRPr="0084083F" w:rsidRDefault="00E1120B" w:rsidP="00D6638C">
                      <w:r w:rsidRPr="0084083F">
                        <w:t>Signature: ______________________________       Date: _________________________________</w:t>
                      </w:r>
                    </w:p>
                    <w:p w:rsidR="00E1120B" w:rsidRPr="0084083F" w:rsidRDefault="00E1120B" w:rsidP="00D6638C">
                      <w:r w:rsidRPr="0084083F">
                        <w:t>UNDP GEF R</w:t>
                      </w:r>
                      <w:r>
                        <w:t>TA</w:t>
                      </w:r>
                    </w:p>
                    <w:p w:rsidR="00E1120B" w:rsidRPr="0084083F" w:rsidRDefault="00E1120B" w:rsidP="00D6638C">
                      <w:r w:rsidRPr="0084083F">
                        <w:t>Name:  _</w:t>
                      </w:r>
                      <w:r w:rsidRPr="002B7819" w:rsidDel="00D37A85">
                        <w:t xml:space="preserve"> </w:t>
                      </w:r>
                      <w:r w:rsidRPr="0084083F">
                        <w:t>__________________________________________________</w:t>
                      </w:r>
                    </w:p>
                    <w:p w:rsidR="00E1120B" w:rsidRPr="0084083F" w:rsidRDefault="00E1120B" w:rsidP="00D6638C">
                      <w:r w:rsidRPr="0084083F">
                        <w:t>Signature: ______________________________       Date: _________________________________</w:t>
                      </w:r>
                    </w:p>
                  </w:txbxContent>
                </v:textbox>
              </v:shape>
            </w:pict>
          </mc:Fallback>
        </mc:AlternateContent>
      </w:r>
      <w:r w:rsidR="00D6638C" w:rsidRPr="00D6638C">
        <w:rPr>
          <w:rFonts w:ascii="Calibri" w:eastAsia="Times New Roman" w:hAnsi="Calibri" w:cs="Times New Roman"/>
          <w:i/>
          <w:sz w:val="20"/>
          <w:szCs w:val="20"/>
          <w:highlight w:val="lightGray"/>
        </w:rPr>
        <w:t>(</w:t>
      </w:r>
      <w:proofErr w:type="gramStart"/>
      <w:r w:rsidR="00D6638C" w:rsidRPr="00D6638C">
        <w:rPr>
          <w:rFonts w:ascii="Calibri" w:eastAsia="Times New Roman" w:hAnsi="Calibri" w:cs="Times New Roman"/>
          <w:i/>
          <w:sz w:val="20"/>
          <w:szCs w:val="20"/>
          <w:highlight w:val="lightGray"/>
        </w:rPr>
        <w:t>to</w:t>
      </w:r>
      <w:proofErr w:type="gramEnd"/>
      <w:r w:rsidR="00D6638C"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2"/>
      <w:bookmarkEnd w:id="83"/>
      <w:bookmarkEnd w:id="84"/>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7" w:name="_Annex_3._Sample"/>
      <w:bookmarkEnd w:id="87"/>
    </w:p>
    <w:sectPr w:rsidR="00303541" w:rsidSect="000219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0B" w:rsidRDefault="00E1120B" w:rsidP="00D6638C">
      <w:pPr>
        <w:spacing w:after="0" w:line="240" w:lineRule="auto"/>
      </w:pPr>
      <w:r>
        <w:separator/>
      </w:r>
    </w:p>
  </w:endnote>
  <w:endnote w:type="continuationSeparator" w:id="0">
    <w:p w:rsidR="00E1120B" w:rsidRDefault="00E1120B"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E1120B" w:rsidRDefault="009A7641">
        <w:pPr>
          <w:pStyle w:val="Footer"/>
          <w:jc w:val="right"/>
        </w:pPr>
        <w:r>
          <w:fldChar w:fldCharType="begin"/>
        </w:r>
        <w:r>
          <w:instrText xml:space="preserve"> PAGE   \* MERGEFORMAT </w:instrText>
        </w:r>
        <w:r>
          <w:fldChar w:fldCharType="separate"/>
        </w:r>
        <w:r w:rsidR="00B27B75">
          <w:rPr>
            <w:noProof/>
          </w:rPr>
          <w:t>6</w:t>
        </w:r>
        <w:r>
          <w:rPr>
            <w:noProof/>
          </w:rPr>
          <w:fldChar w:fldCharType="end"/>
        </w:r>
      </w:p>
    </w:sdtContent>
  </w:sdt>
  <w:p w:rsidR="00E1120B" w:rsidRDefault="00E11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0B" w:rsidRDefault="00E1120B" w:rsidP="00D6638C">
      <w:pPr>
        <w:spacing w:after="0" w:line="240" w:lineRule="auto"/>
      </w:pPr>
      <w:r>
        <w:separator/>
      </w:r>
    </w:p>
  </w:footnote>
  <w:footnote w:type="continuationSeparator" w:id="0">
    <w:p w:rsidR="00E1120B" w:rsidRDefault="00E1120B" w:rsidP="00D6638C">
      <w:pPr>
        <w:spacing w:after="0" w:line="240" w:lineRule="auto"/>
      </w:pPr>
      <w:r>
        <w:continuationSeparator/>
      </w:r>
    </w:p>
  </w:footnote>
  <w:footnote w:id="1">
    <w:p w:rsidR="00E1120B" w:rsidRDefault="00E1120B"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E1120B" w:rsidRPr="00022F8E" w:rsidRDefault="00E1120B">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rsidR="00E1120B" w:rsidRDefault="00E1120B" w:rsidP="00D6638C">
      <w:pPr>
        <w:pStyle w:val="FootnoteText"/>
      </w:pPr>
      <w:r w:rsidRPr="004B6248">
        <w:rPr>
          <w:rStyle w:val="FootnoteReference"/>
        </w:rPr>
        <w:footnoteRef/>
      </w:r>
      <w:r w:rsidRPr="00FB1376">
        <w:t>www.unevaluation.org/unegcodeofconduct</w:t>
      </w:r>
    </w:p>
    <w:p w:rsidR="00E1120B" w:rsidRDefault="00E1120B" w:rsidP="00D6638C">
      <w:pPr>
        <w:pStyle w:val="FootnoteText"/>
      </w:pPr>
    </w:p>
  </w:footnote>
  <w:footnote w:id="4">
    <w:p w:rsidR="00E1120B" w:rsidRPr="002B7151" w:rsidRDefault="00E1120B"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50</w:t>
      </w:r>
      <w:r w:rsidRPr="002B7151">
        <w:rPr>
          <w:sz w:val="18"/>
          <w:szCs w:val="18"/>
        </w:rPr>
        <w:t xml:space="preserve"> pages in total (not including annexes).</w:t>
      </w:r>
    </w:p>
  </w:footnote>
  <w:footnote w:id="5">
    <w:p w:rsidR="00E1120B" w:rsidRPr="002B7151" w:rsidRDefault="00E1120B"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E1120B" w:rsidRPr="002B7151" w:rsidRDefault="00E1120B"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43A"/>
    <w:multiLevelType w:val="hybridMultilevel"/>
    <w:tmpl w:val="66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60812"/>
    <w:multiLevelType w:val="hybridMultilevel"/>
    <w:tmpl w:val="9C3E96E0"/>
    <w:lvl w:ilvl="0" w:tplc="D84ECB1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662CF"/>
    <w:multiLevelType w:val="multilevel"/>
    <w:tmpl w:val="7EBA0ECC"/>
    <w:lvl w:ilvl="0">
      <w:start w:val="1"/>
      <w:numFmt w:val="decimal"/>
      <w:pStyle w:val="IFADparagraphnumbering"/>
      <w:lvlText w:val="%1."/>
      <w:lvlJc w:val="left"/>
      <w:pPr>
        <w:tabs>
          <w:tab w:val="num" w:pos="709"/>
        </w:tabs>
        <w:ind w:left="142" w:firstLine="0"/>
      </w:pPr>
      <w:rPr>
        <w:b w:val="0"/>
        <w:bCs/>
        <w:i w:val="0"/>
        <w:iCs w:val="0"/>
        <w:color w:val="auto"/>
      </w:rPr>
    </w:lvl>
    <w:lvl w:ilvl="1">
      <w:start w:val="1"/>
      <w:numFmt w:val="lowerLetter"/>
      <w:pStyle w:val="IFADparagraphno2ndlevel"/>
      <w:lvlText w:val="(%2)"/>
      <w:lvlJc w:val="left"/>
      <w:pPr>
        <w:tabs>
          <w:tab w:val="num" w:pos="1134"/>
        </w:tabs>
        <w:ind w:left="1134" w:hanging="567"/>
      </w:pPr>
    </w:lvl>
    <w:lvl w:ilvl="2">
      <w:start w:val="1"/>
      <w:numFmt w:val="lowerRoman"/>
      <w:pStyle w:val="IFADparagraphno3rdlevel"/>
      <w:lvlText w:val="(%3)"/>
      <w:lvlJc w:val="right"/>
      <w:pPr>
        <w:tabs>
          <w:tab w:val="num" w:pos="1418"/>
        </w:tabs>
        <w:ind w:left="1418" w:hanging="284"/>
      </w:p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460752"/>
    <w:multiLevelType w:val="hybridMultilevel"/>
    <w:tmpl w:val="4426C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6">
    <w:nsid w:val="46863857"/>
    <w:multiLevelType w:val="hybridMultilevel"/>
    <w:tmpl w:val="4C0A9686"/>
    <w:lvl w:ilvl="0" w:tplc="F8BE22CC">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7">
    <w:nsid w:val="4B926A6C"/>
    <w:multiLevelType w:val="hybridMultilevel"/>
    <w:tmpl w:val="C1BCF2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0"/>
        </w:tabs>
        <w:ind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hint="default"/>
      </w:rPr>
    </w:lvl>
    <w:lvl w:ilvl="5" w:tplc="FFFFFFFF">
      <w:start w:val="1"/>
      <w:numFmt w:val="bullet"/>
      <w:lvlText w:val=""/>
      <w:lvlJc w:val="left"/>
      <w:pPr>
        <w:tabs>
          <w:tab w:val="num" w:pos="2880"/>
        </w:tabs>
        <w:ind w:left="2880" w:hanging="360"/>
      </w:pPr>
      <w:rPr>
        <w:rFonts w:ascii="Wingdings" w:hAnsi="Wingdings" w:hint="default"/>
      </w:rPr>
    </w:lvl>
    <w:lvl w:ilvl="6" w:tplc="FFFFFFFF">
      <w:start w:val="1"/>
      <w:numFmt w:val="bullet"/>
      <w:lvlText w:val=""/>
      <w:lvlJc w:val="left"/>
      <w:pPr>
        <w:tabs>
          <w:tab w:val="num" w:pos="3600"/>
        </w:tabs>
        <w:ind w:left="3600" w:hanging="360"/>
      </w:pPr>
      <w:rPr>
        <w:rFonts w:ascii="Symbol" w:hAnsi="Symbol" w:hint="default"/>
      </w:rPr>
    </w:lvl>
    <w:lvl w:ilvl="7" w:tplc="FFFFFFFF">
      <w:start w:val="1"/>
      <w:numFmt w:val="bullet"/>
      <w:lvlText w:val="o"/>
      <w:lvlJc w:val="left"/>
      <w:pPr>
        <w:tabs>
          <w:tab w:val="num" w:pos="4320"/>
        </w:tabs>
        <w:ind w:left="4320" w:hanging="360"/>
      </w:pPr>
      <w:rPr>
        <w:rFonts w:ascii="Courier New" w:hAnsi="Courier New" w:hint="default"/>
      </w:rPr>
    </w:lvl>
    <w:lvl w:ilvl="8" w:tplc="FFFFFFFF">
      <w:start w:val="1"/>
      <w:numFmt w:val="bullet"/>
      <w:lvlText w:val=""/>
      <w:lvlJc w:val="left"/>
      <w:pPr>
        <w:tabs>
          <w:tab w:val="num" w:pos="5040"/>
        </w:tabs>
        <w:ind w:left="5040" w:hanging="360"/>
      </w:pPr>
      <w:rPr>
        <w:rFonts w:ascii="Wingdings" w:hAnsi="Wingdings" w:hint="default"/>
      </w:rPr>
    </w:lvl>
  </w:abstractNum>
  <w:abstractNum w:abstractNumId="8">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C5111"/>
    <w:multiLevelType w:val="hybridMultilevel"/>
    <w:tmpl w:val="975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75547"/>
    <w:multiLevelType w:val="hybridMultilevel"/>
    <w:tmpl w:val="7ED403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563686"/>
    <w:multiLevelType w:val="hybridMultilevel"/>
    <w:tmpl w:val="46D49370"/>
    <w:lvl w:ilvl="0" w:tplc="04090001">
      <w:start w:val="1"/>
      <w:numFmt w:val="bullet"/>
      <w:lvlText w:val=""/>
      <w:lvlJc w:val="left"/>
      <w:pPr>
        <w:ind w:left="1065" w:hanging="360"/>
      </w:pPr>
      <w:rPr>
        <w:rFonts w:ascii="Symbol" w:hAnsi="Symbol"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723947E7"/>
    <w:multiLevelType w:val="hybridMultilevel"/>
    <w:tmpl w:val="75966E3C"/>
    <w:lvl w:ilvl="0" w:tplc="D84ECB1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8"/>
  </w:num>
  <w:num w:numId="5">
    <w:abstractNumId w:val="11"/>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0"/>
  </w:num>
  <w:num w:numId="12">
    <w:abstractNumId w:val="1"/>
  </w:num>
  <w:num w:numId="13">
    <w:abstractNumId w:val="13"/>
  </w:num>
  <w:num w:numId="14">
    <w:abstractNumId w:val="12"/>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006B7"/>
    <w:rsid w:val="00021919"/>
    <w:rsid w:val="00022F8E"/>
    <w:rsid w:val="0009473F"/>
    <w:rsid w:val="000B3B48"/>
    <w:rsid w:val="000B71AE"/>
    <w:rsid w:val="000C2D1A"/>
    <w:rsid w:val="00125D93"/>
    <w:rsid w:val="0013181B"/>
    <w:rsid w:val="001648ED"/>
    <w:rsid w:val="001910B1"/>
    <w:rsid w:val="00197EF8"/>
    <w:rsid w:val="001A4364"/>
    <w:rsid w:val="00224F9C"/>
    <w:rsid w:val="00230DF7"/>
    <w:rsid w:val="00235B91"/>
    <w:rsid w:val="00235CE0"/>
    <w:rsid w:val="00243603"/>
    <w:rsid w:val="002B2119"/>
    <w:rsid w:val="002B7819"/>
    <w:rsid w:val="002C78BD"/>
    <w:rsid w:val="002F4320"/>
    <w:rsid w:val="00303541"/>
    <w:rsid w:val="00310398"/>
    <w:rsid w:val="00313EDD"/>
    <w:rsid w:val="00335CC5"/>
    <w:rsid w:val="0035328B"/>
    <w:rsid w:val="003A0A1A"/>
    <w:rsid w:val="003A1C86"/>
    <w:rsid w:val="003E5306"/>
    <w:rsid w:val="0047795A"/>
    <w:rsid w:val="004828EA"/>
    <w:rsid w:val="004950AE"/>
    <w:rsid w:val="004A0355"/>
    <w:rsid w:val="004B36F1"/>
    <w:rsid w:val="004C5BF9"/>
    <w:rsid w:val="004E1C63"/>
    <w:rsid w:val="00506E51"/>
    <w:rsid w:val="00523AD8"/>
    <w:rsid w:val="005568EF"/>
    <w:rsid w:val="005A3B9F"/>
    <w:rsid w:val="005E2441"/>
    <w:rsid w:val="005E5626"/>
    <w:rsid w:val="00653013"/>
    <w:rsid w:val="006950BC"/>
    <w:rsid w:val="006C1964"/>
    <w:rsid w:val="00705358"/>
    <w:rsid w:val="00722A70"/>
    <w:rsid w:val="00773EC0"/>
    <w:rsid w:val="007D1C8C"/>
    <w:rsid w:val="008358E4"/>
    <w:rsid w:val="00874C94"/>
    <w:rsid w:val="008A3E5D"/>
    <w:rsid w:val="00947358"/>
    <w:rsid w:val="009A3A7D"/>
    <w:rsid w:val="009A66DF"/>
    <w:rsid w:val="009A7641"/>
    <w:rsid w:val="00A074AD"/>
    <w:rsid w:val="00A16843"/>
    <w:rsid w:val="00A45485"/>
    <w:rsid w:val="00AE15F9"/>
    <w:rsid w:val="00AE5B30"/>
    <w:rsid w:val="00AF5D2C"/>
    <w:rsid w:val="00B14F91"/>
    <w:rsid w:val="00B21E40"/>
    <w:rsid w:val="00B27B75"/>
    <w:rsid w:val="00B701CD"/>
    <w:rsid w:val="00B913F1"/>
    <w:rsid w:val="00B91E14"/>
    <w:rsid w:val="00BA547A"/>
    <w:rsid w:val="00C71584"/>
    <w:rsid w:val="00C84D79"/>
    <w:rsid w:val="00CC653C"/>
    <w:rsid w:val="00CE2B12"/>
    <w:rsid w:val="00D12BDF"/>
    <w:rsid w:val="00D160DC"/>
    <w:rsid w:val="00D168F5"/>
    <w:rsid w:val="00D361A3"/>
    <w:rsid w:val="00D37A85"/>
    <w:rsid w:val="00D6638C"/>
    <w:rsid w:val="00DC1E6E"/>
    <w:rsid w:val="00DE27B4"/>
    <w:rsid w:val="00E1120B"/>
    <w:rsid w:val="00E23201"/>
    <w:rsid w:val="00E26857"/>
    <w:rsid w:val="00E77635"/>
    <w:rsid w:val="00E95CF5"/>
    <w:rsid w:val="00E962FC"/>
    <w:rsid w:val="00EA63B7"/>
    <w:rsid w:val="00EC6FD3"/>
    <w:rsid w:val="00F05366"/>
    <w:rsid w:val="00F103B1"/>
    <w:rsid w:val="00F17BB9"/>
    <w:rsid w:val="00F257D2"/>
    <w:rsid w:val="00F5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harCharChar1">
    <w:name w:val="Char Char Char1"/>
    <w:basedOn w:val="Normal"/>
    <w:rsid w:val="00D12BDF"/>
    <w:pPr>
      <w:spacing w:after="160" w:line="240" w:lineRule="exact"/>
    </w:pPr>
    <w:rPr>
      <w:rFonts w:ascii="Times New Roman" w:eastAsia="Times New Roman" w:hAnsi="Times New Roman" w:cs="Arial"/>
      <w:sz w:val="20"/>
      <w:szCs w:val="20"/>
    </w:rPr>
  </w:style>
  <w:style w:type="paragraph" w:customStyle="1" w:styleId="IFADparagraphnumbering">
    <w:name w:val="IFAD paragraph numbering"/>
    <w:basedOn w:val="BodyText"/>
    <w:rsid w:val="00D12BDF"/>
    <w:pPr>
      <w:numPr>
        <w:numId w:val="8"/>
      </w:numPr>
      <w:spacing w:before="120"/>
      <w:jc w:val="both"/>
    </w:pPr>
    <w:rPr>
      <w:rFonts w:cs="Times New Roman"/>
      <w:i/>
      <w:iCs/>
      <w:szCs w:val="22"/>
      <w:lang w:val="fr-FR" w:eastAsia="en-GB"/>
    </w:rPr>
  </w:style>
  <w:style w:type="paragraph" w:customStyle="1" w:styleId="IFADparagraphno2ndlevel">
    <w:name w:val="IFAD paragraph no. 2nd level"/>
    <w:basedOn w:val="IFADparagraphnumbering"/>
    <w:rsid w:val="00D12BDF"/>
    <w:pPr>
      <w:numPr>
        <w:ilvl w:val="1"/>
      </w:numPr>
    </w:pPr>
  </w:style>
  <w:style w:type="paragraph" w:customStyle="1" w:styleId="IFADparagraphno3rdlevel">
    <w:name w:val="IFAD paragraph no. 3rd level"/>
    <w:basedOn w:val="IFADparagraphnumbering"/>
    <w:rsid w:val="00D12BDF"/>
    <w:pPr>
      <w:numPr>
        <w:ilvl w:val="2"/>
      </w:numPr>
    </w:pPr>
  </w:style>
  <w:style w:type="paragraph" w:customStyle="1" w:styleId="IFADparagraphno4thlevel">
    <w:name w:val="IFAD paragraph no. 4th level"/>
    <w:basedOn w:val="IFADparagraphnumbering"/>
    <w:rsid w:val="00D12BDF"/>
    <w:pPr>
      <w:numPr>
        <w:ilvl w:val="3"/>
      </w:numPr>
    </w:pPr>
  </w:style>
  <w:style w:type="paragraph" w:styleId="BodyText3">
    <w:name w:val="Body Text 3"/>
    <w:basedOn w:val="Normal"/>
    <w:link w:val="BodyText3Char"/>
    <w:uiPriority w:val="99"/>
    <w:semiHidden/>
    <w:unhideWhenUsed/>
    <w:rsid w:val="00AE5B30"/>
    <w:pPr>
      <w:spacing w:after="120"/>
    </w:pPr>
    <w:rPr>
      <w:sz w:val="16"/>
      <w:szCs w:val="16"/>
    </w:rPr>
  </w:style>
  <w:style w:type="character" w:customStyle="1" w:styleId="BodyText3Char">
    <w:name w:val="Body Text 3 Char"/>
    <w:basedOn w:val="DefaultParagraphFont"/>
    <w:link w:val="BodyText3"/>
    <w:uiPriority w:val="99"/>
    <w:semiHidden/>
    <w:rsid w:val="00AE5B3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harCharChar1">
    <w:name w:val="Char Char Char1"/>
    <w:basedOn w:val="Normal"/>
    <w:rsid w:val="00D12BDF"/>
    <w:pPr>
      <w:spacing w:after="160" w:line="240" w:lineRule="exact"/>
    </w:pPr>
    <w:rPr>
      <w:rFonts w:ascii="Times New Roman" w:eastAsia="Times New Roman" w:hAnsi="Times New Roman" w:cs="Arial"/>
      <w:sz w:val="20"/>
      <w:szCs w:val="20"/>
    </w:rPr>
  </w:style>
  <w:style w:type="paragraph" w:customStyle="1" w:styleId="IFADparagraphnumbering">
    <w:name w:val="IFAD paragraph numbering"/>
    <w:basedOn w:val="BodyText"/>
    <w:rsid w:val="00D12BDF"/>
    <w:pPr>
      <w:numPr>
        <w:numId w:val="8"/>
      </w:numPr>
      <w:spacing w:before="120"/>
      <w:jc w:val="both"/>
    </w:pPr>
    <w:rPr>
      <w:rFonts w:cs="Times New Roman"/>
      <w:i/>
      <w:iCs/>
      <w:szCs w:val="22"/>
      <w:lang w:val="fr-FR" w:eastAsia="en-GB"/>
    </w:rPr>
  </w:style>
  <w:style w:type="paragraph" w:customStyle="1" w:styleId="IFADparagraphno2ndlevel">
    <w:name w:val="IFAD paragraph no. 2nd level"/>
    <w:basedOn w:val="IFADparagraphnumbering"/>
    <w:rsid w:val="00D12BDF"/>
    <w:pPr>
      <w:numPr>
        <w:ilvl w:val="1"/>
      </w:numPr>
    </w:pPr>
  </w:style>
  <w:style w:type="paragraph" w:customStyle="1" w:styleId="IFADparagraphno3rdlevel">
    <w:name w:val="IFAD paragraph no. 3rd level"/>
    <w:basedOn w:val="IFADparagraphnumbering"/>
    <w:rsid w:val="00D12BDF"/>
    <w:pPr>
      <w:numPr>
        <w:ilvl w:val="2"/>
      </w:numPr>
    </w:pPr>
  </w:style>
  <w:style w:type="paragraph" w:customStyle="1" w:styleId="IFADparagraphno4thlevel">
    <w:name w:val="IFAD paragraph no. 4th level"/>
    <w:basedOn w:val="IFADparagraphnumbering"/>
    <w:rsid w:val="00D12BDF"/>
    <w:pPr>
      <w:numPr>
        <w:ilvl w:val="3"/>
      </w:numPr>
    </w:pPr>
  </w:style>
  <w:style w:type="paragraph" w:styleId="BodyText3">
    <w:name w:val="Body Text 3"/>
    <w:basedOn w:val="Normal"/>
    <w:link w:val="BodyText3Char"/>
    <w:uiPriority w:val="99"/>
    <w:semiHidden/>
    <w:unhideWhenUsed/>
    <w:rsid w:val="00AE5B30"/>
    <w:pPr>
      <w:spacing w:after="120"/>
    </w:pPr>
    <w:rPr>
      <w:sz w:val="16"/>
      <w:szCs w:val="16"/>
    </w:rPr>
  </w:style>
  <w:style w:type="character" w:customStyle="1" w:styleId="BodyText3Char">
    <w:name w:val="Body Text 3 Char"/>
    <w:basedOn w:val="DefaultParagraphFont"/>
    <w:link w:val="BodyText3"/>
    <w:uiPriority w:val="99"/>
    <w:semiHidden/>
    <w:rsid w:val="00AE5B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p.md/jobs/current_job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obs.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F2D3-F2B9-4CC3-A4A7-D4540438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Olga Taran</cp:lastModifiedBy>
  <cp:revision>5</cp:revision>
  <dcterms:created xsi:type="dcterms:W3CDTF">2015-06-15T12:20:00Z</dcterms:created>
  <dcterms:modified xsi:type="dcterms:W3CDTF">2015-06-15T15:42:00Z</dcterms:modified>
</cp:coreProperties>
</file>