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8"/>
        <w:gridCol w:w="7514"/>
      </w:tblGrid>
      <w:tr w:rsidR="00C43483" w:rsidRPr="00050652" w14:paraId="1D917A7C" w14:textId="77777777" w:rsidTr="00363615">
        <w:tc>
          <w:tcPr>
            <w:tcW w:w="3168" w:type="dxa"/>
          </w:tcPr>
          <w:p w14:paraId="6FF866C2" w14:textId="77777777" w:rsidR="00C43483" w:rsidRPr="00050652" w:rsidRDefault="00C43483" w:rsidP="005B3620">
            <w:pPr>
              <w:spacing w:before="120" w:after="120"/>
              <w:rPr>
                <w:b/>
                <w:sz w:val="24"/>
                <w:szCs w:val="24"/>
                <w:lang w:val="en-CA"/>
              </w:rPr>
            </w:pPr>
            <w:r w:rsidRPr="00050652">
              <w:rPr>
                <w:b/>
                <w:sz w:val="24"/>
                <w:szCs w:val="24"/>
                <w:lang w:val="en-CA"/>
              </w:rPr>
              <w:t>Title:</w:t>
            </w:r>
          </w:p>
        </w:tc>
        <w:tc>
          <w:tcPr>
            <w:tcW w:w="7514" w:type="dxa"/>
          </w:tcPr>
          <w:p w14:paraId="278B142B" w14:textId="77777777" w:rsidR="00C43483" w:rsidRPr="00050652" w:rsidRDefault="00C43483" w:rsidP="005B3620">
            <w:pPr>
              <w:spacing w:before="120" w:after="120"/>
              <w:rPr>
                <w:sz w:val="24"/>
                <w:szCs w:val="24"/>
                <w:lang w:val="en-CA"/>
              </w:rPr>
            </w:pPr>
            <w:r>
              <w:rPr>
                <w:sz w:val="24"/>
                <w:szCs w:val="24"/>
                <w:lang w:val="en-CA"/>
              </w:rPr>
              <w:t>UNDAF Evaluation</w:t>
            </w:r>
          </w:p>
        </w:tc>
      </w:tr>
      <w:tr w:rsidR="00C43483" w:rsidRPr="00050652" w14:paraId="4CE38034" w14:textId="77777777" w:rsidTr="00363615">
        <w:tc>
          <w:tcPr>
            <w:tcW w:w="3168" w:type="dxa"/>
          </w:tcPr>
          <w:p w14:paraId="711497BF" w14:textId="77777777" w:rsidR="00C43483" w:rsidRPr="00050652" w:rsidRDefault="00C43483" w:rsidP="005B3620">
            <w:pPr>
              <w:spacing w:before="120" w:after="120"/>
              <w:rPr>
                <w:b/>
                <w:sz w:val="24"/>
                <w:szCs w:val="24"/>
                <w:lang w:val="en-CA"/>
              </w:rPr>
            </w:pPr>
            <w:r w:rsidRPr="00050652">
              <w:rPr>
                <w:b/>
                <w:sz w:val="24"/>
                <w:szCs w:val="24"/>
                <w:lang w:val="en-CA"/>
              </w:rPr>
              <w:t>Location:</w:t>
            </w:r>
            <w:r w:rsidRPr="00050652">
              <w:rPr>
                <w:b/>
                <w:sz w:val="24"/>
                <w:szCs w:val="24"/>
                <w:lang w:val="en-CA"/>
              </w:rPr>
              <w:tab/>
            </w:r>
          </w:p>
        </w:tc>
        <w:tc>
          <w:tcPr>
            <w:tcW w:w="7514" w:type="dxa"/>
          </w:tcPr>
          <w:p w14:paraId="3E0E7D23" w14:textId="77777777" w:rsidR="00C43483" w:rsidRPr="00050652" w:rsidRDefault="00C43483" w:rsidP="005B3620">
            <w:pPr>
              <w:spacing w:before="120" w:after="120"/>
              <w:rPr>
                <w:sz w:val="24"/>
                <w:szCs w:val="24"/>
              </w:rPr>
            </w:pPr>
            <w:r w:rsidRPr="00050652">
              <w:rPr>
                <w:sz w:val="24"/>
                <w:szCs w:val="24"/>
              </w:rPr>
              <w:t>Lilongwe, Malawi</w:t>
            </w:r>
          </w:p>
        </w:tc>
      </w:tr>
      <w:tr w:rsidR="00C43483" w:rsidRPr="00050652" w14:paraId="48820FB9" w14:textId="77777777" w:rsidTr="00363615">
        <w:tc>
          <w:tcPr>
            <w:tcW w:w="3168" w:type="dxa"/>
          </w:tcPr>
          <w:p w14:paraId="4EBA3896" w14:textId="77777777" w:rsidR="00C43483" w:rsidRPr="00050652" w:rsidRDefault="00C43483" w:rsidP="005B3620">
            <w:pPr>
              <w:spacing w:before="120" w:after="120"/>
              <w:rPr>
                <w:b/>
                <w:sz w:val="24"/>
                <w:szCs w:val="24"/>
                <w:lang w:val="en-CA"/>
              </w:rPr>
            </w:pPr>
            <w:r w:rsidRPr="00050652">
              <w:rPr>
                <w:b/>
                <w:sz w:val="24"/>
                <w:szCs w:val="24"/>
              </w:rPr>
              <w:t xml:space="preserve">Application deadline: </w:t>
            </w:r>
            <w:r w:rsidRPr="00050652">
              <w:rPr>
                <w:b/>
                <w:sz w:val="24"/>
                <w:szCs w:val="24"/>
              </w:rPr>
              <w:tab/>
            </w:r>
          </w:p>
        </w:tc>
        <w:tc>
          <w:tcPr>
            <w:tcW w:w="7514" w:type="dxa"/>
          </w:tcPr>
          <w:p w14:paraId="5919A955" w14:textId="0050CDBA" w:rsidR="00C43483" w:rsidRPr="00050652" w:rsidRDefault="00C43483" w:rsidP="001D2A4D">
            <w:pPr>
              <w:spacing w:before="120" w:after="120"/>
              <w:rPr>
                <w:sz w:val="24"/>
                <w:szCs w:val="24"/>
                <w:lang w:val="en-CA"/>
              </w:rPr>
            </w:pPr>
            <w:r>
              <w:rPr>
                <w:sz w:val="24"/>
                <w:szCs w:val="24"/>
                <w:lang w:val="en-CA"/>
              </w:rPr>
              <w:t>2</w:t>
            </w:r>
            <w:r w:rsidR="001D2A4D">
              <w:rPr>
                <w:sz w:val="24"/>
                <w:szCs w:val="24"/>
                <w:lang w:val="en-CA"/>
              </w:rPr>
              <w:t>5</w:t>
            </w:r>
            <w:r w:rsidR="001D2A4D" w:rsidRPr="001D2A4D">
              <w:rPr>
                <w:sz w:val="24"/>
                <w:szCs w:val="24"/>
                <w:vertAlign w:val="superscript"/>
                <w:lang w:val="en-CA"/>
              </w:rPr>
              <w:t>th</w:t>
            </w:r>
            <w:r w:rsidR="001D2A4D">
              <w:rPr>
                <w:sz w:val="24"/>
                <w:szCs w:val="24"/>
                <w:lang w:val="en-CA"/>
              </w:rPr>
              <w:t xml:space="preserve"> </w:t>
            </w:r>
            <w:bookmarkStart w:id="0" w:name="_GoBack"/>
            <w:bookmarkEnd w:id="0"/>
            <w:r>
              <w:rPr>
                <w:sz w:val="24"/>
                <w:szCs w:val="24"/>
                <w:lang w:val="en-CA"/>
              </w:rPr>
              <w:t>January, 2015</w:t>
            </w:r>
          </w:p>
        </w:tc>
      </w:tr>
      <w:tr w:rsidR="00C43483" w:rsidRPr="00050652" w14:paraId="22468675" w14:textId="77777777" w:rsidTr="00363615">
        <w:tc>
          <w:tcPr>
            <w:tcW w:w="3168" w:type="dxa"/>
          </w:tcPr>
          <w:p w14:paraId="1B7A7771" w14:textId="77777777" w:rsidR="00C43483" w:rsidRPr="00050652" w:rsidRDefault="00C43483" w:rsidP="005B3620">
            <w:pPr>
              <w:spacing w:before="120" w:after="120"/>
              <w:rPr>
                <w:b/>
                <w:sz w:val="24"/>
                <w:szCs w:val="24"/>
                <w:lang w:val="en-CA"/>
              </w:rPr>
            </w:pPr>
            <w:r w:rsidRPr="00050652">
              <w:rPr>
                <w:b/>
                <w:sz w:val="24"/>
                <w:szCs w:val="24"/>
              </w:rPr>
              <w:t>Type of contract:</w:t>
            </w:r>
          </w:p>
        </w:tc>
        <w:tc>
          <w:tcPr>
            <w:tcW w:w="7514" w:type="dxa"/>
          </w:tcPr>
          <w:p w14:paraId="4444E65E" w14:textId="77777777" w:rsidR="00C43483" w:rsidRPr="00050652" w:rsidRDefault="00C43483" w:rsidP="005B3620">
            <w:pPr>
              <w:spacing w:before="120" w:after="120"/>
              <w:rPr>
                <w:sz w:val="24"/>
                <w:szCs w:val="24"/>
                <w:lang w:val="en-CA"/>
              </w:rPr>
            </w:pPr>
            <w:r w:rsidRPr="00050652">
              <w:rPr>
                <w:sz w:val="24"/>
                <w:szCs w:val="24"/>
              </w:rPr>
              <w:t>Individual Consultant</w:t>
            </w:r>
          </w:p>
        </w:tc>
      </w:tr>
      <w:tr w:rsidR="00C43483" w:rsidRPr="00050652" w14:paraId="3C31C074" w14:textId="77777777" w:rsidTr="00363615">
        <w:tc>
          <w:tcPr>
            <w:tcW w:w="3168" w:type="dxa"/>
          </w:tcPr>
          <w:p w14:paraId="06A0F5F9" w14:textId="77777777" w:rsidR="00C43483" w:rsidRPr="00050652" w:rsidRDefault="00C43483" w:rsidP="005B3620">
            <w:pPr>
              <w:spacing w:before="120" w:after="120"/>
              <w:rPr>
                <w:b/>
                <w:sz w:val="24"/>
                <w:szCs w:val="24"/>
                <w:lang w:val="en-CA"/>
              </w:rPr>
            </w:pPr>
            <w:r w:rsidRPr="00050652">
              <w:rPr>
                <w:b/>
                <w:sz w:val="24"/>
                <w:szCs w:val="24"/>
              </w:rPr>
              <w:t xml:space="preserve">Post level: </w:t>
            </w:r>
            <w:r w:rsidRPr="00050652">
              <w:rPr>
                <w:b/>
                <w:sz w:val="24"/>
                <w:szCs w:val="24"/>
              </w:rPr>
              <w:tab/>
            </w:r>
          </w:p>
        </w:tc>
        <w:tc>
          <w:tcPr>
            <w:tcW w:w="7514" w:type="dxa"/>
          </w:tcPr>
          <w:p w14:paraId="6808FF29" w14:textId="77777777" w:rsidR="00C43483" w:rsidRPr="00050652" w:rsidRDefault="00C43483" w:rsidP="005B3620">
            <w:pPr>
              <w:spacing w:before="120" w:after="120"/>
              <w:rPr>
                <w:sz w:val="24"/>
                <w:szCs w:val="24"/>
                <w:lang w:val="en-CA"/>
              </w:rPr>
            </w:pPr>
            <w:r>
              <w:rPr>
                <w:sz w:val="24"/>
                <w:szCs w:val="24"/>
              </w:rPr>
              <w:t>International</w:t>
            </w:r>
          </w:p>
        </w:tc>
      </w:tr>
      <w:tr w:rsidR="00C43483" w:rsidRPr="00050652" w14:paraId="2FACB768" w14:textId="77777777" w:rsidTr="00363615">
        <w:tc>
          <w:tcPr>
            <w:tcW w:w="3168" w:type="dxa"/>
          </w:tcPr>
          <w:p w14:paraId="5BB105F2" w14:textId="77777777" w:rsidR="00C43483" w:rsidRPr="00050652" w:rsidRDefault="00C43483" w:rsidP="005B3620">
            <w:pPr>
              <w:spacing w:before="120" w:after="120"/>
              <w:rPr>
                <w:b/>
                <w:sz w:val="24"/>
                <w:szCs w:val="24"/>
                <w:lang w:val="en-CA"/>
              </w:rPr>
            </w:pPr>
            <w:r w:rsidRPr="00050652">
              <w:rPr>
                <w:b/>
                <w:sz w:val="24"/>
                <w:szCs w:val="24"/>
              </w:rPr>
              <w:t>Languages required:</w:t>
            </w:r>
          </w:p>
        </w:tc>
        <w:tc>
          <w:tcPr>
            <w:tcW w:w="7514" w:type="dxa"/>
          </w:tcPr>
          <w:p w14:paraId="313DECA8" w14:textId="77777777" w:rsidR="00C43483" w:rsidRPr="00050652" w:rsidRDefault="00C43483" w:rsidP="005B3620">
            <w:pPr>
              <w:spacing w:before="120" w:after="120"/>
              <w:rPr>
                <w:sz w:val="24"/>
                <w:szCs w:val="24"/>
                <w:lang w:val="en-CA"/>
              </w:rPr>
            </w:pPr>
            <w:r w:rsidRPr="00050652">
              <w:rPr>
                <w:sz w:val="24"/>
                <w:szCs w:val="24"/>
              </w:rPr>
              <w:t>English</w:t>
            </w:r>
          </w:p>
        </w:tc>
      </w:tr>
      <w:tr w:rsidR="00C43483" w:rsidRPr="00050652" w14:paraId="55FC52EE" w14:textId="77777777" w:rsidTr="00363615">
        <w:tc>
          <w:tcPr>
            <w:tcW w:w="3168" w:type="dxa"/>
          </w:tcPr>
          <w:p w14:paraId="1004EA79" w14:textId="77777777" w:rsidR="00C43483" w:rsidRPr="00050652" w:rsidRDefault="00C43483" w:rsidP="005B3620">
            <w:pPr>
              <w:spacing w:before="120" w:after="120"/>
              <w:rPr>
                <w:b/>
                <w:sz w:val="24"/>
                <w:szCs w:val="24"/>
                <w:lang w:val="en-CA"/>
              </w:rPr>
            </w:pPr>
            <w:r w:rsidRPr="00050652">
              <w:rPr>
                <w:b/>
                <w:sz w:val="24"/>
                <w:szCs w:val="24"/>
              </w:rPr>
              <w:t xml:space="preserve">Duration of initial contract: </w:t>
            </w:r>
            <w:r w:rsidRPr="00050652">
              <w:rPr>
                <w:b/>
                <w:sz w:val="24"/>
                <w:szCs w:val="24"/>
              </w:rPr>
              <w:tab/>
            </w:r>
          </w:p>
        </w:tc>
        <w:tc>
          <w:tcPr>
            <w:tcW w:w="7514" w:type="dxa"/>
          </w:tcPr>
          <w:p w14:paraId="27A3E7B2" w14:textId="24FDB1D3" w:rsidR="00C43483" w:rsidRPr="00050652" w:rsidRDefault="00363615" w:rsidP="00363615">
            <w:pPr>
              <w:spacing w:before="120" w:after="120"/>
              <w:rPr>
                <w:sz w:val="24"/>
                <w:szCs w:val="24"/>
                <w:lang w:val="en-CA"/>
              </w:rPr>
            </w:pPr>
            <w:r>
              <w:rPr>
                <w:sz w:val="24"/>
              </w:rPr>
              <w:t>2</w:t>
            </w:r>
            <w:r w:rsidRPr="00363615">
              <w:rPr>
                <w:sz w:val="24"/>
                <w:vertAlign w:val="superscript"/>
              </w:rPr>
              <w:t>nd</w:t>
            </w:r>
            <w:r>
              <w:rPr>
                <w:sz w:val="24"/>
              </w:rPr>
              <w:t xml:space="preserve"> March to 15</w:t>
            </w:r>
            <w:r w:rsidRPr="00363615">
              <w:rPr>
                <w:sz w:val="24"/>
                <w:vertAlign w:val="superscript"/>
              </w:rPr>
              <w:t>th</w:t>
            </w:r>
            <w:r>
              <w:rPr>
                <w:sz w:val="24"/>
              </w:rPr>
              <w:t xml:space="preserve"> May </w:t>
            </w:r>
            <w:r w:rsidR="00C43483" w:rsidRPr="00050652">
              <w:rPr>
                <w:sz w:val="24"/>
              </w:rPr>
              <w:t xml:space="preserve">(11 weeks, </w:t>
            </w:r>
            <w:r w:rsidR="00C43483">
              <w:rPr>
                <w:sz w:val="24"/>
              </w:rPr>
              <w:t>50</w:t>
            </w:r>
            <w:r w:rsidR="00C43483" w:rsidRPr="00050652">
              <w:rPr>
                <w:sz w:val="24"/>
              </w:rPr>
              <w:t xml:space="preserve"> working days)</w:t>
            </w:r>
          </w:p>
        </w:tc>
      </w:tr>
    </w:tbl>
    <w:p w14:paraId="6BBB608C" w14:textId="77777777" w:rsidR="009A1373" w:rsidRDefault="009A1373" w:rsidP="00582A1E">
      <w:pPr>
        <w:rPr>
          <w:lang w:val="en-US"/>
        </w:rPr>
      </w:pPr>
    </w:p>
    <w:p w14:paraId="4E12F000" w14:textId="74BCB0FB" w:rsidR="00F04123" w:rsidRDefault="001B15FD" w:rsidP="00B56EEB">
      <w:pPr>
        <w:pStyle w:val="Heading1"/>
        <w:rPr>
          <w:lang w:val="en-US"/>
        </w:rPr>
      </w:pPr>
      <w:r>
        <w:rPr>
          <w:lang w:val="en-US"/>
        </w:rPr>
        <w:t>1</w:t>
      </w:r>
      <w:r w:rsidR="00A10CB5">
        <w:rPr>
          <w:lang w:val="en-US"/>
        </w:rPr>
        <w:t>.</w:t>
      </w:r>
      <w:r w:rsidR="00A10CB5">
        <w:rPr>
          <w:lang w:val="en-US"/>
        </w:rPr>
        <w:tab/>
      </w:r>
      <w:r w:rsidR="00554C31" w:rsidRPr="00FE38B3">
        <w:rPr>
          <w:lang w:val="en-US"/>
        </w:rPr>
        <w:t>Background</w:t>
      </w:r>
    </w:p>
    <w:p w14:paraId="2F334DBE" w14:textId="277AC502" w:rsidR="00012A16" w:rsidRPr="00011BB1" w:rsidRDefault="00FE38B3" w:rsidP="00F875F8">
      <w:pPr>
        <w:jc w:val="both"/>
      </w:pPr>
      <w:r w:rsidRPr="00C91D23">
        <w:rPr>
          <w:color w:val="000000" w:themeColor="text1"/>
        </w:rPr>
        <w:t>In 2007</w:t>
      </w:r>
      <w:r>
        <w:rPr>
          <w:color w:val="000000" w:themeColor="text1"/>
        </w:rPr>
        <w:t>,</w:t>
      </w:r>
      <w:r w:rsidRPr="00C91D23">
        <w:rPr>
          <w:color w:val="000000" w:themeColor="text1"/>
        </w:rPr>
        <w:t xml:space="preserve"> Malawi was one of the countries t</w:t>
      </w:r>
      <w:r w:rsidR="008D3928">
        <w:rPr>
          <w:color w:val="000000" w:themeColor="text1"/>
        </w:rPr>
        <w:t>hat volunteered to “Deliver as O</w:t>
      </w:r>
      <w:r w:rsidRPr="00C91D23">
        <w:rPr>
          <w:color w:val="000000" w:themeColor="text1"/>
        </w:rPr>
        <w:t>ne”</w:t>
      </w:r>
      <w:r w:rsidR="007A6E57">
        <w:rPr>
          <w:color w:val="000000" w:themeColor="text1"/>
        </w:rPr>
        <w:t xml:space="preserve"> (</w:t>
      </w:r>
      <w:proofErr w:type="spellStart"/>
      <w:r w:rsidR="007A6E57">
        <w:rPr>
          <w:color w:val="000000" w:themeColor="text1"/>
        </w:rPr>
        <w:t>DaO</w:t>
      </w:r>
      <w:proofErr w:type="spellEnd"/>
      <w:r w:rsidR="007A6E57">
        <w:rPr>
          <w:color w:val="000000" w:themeColor="text1"/>
        </w:rPr>
        <w:t>)</w:t>
      </w:r>
      <w:r w:rsidRPr="00C91D23">
        <w:rPr>
          <w:color w:val="000000" w:themeColor="text1"/>
        </w:rPr>
        <w:t xml:space="preserve"> Ultimately, it was not one of the eight selected “pilots”, but </w:t>
      </w:r>
      <w:r w:rsidR="000F70AD">
        <w:rPr>
          <w:color w:val="000000" w:themeColor="text1"/>
        </w:rPr>
        <w:t xml:space="preserve">instead </w:t>
      </w:r>
      <w:r w:rsidRPr="00C91D23">
        <w:rPr>
          <w:color w:val="000000" w:themeColor="text1"/>
        </w:rPr>
        <w:t>was an early “self-starter.”</w:t>
      </w:r>
      <w:r w:rsidR="00012A16">
        <w:rPr>
          <w:color w:val="000000" w:themeColor="text1"/>
        </w:rPr>
        <w:t xml:space="preserve"> </w:t>
      </w:r>
      <w:r w:rsidRPr="00C91D23">
        <w:rPr>
          <w:color w:val="000000" w:themeColor="text1"/>
        </w:rPr>
        <w:t xml:space="preserve">The </w:t>
      </w:r>
      <w:proofErr w:type="spellStart"/>
      <w:r w:rsidR="007A6E57">
        <w:rPr>
          <w:color w:val="000000" w:themeColor="text1"/>
        </w:rPr>
        <w:t>DaO</w:t>
      </w:r>
      <w:proofErr w:type="spellEnd"/>
      <w:r w:rsidRPr="00C91D23">
        <w:rPr>
          <w:color w:val="000000" w:themeColor="text1"/>
        </w:rPr>
        <w:t xml:space="preserve"> reform agenda in Malawi has b</w:t>
      </w:r>
      <w:r>
        <w:rPr>
          <w:color w:val="000000" w:themeColor="text1"/>
        </w:rPr>
        <w:t>een built on the tenets of the five</w:t>
      </w:r>
      <w:r w:rsidRPr="00C91D23">
        <w:rPr>
          <w:color w:val="000000" w:themeColor="text1"/>
        </w:rPr>
        <w:t xml:space="preserve"> ones: One Leader</w:t>
      </w:r>
      <w:r>
        <w:rPr>
          <w:color w:val="000000" w:themeColor="text1"/>
        </w:rPr>
        <w:t>,</w:t>
      </w:r>
      <w:r w:rsidRPr="00C91D23">
        <w:rPr>
          <w:color w:val="000000" w:themeColor="text1"/>
        </w:rPr>
        <w:t xml:space="preserve"> One P</w:t>
      </w:r>
      <w:r>
        <w:rPr>
          <w:color w:val="000000" w:themeColor="text1"/>
        </w:rPr>
        <w:t xml:space="preserve">rogramme, One Budgetary Framework, Operating as One </w:t>
      </w:r>
      <w:r w:rsidRPr="00C91D23">
        <w:rPr>
          <w:color w:val="000000" w:themeColor="text1"/>
        </w:rPr>
        <w:t>and One Voice.</w:t>
      </w:r>
      <w:r w:rsidR="00F875F8">
        <w:rPr>
          <w:color w:val="000000" w:themeColor="text1"/>
        </w:rPr>
        <w:t xml:space="preserve"> </w:t>
      </w:r>
      <w:r w:rsidR="00012A16" w:rsidRPr="00011BB1">
        <w:t xml:space="preserve">Pursuing the UN reform agenda, Malawi is one of the countries globally to develop and utilize the </w:t>
      </w:r>
      <w:r w:rsidR="008D3928" w:rsidRPr="00011BB1">
        <w:t>United Nations Development Assistance Framework (UNDAF)</w:t>
      </w:r>
      <w:r w:rsidR="008D3928">
        <w:t xml:space="preserve"> </w:t>
      </w:r>
      <w:r w:rsidR="00012A16" w:rsidRPr="00011BB1">
        <w:t xml:space="preserve">planning methodology under the </w:t>
      </w:r>
      <w:proofErr w:type="spellStart"/>
      <w:r w:rsidR="007A6E57">
        <w:t>DaO</w:t>
      </w:r>
      <w:proofErr w:type="spellEnd"/>
      <w:r w:rsidR="007A6E57">
        <w:t xml:space="preserve"> </w:t>
      </w:r>
      <w:r w:rsidR="00012A16" w:rsidRPr="00011BB1">
        <w:t xml:space="preserve">Approach. </w:t>
      </w:r>
      <w:r w:rsidR="008D3928">
        <w:t xml:space="preserve">The UNDAF represents the One Programme component of </w:t>
      </w:r>
      <w:proofErr w:type="spellStart"/>
      <w:r w:rsidR="007A6E57">
        <w:t>DaO</w:t>
      </w:r>
      <w:proofErr w:type="spellEnd"/>
      <w:r w:rsidR="008D3928">
        <w:t>.</w:t>
      </w:r>
      <w:r w:rsidR="008D3928" w:rsidRPr="00011BB1">
        <w:t xml:space="preserve"> </w:t>
      </w:r>
      <w:r w:rsidR="008D3928">
        <w:t xml:space="preserve"> It</w:t>
      </w:r>
      <w:r w:rsidR="00012A16" w:rsidRPr="00011BB1">
        <w:t xml:space="preserve"> replaces the joint UN programmes and the multiple UN-supported initiatives with a single, coherent plan for all UN funds, programmes and agencies in Malawi, in which each agency is responsible for delivery on a set of key actions that jointly contribute to shared results. </w:t>
      </w:r>
    </w:p>
    <w:p w14:paraId="7E3AE66B" w14:textId="7D895273" w:rsidR="00012A16" w:rsidRPr="00866937" w:rsidRDefault="00FE38B3" w:rsidP="00F875F8">
      <w:pPr>
        <w:jc w:val="both"/>
      </w:pPr>
      <w:r w:rsidRPr="00C91D23">
        <w:rPr>
          <w:color w:val="000000" w:themeColor="text1"/>
        </w:rPr>
        <w:t xml:space="preserve">Since 2008, there has been two successive </w:t>
      </w:r>
      <w:r w:rsidR="000F70AD">
        <w:rPr>
          <w:color w:val="000000" w:themeColor="text1"/>
        </w:rPr>
        <w:t>UNDAFs</w:t>
      </w:r>
      <w:r w:rsidRPr="00C91D23">
        <w:rPr>
          <w:color w:val="000000" w:themeColor="text1"/>
        </w:rPr>
        <w:t xml:space="preserve"> that have been developed since the reform agenda was adopted; with one cycle for 2008-11 and the </w:t>
      </w:r>
      <w:r w:rsidR="000F70AD">
        <w:rPr>
          <w:color w:val="000000" w:themeColor="text1"/>
        </w:rPr>
        <w:t xml:space="preserve">current </w:t>
      </w:r>
      <w:r w:rsidR="00012A16">
        <w:rPr>
          <w:color w:val="000000" w:themeColor="text1"/>
        </w:rPr>
        <w:t>cycle</w:t>
      </w:r>
      <w:r w:rsidR="000F70AD">
        <w:rPr>
          <w:color w:val="000000" w:themeColor="text1"/>
        </w:rPr>
        <w:t xml:space="preserve"> </w:t>
      </w:r>
      <w:r w:rsidRPr="00C91D23">
        <w:rPr>
          <w:color w:val="000000" w:themeColor="text1"/>
        </w:rPr>
        <w:t xml:space="preserve">for 2012-2016. </w:t>
      </w:r>
      <w:r w:rsidR="00012A16" w:rsidRPr="00866937">
        <w:t xml:space="preserve">The </w:t>
      </w:r>
      <w:r w:rsidR="00012A16" w:rsidRPr="00866937">
        <w:rPr>
          <w:rFonts w:cs="Arial"/>
        </w:rPr>
        <w:t>UNDAF</w:t>
      </w:r>
      <w:r w:rsidR="008D3928">
        <w:rPr>
          <w:rFonts w:cs="Arial"/>
        </w:rPr>
        <w:t xml:space="preserve"> 2012–</w:t>
      </w:r>
      <w:r w:rsidR="00012A16" w:rsidRPr="00866937">
        <w:rPr>
          <w:rFonts w:cs="Arial"/>
        </w:rPr>
        <w:t>201</w:t>
      </w:r>
      <w:r w:rsidR="00012A16" w:rsidRPr="00866937">
        <w:rPr>
          <w:rStyle w:val="apple-converted-space"/>
          <w:rFonts w:cs="Arial"/>
        </w:rPr>
        <w:t>6 </w:t>
      </w:r>
      <w:r w:rsidR="00012A16" w:rsidRPr="00866937">
        <w:t xml:space="preserve">is </w:t>
      </w:r>
      <w:r w:rsidR="008D3928" w:rsidRPr="00866937">
        <w:t xml:space="preserve">the </w:t>
      </w:r>
      <w:r w:rsidR="008D3928">
        <w:t>common</w:t>
      </w:r>
      <w:r w:rsidR="008D3928" w:rsidRPr="00866937">
        <w:t xml:space="preserve"> </w:t>
      </w:r>
      <w:r w:rsidR="008D3928">
        <w:rPr>
          <w:color w:val="000000" w:themeColor="text1"/>
        </w:rPr>
        <w:t xml:space="preserve">plan </w:t>
      </w:r>
      <w:r w:rsidR="008D3928" w:rsidRPr="00011BB1">
        <w:t xml:space="preserve">of </w:t>
      </w:r>
      <w:r w:rsidR="008D3928">
        <w:t>21 resident and non-resident</w:t>
      </w:r>
      <w:r w:rsidR="008D3928" w:rsidRPr="00011BB1">
        <w:t xml:space="preserve"> UN agencies, funds and programmes in Malawi</w:t>
      </w:r>
      <w:r w:rsidR="000E6C5A">
        <w:rPr>
          <w:rStyle w:val="FootnoteReference"/>
        </w:rPr>
        <w:footnoteReference w:id="1"/>
      </w:r>
      <w:r w:rsidR="008D3928" w:rsidRPr="00866937">
        <w:t xml:space="preserve">. </w:t>
      </w:r>
      <w:r w:rsidR="008D3928">
        <w:t xml:space="preserve">It is </w:t>
      </w:r>
      <w:r w:rsidR="00012A16" w:rsidRPr="00866937">
        <w:t xml:space="preserve">in response to the needs and priorities of Malawi and based on the </w:t>
      </w:r>
      <w:r w:rsidR="00012A16" w:rsidRPr="00012A16">
        <w:t>objectives of the</w:t>
      </w:r>
      <w:hyperlink r:id="rId9" w:tgtFrame="_blank" w:history="1">
        <w:r w:rsidR="00012A16" w:rsidRPr="00012A16">
          <w:t> Malawi Growth and Development Strategy (MGDS)</w:t>
        </w:r>
      </w:hyperlink>
      <w:r w:rsidR="00012A16" w:rsidRPr="00012A16">
        <w:t xml:space="preserve"> II. It</w:t>
      </w:r>
      <w:r w:rsidR="00012A16" w:rsidRPr="00866937">
        <w:t xml:space="preserve"> sets out specific outcomes that the UN and the Government of Malawi together aim to achieve by 2016. This ‘One plan’ for Malawi supports the achievement of the international development goals, the Millennium Declaration and related Millennium Development Goals (MDGs), national development priorities which are consistent with the MDGs, and the realisation of international human rights in the country, including the right to humanitarian assistance for refugees. </w:t>
      </w:r>
    </w:p>
    <w:p w14:paraId="34A6932E" w14:textId="77777777" w:rsidR="00012A16" w:rsidRPr="00866937" w:rsidRDefault="00012A16" w:rsidP="00F875F8">
      <w:pPr>
        <w:jc w:val="both"/>
      </w:pPr>
      <w:r w:rsidRPr="00866937">
        <w:t>Guided by the UN comparative advantage, and the goals and targets of the MGDS II, the UNDAF had four inter-linked and mutually reinforcing priority areas:</w:t>
      </w:r>
    </w:p>
    <w:p w14:paraId="75690C5F" w14:textId="77777777" w:rsidR="00012A16" w:rsidRPr="004A4534" w:rsidRDefault="00012A16" w:rsidP="00F875F8">
      <w:pPr>
        <w:pStyle w:val="ListParagraph"/>
        <w:numPr>
          <w:ilvl w:val="0"/>
          <w:numId w:val="4"/>
        </w:numPr>
        <w:jc w:val="both"/>
      </w:pPr>
      <w:r w:rsidRPr="004A4534">
        <w:t>Sustainable and Equitable Economic Growth and Food Security</w:t>
      </w:r>
    </w:p>
    <w:p w14:paraId="5A0C8F59" w14:textId="77777777" w:rsidR="00012A16" w:rsidRPr="004A4534" w:rsidRDefault="00012A16" w:rsidP="00F875F8">
      <w:pPr>
        <w:pStyle w:val="ListParagraph"/>
        <w:numPr>
          <w:ilvl w:val="0"/>
          <w:numId w:val="4"/>
        </w:numPr>
        <w:jc w:val="both"/>
      </w:pPr>
      <w:r w:rsidRPr="004A4534">
        <w:t>Basic Social and Protection Services</w:t>
      </w:r>
    </w:p>
    <w:p w14:paraId="2EE42678" w14:textId="77777777" w:rsidR="00012A16" w:rsidRPr="004A4534" w:rsidRDefault="00012A16" w:rsidP="00F875F8">
      <w:pPr>
        <w:pStyle w:val="ListParagraph"/>
        <w:numPr>
          <w:ilvl w:val="0"/>
          <w:numId w:val="4"/>
        </w:numPr>
        <w:jc w:val="both"/>
      </w:pPr>
      <w:r w:rsidRPr="004A4534">
        <w:t>HIV and AIDS</w:t>
      </w:r>
    </w:p>
    <w:p w14:paraId="01A49AF8" w14:textId="77777777" w:rsidR="00012A16" w:rsidRPr="004A4534" w:rsidRDefault="00012A16" w:rsidP="00F875F8">
      <w:pPr>
        <w:pStyle w:val="ListParagraph"/>
        <w:numPr>
          <w:ilvl w:val="0"/>
          <w:numId w:val="4"/>
        </w:numPr>
        <w:jc w:val="both"/>
      </w:pPr>
      <w:r w:rsidRPr="004A4534">
        <w:t>Governance and Human Rights</w:t>
      </w:r>
    </w:p>
    <w:p w14:paraId="22D9D99D" w14:textId="550FA122" w:rsidR="00012A16" w:rsidRPr="00012A16" w:rsidRDefault="008D3928" w:rsidP="00F875F8">
      <w:pPr>
        <w:jc w:val="both"/>
      </w:pPr>
      <w:r w:rsidRPr="008D3928">
        <w:rPr>
          <w:noProof/>
          <w:lang w:eastAsia="en-GB"/>
        </w:rPr>
        <w:t xml:space="preserve">The UNDAF is fully aligned with the MGDS II. </w:t>
      </w:r>
      <w:r w:rsidR="00012A16" w:rsidRPr="008E6882">
        <w:t>These priority areas are bound together by key overarching issues including a focus on adol</w:t>
      </w:r>
      <w:r w:rsidR="005B3620">
        <w:t>esc</w:t>
      </w:r>
      <w:r w:rsidR="00012A16" w:rsidRPr="008E6882">
        <w:t>ent girls as a means to accelerate development; building resilience among communities and institutions; advancing human rights and gender equality</w:t>
      </w:r>
      <w:r w:rsidR="00012A16">
        <w:t>,</w:t>
      </w:r>
      <w:r w:rsidR="00012A16" w:rsidRPr="008E6882">
        <w:t xml:space="preserve"> and advocating for changing attitudes and behaviours. A focus on results backed by solid monitoring and programme oversight are key principles for how we implement our programmes.</w:t>
      </w:r>
    </w:p>
    <w:p w14:paraId="1A7E1463" w14:textId="77777777" w:rsidR="00012A16" w:rsidRPr="00012A16" w:rsidRDefault="00012A16" w:rsidP="00F875F8">
      <w:pPr>
        <w:jc w:val="both"/>
        <w:rPr>
          <w:noProof/>
          <w:lang w:eastAsia="en-GB"/>
        </w:rPr>
      </w:pPr>
      <w:r w:rsidRPr="00012A16">
        <w:rPr>
          <w:noProof/>
          <w:lang w:eastAsia="en-GB"/>
        </w:rPr>
        <w:lastRenderedPageBreak/>
        <w:t>In the implementation of the UNDAF, the UN in Malawi focuses on four Key Priority Areas:</w:t>
      </w:r>
    </w:p>
    <w:p w14:paraId="71E0C95B" w14:textId="77777777" w:rsidR="00012A16" w:rsidRPr="00B56EEB" w:rsidRDefault="00012A16" w:rsidP="00F875F8">
      <w:pPr>
        <w:pStyle w:val="ListParagraph"/>
        <w:numPr>
          <w:ilvl w:val="0"/>
          <w:numId w:val="5"/>
        </w:numPr>
        <w:spacing w:before="0"/>
        <w:jc w:val="both"/>
        <w:rPr>
          <w:noProof/>
          <w:lang w:eastAsia="en-GB"/>
        </w:rPr>
      </w:pPr>
      <w:r w:rsidRPr="00B56EEB">
        <w:rPr>
          <w:noProof/>
          <w:lang w:eastAsia="en-GB"/>
        </w:rPr>
        <w:t>National policies, local and national instituions effectively support equitable and sustainable econmic growt and food security by 2016</w:t>
      </w:r>
    </w:p>
    <w:p w14:paraId="579990C5" w14:textId="77777777" w:rsidR="00012A16" w:rsidRPr="00B56EEB" w:rsidRDefault="00012A16" w:rsidP="00F875F8">
      <w:pPr>
        <w:pStyle w:val="ListParagraph"/>
        <w:numPr>
          <w:ilvl w:val="0"/>
          <w:numId w:val="5"/>
        </w:numPr>
        <w:spacing w:before="0"/>
        <w:jc w:val="both"/>
        <w:rPr>
          <w:noProof/>
          <w:lang w:eastAsia="en-GB"/>
        </w:rPr>
      </w:pPr>
      <w:r w:rsidRPr="00B56EEB">
        <w:rPr>
          <w:noProof/>
          <w:lang w:eastAsia="en-GB"/>
        </w:rPr>
        <w:t>National instituions effectively deliver equittable and quality basic social and protection services by 2016</w:t>
      </w:r>
    </w:p>
    <w:p w14:paraId="3953BC98" w14:textId="77777777" w:rsidR="00012A16" w:rsidRPr="00B56EEB" w:rsidRDefault="00012A16" w:rsidP="00F875F8">
      <w:pPr>
        <w:pStyle w:val="ListParagraph"/>
        <w:numPr>
          <w:ilvl w:val="0"/>
          <w:numId w:val="5"/>
        </w:numPr>
        <w:spacing w:before="0"/>
        <w:jc w:val="both"/>
        <w:rPr>
          <w:noProof/>
          <w:lang w:eastAsia="en-GB"/>
        </w:rPr>
      </w:pPr>
      <w:r w:rsidRPr="00B56EEB">
        <w:rPr>
          <w:noProof/>
          <w:lang w:eastAsia="en-GB"/>
        </w:rPr>
        <w:t>National response to HIV and AIDS scaled up to achieve Universal Access to HIV prevention, treatment, care and support by 2016.</w:t>
      </w:r>
    </w:p>
    <w:p w14:paraId="5C76E3B1" w14:textId="77777777" w:rsidR="00012A16" w:rsidRPr="00B56EEB" w:rsidRDefault="00012A16" w:rsidP="00F875F8">
      <w:pPr>
        <w:pStyle w:val="ListParagraph"/>
        <w:numPr>
          <w:ilvl w:val="0"/>
          <w:numId w:val="5"/>
        </w:numPr>
        <w:spacing w:before="0"/>
        <w:jc w:val="both"/>
        <w:rPr>
          <w:noProof/>
          <w:lang w:eastAsia="en-GB"/>
        </w:rPr>
      </w:pPr>
      <w:r w:rsidRPr="00B56EEB">
        <w:rPr>
          <w:noProof/>
          <w:lang w:eastAsia="en-GB"/>
        </w:rPr>
        <w:t>National instituons effcetively support transparency, accountability, partipatory demonracy and human rights by 2016.</w:t>
      </w:r>
    </w:p>
    <w:p w14:paraId="5809DA49" w14:textId="77777777" w:rsidR="00004807" w:rsidRDefault="00012A16" w:rsidP="00F875F8">
      <w:pPr>
        <w:jc w:val="both"/>
      </w:pPr>
      <w:r>
        <w:t xml:space="preserve">The </w:t>
      </w:r>
      <w:r w:rsidRPr="00011BB1">
        <w:t xml:space="preserve">UNDAF enhances the UN’s focus on results by bringing together agency specific planning requirements in a consistent </w:t>
      </w:r>
      <w:r>
        <w:t xml:space="preserve">manner, ensuring </w:t>
      </w:r>
      <w:r w:rsidRPr="00011BB1">
        <w:t xml:space="preserve">a “necessary and sufficient” programme logic in the results chain and resource requirements. </w:t>
      </w:r>
      <w:r w:rsidR="008D3928" w:rsidRPr="0037364A">
        <w:t xml:space="preserve">The Plan comprises </w:t>
      </w:r>
      <w:r w:rsidR="00004807">
        <w:t xml:space="preserve">of a Programme Results Matrix, </w:t>
      </w:r>
      <w:r w:rsidR="008D3928" w:rsidRPr="0037364A">
        <w:t>a framework of Specific, Measurable, Achievable, Realistic and Time</w:t>
      </w:r>
      <w:r w:rsidR="00007E0D">
        <w:t>-</w:t>
      </w:r>
      <w:r w:rsidR="008D3928" w:rsidRPr="0037364A">
        <w:t xml:space="preserve">bound Outcomes and Outputs which </w:t>
      </w:r>
      <w:r w:rsidR="00004807">
        <w:t>includes indicators, baselines</w:t>
      </w:r>
      <w:r w:rsidR="00007E0D">
        <w:t>, targets</w:t>
      </w:r>
      <w:r w:rsidR="00004807">
        <w:t xml:space="preserve"> </w:t>
      </w:r>
      <w:r w:rsidR="008D3928" w:rsidRPr="0037364A">
        <w:t xml:space="preserve">and means of verification. </w:t>
      </w:r>
    </w:p>
    <w:p w14:paraId="0D080C52" w14:textId="40F222E4" w:rsidR="00004807" w:rsidRDefault="00004807" w:rsidP="00F875F8">
      <w:pPr>
        <w:jc w:val="both"/>
      </w:pPr>
      <w:r w:rsidRPr="00011BB1">
        <w:t xml:space="preserve">The UNDAF is organized </w:t>
      </w:r>
      <w:r w:rsidR="00F875F8">
        <w:t>in</w:t>
      </w:r>
      <w:r w:rsidRPr="00011BB1">
        <w:t xml:space="preserve"> four Clusters with </w:t>
      </w:r>
      <w:r>
        <w:t>14</w:t>
      </w:r>
      <w:r w:rsidRPr="00011BB1">
        <w:t xml:space="preserve"> Outcome Groups that allow UN agencies working in development sectors (food security, economic growth, health, governance, </w:t>
      </w:r>
      <w:proofErr w:type="spellStart"/>
      <w:r w:rsidRPr="00011BB1">
        <w:t>etc</w:t>
      </w:r>
      <w:proofErr w:type="spellEnd"/>
      <w:r w:rsidRPr="00011BB1">
        <w:t>) to coordinate their implementation under the sector/ cluster. The Outcome Groups have a UN lead agency to facilitate decision-making, coordination and coherence</w:t>
      </w:r>
      <w:r>
        <w:t>.</w:t>
      </w:r>
    </w:p>
    <w:p w14:paraId="08CD6B8D" w14:textId="5DDD4C76" w:rsidR="00004807" w:rsidRDefault="00004807" w:rsidP="00F875F8">
      <w:pPr>
        <w:jc w:val="both"/>
      </w:pPr>
      <w:r>
        <w:t>To</w:t>
      </w:r>
      <w:r w:rsidR="00012A16" w:rsidRPr="00011BB1">
        <w:t xml:space="preserve"> operationalis</w:t>
      </w:r>
      <w:r>
        <w:t>e</w:t>
      </w:r>
      <w:r w:rsidR="00012A16" w:rsidRPr="00011BB1">
        <w:t xml:space="preserve"> the UNDAF, </w:t>
      </w:r>
      <w:r>
        <w:t>an UNDAF Action Plan (AP) was developed which provided Annualised Key Results (AKRs) for each Outcome for each of the five years of the programme. However, more recently, the UNCT, with guidance from the UN Development Group (UNDG), has made the decision to move away from the rigid five year AP and instead focus on more flexible</w:t>
      </w:r>
      <w:r w:rsidR="00F875F8">
        <w:t>,</w:t>
      </w:r>
      <w:r>
        <w:t xml:space="preserve"> rolling A</w:t>
      </w:r>
      <w:r w:rsidR="00F875F8">
        <w:t xml:space="preserve">nnual </w:t>
      </w:r>
      <w:r>
        <w:t>W</w:t>
      </w:r>
      <w:r w:rsidR="00F875F8">
        <w:t xml:space="preserve">ork </w:t>
      </w:r>
      <w:r>
        <w:t>P</w:t>
      </w:r>
      <w:r w:rsidR="00F875F8">
        <w:t>lan</w:t>
      </w:r>
      <w:r>
        <w:t>s</w:t>
      </w:r>
      <w:r w:rsidR="00F875F8">
        <w:t xml:space="preserve"> (AWPs)</w:t>
      </w:r>
      <w:r>
        <w:t xml:space="preserve">. </w:t>
      </w:r>
      <w:r w:rsidRPr="00011BB1">
        <w:t xml:space="preserve">AWPs follow a normal year planning cycle, January to </w:t>
      </w:r>
      <w:r w:rsidR="00DE69F9" w:rsidRPr="00011BB1">
        <w:t>December</w:t>
      </w:r>
      <w:r w:rsidR="00DE69F9">
        <w:t>. The</w:t>
      </w:r>
      <w:r w:rsidR="00007E0D">
        <w:t xml:space="preserve"> AWPs</w:t>
      </w:r>
      <w:r w:rsidR="00DE69F9">
        <w:t xml:space="preserve"> are developed at the activity level </w:t>
      </w:r>
      <w:r w:rsidR="00DE69F9" w:rsidRPr="00011BB1">
        <w:t>using a common process</w:t>
      </w:r>
      <w:r w:rsidR="00DE69F9">
        <w:t xml:space="preserve"> and template, with the Outcomes and Outputs remaining fixed. This approach provides greater flexibility for revising programme activities based on national priorities and/or developments.</w:t>
      </w:r>
    </w:p>
    <w:p w14:paraId="4BA3B7D2" w14:textId="685E3FE4" w:rsidR="008D3928" w:rsidRDefault="00F875F8" w:rsidP="00F875F8">
      <w:pPr>
        <w:jc w:val="both"/>
      </w:pPr>
      <w:r>
        <w:t>The Joint S</w:t>
      </w:r>
      <w:r w:rsidR="008D3928">
        <w:t>trategy Meeting (JSM)</w:t>
      </w:r>
      <w:r w:rsidR="008D3928" w:rsidRPr="008D3928">
        <w:rPr>
          <w:rFonts w:ascii="Calibri" w:hAnsi="Calibri" w:cs="Calibri"/>
        </w:rPr>
        <w:t xml:space="preserve"> </w:t>
      </w:r>
      <w:r w:rsidR="008D3928" w:rsidRPr="00F73CC3">
        <w:rPr>
          <w:rFonts w:ascii="Calibri" w:hAnsi="Calibri" w:cs="Calibri"/>
        </w:rPr>
        <w:t>is a</w:t>
      </w:r>
      <w:r w:rsidR="008D3928">
        <w:rPr>
          <w:rFonts w:ascii="Calibri" w:hAnsi="Calibri" w:cs="Calibri"/>
        </w:rPr>
        <w:t>n annual</w:t>
      </w:r>
      <w:r w:rsidR="008D3928" w:rsidRPr="00F73CC3">
        <w:rPr>
          <w:rFonts w:ascii="Calibri" w:hAnsi="Calibri" w:cs="Calibri"/>
        </w:rPr>
        <w:t xml:space="preserve"> high level forum between the Government of Malawi and the United Nations </w:t>
      </w:r>
      <w:r w:rsidR="008D3928">
        <w:rPr>
          <w:rFonts w:ascii="Calibri" w:hAnsi="Calibri" w:cs="Calibri"/>
        </w:rPr>
        <w:t xml:space="preserve">Country Team </w:t>
      </w:r>
      <w:r w:rsidR="008D3928" w:rsidRPr="00F73CC3">
        <w:rPr>
          <w:rFonts w:ascii="Calibri" w:hAnsi="Calibri" w:cs="Calibri"/>
        </w:rPr>
        <w:t xml:space="preserve">which seeks to provide an oversight to the implementation and monitoring of the </w:t>
      </w:r>
      <w:r w:rsidR="008D3928">
        <w:rPr>
          <w:rFonts w:ascii="Calibri" w:hAnsi="Calibri" w:cs="Calibri"/>
        </w:rPr>
        <w:t xml:space="preserve">UNDAF. The JSM comprises </w:t>
      </w:r>
      <w:r w:rsidR="008D3928" w:rsidRPr="00F73CC3">
        <w:rPr>
          <w:rFonts w:ascii="Calibri" w:hAnsi="Calibri" w:cs="Calibri"/>
        </w:rPr>
        <w:t xml:space="preserve">the Heads of UN Agencies and Senior Government officials </w:t>
      </w:r>
      <w:r w:rsidR="008D3928">
        <w:rPr>
          <w:rFonts w:ascii="Calibri" w:hAnsi="Calibri" w:cs="Calibri"/>
        </w:rPr>
        <w:t xml:space="preserve">from </w:t>
      </w:r>
      <w:r w:rsidR="008D3928" w:rsidRPr="00F73CC3">
        <w:rPr>
          <w:rFonts w:ascii="Calibri" w:hAnsi="Calibri" w:cs="Calibri"/>
        </w:rPr>
        <w:t>key line Ministries</w:t>
      </w:r>
      <w:r w:rsidR="008D3928">
        <w:rPr>
          <w:rFonts w:ascii="Calibri" w:hAnsi="Calibri" w:cs="Calibri"/>
        </w:rPr>
        <w:t xml:space="preserve"> and is chaired by the Chief Secretary, with the UN Resident Coordinator as co-chair.</w:t>
      </w:r>
    </w:p>
    <w:p w14:paraId="62CFC496" w14:textId="77777777" w:rsidR="0068749F" w:rsidRDefault="0068749F" w:rsidP="00B56EEB">
      <w:pPr>
        <w:jc w:val="both"/>
        <w:rPr>
          <w:color w:val="000000" w:themeColor="text1"/>
        </w:rPr>
      </w:pPr>
    </w:p>
    <w:p w14:paraId="57B58B67" w14:textId="77777777" w:rsidR="000F70AD" w:rsidRPr="008D3928" w:rsidRDefault="00A10CB5" w:rsidP="00B56EEB">
      <w:pPr>
        <w:pStyle w:val="Heading1"/>
      </w:pPr>
      <w:r>
        <w:t>2.</w:t>
      </w:r>
      <w:r>
        <w:tab/>
      </w:r>
      <w:r w:rsidR="008D3928">
        <w:t>Country C</w:t>
      </w:r>
      <w:r w:rsidR="008D3928" w:rsidRPr="008D3928">
        <w:t>ontext</w:t>
      </w:r>
    </w:p>
    <w:p w14:paraId="6AB1D13F" w14:textId="28F0E989" w:rsidR="008E4268" w:rsidRDefault="008E4268" w:rsidP="00F875F8">
      <w:pPr>
        <w:jc w:val="both"/>
      </w:pPr>
      <w:r>
        <w:t xml:space="preserve">Malawi, officially known as the “Republic of Malawi,” is one of the </w:t>
      </w:r>
      <w:r w:rsidR="00F875F8">
        <w:t>s</w:t>
      </w:r>
      <w:r w:rsidR="009D6ABC">
        <w:t xml:space="preserve">even </w:t>
      </w:r>
      <w:r>
        <w:t xml:space="preserve">countries that belong to both the Southern African Development Community (SADC) and The Common Market for Eastern and Southern Africa (COMESA) trade blocs. It is a landlocked country that neighbours with Tanzania, Zambia and Mozambique. Its surface area is approximately 118,484 square kilometres, of which 20 percent is covered by Lake Malawi. Malawi has a population of 16.4 million, with 85% of the population living in rural areas. </w:t>
      </w:r>
      <w:r w:rsidRPr="00E076C0">
        <w:t>Life e</w:t>
      </w:r>
      <w:r>
        <w:t>xpectancy at birth is 55.3</w:t>
      </w:r>
      <w:r w:rsidRPr="00E076C0">
        <w:t xml:space="preserve"> years and the country is marked by high levels of vulnerability. </w:t>
      </w:r>
    </w:p>
    <w:p w14:paraId="42B54E21" w14:textId="249C64BC" w:rsidR="008E4268" w:rsidRDefault="008E4268" w:rsidP="00F875F8">
      <w:pPr>
        <w:jc w:val="both"/>
        <w:rPr>
          <w:rStyle w:val="apple-converted-space"/>
          <w:rFonts w:ascii="Helvetica" w:hAnsi="Helvetica" w:cs="Helvetica"/>
          <w:color w:val="757575"/>
          <w:sz w:val="21"/>
          <w:szCs w:val="21"/>
          <w:shd w:val="clear" w:color="auto" w:fill="FFFFFF"/>
        </w:rPr>
      </w:pPr>
      <w:r>
        <w:rPr>
          <w:bdr w:val="none" w:sz="0" w:space="0" w:color="auto" w:frame="1"/>
          <w:shd w:val="clear" w:color="auto" w:fill="FFFFFF"/>
        </w:rPr>
        <w:t xml:space="preserve">After independence from British rule in 1964 and more than 30 years of subsequent autocratic rule, </w:t>
      </w:r>
      <w:r>
        <w:t>Malawi</w:t>
      </w:r>
      <w:r w:rsidRPr="0037364A">
        <w:t xml:space="preserve"> continues to make steady progress in good governance. </w:t>
      </w:r>
      <w:r>
        <w:t xml:space="preserve">In </w:t>
      </w:r>
      <w:r w:rsidR="00604253">
        <w:t xml:space="preserve">May </w:t>
      </w:r>
      <w:r>
        <w:t xml:space="preserve">2014, </w:t>
      </w:r>
      <w:r w:rsidR="00604253">
        <w:t xml:space="preserve"> the </w:t>
      </w:r>
      <w:r>
        <w:rPr>
          <w:bdr w:val="none" w:sz="0" w:space="0" w:color="auto" w:frame="1"/>
          <w:shd w:val="clear" w:color="auto" w:fill="FFFFFF"/>
        </w:rPr>
        <w:t xml:space="preserve">current President, His Excellency </w:t>
      </w:r>
      <w:proofErr w:type="spellStart"/>
      <w:r>
        <w:rPr>
          <w:bdr w:val="none" w:sz="0" w:space="0" w:color="auto" w:frame="1"/>
          <w:shd w:val="clear" w:color="auto" w:fill="FFFFFF"/>
        </w:rPr>
        <w:t>Prof.</w:t>
      </w:r>
      <w:proofErr w:type="spellEnd"/>
      <w:r>
        <w:rPr>
          <w:bdr w:val="none" w:sz="0" w:space="0" w:color="auto" w:frame="1"/>
          <w:shd w:val="clear" w:color="auto" w:fill="FFFFFF"/>
        </w:rPr>
        <w:t xml:space="preserve"> Peter </w:t>
      </w:r>
      <w:proofErr w:type="spellStart"/>
      <w:r>
        <w:rPr>
          <w:bdr w:val="none" w:sz="0" w:space="0" w:color="auto" w:frame="1"/>
          <w:shd w:val="clear" w:color="auto" w:fill="FFFFFF"/>
        </w:rPr>
        <w:t>Mutharika</w:t>
      </w:r>
      <w:proofErr w:type="spellEnd"/>
      <w:r>
        <w:rPr>
          <w:bdr w:val="none" w:sz="0" w:space="0" w:color="auto" w:frame="1"/>
          <w:shd w:val="clear" w:color="auto" w:fill="FFFFFF"/>
        </w:rPr>
        <w:t xml:space="preserve"> was elected in</w:t>
      </w:r>
      <w:r w:rsidR="00604253">
        <w:rPr>
          <w:bdr w:val="none" w:sz="0" w:space="0" w:color="auto" w:frame="1"/>
          <w:shd w:val="clear" w:color="auto" w:fill="FFFFFF"/>
        </w:rPr>
        <w:t xml:space="preserve"> </w:t>
      </w:r>
      <w:r>
        <w:rPr>
          <w:bdr w:val="none" w:sz="0" w:space="0" w:color="auto" w:frame="1"/>
          <w:shd w:val="clear" w:color="auto" w:fill="FFFFFF"/>
        </w:rPr>
        <w:t xml:space="preserve"> Malawi’s first ever Tripartite Elections in which presidential, parliamentary and local government elections were conducted at one</w:t>
      </w:r>
      <w:r w:rsidR="00E804BD">
        <w:rPr>
          <w:bdr w:val="none" w:sz="0" w:space="0" w:color="auto" w:frame="1"/>
          <w:shd w:val="clear" w:color="auto" w:fill="FFFFFF"/>
        </w:rPr>
        <w:t xml:space="preserve"> time</w:t>
      </w:r>
      <w:r>
        <w:rPr>
          <w:bdr w:val="none" w:sz="0" w:space="0" w:color="auto" w:frame="1"/>
          <w:shd w:val="clear" w:color="auto" w:fill="FFFFFF"/>
        </w:rPr>
        <w:t xml:space="preserve">. </w:t>
      </w:r>
      <w:proofErr w:type="spellStart"/>
      <w:r>
        <w:rPr>
          <w:bdr w:val="none" w:sz="0" w:space="0" w:color="auto" w:frame="1"/>
          <w:shd w:val="clear" w:color="auto" w:fill="FFFFFF"/>
        </w:rPr>
        <w:t>Mutharika</w:t>
      </w:r>
      <w:proofErr w:type="spellEnd"/>
      <w:r>
        <w:rPr>
          <w:bdr w:val="none" w:sz="0" w:space="0" w:color="auto" w:frame="1"/>
          <w:shd w:val="clear" w:color="auto" w:fill="FFFFFF"/>
        </w:rPr>
        <w:t xml:space="preserve"> replaced former president </w:t>
      </w:r>
      <w:proofErr w:type="spellStart"/>
      <w:r>
        <w:rPr>
          <w:bdr w:val="none" w:sz="0" w:space="0" w:color="auto" w:frame="1"/>
          <w:shd w:val="clear" w:color="auto" w:fill="FFFFFF"/>
        </w:rPr>
        <w:t>Dr.</w:t>
      </w:r>
      <w:proofErr w:type="spellEnd"/>
      <w:r>
        <w:rPr>
          <w:bdr w:val="none" w:sz="0" w:space="0" w:color="auto" w:frame="1"/>
          <w:shd w:val="clear" w:color="auto" w:fill="FFFFFF"/>
        </w:rPr>
        <w:t xml:space="preserve"> Joyce Banda who ascended to power in April 2012 following the sudden death of the then president, </w:t>
      </w:r>
      <w:proofErr w:type="spellStart"/>
      <w:r>
        <w:rPr>
          <w:bdr w:val="none" w:sz="0" w:space="0" w:color="auto" w:frame="1"/>
          <w:shd w:val="clear" w:color="auto" w:fill="FFFFFF"/>
        </w:rPr>
        <w:t>Bingu</w:t>
      </w:r>
      <w:proofErr w:type="spellEnd"/>
      <w:r>
        <w:rPr>
          <w:bdr w:val="none" w:sz="0" w:space="0" w:color="auto" w:frame="1"/>
          <w:shd w:val="clear" w:color="auto" w:fill="FFFFFF"/>
        </w:rPr>
        <w:t xml:space="preserve"> </w:t>
      </w:r>
      <w:proofErr w:type="spellStart"/>
      <w:r>
        <w:rPr>
          <w:bdr w:val="none" w:sz="0" w:space="0" w:color="auto" w:frame="1"/>
          <w:shd w:val="clear" w:color="auto" w:fill="FFFFFF"/>
        </w:rPr>
        <w:t>wa</w:t>
      </w:r>
      <w:proofErr w:type="spellEnd"/>
      <w:r>
        <w:rPr>
          <w:bdr w:val="none" w:sz="0" w:space="0" w:color="auto" w:frame="1"/>
          <w:shd w:val="clear" w:color="auto" w:fill="FFFFFF"/>
        </w:rPr>
        <w:t xml:space="preserve"> </w:t>
      </w:r>
      <w:proofErr w:type="spellStart"/>
      <w:r>
        <w:rPr>
          <w:bdr w:val="none" w:sz="0" w:space="0" w:color="auto" w:frame="1"/>
          <w:shd w:val="clear" w:color="auto" w:fill="FFFFFF"/>
        </w:rPr>
        <w:t>Mutharika</w:t>
      </w:r>
      <w:proofErr w:type="spellEnd"/>
      <w:r>
        <w:rPr>
          <w:bdr w:val="none" w:sz="0" w:space="0" w:color="auto" w:frame="1"/>
          <w:shd w:val="clear" w:color="auto" w:fill="FFFFFF"/>
        </w:rPr>
        <w:t>, late brother to the current president.</w:t>
      </w:r>
      <w:r>
        <w:rPr>
          <w:rStyle w:val="apple-converted-space"/>
          <w:rFonts w:ascii="Helvetica" w:hAnsi="Helvetica" w:cs="Helvetica"/>
          <w:color w:val="757575"/>
          <w:sz w:val="21"/>
          <w:szCs w:val="21"/>
          <w:shd w:val="clear" w:color="auto" w:fill="FFFFFF"/>
        </w:rPr>
        <w:t> </w:t>
      </w:r>
    </w:p>
    <w:p w14:paraId="40832593" w14:textId="4EA6449C" w:rsidR="008E4268" w:rsidRDefault="008E4268" w:rsidP="00F875F8">
      <w:pPr>
        <w:jc w:val="both"/>
        <w:rPr>
          <w:bdr w:val="none" w:sz="0" w:space="0" w:color="auto" w:frame="1"/>
          <w:shd w:val="clear" w:color="auto" w:fill="FFFFFF"/>
        </w:rPr>
      </w:pPr>
      <w:r>
        <w:rPr>
          <w:bdr w:val="none" w:sz="0" w:space="0" w:color="auto" w:frame="1"/>
          <w:shd w:val="clear" w:color="auto" w:fill="FFFFFF"/>
        </w:rPr>
        <w:t>Malawi has a GDP of US$3.</w:t>
      </w:r>
      <w:r w:rsidR="00080DF9">
        <w:rPr>
          <w:bdr w:val="none" w:sz="0" w:space="0" w:color="auto" w:frame="1"/>
          <w:shd w:val="clear" w:color="auto" w:fill="FFFFFF"/>
        </w:rPr>
        <w:t>70</w:t>
      </w:r>
      <w:r>
        <w:rPr>
          <w:bdr w:val="none" w:sz="0" w:space="0" w:color="auto" w:frame="1"/>
          <w:shd w:val="clear" w:color="auto" w:fill="FFFFFF"/>
        </w:rPr>
        <w:t>5 billion and a per capita income of US$2</w:t>
      </w:r>
      <w:r w:rsidR="00080DF9">
        <w:rPr>
          <w:bdr w:val="none" w:sz="0" w:space="0" w:color="auto" w:frame="1"/>
          <w:shd w:val="clear" w:color="auto" w:fill="FFFFFF"/>
        </w:rPr>
        <w:t>26</w:t>
      </w:r>
      <w:r>
        <w:rPr>
          <w:bdr w:val="none" w:sz="0" w:space="0" w:color="auto" w:frame="1"/>
          <w:shd w:val="clear" w:color="auto" w:fill="FFFFFF"/>
        </w:rPr>
        <w:t>. With an estimated population of 1</w:t>
      </w:r>
      <w:r w:rsidR="00E25010">
        <w:rPr>
          <w:bdr w:val="none" w:sz="0" w:space="0" w:color="auto" w:frame="1"/>
          <w:shd w:val="clear" w:color="auto" w:fill="FFFFFF"/>
        </w:rPr>
        <w:t>5</w:t>
      </w:r>
      <w:r>
        <w:rPr>
          <w:bdr w:val="none" w:sz="0" w:space="0" w:color="auto" w:frame="1"/>
          <w:shd w:val="clear" w:color="auto" w:fill="FFFFFF"/>
        </w:rPr>
        <w:t>.4 million as of July 2012, almost 75% of the population earns less than US$1.25 per day. Agriculture is Malawi’s largest economic activity contributing 28.7% of GDP and more than 80% of export earnings.</w:t>
      </w:r>
      <w:r>
        <w:rPr>
          <w:rStyle w:val="apple-converted-space"/>
          <w:rFonts w:ascii="Helvetica" w:hAnsi="Helvetica" w:cs="Helvetica"/>
          <w:color w:val="757575"/>
          <w:sz w:val="21"/>
          <w:szCs w:val="21"/>
          <w:shd w:val="clear" w:color="auto" w:fill="FFFFFF"/>
        </w:rPr>
        <w:t> </w:t>
      </w:r>
      <w:r>
        <w:rPr>
          <w:bdr w:val="none" w:sz="0" w:space="0" w:color="auto" w:frame="1"/>
          <w:shd w:val="clear" w:color="auto" w:fill="FFFFFF"/>
        </w:rPr>
        <w:t>Malawi achieved encouraging economic results between 2006 and 2010, with an average growth rate of 7.5% but suffered serious setbacks in 2011 and 2012. As a result, it took the decision to devalue its currency in 2012. The 49 percent devaluation of the Kwacha and subsequent depreciation of the currency inevitably contributed to the rise in inflation.</w:t>
      </w:r>
      <w:r>
        <w:rPr>
          <w:rStyle w:val="apple-converted-space"/>
          <w:rFonts w:ascii="Helvetica" w:hAnsi="Helvetica" w:cs="Helvetica"/>
          <w:color w:val="757575"/>
          <w:sz w:val="21"/>
          <w:szCs w:val="21"/>
          <w:shd w:val="clear" w:color="auto" w:fill="FFFFFF"/>
        </w:rPr>
        <w:t> </w:t>
      </w:r>
      <w:r>
        <w:rPr>
          <w:bdr w:val="none" w:sz="0" w:space="0" w:color="auto" w:frame="1"/>
          <w:shd w:val="clear" w:color="auto" w:fill="FFFFFF"/>
        </w:rPr>
        <w:t xml:space="preserve">Inflation, </w:t>
      </w:r>
      <w:r w:rsidR="00A96DD0">
        <w:rPr>
          <w:bdr w:val="none" w:sz="0" w:space="0" w:color="auto" w:frame="1"/>
          <w:shd w:val="clear" w:color="auto" w:fill="FFFFFF"/>
        </w:rPr>
        <w:t>due to adherence to strict financial</w:t>
      </w:r>
      <w:r>
        <w:rPr>
          <w:bdr w:val="none" w:sz="0" w:space="0" w:color="auto" w:frame="1"/>
          <w:shd w:val="clear" w:color="auto" w:fill="FFFFFF"/>
        </w:rPr>
        <w:t xml:space="preserve"> </w:t>
      </w:r>
      <w:r w:rsidR="00A96DD0">
        <w:rPr>
          <w:bdr w:val="none" w:sz="0" w:space="0" w:color="auto" w:frame="1"/>
          <w:shd w:val="clear" w:color="auto" w:fill="FFFFFF"/>
        </w:rPr>
        <w:t xml:space="preserve">polices, has </w:t>
      </w:r>
      <w:r>
        <w:rPr>
          <w:bdr w:val="none" w:sz="0" w:space="0" w:color="auto" w:frame="1"/>
          <w:shd w:val="clear" w:color="auto" w:fill="FFFFFF"/>
        </w:rPr>
        <w:t>decline</w:t>
      </w:r>
      <w:r w:rsidR="00A96DD0">
        <w:rPr>
          <w:bdr w:val="none" w:sz="0" w:space="0" w:color="auto" w:frame="1"/>
          <w:shd w:val="clear" w:color="auto" w:fill="FFFFFF"/>
        </w:rPr>
        <w:t>d</w:t>
      </w:r>
      <w:r>
        <w:rPr>
          <w:bdr w:val="none" w:sz="0" w:space="0" w:color="auto" w:frame="1"/>
          <w:shd w:val="clear" w:color="auto" w:fill="FFFFFF"/>
        </w:rPr>
        <w:t xml:space="preserve"> </w:t>
      </w:r>
      <w:r w:rsidR="00A96DD0">
        <w:rPr>
          <w:bdr w:val="none" w:sz="0" w:space="0" w:color="auto" w:frame="1"/>
          <w:shd w:val="clear" w:color="auto" w:fill="FFFFFF"/>
        </w:rPr>
        <w:t>and stands at 22.3% for August 2014.</w:t>
      </w:r>
    </w:p>
    <w:p w14:paraId="02454D3A" w14:textId="77777777" w:rsidR="008E4268" w:rsidRPr="0037364A" w:rsidRDefault="008E4268" w:rsidP="00F875F8">
      <w:pPr>
        <w:jc w:val="both"/>
      </w:pPr>
      <w:r>
        <w:lastRenderedPageBreak/>
        <w:t xml:space="preserve">Current development policies and strategies for Malawi reflect the “Vision 2020” strategy which was developed in 1998 and presents the country’s development goals by the year 2020.  </w:t>
      </w:r>
      <w:r w:rsidRPr="0068749F">
        <w:t xml:space="preserve">The MGDS II (2012 to 2016) is the second </w:t>
      </w:r>
      <w:r>
        <w:t>medium term</w:t>
      </w:r>
      <w:r w:rsidRPr="0068749F">
        <w:t xml:space="preserve"> poverty reduction strategy, which</w:t>
      </w:r>
      <w:r>
        <w:t xml:space="preserve"> provides a </w:t>
      </w:r>
      <w:r w:rsidRPr="0068749F">
        <w:t xml:space="preserve">framework for implementing </w:t>
      </w:r>
      <w:r>
        <w:t xml:space="preserve">the </w:t>
      </w:r>
      <w:r w:rsidRPr="0068749F">
        <w:t xml:space="preserve">MDGs. The strategy </w:t>
      </w:r>
      <w:r>
        <w:t xml:space="preserve">places </w:t>
      </w:r>
      <w:r w:rsidRPr="0068749F">
        <w:t>emphasises on wealth</w:t>
      </w:r>
      <w:r>
        <w:t xml:space="preserve"> </w:t>
      </w:r>
      <w:r w:rsidRPr="0068749F">
        <w:t>creation and sustainable economic growth. To</w:t>
      </w:r>
      <w:r>
        <w:t xml:space="preserve"> </w:t>
      </w:r>
      <w:r w:rsidRPr="0068749F">
        <w:t>ensure that financial resources are directed to the priority areas of the MGDS, government uses</w:t>
      </w:r>
      <w:r>
        <w:t xml:space="preserve"> </w:t>
      </w:r>
      <w:r w:rsidRPr="0068749F">
        <w:t>Medium Term Expenditure Framework (MTEF) and the Public Sector Investment Programme</w:t>
      </w:r>
      <w:r>
        <w:t xml:space="preserve"> </w:t>
      </w:r>
      <w:r w:rsidRPr="0068749F">
        <w:t>(PSIP)</w:t>
      </w:r>
      <w:r w:rsidR="002B514F">
        <w:t xml:space="preserve">. </w:t>
      </w:r>
      <w:r w:rsidRPr="0037364A">
        <w:t>However, significant challenges remain, including weak implementation of a number of government strategies and action plans often attributed to lack of modern public service capacities and incentives. With public dissatisfaction growing, the Government must ensure delivery of minimum quality services including education, health care and social protection. Corruption is a major problem in both the public and private sectors and seen by the electorate as a critical issue.</w:t>
      </w:r>
      <w:r>
        <w:t xml:space="preserve"> </w:t>
      </w:r>
    </w:p>
    <w:p w14:paraId="37B04EDC" w14:textId="77777777" w:rsidR="002B514F" w:rsidRDefault="008E4268" w:rsidP="00F875F8">
      <w:pPr>
        <w:jc w:val="both"/>
      </w:pPr>
      <w:r w:rsidRPr="000212FE">
        <w:t>Poverty in Malawi remains high, widespread and concentrated in rural areas with a Human Development Index of 0.4</w:t>
      </w:r>
      <w:r>
        <w:t>14</w:t>
      </w:r>
      <w:r w:rsidRPr="000212FE">
        <w:t xml:space="preserve"> (</w:t>
      </w:r>
      <w:r>
        <w:t>in 2013</w:t>
      </w:r>
      <w:r w:rsidRPr="000212FE">
        <w:t>), placing it below</w:t>
      </w:r>
      <w:r>
        <w:t xml:space="preserve"> </w:t>
      </w:r>
      <w:r w:rsidRPr="000212FE">
        <w:t>the Sub-Saharan African average of 0.</w:t>
      </w:r>
      <w:r>
        <w:t>502</w:t>
      </w:r>
      <w:r w:rsidRPr="000212FE">
        <w:t xml:space="preserve">. According to the 2012 Integrated Household Survey (IHS) report, Malawi’s poverty level is estimated at 50.7% a marginal reduction from an estimated 52.4% in 2005. Incomes remain very low with GNI per capita of USD$ 348 and a Gini Coefficient of 41.5 in 2010 reflecting acute income inequalities with large sections of society marginalized. </w:t>
      </w:r>
    </w:p>
    <w:p w14:paraId="01CE2EE3" w14:textId="77777777" w:rsidR="008E4268" w:rsidRDefault="008E4268" w:rsidP="00F875F8">
      <w:pPr>
        <w:jc w:val="both"/>
      </w:pPr>
      <w:r w:rsidRPr="000212FE">
        <w:t>The country also ranks as one of the most densely populated countries in Africa with a population density estimated at 139 persons per km2. The 2008 Population and Housing Census (PHC) estimated the population growth rate of 2.8% giving the country one of the fastest growing populations in the Sub-Saharan Africa region. Whilst Malawi is the le</w:t>
      </w:r>
      <w:r>
        <w:t>ast urbanized country in Africa</w:t>
      </w:r>
      <w:r w:rsidRPr="000212FE">
        <w:t>, it has one of the hig</w:t>
      </w:r>
      <w:r w:rsidR="002B514F">
        <w:t>hest urbanization rates in the w</w:t>
      </w:r>
      <w:r w:rsidRPr="000212FE">
        <w:t>orld at 6% per year. This poses a challenge for urban development, green and inclusive growth.</w:t>
      </w:r>
    </w:p>
    <w:p w14:paraId="3488197F" w14:textId="2C20E072" w:rsidR="008E4268" w:rsidRDefault="002B514F" w:rsidP="00F875F8">
      <w:pPr>
        <w:jc w:val="both"/>
        <w:rPr>
          <w:rFonts w:cs="Arial"/>
        </w:rPr>
      </w:pPr>
      <w:r>
        <w:rPr>
          <w:rFonts w:eastAsiaTheme="minorHAnsi"/>
        </w:rPr>
        <w:t xml:space="preserve">Furthermore, </w:t>
      </w:r>
      <w:r w:rsidR="008E4268" w:rsidRPr="00C5386E">
        <w:rPr>
          <w:rFonts w:cs="Arial"/>
        </w:rPr>
        <w:t>Malawi has been experiencing different natural and economic shocks that have eroded the resilience of most poor and vulnerable households and compromised their ability to sustain their livelihoods.  Malawi</w:t>
      </w:r>
      <w:r w:rsidR="008E4268">
        <w:rPr>
          <w:rFonts w:cs="Arial"/>
        </w:rPr>
        <w:t>’s population of over 1</w:t>
      </w:r>
      <w:r w:rsidR="00E9340E">
        <w:rPr>
          <w:rFonts w:cs="Arial"/>
        </w:rPr>
        <w:t>5</w:t>
      </w:r>
      <w:r w:rsidR="008E4268">
        <w:rPr>
          <w:rFonts w:cs="Arial"/>
        </w:rPr>
        <w:t xml:space="preserve"> million people</w:t>
      </w:r>
      <w:r w:rsidR="008E4268" w:rsidRPr="00C5386E">
        <w:rPr>
          <w:rFonts w:cs="Arial"/>
        </w:rPr>
        <w:t xml:space="preserve"> is perennially susceptible to several natural and economic shocks which include </w:t>
      </w:r>
      <w:r w:rsidR="008E4268" w:rsidRPr="00C5386E">
        <w:t xml:space="preserve">prolonged dry spells, floods, pest and diseases and high food prices.  </w:t>
      </w:r>
      <w:r w:rsidR="008E4268" w:rsidRPr="00C5386E">
        <w:rPr>
          <w:rFonts w:cs="Arial"/>
        </w:rPr>
        <w:t xml:space="preserve">The majority of these poor households are heavily dependent on subsistence agricultural production, normally cultivating less than 0.5 ha of land. The increasing frequency and scope of these natural and economic shocks despite government’s subsidy to the agricultural sector have mostly resulted in increased vulnerability of the majority of the already impoverished communities. </w:t>
      </w:r>
    </w:p>
    <w:p w14:paraId="6446DF12" w14:textId="3A6A2328" w:rsidR="008D3928" w:rsidRDefault="008E4268" w:rsidP="00F875F8">
      <w:pPr>
        <w:jc w:val="both"/>
        <w:rPr>
          <w:rFonts w:cs="Arial"/>
        </w:rPr>
      </w:pPr>
      <w:r>
        <w:rPr>
          <w:rFonts w:cs="Arial"/>
        </w:rPr>
        <w:t>In 2012, food insecurity was</w:t>
      </w:r>
      <w:r w:rsidRPr="00C5386E">
        <w:rPr>
          <w:rFonts w:cs="Arial"/>
        </w:rPr>
        <w:t xml:space="preserve"> present in 16 districts</w:t>
      </w:r>
      <w:r>
        <w:rPr>
          <w:rFonts w:cs="Arial"/>
        </w:rPr>
        <w:t xml:space="preserve">, while in </w:t>
      </w:r>
      <w:r w:rsidRPr="00C5386E">
        <w:rPr>
          <w:rFonts w:cs="Arial"/>
        </w:rPr>
        <w:t>November 2013, the Malawi Vulnerability Assessment Committee (MVAC</w:t>
      </w:r>
      <w:r w:rsidR="00E25010">
        <w:rPr>
          <w:rFonts w:cs="Arial"/>
        </w:rPr>
        <w:t xml:space="preserve">) </w:t>
      </w:r>
      <w:r w:rsidRPr="00C5386E">
        <w:rPr>
          <w:rFonts w:cs="Arial"/>
        </w:rPr>
        <w:t xml:space="preserve">reported a total of 1,855,183 people from 24 districts across the country </w:t>
      </w:r>
      <w:proofErr w:type="gramStart"/>
      <w:r w:rsidRPr="00C5386E">
        <w:rPr>
          <w:rFonts w:cs="Arial"/>
        </w:rPr>
        <w:t>who</w:t>
      </w:r>
      <w:proofErr w:type="gramEnd"/>
      <w:r w:rsidRPr="00C5386E">
        <w:rPr>
          <w:rFonts w:cs="Arial"/>
        </w:rPr>
        <w:t xml:space="preserve"> would have a food gap and would require emergency food assistance. </w:t>
      </w:r>
      <w:r>
        <w:rPr>
          <w:rFonts w:cs="Arial"/>
        </w:rPr>
        <w:t xml:space="preserve">Food insecurity </w:t>
      </w:r>
      <w:r w:rsidRPr="00C5386E">
        <w:rPr>
          <w:rFonts w:cs="Arial"/>
        </w:rPr>
        <w:t>expanded to districts which had never been reported as food insecure in the past, showing an erosion of people’s ability to withstand shocks.</w:t>
      </w:r>
      <w:r>
        <w:rPr>
          <w:rFonts w:cs="Arial"/>
        </w:rPr>
        <w:t xml:space="preserve"> While the projected number of food insecure households in 2014 has reduced significantly (estimated at 6</w:t>
      </w:r>
      <w:r w:rsidR="00E25010">
        <w:rPr>
          <w:rFonts w:cs="Arial"/>
        </w:rPr>
        <w:t>9</w:t>
      </w:r>
      <w:r>
        <w:rPr>
          <w:rFonts w:cs="Arial"/>
        </w:rPr>
        <w:t>0,000 people), significant work is still required to ensure households are resilient to shocks.</w:t>
      </w:r>
    </w:p>
    <w:p w14:paraId="0DE8AFC0" w14:textId="77777777" w:rsidR="002725AB" w:rsidRDefault="002725AB" w:rsidP="002B514F"/>
    <w:p w14:paraId="32AB160B" w14:textId="77777777" w:rsidR="008D3928" w:rsidRPr="008D3928" w:rsidRDefault="00A10CB5" w:rsidP="00B56EEB">
      <w:pPr>
        <w:pStyle w:val="Heading1"/>
      </w:pPr>
      <w:r>
        <w:t>3.</w:t>
      </w:r>
      <w:r>
        <w:tab/>
      </w:r>
      <w:r w:rsidR="008D3928" w:rsidRPr="008D3928">
        <w:t xml:space="preserve">UNDAF Evaluation Context </w:t>
      </w:r>
    </w:p>
    <w:p w14:paraId="68796DCC" w14:textId="77777777" w:rsidR="00DE69F9" w:rsidRDefault="00004807" w:rsidP="00B56EEB">
      <w:pPr>
        <w:jc w:val="both"/>
      </w:pPr>
      <w:r w:rsidRPr="0037364A">
        <w:t xml:space="preserve">Since the </w:t>
      </w:r>
      <w:r>
        <w:t>formulation of the UNDAF</w:t>
      </w:r>
      <w:r w:rsidR="00DE69F9">
        <w:t>, a number of internal reviews have taken place. These are as follows:</w:t>
      </w:r>
    </w:p>
    <w:p w14:paraId="15762818" w14:textId="77777777" w:rsidR="00D61C9C" w:rsidRPr="00B56EEB" w:rsidRDefault="00D61C9C" w:rsidP="00B56EEB">
      <w:pPr>
        <w:pStyle w:val="ListParagraph"/>
        <w:numPr>
          <w:ilvl w:val="0"/>
          <w:numId w:val="7"/>
        </w:numPr>
        <w:jc w:val="both"/>
      </w:pPr>
      <w:r w:rsidRPr="00B56EEB">
        <w:t>UNDAF Mid-Year Review, 2012</w:t>
      </w:r>
    </w:p>
    <w:p w14:paraId="70ECD34B" w14:textId="77777777" w:rsidR="00D61C9C" w:rsidRPr="00B56EEB" w:rsidRDefault="00D61C9C" w:rsidP="00B56EEB">
      <w:pPr>
        <w:pStyle w:val="ListParagraph"/>
        <w:numPr>
          <w:ilvl w:val="0"/>
          <w:numId w:val="7"/>
        </w:numPr>
        <w:jc w:val="both"/>
      </w:pPr>
      <w:r w:rsidRPr="00B56EEB">
        <w:t>UNDAF Annual Review, 2012</w:t>
      </w:r>
    </w:p>
    <w:p w14:paraId="4872D563" w14:textId="77777777" w:rsidR="00D61C9C" w:rsidRPr="00B56EEB" w:rsidRDefault="00D61C9C" w:rsidP="00B56EEB">
      <w:pPr>
        <w:pStyle w:val="ListParagraph"/>
        <w:numPr>
          <w:ilvl w:val="0"/>
          <w:numId w:val="7"/>
        </w:numPr>
        <w:jc w:val="both"/>
      </w:pPr>
      <w:r w:rsidRPr="00B56EEB">
        <w:t>UNDAF Mid-Year Review, 2013</w:t>
      </w:r>
    </w:p>
    <w:p w14:paraId="78711B97" w14:textId="77777777" w:rsidR="00D61C9C" w:rsidRPr="00B56EEB" w:rsidRDefault="00D61C9C" w:rsidP="00B56EEB">
      <w:pPr>
        <w:pStyle w:val="ListParagraph"/>
        <w:numPr>
          <w:ilvl w:val="0"/>
          <w:numId w:val="7"/>
        </w:numPr>
        <w:jc w:val="both"/>
      </w:pPr>
      <w:r w:rsidRPr="00B56EEB">
        <w:t>UNDAF Expanded Annual Review, 2013</w:t>
      </w:r>
    </w:p>
    <w:p w14:paraId="5A2BE1F1" w14:textId="711773AC" w:rsidR="000A6CB7" w:rsidRPr="00B56EEB" w:rsidRDefault="00D61C9C" w:rsidP="008103DB">
      <w:pPr>
        <w:pStyle w:val="ListParagraph"/>
        <w:numPr>
          <w:ilvl w:val="0"/>
          <w:numId w:val="7"/>
        </w:numPr>
        <w:jc w:val="both"/>
      </w:pPr>
      <w:r w:rsidRPr="00B56EEB">
        <w:t>UNDAF Mid-Year Review, 2014</w:t>
      </w:r>
    </w:p>
    <w:p w14:paraId="6087CE63" w14:textId="77777777" w:rsidR="00D61C9C" w:rsidRDefault="00DE69F9" w:rsidP="00B56EEB">
      <w:pPr>
        <w:jc w:val="both"/>
      </w:pPr>
      <w:r>
        <w:t xml:space="preserve">For each </w:t>
      </w:r>
      <w:r w:rsidR="00D61C9C">
        <w:t xml:space="preserve">of these </w:t>
      </w:r>
      <w:r>
        <w:t>review</w:t>
      </w:r>
      <w:r w:rsidR="00D61C9C">
        <w:t>s</w:t>
      </w:r>
      <w:r>
        <w:t>,</w:t>
      </w:r>
      <w:r w:rsidR="00D61C9C">
        <w:t xml:space="preserve"> findings and </w:t>
      </w:r>
      <w:r w:rsidR="00D61C9C" w:rsidRPr="0037364A">
        <w:t>lessons learnt have been documented, debated and converted into recommendations for improved programming and progression of the system-wide coherence agenda.</w:t>
      </w:r>
      <w:r w:rsidR="00D61C9C">
        <w:t xml:space="preserve"> In addition to these UNDAF specific reviews, the following reviews, assessment and evaluations of the UN in Malawi have also taken place:</w:t>
      </w:r>
    </w:p>
    <w:p w14:paraId="5505A51F" w14:textId="77777777" w:rsidR="00D61C9C" w:rsidRPr="00B56EEB" w:rsidRDefault="00D61C9C" w:rsidP="00B56EEB">
      <w:pPr>
        <w:pStyle w:val="ListParagraph"/>
        <w:numPr>
          <w:ilvl w:val="0"/>
          <w:numId w:val="8"/>
        </w:numPr>
        <w:jc w:val="both"/>
        <w:rPr>
          <w:szCs w:val="22"/>
        </w:rPr>
      </w:pPr>
      <w:r w:rsidRPr="00B56EEB">
        <w:rPr>
          <w:szCs w:val="22"/>
        </w:rPr>
        <w:t>Capacity Assessment, 2012</w:t>
      </w:r>
    </w:p>
    <w:p w14:paraId="549C8B73" w14:textId="77777777" w:rsidR="00D61C9C" w:rsidRPr="00B56EEB" w:rsidRDefault="00D61C9C" w:rsidP="00B56EEB">
      <w:pPr>
        <w:pStyle w:val="ListParagraph"/>
        <w:numPr>
          <w:ilvl w:val="0"/>
          <w:numId w:val="8"/>
        </w:numPr>
        <w:jc w:val="both"/>
        <w:rPr>
          <w:szCs w:val="22"/>
        </w:rPr>
      </w:pPr>
      <w:r w:rsidRPr="00B56EEB">
        <w:rPr>
          <w:szCs w:val="22"/>
        </w:rPr>
        <w:lastRenderedPageBreak/>
        <w:t xml:space="preserve">MDG Acceleration Framework </w:t>
      </w:r>
      <w:r w:rsidR="002E7C94" w:rsidRPr="00B56EEB">
        <w:rPr>
          <w:szCs w:val="22"/>
        </w:rPr>
        <w:t>(MAF), 2013</w:t>
      </w:r>
    </w:p>
    <w:p w14:paraId="149E97EB" w14:textId="77777777" w:rsidR="002E7C94" w:rsidRPr="00B56EEB" w:rsidRDefault="002E7C94" w:rsidP="00B56EEB">
      <w:pPr>
        <w:pStyle w:val="ListParagraph"/>
        <w:numPr>
          <w:ilvl w:val="0"/>
          <w:numId w:val="8"/>
        </w:numPr>
        <w:jc w:val="both"/>
        <w:rPr>
          <w:szCs w:val="22"/>
        </w:rPr>
      </w:pPr>
      <w:r w:rsidRPr="00B56EEB">
        <w:rPr>
          <w:szCs w:val="22"/>
        </w:rPr>
        <w:t>Post 2015 National Consultations, 2013</w:t>
      </w:r>
    </w:p>
    <w:p w14:paraId="2336BD62" w14:textId="77777777" w:rsidR="00D61C9C" w:rsidRPr="00B56EEB" w:rsidRDefault="00D61C9C" w:rsidP="00B56EEB">
      <w:pPr>
        <w:pStyle w:val="ListParagraph"/>
        <w:numPr>
          <w:ilvl w:val="0"/>
          <w:numId w:val="8"/>
        </w:numPr>
        <w:jc w:val="both"/>
        <w:rPr>
          <w:szCs w:val="22"/>
        </w:rPr>
      </w:pPr>
      <w:r w:rsidRPr="00B56EEB">
        <w:rPr>
          <w:szCs w:val="22"/>
        </w:rPr>
        <w:t>Delivering as One Audit, 2014</w:t>
      </w:r>
    </w:p>
    <w:p w14:paraId="060C161F" w14:textId="77777777" w:rsidR="00D61C9C" w:rsidRPr="00B56EEB" w:rsidRDefault="00D61C9C" w:rsidP="00B56EEB">
      <w:pPr>
        <w:pStyle w:val="ListParagraph"/>
        <w:numPr>
          <w:ilvl w:val="0"/>
          <w:numId w:val="8"/>
        </w:numPr>
        <w:jc w:val="both"/>
        <w:rPr>
          <w:szCs w:val="22"/>
        </w:rPr>
      </w:pPr>
      <w:r w:rsidRPr="00B56EEB">
        <w:rPr>
          <w:szCs w:val="22"/>
        </w:rPr>
        <w:t>UNICEF Mid-Term Evaluation, 2014</w:t>
      </w:r>
    </w:p>
    <w:p w14:paraId="18B95B9C" w14:textId="77777777" w:rsidR="00D61C9C" w:rsidRPr="00B56EEB" w:rsidRDefault="00D61C9C" w:rsidP="00B56EEB">
      <w:pPr>
        <w:pStyle w:val="ListParagraph"/>
        <w:numPr>
          <w:ilvl w:val="0"/>
          <w:numId w:val="8"/>
        </w:numPr>
        <w:jc w:val="both"/>
        <w:rPr>
          <w:szCs w:val="22"/>
        </w:rPr>
      </w:pPr>
      <w:r w:rsidRPr="00B56EEB">
        <w:rPr>
          <w:szCs w:val="22"/>
        </w:rPr>
        <w:t>UNFPA Mid-Term Evaluation, 2014</w:t>
      </w:r>
    </w:p>
    <w:p w14:paraId="19FC39EE" w14:textId="77777777" w:rsidR="002E7C94" w:rsidRDefault="000A6CB7" w:rsidP="00B56EEB">
      <w:pPr>
        <w:pStyle w:val="ListParagraph"/>
        <w:numPr>
          <w:ilvl w:val="0"/>
          <w:numId w:val="8"/>
        </w:numPr>
        <w:jc w:val="both"/>
        <w:rPr>
          <w:szCs w:val="22"/>
        </w:rPr>
      </w:pPr>
      <w:r w:rsidRPr="000A6CB7">
        <w:rPr>
          <w:szCs w:val="22"/>
        </w:rPr>
        <w:t>Universal Periodic Review, 2014</w:t>
      </w:r>
    </w:p>
    <w:p w14:paraId="3013EAC5" w14:textId="697392F1" w:rsidR="00D61C9C" w:rsidRDefault="002E7C94" w:rsidP="00B56EEB">
      <w:pPr>
        <w:jc w:val="both"/>
      </w:pPr>
      <w:r>
        <w:t>T</w:t>
      </w:r>
      <w:r w:rsidR="00D61C9C">
        <w:t xml:space="preserve">he Government has conducted reviews of the Malawi Growth and Development </w:t>
      </w:r>
      <w:r>
        <w:t xml:space="preserve">Strategy II in </w:t>
      </w:r>
      <w:r w:rsidR="00F875F8" w:rsidRPr="00F875F8">
        <w:t>20</w:t>
      </w:r>
      <w:r w:rsidR="00F875F8">
        <w:t>12/13 and 2013/14</w:t>
      </w:r>
      <w:r>
        <w:t xml:space="preserve"> and </w:t>
      </w:r>
      <w:r w:rsidR="00D61C9C">
        <w:t>has produced MDG Reports for the years 2010, 2012</w:t>
      </w:r>
      <w:r>
        <w:t xml:space="preserve"> and 2013. In addition to this, </w:t>
      </w:r>
      <w:r w:rsidR="000E6C5A">
        <w:t xml:space="preserve">a number of sector specific reviews, assessments and evaluation have been conducted as well as </w:t>
      </w:r>
      <w:r>
        <w:t xml:space="preserve">a range of national surveys have been conducted by the National Statistics Office (NSO). More information </w:t>
      </w:r>
      <w:r w:rsidR="000E6C5A">
        <w:t xml:space="preserve">on these surveys </w:t>
      </w:r>
      <w:r>
        <w:t>can be found on the NSO website</w:t>
      </w:r>
      <w:r>
        <w:rPr>
          <w:rStyle w:val="FootnoteReference"/>
        </w:rPr>
        <w:footnoteReference w:id="2"/>
      </w:r>
      <w:r>
        <w:t>.</w:t>
      </w:r>
      <w:r w:rsidR="000E6C5A">
        <w:t xml:space="preserve"> Most r</w:t>
      </w:r>
      <w:r>
        <w:t xml:space="preserve">ecently, the MDG Endline Survey </w:t>
      </w:r>
      <w:r w:rsidR="000E6C5A">
        <w:t xml:space="preserve">was conducted and the initial findings </w:t>
      </w:r>
      <w:r>
        <w:t>have been released, with the full report due in December 2014.</w:t>
      </w:r>
    </w:p>
    <w:p w14:paraId="072244A3" w14:textId="77777777" w:rsidR="00004807" w:rsidRDefault="00004807" w:rsidP="00B56EEB">
      <w:pPr>
        <w:jc w:val="both"/>
        <w:rPr>
          <w:rFonts w:eastAsia="Calibri"/>
        </w:rPr>
      </w:pPr>
      <w:r w:rsidRPr="0037364A">
        <w:rPr>
          <w:rFonts w:eastAsia="Calibri"/>
        </w:rPr>
        <w:t xml:space="preserve">Referencing these studies, as well as sector-specific </w:t>
      </w:r>
      <w:r w:rsidR="000E6C5A">
        <w:rPr>
          <w:rFonts w:eastAsia="Calibri"/>
        </w:rPr>
        <w:t xml:space="preserve">reviews and </w:t>
      </w:r>
      <w:r w:rsidRPr="0037364A">
        <w:rPr>
          <w:rFonts w:eastAsia="Calibri"/>
        </w:rPr>
        <w:t>evaluations, the proposed evaluation wil</w:t>
      </w:r>
      <w:r w:rsidR="000E6C5A">
        <w:rPr>
          <w:rFonts w:eastAsia="Calibri"/>
        </w:rPr>
        <w:t>l focus primarily upon the UNDAF</w:t>
      </w:r>
      <w:r w:rsidRPr="0037364A">
        <w:rPr>
          <w:rFonts w:eastAsia="Calibri"/>
        </w:rPr>
        <w:t xml:space="preserve"> period. It will provide an independent assessment of the specific short- to medium-term results achieved</w:t>
      </w:r>
      <w:r>
        <w:rPr>
          <w:rFonts w:eastAsia="Calibri"/>
        </w:rPr>
        <w:t xml:space="preserve"> and </w:t>
      </w:r>
      <w:r w:rsidRPr="0037364A">
        <w:rPr>
          <w:rFonts w:eastAsia="Calibri"/>
        </w:rPr>
        <w:t xml:space="preserve">UN </w:t>
      </w:r>
      <w:r w:rsidR="000E6C5A">
        <w:rPr>
          <w:rFonts w:eastAsia="Calibri"/>
        </w:rPr>
        <w:t xml:space="preserve">Malawi’s </w:t>
      </w:r>
      <w:r w:rsidRPr="0037364A">
        <w:rPr>
          <w:rFonts w:eastAsia="Calibri"/>
        </w:rPr>
        <w:t>contribution to national development priorities</w:t>
      </w:r>
      <w:r>
        <w:rPr>
          <w:rFonts w:eastAsia="Calibri"/>
        </w:rPr>
        <w:t xml:space="preserve">. It will consider </w:t>
      </w:r>
      <w:r w:rsidRPr="0037364A">
        <w:rPr>
          <w:rFonts w:eastAsia="Calibri"/>
        </w:rPr>
        <w:t>what has worked, what has not worked and why</w:t>
      </w:r>
      <w:r w:rsidR="000E6C5A">
        <w:rPr>
          <w:rFonts w:eastAsia="Calibri"/>
        </w:rPr>
        <w:t>, in the context of Delivering as One</w:t>
      </w:r>
      <w:r w:rsidRPr="0037364A">
        <w:rPr>
          <w:rFonts w:eastAsia="Calibri"/>
        </w:rPr>
        <w:t>. It will therefore provide information for strengthening UN programming, UN results and UN coordination going forward.</w:t>
      </w:r>
    </w:p>
    <w:p w14:paraId="48AFD61D" w14:textId="77777777" w:rsidR="008D3928" w:rsidRDefault="00004807" w:rsidP="00B56EEB">
      <w:pPr>
        <w:jc w:val="both"/>
      </w:pPr>
      <w:r w:rsidRPr="0037364A">
        <w:rPr>
          <w:rFonts w:eastAsia="Calibri"/>
        </w:rPr>
        <w:t>The primary users of the evaluation at the country level will be the UN Country Team (resident and non-resident, management and technical level staff),</w:t>
      </w:r>
      <w:r w:rsidR="000E6C5A">
        <w:rPr>
          <w:rFonts w:eastAsia="Calibri"/>
        </w:rPr>
        <w:t xml:space="preserve"> key government counterparts, </w:t>
      </w:r>
      <w:r w:rsidR="000E6C5A" w:rsidRPr="0037364A">
        <w:rPr>
          <w:rFonts w:eastAsia="Calibri"/>
        </w:rPr>
        <w:t>Development Partners</w:t>
      </w:r>
      <w:r w:rsidR="000E6C5A">
        <w:rPr>
          <w:rFonts w:eastAsia="Calibri"/>
        </w:rPr>
        <w:t xml:space="preserve">, NGOs and </w:t>
      </w:r>
      <w:r w:rsidR="000E6C5A" w:rsidRPr="0037364A">
        <w:rPr>
          <w:rFonts w:eastAsia="Calibri"/>
        </w:rPr>
        <w:t xml:space="preserve"> </w:t>
      </w:r>
      <w:r w:rsidRPr="0037364A">
        <w:rPr>
          <w:rFonts w:eastAsia="Calibri"/>
        </w:rPr>
        <w:t>civil society, alongside. On the global stage, the evaluation should contribute to knowledge regarding good practice under</w:t>
      </w:r>
      <w:r w:rsidR="000E6C5A">
        <w:rPr>
          <w:rFonts w:eastAsia="Calibri"/>
        </w:rPr>
        <w:t xml:space="preserve"> UN joint Programming and</w:t>
      </w:r>
      <w:r w:rsidRPr="0037364A">
        <w:rPr>
          <w:rFonts w:eastAsia="Calibri"/>
        </w:rPr>
        <w:t xml:space="preserve"> </w:t>
      </w:r>
      <w:r w:rsidR="000E6C5A" w:rsidRPr="0037364A">
        <w:rPr>
          <w:rFonts w:eastAsia="Calibri"/>
        </w:rPr>
        <w:t>D</w:t>
      </w:r>
      <w:r w:rsidR="000E6C5A">
        <w:rPr>
          <w:rFonts w:eastAsia="Calibri"/>
        </w:rPr>
        <w:t>elivering as One through the</w:t>
      </w:r>
      <w:r w:rsidRPr="0037364A">
        <w:rPr>
          <w:rFonts w:eastAsia="Calibri"/>
        </w:rPr>
        <w:t xml:space="preserve"> UNDOCO and regional offices</w:t>
      </w:r>
      <w:r w:rsidR="000E6C5A">
        <w:rPr>
          <w:rFonts w:eastAsia="Calibri"/>
        </w:rPr>
        <w:t>.</w:t>
      </w:r>
    </w:p>
    <w:p w14:paraId="1CB5F985" w14:textId="77777777" w:rsidR="00004807" w:rsidRDefault="00004807" w:rsidP="008D3928"/>
    <w:p w14:paraId="0C3214C6" w14:textId="77777777" w:rsidR="008D3928" w:rsidRPr="008D3928" w:rsidRDefault="00A10CB5" w:rsidP="00B56EEB">
      <w:pPr>
        <w:pStyle w:val="Heading1"/>
      </w:pPr>
      <w:r>
        <w:t>4.</w:t>
      </w:r>
      <w:r>
        <w:tab/>
      </w:r>
      <w:r w:rsidR="008D3928" w:rsidRPr="008D3928">
        <w:t>Purpose, Objectives and Scope</w:t>
      </w:r>
    </w:p>
    <w:p w14:paraId="78539EE8" w14:textId="77777777" w:rsidR="006E444A" w:rsidRPr="006E444A" w:rsidRDefault="00A10CB5" w:rsidP="006E444A">
      <w:pPr>
        <w:pStyle w:val="Heading2"/>
      </w:pPr>
      <w:r>
        <w:t>4.1.</w:t>
      </w:r>
      <w:r>
        <w:tab/>
      </w:r>
      <w:r w:rsidR="006E444A" w:rsidRPr="006E444A">
        <w:t>Purpose</w:t>
      </w:r>
    </w:p>
    <w:p w14:paraId="3B042637" w14:textId="77777777" w:rsidR="000E6C5A" w:rsidRPr="009D1337" w:rsidRDefault="000E6C5A" w:rsidP="004D55CC">
      <w:pPr>
        <w:jc w:val="both"/>
      </w:pPr>
      <w:r w:rsidRPr="009D1337">
        <w:t xml:space="preserve">The UN Development Group (UNDG) requires all UN country offices to undertake an evaluation of their Programme of </w:t>
      </w:r>
      <w:r>
        <w:t>Cooperation (UNDAF</w:t>
      </w:r>
      <w:r w:rsidRPr="009D1337">
        <w:t>) in the penultimate year of the programming cycle. To this end, the UN Evaluation Group (UNEG) in collaboration with UN Development Operations Coordination Office (DOCO) has issued guidance on the required Management Structure and T</w:t>
      </w:r>
      <w:r>
        <w:t xml:space="preserve">erms </w:t>
      </w:r>
      <w:r w:rsidRPr="009D1337">
        <w:t>o</w:t>
      </w:r>
      <w:r>
        <w:t xml:space="preserve">f </w:t>
      </w:r>
      <w:r w:rsidRPr="009D1337">
        <w:t>R</w:t>
      </w:r>
      <w:r>
        <w:t>eference</w:t>
      </w:r>
      <w:r w:rsidRPr="009D1337">
        <w:t xml:space="preserve"> to ensure quality standards are maintained</w:t>
      </w:r>
      <w:r>
        <w:rPr>
          <w:rStyle w:val="FootnoteReference"/>
        </w:rPr>
        <w:footnoteReference w:id="3"/>
      </w:r>
      <w:r w:rsidRPr="009D1337">
        <w:t xml:space="preserve">. The planned </w:t>
      </w:r>
      <w:r w:rsidR="003C011A">
        <w:t>UNDAF</w:t>
      </w:r>
      <w:r w:rsidRPr="009D1337">
        <w:t xml:space="preserve"> evaluation </w:t>
      </w:r>
      <w:r>
        <w:t>must</w:t>
      </w:r>
      <w:r w:rsidRPr="009D1337">
        <w:t xml:space="preserve"> observe the parameters of the UNEG/DOCO guidance, whilst ensuring an inclusive approach which involves stakeholder representatives in key decision-making processes. </w:t>
      </w:r>
      <w:r w:rsidRPr="009D1337">
        <w:rPr>
          <w:rFonts w:eastAsia="Calibri"/>
        </w:rPr>
        <w:t>This is critical to ensure the Evaluation is nationally owned, encompasses topics of national interest and has application in the wider national sphere.</w:t>
      </w:r>
    </w:p>
    <w:p w14:paraId="293AD03E" w14:textId="77777777" w:rsidR="000E6C5A" w:rsidRPr="0037364A" w:rsidRDefault="000E6C5A" w:rsidP="000E6C5A">
      <w:pPr>
        <w:rPr>
          <w:rFonts w:eastAsia="Calibri"/>
        </w:rPr>
      </w:pPr>
      <w:r w:rsidRPr="0037364A">
        <w:rPr>
          <w:rFonts w:eastAsia="Calibri"/>
        </w:rPr>
        <w:t xml:space="preserve">The purpose of the evaluation is </w:t>
      </w:r>
      <w:r w:rsidR="006E444A" w:rsidRPr="0037364A">
        <w:rPr>
          <w:rFonts w:eastAsia="Calibri"/>
        </w:rPr>
        <w:t>two</w:t>
      </w:r>
      <w:r w:rsidR="006E444A">
        <w:rPr>
          <w:rFonts w:eastAsia="Calibri"/>
        </w:rPr>
        <w:t>f</w:t>
      </w:r>
      <w:r w:rsidR="006E444A" w:rsidRPr="0037364A">
        <w:rPr>
          <w:rFonts w:eastAsia="Calibri"/>
        </w:rPr>
        <w:t>old</w:t>
      </w:r>
      <w:r w:rsidRPr="0037364A">
        <w:rPr>
          <w:rFonts w:eastAsia="Calibri"/>
        </w:rPr>
        <w:t xml:space="preserve">: </w:t>
      </w:r>
    </w:p>
    <w:p w14:paraId="5053A035" w14:textId="4573E024" w:rsidR="00B56EEB" w:rsidRPr="00B56EEB" w:rsidRDefault="00B56EEB" w:rsidP="00B56EEB">
      <w:pPr>
        <w:pStyle w:val="ListParagraph"/>
        <w:numPr>
          <w:ilvl w:val="0"/>
          <w:numId w:val="9"/>
        </w:numPr>
        <w:rPr>
          <w:rFonts w:eastAsia="Calibri"/>
        </w:rPr>
      </w:pPr>
      <w:r w:rsidRPr="00B56EEB">
        <w:rPr>
          <w:rFonts w:eastAsia="Calibri"/>
          <w:b/>
        </w:rPr>
        <w:t>To support greater accountability of the UN to stakeholders</w:t>
      </w:r>
      <w:r w:rsidRPr="00B56EEB">
        <w:rPr>
          <w:rFonts w:eastAsia="Calibri"/>
        </w:rPr>
        <w:t xml:space="preserve"> – </w:t>
      </w:r>
      <w:r>
        <w:rPr>
          <w:rFonts w:eastAsia="Calibri"/>
        </w:rPr>
        <w:t>b</w:t>
      </w:r>
      <w:r w:rsidRPr="00B56EEB">
        <w:rPr>
          <w:rFonts w:eastAsia="Calibri"/>
        </w:rPr>
        <w:t>y objectively verify</w:t>
      </w:r>
      <w:r w:rsidR="004D55CC">
        <w:rPr>
          <w:rFonts w:eastAsia="Calibri"/>
        </w:rPr>
        <w:t>ing</w:t>
      </w:r>
      <w:r w:rsidRPr="00B56EEB">
        <w:rPr>
          <w:rFonts w:eastAsia="Calibri"/>
        </w:rPr>
        <w:t xml:space="preserve"> results achieved within the framework of the UNDAF and assessing the effectiveness of the strategies and interventions used, the evaluation will enable the various stakeholders in the UNDAF process, including national counterparts and donors, to hold the UNCT and other parties accountable for fulfilling their roles and commitments.</w:t>
      </w:r>
    </w:p>
    <w:p w14:paraId="3335E83F" w14:textId="61E98788" w:rsidR="000E6C5A" w:rsidRPr="00B56EEB" w:rsidRDefault="00B56EEB" w:rsidP="00B56EEB">
      <w:pPr>
        <w:pStyle w:val="ListParagraph"/>
        <w:numPr>
          <w:ilvl w:val="0"/>
          <w:numId w:val="9"/>
        </w:numPr>
        <w:spacing w:before="0" w:after="0" w:line="280" w:lineRule="exact"/>
        <w:jc w:val="both"/>
        <w:rPr>
          <w:rFonts w:eastAsia="Calibri"/>
        </w:rPr>
      </w:pPr>
      <w:r>
        <w:rPr>
          <w:rFonts w:eastAsia="Calibri"/>
          <w:b/>
        </w:rPr>
        <w:t>T</w:t>
      </w:r>
      <w:r w:rsidR="000E6C5A" w:rsidRPr="00B56EEB">
        <w:rPr>
          <w:rFonts w:eastAsia="Calibri"/>
          <w:b/>
        </w:rPr>
        <w:t>o support learning</w:t>
      </w:r>
      <w:r>
        <w:rPr>
          <w:rFonts w:eastAsia="Calibri"/>
          <w:b/>
        </w:rPr>
        <w:t xml:space="preserve"> – </w:t>
      </w:r>
      <w:r w:rsidRPr="00B56EEB">
        <w:rPr>
          <w:rFonts w:eastAsia="Calibri"/>
        </w:rPr>
        <w:t>t</w:t>
      </w:r>
      <w:r w:rsidR="000E6C5A" w:rsidRPr="00B56EEB">
        <w:rPr>
          <w:rFonts w:eastAsia="Calibri"/>
        </w:rPr>
        <w:t>he evaluation must provide clear recommendations for strengthening programming</w:t>
      </w:r>
      <w:r w:rsidRPr="00B56EEB">
        <w:rPr>
          <w:rFonts w:eastAsia="Calibri"/>
        </w:rPr>
        <w:t xml:space="preserve"> and </w:t>
      </w:r>
      <w:r w:rsidR="000E6C5A" w:rsidRPr="00B56EEB">
        <w:rPr>
          <w:rFonts w:eastAsia="Calibri"/>
        </w:rPr>
        <w:t>results at the country level, specifically informing the planning and decision-making for the next UNDA</w:t>
      </w:r>
      <w:r w:rsidRPr="00B56EEB">
        <w:rPr>
          <w:rFonts w:eastAsia="Calibri"/>
        </w:rPr>
        <w:t>F</w:t>
      </w:r>
      <w:r w:rsidR="000E6C5A" w:rsidRPr="00B56EEB">
        <w:rPr>
          <w:rFonts w:eastAsia="Calibri"/>
        </w:rPr>
        <w:t xml:space="preserve"> programme cycle and for improving United Nations coordination at the country level. </w:t>
      </w:r>
      <w:r w:rsidRPr="00B56EEB">
        <w:rPr>
          <w:rFonts w:eastAsia="Calibri"/>
        </w:rPr>
        <w:t>The UN, the Government of Malawi and UNDAF stakeholders should be able to learn from the process of documenting good practices and lessons learned which can then be shared with UNDOCO and used for the benefit of other countries.</w:t>
      </w:r>
    </w:p>
    <w:p w14:paraId="361B8E4E" w14:textId="77777777" w:rsidR="000A6CB7" w:rsidRDefault="000A6CB7" w:rsidP="000E6C5A">
      <w:pPr>
        <w:rPr>
          <w:rFonts w:eastAsia="Calibri"/>
        </w:rPr>
      </w:pPr>
    </w:p>
    <w:p w14:paraId="5A2F22DF" w14:textId="77777777" w:rsidR="006E444A" w:rsidRDefault="00A10CB5" w:rsidP="006E444A">
      <w:pPr>
        <w:pStyle w:val="Heading2"/>
        <w:rPr>
          <w:rFonts w:eastAsia="Calibri"/>
        </w:rPr>
      </w:pPr>
      <w:r>
        <w:rPr>
          <w:rFonts w:eastAsia="Calibri"/>
        </w:rPr>
        <w:t>4.2</w:t>
      </w:r>
      <w:r>
        <w:rPr>
          <w:rFonts w:eastAsia="Calibri"/>
        </w:rPr>
        <w:tab/>
      </w:r>
      <w:r w:rsidR="006E444A">
        <w:rPr>
          <w:rFonts w:eastAsia="Calibri"/>
        </w:rPr>
        <w:t>Objectives</w:t>
      </w:r>
    </w:p>
    <w:p w14:paraId="5D59AB5D" w14:textId="77777777" w:rsidR="000E6C5A" w:rsidRDefault="000E6C5A" w:rsidP="000E6C5A">
      <w:pPr>
        <w:rPr>
          <w:rFonts w:eastAsia="Calibri"/>
        </w:rPr>
      </w:pPr>
      <w:r w:rsidRPr="0037364A">
        <w:rPr>
          <w:rFonts w:eastAsia="Calibri"/>
        </w:rPr>
        <w:t xml:space="preserve">The evaluation has </w:t>
      </w:r>
      <w:r w:rsidR="000A6CB7">
        <w:rPr>
          <w:rFonts w:eastAsia="Calibri"/>
        </w:rPr>
        <w:t>four</w:t>
      </w:r>
      <w:r w:rsidRPr="0037364A">
        <w:rPr>
          <w:rFonts w:eastAsia="Calibri"/>
        </w:rPr>
        <w:t xml:space="preserve"> key objectives:</w:t>
      </w:r>
    </w:p>
    <w:p w14:paraId="540FED45" w14:textId="685240A6" w:rsidR="00B56EEB" w:rsidRPr="000A6CB7" w:rsidRDefault="00B56EEB" w:rsidP="000A6CB7">
      <w:pPr>
        <w:pStyle w:val="ListParagraph"/>
        <w:numPr>
          <w:ilvl w:val="0"/>
          <w:numId w:val="11"/>
        </w:numPr>
        <w:rPr>
          <w:rFonts w:eastAsia="Calibri"/>
        </w:rPr>
      </w:pPr>
      <w:proofErr w:type="gramStart"/>
      <w:r w:rsidRPr="000A6CB7">
        <w:rPr>
          <w:rFonts w:eastAsia="Calibri"/>
        </w:rPr>
        <w:t>to</w:t>
      </w:r>
      <w:proofErr w:type="gramEnd"/>
      <w:r w:rsidRPr="000A6CB7">
        <w:rPr>
          <w:rFonts w:eastAsia="Calibri"/>
        </w:rPr>
        <w:t xml:space="preserve"> </w:t>
      </w:r>
      <w:r w:rsidRPr="000A6CB7">
        <w:rPr>
          <w:rFonts w:eastAsia="Calibri"/>
          <w:b/>
        </w:rPr>
        <w:t>assess the contribution made by the UN</w:t>
      </w:r>
      <w:r w:rsidRPr="000A6CB7">
        <w:rPr>
          <w:rFonts w:eastAsia="Calibri"/>
        </w:rPr>
        <w:t xml:space="preserve"> through the UNDAF to national development priorities and results</w:t>
      </w:r>
      <w:r w:rsidR="000A6CB7" w:rsidRPr="000A6CB7">
        <w:rPr>
          <w:rFonts w:eastAsia="Calibri"/>
        </w:rPr>
        <w:t xml:space="preserve">, including </w:t>
      </w:r>
      <w:r w:rsidRPr="000A6CB7">
        <w:rPr>
          <w:rFonts w:eastAsia="Calibri"/>
        </w:rPr>
        <w:t xml:space="preserve"> </w:t>
      </w:r>
      <w:r w:rsidR="000A6CB7" w:rsidRPr="000A6CB7">
        <w:rPr>
          <w:rFonts w:eastAsia="Calibri"/>
        </w:rPr>
        <w:t xml:space="preserve">international and regional commitments on human rights and gender equality, </w:t>
      </w:r>
      <w:r w:rsidRPr="000A6CB7">
        <w:rPr>
          <w:rFonts w:eastAsia="Calibri"/>
        </w:rPr>
        <w:t>through making judgements using evalua</w:t>
      </w:r>
      <w:r w:rsidR="000A6CB7">
        <w:rPr>
          <w:rFonts w:eastAsia="Calibri"/>
        </w:rPr>
        <w:t>tion criteria based on evidence.</w:t>
      </w:r>
      <w:r w:rsidRPr="000A6CB7">
        <w:rPr>
          <w:rFonts w:eastAsia="Calibri"/>
        </w:rPr>
        <w:t xml:space="preserve"> </w:t>
      </w:r>
    </w:p>
    <w:p w14:paraId="020E4BC8" w14:textId="28C0771E" w:rsidR="000A6CB7" w:rsidRPr="000A6CB7" w:rsidRDefault="00B56EEB" w:rsidP="000A6CB7">
      <w:pPr>
        <w:pStyle w:val="ListParagraph"/>
        <w:numPr>
          <w:ilvl w:val="0"/>
          <w:numId w:val="11"/>
        </w:numPr>
        <w:spacing w:before="0" w:after="0" w:line="280" w:lineRule="exact"/>
        <w:jc w:val="both"/>
        <w:rPr>
          <w:rFonts w:eastAsia="Calibri"/>
        </w:rPr>
      </w:pPr>
      <w:proofErr w:type="gramStart"/>
      <w:r w:rsidRPr="000A6CB7">
        <w:rPr>
          <w:rFonts w:eastAsia="Calibri"/>
        </w:rPr>
        <w:t>to</w:t>
      </w:r>
      <w:proofErr w:type="gramEnd"/>
      <w:r w:rsidRPr="000A6CB7">
        <w:rPr>
          <w:rFonts w:eastAsia="Calibri"/>
        </w:rPr>
        <w:t xml:space="preserve"> </w:t>
      </w:r>
      <w:r w:rsidRPr="000A6CB7">
        <w:rPr>
          <w:rFonts w:eastAsia="Calibri"/>
          <w:b/>
        </w:rPr>
        <w:t>identify the factors that have affected the UN</w:t>
      </w:r>
      <w:r w:rsidR="00E25010">
        <w:rPr>
          <w:rFonts w:eastAsia="Calibri"/>
          <w:b/>
        </w:rPr>
        <w:t>’</w:t>
      </w:r>
      <w:r w:rsidRPr="000A6CB7">
        <w:rPr>
          <w:rFonts w:eastAsia="Calibri"/>
          <w:b/>
        </w:rPr>
        <w:t>s contribution</w:t>
      </w:r>
      <w:r w:rsidRPr="000A6CB7">
        <w:rPr>
          <w:rFonts w:eastAsia="Calibri"/>
        </w:rPr>
        <w:t xml:space="preserve">, </w:t>
      </w:r>
      <w:r w:rsidR="000A6CB7" w:rsidRPr="000A6CB7">
        <w:rPr>
          <w:rFonts w:eastAsia="Calibri"/>
        </w:rPr>
        <w:t>identifying, understanding and explaining the the enabling factors and bottlenecks that influenced the this contribution (learning).</w:t>
      </w:r>
    </w:p>
    <w:p w14:paraId="797DF7B7" w14:textId="77777777" w:rsidR="00B56EEB" w:rsidRPr="000A6CB7" w:rsidRDefault="00B56EEB" w:rsidP="000A6CB7">
      <w:pPr>
        <w:pStyle w:val="ListParagraph"/>
        <w:numPr>
          <w:ilvl w:val="0"/>
          <w:numId w:val="11"/>
        </w:numPr>
        <w:rPr>
          <w:rFonts w:eastAsia="Calibri"/>
        </w:rPr>
      </w:pPr>
      <w:proofErr w:type="gramStart"/>
      <w:r w:rsidRPr="000A6CB7">
        <w:rPr>
          <w:rFonts w:eastAsia="Calibri"/>
        </w:rPr>
        <w:t>to</w:t>
      </w:r>
      <w:proofErr w:type="gramEnd"/>
      <w:r w:rsidRPr="000A6CB7">
        <w:rPr>
          <w:rFonts w:eastAsia="Calibri"/>
        </w:rPr>
        <w:t xml:space="preserve"> </w:t>
      </w:r>
      <w:r w:rsidRPr="000A6CB7">
        <w:rPr>
          <w:rFonts w:eastAsia="Calibri"/>
          <w:b/>
        </w:rPr>
        <w:t>reach conclusions concerning the UN’s contribution</w:t>
      </w:r>
      <w:r w:rsidRPr="000A6CB7">
        <w:rPr>
          <w:rFonts w:eastAsia="Calibri"/>
        </w:rPr>
        <w:t xml:space="preserve"> across the scope being examined.</w:t>
      </w:r>
    </w:p>
    <w:p w14:paraId="7095334C" w14:textId="610347E9" w:rsidR="00B56EEB" w:rsidRDefault="00B56EEB" w:rsidP="000A6CB7">
      <w:pPr>
        <w:pStyle w:val="ListParagraph"/>
        <w:numPr>
          <w:ilvl w:val="0"/>
          <w:numId w:val="11"/>
        </w:numPr>
        <w:rPr>
          <w:rFonts w:eastAsia="Calibri"/>
        </w:rPr>
      </w:pPr>
      <w:proofErr w:type="gramStart"/>
      <w:r w:rsidRPr="000A6CB7">
        <w:rPr>
          <w:rFonts w:eastAsia="Calibri"/>
        </w:rPr>
        <w:t>to</w:t>
      </w:r>
      <w:proofErr w:type="gramEnd"/>
      <w:r w:rsidRPr="000A6CB7">
        <w:rPr>
          <w:rFonts w:eastAsia="Calibri"/>
        </w:rPr>
        <w:t xml:space="preserve"> </w:t>
      </w:r>
      <w:r w:rsidRPr="000A6CB7">
        <w:rPr>
          <w:rFonts w:eastAsia="Calibri"/>
          <w:b/>
        </w:rPr>
        <w:t>provide actionable recommendations for improving the UN's contribution</w:t>
      </w:r>
      <w:r w:rsidRPr="000A6CB7">
        <w:rPr>
          <w:rFonts w:eastAsia="Calibri"/>
        </w:rPr>
        <w:t>, especially for incorporation into the new UNDAF. These recommendations should be logically linked to the conclusions and draw upon lessons learned ident</w:t>
      </w:r>
      <w:r w:rsidR="000A6CB7" w:rsidRPr="000A6CB7">
        <w:rPr>
          <w:rFonts w:eastAsia="Calibri"/>
        </w:rPr>
        <w:t>ified through the evaluation, including a review of the UNDAF management structure and processes to identify good practice going forward.</w:t>
      </w:r>
    </w:p>
    <w:p w14:paraId="26DDD948" w14:textId="77777777" w:rsidR="000857E5" w:rsidRPr="000857E5" w:rsidRDefault="000857E5" w:rsidP="000857E5">
      <w:pPr>
        <w:rPr>
          <w:rFonts w:eastAsia="Calibri"/>
        </w:rPr>
      </w:pPr>
    </w:p>
    <w:p w14:paraId="27E55D93" w14:textId="77777777" w:rsidR="006E444A" w:rsidRDefault="00A10CB5" w:rsidP="006E444A">
      <w:pPr>
        <w:pStyle w:val="Heading2"/>
        <w:rPr>
          <w:lang w:val="en-US"/>
        </w:rPr>
      </w:pPr>
      <w:r>
        <w:rPr>
          <w:lang w:val="en-US"/>
        </w:rPr>
        <w:t>4.3</w:t>
      </w:r>
      <w:r>
        <w:rPr>
          <w:lang w:val="en-US"/>
        </w:rPr>
        <w:tab/>
      </w:r>
      <w:r w:rsidR="006E444A">
        <w:rPr>
          <w:lang w:val="en-US"/>
        </w:rPr>
        <w:t>Scope</w:t>
      </w:r>
    </w:p>
    <w:p w14:paraId="25438FA5" w14:textId="77777777" w:rsidR="006E444A" w:rsidRDefault="006E444A" w:rsidP="006E444A">
      <w:pPr>
        <w:jc w:val="both"/>
        <w:rPr>
          <w:lang w:val="en-US"/>
        </w:rPr>
      </w:pPr>
      <w:r>
        <w:rPr>
          <w:rFonts w:eastAsia="Calibri"/>
        </w:rPr>
        <w:t>The UNDAF</w:t>
      </w:r>
      <w:r w:rsidRPr="00E32BFA">
        <w:rPr>
          <w:rFonts w:eastAsia="Calibri"/>
        </w:rPr>
        <w:t xml:space="preserve"> encompasses both development and humanitarian assistance, with a focus on building the capacity of the Go</w:t>
      </w:r>
      <w:r>
        <w:rPr>
          <w:rFonts w:eastAsia="Calibri"/>
        </w:rPr>
        <w:t xml:space="preserve">vernment of Malawi </w:t>
      </w:r>
      <w:r w:rsidRPr="00E32BFA">
        <w:rPr>
          <w:rFonts w:eastAsia="Calibri"/>
        </w:rPr>
        <w:t xml:space="preserve">to </w:t>
      </w:r>
      <w:r>
        <w:rPr>
          <w:rFonts w:eastAsia="Calibri"/>
        </w:rPr>
        <w:t>undertake</w:t>
      </w:r>
      <w:r w:rsidRPr="00E32BFA">
        <w:rPr>
          <w:rFonts w:eastAsia="Calibri"/>
        </w:rPr>
        <w:t xml:space="preserve"> its responsibili</w:t>
      </w:r>
      <w:r>
        <w:rPr>
          <w:rFonts w:eastAsia="Calibri"/>
        </w:rPr>
        <w:t xml:space="preserve">ties as the primary duty bearer as well </w:t>
      </w:r>
      <w:r w:rsidR="00A85B44">
        <w:rPr>
          <w:rFonts w:eastAsia="Calibri"/>
        </w:rPr>
        <w:t>as support</w:t>
      </w:r>
      <w:r w:rsidRPr="00E32BFA">
        <w:rPr>
          <w:rFonts w:eastAsia="Calibri"/>
        </w:rPr>
        <w:t xml:space="preserve"> to empower rights-holders to claim their rights. </w:t>
      </w:r>
      <w:r>
        <w:t>In response to national priorities, the UN in Malawi supports the Government in f</w:t>
      </w:r>
      <w:r w:rsidRPr="00BB2462">
        <w:t>our</w:t>
      </w:r>
      <w:r>
        <w:t xml:space="preserve"> inter-linked and mutually reinforcing</w:t>
      </w:r>
      <w:r w:rsidRPr="00BB2462">
        <w:t xml:space="preserve"> priority areas</w:t>
      </w:r>
      <w:r>
        <w:t xml:space="preserve">: </w:t>
      </w:r>
      <w:r w:rsidRPr="009E3144">
        <w:t>Sustainable and Equitable Economic Growth and Food Security</w:t>
      </w:r>
      <w:r>
        <w:t xml:space="preserve">, </w:t>
      </w:r>
      <w:r w:rsidRPr="00112FEE">
        <w:t>Basic Social and Protection Services</w:t>
      </w:r>
      <w:r>
        <w:t xml:space="preserve">, </w:t>
      </w:r>
      <w:r w:rsidRPr="00112FEE">
        <w:t>HIV and AIDS</w:t>
      </w:r>
      <w:r>
        <w:t xml:space="preserve">, and </w:t>
      </w:r>
      <w:r w:rsidRPr="00112FEE">
        <w:t>Governance</w:t>
      </w:r>
      <w:r>
        <w:t xml:space="preserve"> </w:t>
      </w:r>
      <w:r>
        <w:rPr>
          <w:lang w:val="en-US"/>
        </w:rPr>
        <w:t xml:space="preserve">and Human Rights. The four priority areas include the following </w:t>
      </w:r>
      <w:r w:rsidR="00A85B44">
        <w:rPr>
          <w:lang w:val="en-US"/>
        </w:rPr>
        <w:t>14 programme/outcome areas</w:t>
      </w:r>
      <w:r>
        <w:rPr>
          <w:lang w:val="en-US"/>
        </w:rPr>
        <w:t>:</w:t>
      </w:r>
    </w:p>
    <w:p w14:paraId="2BEA6C1C" w14:textId="77777777" w:rsidR="006E444A" w:rsidRPr="00A85B44" w:rsidRDefault="006E444A" w:rsidP="006E444A">
      <w:pPr>
        <w:pStyle w:val="ListParagraph"/>
        <w:numPr>
          <w:ilvl w:val="0"/>
          <w:numId w:val="13"/>
        </w:numPr>
        <w:jc w:val="both"/>
        <w:rPr>
          <w:lang w:val="en-US"/>
        </w:rPr>
      </w:pPr>
      <w:r w:rsidRPr="009E3144">
        <w:t>Sustainable and Equitable Economic Growth and Food Security</w:t>
      </w:r>
    </w:p>
    <w:p w14:paraId="5B42265E" w14:textId="77777777" w:rsidR="00A85B44" w:rsidRPr="00A85B44" w:rsidRDefault="00A85B44" w:rsidP="00A85B44">
      <w:pPr>
        <w:pStyle w:val="ListParagraph"/>
        <w:numPr>
          <w:ilvl w:val="1"/>
          <w:numId w:val="13"/>
        </w:numPr>
        <w:jc w:val="both"/>
        <w:rPr>
          <w:lang w:val="en-US"/>
        </w:rPr>
      </w:pPr>
      <w:r>
        <w:t>Resilience and Food Security</w:t>
      </w:r>
    </w:p>
    <w:p w14:paraId="13C6C6D5" w14:textId="73B1C9AC" w:rsidR="00A85B44" w:rsidRPr="00A85B44" w:rsidRDefault="00A85B44" w:rsidP="00A85B44">
      <w:pPr>
        <w:pStyle w:val="ListParagraph"/>
        <w:numPr>
          <w:ilvl w:val="1"/>
          <w:numId w:val="13"/>
        </w:numPr>
        <w:jc w:val="both"/>
        <w:rPr>
          <w:lang w:val="en-US"/>
        </w:rPr>
      </w:pPr>
      <w:r>
        <w:t xml:space="preserve">Environment, Natural Resources and </w:t>
      </w:r>
      <w:r w:rsidR="008103DB">
        <w:t>C</w:t>
      </w:r>
      <w:r>
        <w:t>limate Change</w:t>
      </w:r>
    </w:p>
    <w:p w14:paraId="4BC69552" w14:textId="77777777" w:rsidR="00A85B44" w:rsidRPr="006E444A" w:rsidRDefault="00A85B44" w:rsidP="00A85B44">
      <w:pPr>
        <w:pStyle w:val="ListParagraph"/>
        <w:numPr>
          <w:ilvl w:val="1"/>
          <w:numId w:val="13"/>
        </w:numPr>
        <w:jc w:val="both"/>
        <w:rPr>
          <w:lang w:val="en-US"/>
        </w:rPr>
      </w:pPr>
      <w:r>
        <w:t>Employment, Labour and Private Sector Development</w:t>
      </w:r>
    </w:p>
    <w:p w14:paraId="1C5B509E" w14:textId="77777777" w:rsidR="006E444A" w:rsidRPr="00A85B44" w:rsidRDefault="006E444A" w:rsidP="006E444A">
      <w:pPr>
        <w:pStyle w:val="ListParagraph"/>
        <w:numPr>
          <w:ilvl w:val="0"/>
          <w:numId w:val="13"/>
        </w:numPr>
        <w:jc w:val="both"/>
        <w:rPr>
          <w:lang w:val="en-US"/>
        </w:rPr>
      </w:pPr>
      <w:r w:rsidRPr="00112FEE">
        <w:t>Basic Social and Protection Services</w:t>
      </w:r>
    </w:p>
    <w:p w14:paraId="76309177" w14:textId="6225B378" w:rsidR="00A85B44" w:rsidRPr="00A85B44" w:rsidRDefault="00A85B44" w:rsidP="00A85B44">
      <w:pPr>
        <w:pStyle w:val="ListParagraph"/>
        <w:numPr>
          <w:ilvl w:val="1"/>
          <w:numId w:val="13"/>
        </w:numPr>
        <w:jc w:val="both"/>
        <w:rPr>
          <w:lang w:val="en-US"/>
        </w:rPr>
      </w:pPr>
      <w:r>
        <w:t>Health</w:t>
      </w:r>
    </w:p>
    <w:p w14:paraId="40497ACA" w14:textId="41046F11" w:rsidR="00A85B44" w:rsidRPr="00A85B44" w:rsidRDefault="00A85B44" w:rsidP="00A85B44">
      <w:pPr>
        <w:pStyle w:val="ListParagraph"/>
        <w:numPr>
          <w:ilvl w:val="1"/>
          <w:numId w:val="13"/>
        </w:numPr>
        <w:jc w:val="both"/>
        <w:rPr>
          <w:lang w:val="en-US"/>
        </w:rPr>
      </w:pPr>
      <w:r>
        <w:t>Nutrition</w:t>
      </w:r>
    </w:p>
    <w:p w14:paraId="5DF87B43" w14:textId="567AD32E" w:rsidR="00A85B44" w:rsidRPr="00A85B44" w:rsidRDefault="00A85B44" w:rsidP="00A85B44">
      <w:pPr>
        <w:pStyle w:val="ListParagraph"/>
        <w:numPr>
          <w:ilvl w:val="1"/>
          <w:numId w:val="13"/>
        </w:numPr>
        <w:jc w:val="both"/>
        <w:rPr>
          <w:lang w:val="en-US"/>
        </w:rPr>
      </w:pPr>
      <w:r>
        <w:t>Water, Sanitation and Hygiene</w:t>
      </w:r>
    </w:p>
    <w:p w14:paraId="209D980D" w14:textId="15A0D793" w:rsidR="00A85B44" w:rsidRPr="00A85B44" w:rsidRDefault="00A85B44" w:rsidP="00A85B44">
      <w:pPr>
        <w:pStyle w:val="ListParagraph"/>
        <w:numPr>
          <w:ilvl w:val="1"/>
          <w:numId w:val="13"/>
        </w:numPr>
        <w:jc w:val="both"/>
        <w:rPr>
          <w:lang w:val="en-US"/>
        </w:rPr>
      </w:pPr>
      <w:r>
        <w:t xml:space="preserve">Education </w:t>
      </w:r>
    </w:p>
    <w:p w14:paraId="58DEF4FA" w14:textId="77777777" w:rsidR="00A85B44" w:rsidRPr="00A85B44" w:rsidRDefault="00A85B44" w:rsidP="00A85B44">
      <w:pPr>
        <w:pStyle w:val="ListParagraph"/>
        <w:numPr>
          <w:ilvl w:val="1"/>
          <w:numId w:val="13"/>
        </w:numPr>
        <w:jc w:val="both"/>
        <w:rPr>
          <w:lang w:val="en-US"/>
        </w:rPr>
      </w:pPr>
      <w:r>
        <w:t>Protection</w:t>
      </w:r>
    </w:p>
    <w:p w14:paraId="7C68F4E1" w14:textId="77777777" w:rsidR="006E444A" w:rsidRPr="00A85B44" w:rsidRDefault="006E444A" w:rsidP="006E444A">
      <w:pPr>
        <w:pStyle w:val="ListParagraph"/>
        <w:numPr>
          <w:ilvl w:val="0"/>
          <w:numId w:val="13"/>
        </w:numPr>
        <w:jc w:val="both"/>
        <w:rPr>
          <w:lang w:val="en-US"/>
        </w:rPr>
      </w:pPr>
      <w:r w:rsidRPr="00112FEE">
        <w:t>HIV and AIDS</w:t>
      </w:r>
    </w:p>
    <w:p w14:paraId="618768AD" w14:textId="77777777" w:rsidR="00A85B44" w:rsidRPr="00A85B44" w:rsidRDefault="00A85B44" w:rsidP="00A85B44">
      <w:pPr>
        <w:pStyle w:val="ListParagraph"/>
        <w:numPr>
          <w:ilvl w:val="1"/>
          <w:numId w:val="13"/>
        </w:numPr>
        <w:jc w:val="both"/>
        <w:rPr>
          <w:lang w:val="en-US"/>
        </w:rPr>
      </w:pPr>
      <w:r>
        <w:t>Prevention and Treatment</w:t>
      </w:r>
    </w:p>
    <w:p w14:paraId="22C7A850" w14:textId="77777777" w:rsidR="00A85B44" w:rsidRPr="00A85B44" w:rsidRDefault="00A85B44" w:rsidP="00A85B44">
      <w:pPr>
        <w:pStyle w:val="ListParagraph"/>
        <w:numPr>
          <w:ilvl w:val="1"/>
          <w:numId w:val="13"/>
        </w:numPr>
        <w:jc w:val="both"/>
        <w:rPr>
          <w:lang w:val="en-US"/>
        </w:rPr>
      </w:pPr>
      <w:r>
        <w:t>Enabling Environment</w:t>
      </w:r>
    </w:p>
    <w:p w14:paraId="6090DB61" w14:textId="77777777" w:rsidR="006E444A" w:rsidRDefault="006E444A" w:rsidP="006E444A">
      <w:pPr>
        <w:pStyle w:val="ListParagraph"/>
        <w:numPr>
          <w:ilvl w:val="0"/>
          <w:numId w:val="13"/>
        </w:numPr>
        <w:jc w:val="both"/>
        <w:rPr>
          <w:lang w:val="en-US"/>
        </w:rPr>
      </w:pPr>
      <w:r w:rsidRPr="00112FEE">
        <w:t>Governance</w:t>
      </w:r>
      <w:r>
        <w:t xml:space="preserve"> </w:t>
      </w:r>
      <w:r>
        <w:rPr>
          <w:lang w:val="en-US"/>
        </w:rPr>
        <w:t>and Human Rights</w:t>
      </w:r>
    </w:p>
    <w:p w14:paraId="303CFBAB" w14:textId="77777777" w:rsidR="00A85B44" w:rsidRDefault="00A85B44" w:rsidP="00A85B44">
      <w:pPr>
        <w:pStyle w:val="ListParagraph"/>
        <w:numPr>
          <w:ilvl w:val="1"/>
          <w:numId w:val="13"/>
        </w:numPr>
        <w:jc w:val="both"/>
        <w:rPr>
          <w:lang w:val="en-US"/>
        </w:rPr>
      </w:pPr>
      <w:r>
        <w:rPr>
          <w:lang w:val="en-US"/>
        </w:rPr>
        <w:t>Democratic Governance</w:t>
      </w:r>
    </w:p>
    <w:p w14:paraId="2E8FAA63" w14:textId="77777777" w:rsidR="00A85B44" w:rsidRDefault="00A85B44" w:rsidP="00A85B44">
      <w:pPr>
        <w:pStyle w:val="ListParagraph"/>
        <w:numPr>
          <w:ilvl w:val="1"/>
          <w:numId w:val="13"/>
        </w:numPr>
        <w:jc w:val="both"/>
        <w:rPr>
          <w:lang w:val="en-US"/>
        </w:rPr>
      </w:pPr>
      <w:r>
        <w:rPr>
          <w:lang w:val="en-US"/>
        </w:rPr>
        <w:t>Economic Governance</w:t>
      </w:r>
    </w:p>
    <w:p w14:paraId="58885495" w14:textId="77777777" w:rsidR="00A85B44" w:rsidRDefault="00A85B44" w:rsidP="00A85B44">
      <w:pPr>
        <w:pStyle w:val="ListParagraph"/>
        <w:numPr>
          <w:ilvl w:val="1"/>
          <w:numId w:val="13"/>
        </w:numPr>
        <w:jc w:val="both"/>
        <w:rPr>
          <w:lang w:val="en-US"/>
        </w:rPr>
      </w:pPr>
      <w:r>
        <w:rPr>
          <w:lang w:val="en-US"/>
        </w:rPr>
        <w:t>Gender Equality</w:t>
      </w:r>
    </w:p>
    <w:p w14:paraId="0121AFF3" w14:textId="77777777" w:rsidR="00A85B44" w:rsidRPr="006E444A" w:rsidRDefault="00A85B44" w:rsidP="00A85B44">
      <w:pPr>
        <w:pStyle w:val="ListParagraph"/>
        <w:numPr>
          <w:ilvl w:val="1"/>
          <w:numId w:val="13"/>
        </w:numPr>
        <w:jc w:val="both"/>
        <w:rPr>
          <w:lang w:val="en-US"/>
        </w:rPr>
      </w:pPr>
      <w:r>
        <w:rPr>
          <w:lang w:val="en-US"/>
        </w:rPr>
        <w:t>Population and Development</w:t>
      </w:r>
    </w:p>
    <w:p w14:paraId="1848358C" w14:textId="3C88F7E0" w:rsidR="006E444A" w:rsidRPr="00E32BFA" w:rsidRDefault="006E444A" w:rsidP="00BA45E8">
      <w:pPr>
        <w:jc w:val="both"/>
        <w:rPr>
          <w:rFonts w:eastAsia="Calibri"/>
        </w:rPr>
      </w:pPr>
      <w:r>
        <w:rPr>
          <w:lang w:val="en-US"/>
        </w:rPr>
        <w:t xml:space="preserve">These priority areas are bound together by key overarching issues including a focus on </w:t>
      </w:r>
      <w:r w:rsidR="008103DB">
        <w:rPr>
          <w:lang w:val="en-US"/>
        </w:rPr>
        <w:t>adolescent</w:t>
      </w:r>
      <w:r>
        <w:rPr>
          <w:lang w:val="en-US"/>
        </w:rPr>
        <w:t xml:space="preserve"> girls as a means to accelerate development; building resilience among communities and institutions; </w:t>
      </w:r>
      <w:r>
        <w:t>advancing human rights and gender equality and advocating for changing attitudes and behaviours. A focus on results backed by solid monitoring and programme oversight are key principles of programme implementation.</w:t>
      </w:r>
      <w:r w:rsidR="001B15FD">
        <w:t xml:space="preserve"> </w:t>
      </w:r>
      <w:r w:rsidRPr="0037364A">
        <w:t xml:space="preserve">The majority of initiatives are national in </w:t>
      </w:r>
      <w:r w:rsidRPr="00E32BFA">
        <w:rPr>
          <w:rFonts w:eastAsiaTheme="majorEastAsia"/>
        </w:rPr>
        <w:t>coverage and upstream</w:t>
      </w:r>
      <w:r w:rsidR="00A85B44">
        <w:rPr>
          <w:rFonts w:eastAsiaTheme="majorEastAsia"/>
        </w:rPr>
        <w:t xml:space="preserve">. However, </w:t>
      </w:r>
      <w:r w:rsidRPr="00E32BFA">
        <w:rPr>
          <w:rFonts w:eastAsiaTheme="majorEastAsia"/>
        </w:rPr>
        <w:t xml:space="preserve">there </w:t>
      </w:r>
      <w:r w:rsidRPr="00E32BFA">
        <w:rPr>
          <w:rFonts w:eastAsiaTheme="majorEastAsia"/>
        </w:rPr>
        <w:lastRenderedPageBreak/>
        <w:t>are components which operate at the sub-national level, usually direct delivery (e</w:t>
      </w:r>
      <w:r w:rsidR="00A85B44">
        <w:rPr>
          <w:rFonts w:eastAsiaTheme="majorEastAsia"/>
        </w:rPr>
        <w:t>.</w:t>
      </w:r>
      <w:r w:rsidRPr="00E32BFA">
        <w:rPr>
          <w:rFonts w:eastAsiaTheme="majorEastAsia"/>
        </w:rPr>
        <w:t>g</w:t>
      </w:r>
      <w:r w:rsidR="00A85B44">
        <w:rPr>
          <w:rFonts w:eastAsiaTheme="majorEastAsia"/>
        </w:rPr>
        <w:t>.</w:t>
      </w:r>
      <w:r w:rsidRPr="00E32BFA">
        <w:rPr>
          <w:rFonts w:eastAsiaTheme="majorEastAsia"/>
        </w:rPr>
        <w:t xml:space="preserve"> refugee assistance in </w:t>
      </w:r>
      <w:proofErr w:type="spellStart"/>
      <w:r w:rsidR="00A85B44">
        <w:rPr>
          <w:rFonts w:eastAsiaTheme="majorEastAsia"/>
        </w:rPr>
        <w:t>Dzaleka</w:t>
      </w:r>
      <w:proofErr w:type="spellEnd"/>
      <w:r w:rsidRPr="00E32BFA">
        <w:rPr>
          <w:rFonts w:eastAsiaTheme="majorEastAsia"/>
        </w:rPr>
        <w:t xml:space="preserve"> camp) or piloting </w:t>
      </w:r>
      <w:r w:rsidR="00A85B44">
        <w:rPr>
          <w:rFonts w:eastAsiaTheme="majorEastAsia"/>
        </w:rPr>
        <w:t xml:space="preserve">of projects/activities </w:t>
      </w:r>
      <w:r w:rsidRPr="00E32BFA">
        <w:rPr>
          <w:rFonts w:eastAsiaTheme="majorEastAsia"/>
        </w:rPr>
        <w:t>for extrapolation of lessons learn</w:t>
      </w:r>
      <w:r w:rsidR="00A85B44">
        <w:rPr>
          <w:rFonts w:eastAsiaTheme="majorEastAsia"/>
        </w:rPr>
        <w:t>t and future national roll-out.</w:t>
      </w:r>
    </w:p>
    <w:p w14:paraId="049A2CB2" w14:textId="77777777" w:rsidR="008103DB" w:rsidRDefault="00BA45E8" w:rsidP="00EE5311">
      <w:pPr>
        <w:jc w:val="both"/>
        <w:rPr>
          <w:rFonts w:eastAsiaTheme="majorEastAsia"/>
        </w:rPr>
      </w:pPr>
      <w:r>
        <w:rPr>
          <w:rFonts w:eastAsiaTheme="majorEastAsia"/>
        </w:rPr>
        <w:t xml:space="preserve">The evaluation will review delivery </w:t>
      </w:r>
      <w:r>
        <w:t xml:space="preserve">and achievement of results </w:t>
      </w:r>
      <w:r>
        <w:rPr>
          <w:rFonts w:eastAsiaTheme="majorEastAsia"/>
        </w:rPr>
        <w:t>across all 14 programme Outcomes, contributed to by 21 UN Agencies. However, a</w:t>
      </w:r>
      <w:r w:rsidR="001B15FD">
        <w:rPr>
          <w:rFonts w:eastAsiaTheme="majorEastAsia"/>
        </w:rPr>
        <w:t xml:space="preserve"> number of agencies are undertaking programme</w:t>
      </w:r>
      <w:r w:rsidR="00AF4154">
        <w:rPr>
          <w:rFonts w:eastAsiaTheme="majorEastAsia"/>
        </w:rPr>
        <w:t xml:space="preserve">/Outcome specific evaluations in early 2015. </w:t>
      </w:r>
      <w:r w:rsidR="008103DB">
        <w:rPr>
          <w:rFonts w:eastAsiaTheme="majorEastAsia"/>
        </w:rPr>
        <w:t>These are as follows:</w:t>
      </w:r>
    </w:p>
    <w:p w14:paraId="16A6C60B" w14:textId="059503E0" w:rsidR="008103DB" w:rsidRDefault="008103DB" w:rsidP="008103DB">
      <w:pPr>
        <w:pStyle w:val="ListParagraph"/>
        <w:numPr>
          <w:ilvl w:val="0"/>
          <w:numId w:val="36"/>
        </w:numPr>
        <w:jc w:val="both"/>
        <w:rPr>
          <w:rFonts w:eastAsiaTheme="majorEastAsia"/>
        </w:rPr>
      </w:pPr>
      <w:r>
        <w:rPr>
          <w:rFonts w:eastAsiaTheme="majorEastAsia"/>
        </w:rPr>
        <w:t>UNDP</w:t>
      </w:r>
    </w:p>
    <w:p w14:paraId="2375CF1D" w14:textId="77777777" w:rsidR="008103DB" w:rsidRPr="008103DB" w:rsidRDefault="008103DB" w:rsidP="008103DB">
      <w:pPr>
        <w:pStyle w:val="ListParagraph"/>
        <w:numPr>
          <w:ilvl w:val="1"/>
          <w:numId w:val="36"/>
        </w:numPr>
        <w:jc w:val="both"/>
        <w:rPr>
          <w:lang w:val="en-US"/>
        </w:rPr>
      </w:pPr>
      <w:r>
        <w:t>Environment, Natural Resources and Climate Change</w:t>
      </w:r>
    </w:p>
    <w:p w14:paraId="4232AA94" w14:textId="77777777" w:rsidR="008103DB" w:rsidRDefault="008103DB" w:rsidP="008103DB">
      <w:pPr>
        <w:pStyle w:val="ListParagraph"/>
        <w:numPr>
          <w:ilvl w:val="1"/>
          <w:numId w:val="36"/>
        </w:numPr>
        <w:jc w:val="both"/>
        <w:rPr>
          <w:lang w:val="en-US"/>
        </w:rPr>
      </w:pPr>
      <w:r>
        <w:rPr>
          <w:lang w:val="en-US"/>
        </w:rPr>
        <w:t>Gender Equality</w:t>
      </w:r>
    </w:p>
    <w:p w14:paraId="3BDA566F" w14:textId="2CC6C9D5" w:rsidR="008103DB" w:rsidRDefault="008103DB" w:rsidP="008103DB">
      <w:pPr>
        <w:pStyle w:val="ListParagraph"/>
        <w:numPr>
          <w:ilvl w:val="0"/>
          <w:numId w:val="36"/>
        </w:numPr>
        <w:jc w:val="both"/>
        <w:rPr>
          <w:lang w:val="en-US"/>
        </w:rPr>
      </w:pPr>
      <w:r>
        <w:rPr>
          <w:lang w:val="en-US"/>
        </w:rPr>
        <w:t>UNICEF</w:t>
      </w:r>
    </w:p>
    <w:p w14:paraId="51B74CFC" w14:textId="77777777" w:rsidR="008103DB" w:rsidRPr="00A85B44" w:rsidRDefault="008103DB" w:rsidP="008103DB">
      <w:pPr>
        <w:pStyle w:val="ListParagraph"/>
        <w:numPr>
          <w:ilvl w:val="1"/>
          <w:numId w:val="36"/>
        </w:numPr>
        <w:jc w:val="both"/>
        <w:rPr>
          <w:lang w:val="en-US"/>
        </w:rPr>
      </w:pPr>
      <w:r>
        <w:t>Health</w:t>
      </w:r>
    </w:p>
    <w:p w14:paraId="00112FE0" w14:textId="77777777" w:rsidR="008103DB" w:rsidRPr="00A85B44" w:rsidRDefault="008103DB" w:rsidP="008103DB">
      <w:pPr>
        <w:pStyle w:val="ListParagraph"/>
        <w:numPr>
          <w:ilvl w:val="1"/>
          <w:numId w:val="36"/>
        </w:numPr>
        <w:jc w:val="both"/>
        <w:rPr>
          <w:lang w:val="en-US"/>
        </w:rPr>
      </w:pPr>
      <w:r>
        <w:t>Nutrition</w:t>
      </w:r>
    </w:p>
    <w:p w14:paraId="2E664D10" w14:textId="77777777" w:rsidR="008103DB" w:rsidRPr="00A85B44" w:rsidRDefault="008103DB" w:rsidP="008103DB">
      <w:pPr>
        <w:pStyle w:val="ListParagraph"/>
        <w:numPr>
          <w:ilvl w:val="1"/>
          <w:numId w:val="36"/>
        </w:numPr>
        <w:jc w:val="both"/>
        <w:rPr>
          <w:lang w:val="en-US"/>
        </w:rPr>
      </w:pPr>
      <w:r>
        <w:t>Water, Sanitation and Hygiene</w:t>
      </w:r>
    </w:p>
    <w:p w14:paraId="25A72A7E" w14:textId="77777777" w:rsidR="008103DB" w:rsidRPr="00A85B44" w:rsidRDefault="008103DB" w:rsidP="008103DB">
      <w:pPr>
        <w:pStyle w:val="ListParagraph"/>
        <w:numPr>
          <w:ilvl w:val="1"/>
          <w:numId w:val="36"/>
        </w:numPr>
        <w:jc w:val="both"/>
        <w:rPr>
          <w:lang w:val="en-US"/>
        </w:rPr>
      </w:pPr>
      <w:r>
        <w:t xml:space="preserve">Education </w:t>
      </w:r>
    </w:p>
    <w:p w14:paraId="1915F66C" w14:textId="77777777" w:rsidR="008103DB" w:rsidRPr="00A85B44" w:rsidRDefault="008103DB" w:rsidP="008103DB">
      <w:pPr>
        <w:pStyle w:val="ListParagraph"/>
        <w:numPr>
          <w:ilvl w:val="1"/>
          <w:numId w:val="36"/>
        </w:numPr>
        <w:jc w:val="both"/>
        <w:rPr>
          <w:lang w:val="en-US"/>
        </w:rPr>
      </w:pPr>
      <w:r>
        <w:t>Protection</w:t>
      </w:r>
    </w:p>
    <w:p w14:paraId="79A3FEE0" w14:textId="7A9B4E1E" w:rsidR="008103DB" w:rsidRDefault="008103DB" w:rsidP="008103DB">
      <w:pPr>
        <w:pStyle w:val="ListParagraph"/>
        <w:numPr>
          <w:ilvl w:val="0"/>
          <w:numId w:val="36"/>
        </w:numPr>
        <w:jc w:val="both"/>
        <w:rPr>
          <w:rFonts w:eastAsiaTheme="majorEastAsia"/>
        </w:rPr>
      </w:pPr>
      <w:r>
        <w:rPr>
          <w:rFonts w:eastAsiaTheme="majorEastAsia"/>
        </w:rPr>
        <w:t>WFP</w:t>
      </w:r>
    </w:p>
    <w:p w14:paraId="2986C447" w14:textId="53A5781B" w:rsidR="008103DB" w:rsidRDefault="008103DB" w:rsidP="008103DB">
      <w:pPr>
        <w:pStyle w:val="ListParagraph"/>
        <w:numPr>
          <w:ilvl w:val="1"/>
          <w:numId w:val="36"/>
        </w:numPr>
        <w:jc w:val="both"/>
        <w:rPr>
          <w:rFonts w:eastAsiaTheme="majorEastAsia"/>
        </w:rPr>
      </w:pPr>
      <w:r>
        <w:rPr>
          <w:rFonts w:eastAsiaTheme="majorEastAsia"/>
        </w:rPr>
        <w:t xml:space="preserve">Humanitarian Food </w:t>
      </w:r>
      <w:r w:rsidR="00E92F88">
        <w:rPr>
          <w:rFonts w:eastAsiaTheme="majorEastAsia"/>
        </w:rPr>
        <w:t>Security</w:t>
      </w:r>
      <w:r>
        <w:rPr>
          <w:rFonts w:eastAsiaTheme="majorEastAsia"/>
        </w:rPr>
        <w:t xml:space="preserve"> Response</w:t>
      </w:r>
    </w:p>
    <w:p w14:paraId="1F5D88D2" w14:textId="261E5FF9" w:rsidR="00E92F88" w:rsidRPr="00E804BD" w:rsidRDefault="00E92F88" w:rsidP="00E804BD">
      <w:pPr>
        <w:jc w:val="both"/>
        <w:rPr>
          <w:rFonts w:eastAsiaTheme="majorEastAsia"/>
        </w:rPr>
      </w:pPr>
      <w:r>
        <w:rPr>
          <w:rFonts w:eastAsiaTheme="majorEastAsia"/>
        </w:rPr>
        <w:t>Following on this, the UN Women as Chair of the Gender technical working group and OHCHR as chair of the Human Rights technical working group will undertake a desk review of the integration of the cross cutting issues across the UNDAF 2012-2016</w:t>
      </w:r>
    </w:p>
    <w:p w14:paraId="560D2A0B" w14:textId="29B16CC7" w:rsidR="00EE5311" w:rsidRPr="00BA45E8" w:rsidRDefault="00BA45E8" w:rsidP="00EE5311">
      <w:pPr>
        <w:jc w:val="both"/>
        <w:rPr>
          <w:rFonts w:eastAsiaTheme="majorEastAsia"/>
        </w:rPr>
      </w:pPr>
      <w:r>
        <w:rPr>
          <w:rFonts w:eastAsiaTheme="majorEastAsia"/>
        </w:rPr>
        <w:t xml:space="preserve">Therefore, </w:t>
      </w:r>
      <w:r w:rsidR="00F875F8">
        <w:rPr>
          <w:rFonts w:eastAsiaTheme="majorEastAsia"/>
        </w:rPr>
        <w:t xml:space="preserve">rather than re-evaluating these areas, the </w:t>
      </w:r>
      <w:r>
        <w:rPr>
          <w:rFonts w:eastAsiaTheme="majorEastAsia"/>
        </w:rPr>
        <w:t>evaluation will focus on those areas not already evaluated</w:t>
      </w:r>
      <w:r w:rsidR="00F875F8">
        <w:rPr>
          <w:rFonts w:eastAsiaTheme="majorEastAsia"/>
        </w:rPr>
        <w:t xml:space="preserve"> and build on the thematic evaluations, </w:t>
      </w:r>
      <w:r w:rsidR="00AF4154">
        <w:rPr>
          <w:rFonts w:eastAsiaTheme="majorEastAsia"/>
        </w:rPr>
        <w:t>bring</w:t>
      </w:r>
      <w:r w:rsidR="00F875F8">
        <w:rPr>
          <w:rFonts w:eastAsiaTheme="majorEastAsia"/>
        </w:rPr>
        <w:t>ing</w:t>
      </w:r>
      <w:r w:rsidR="00AF4154">
        <w:rPr>
          <w:rFonts w:eastAsiaTheme="majorEastAsia"/>
        </w:rPr>
        <w:t xml:space="preserve"> </w:t>
      </w:r>
      <w:r>
        <w:rPr>
          <w:rFonts w:eastAsiaTheme="majorEastAsia"/>
        </w:rPr>
        <w:t xml:space="preserve">all areas </w:t>
      </w:r>
      <w:r w:rsidR="00F875F8">
        <w:rPr>
          <w:rFonts w:eastAsiaTheme="majorEastAsia"/>
        </w:rPr>
        <w:t xml:space="preserve">together </w:t>
      </w:r>
      <w:r>
        <w:rPr>
          <w:rFonts w:eastAsiaTheme="majorEastAsia"/>
        </w:rPr>
        <w:t xml:space="preserve">under a common </w:t>
      </w:r>
      <w:r w:rsidR="000A362F">
        <w:rPr>
          <w:rFonts w:eastAsiaTheme="majorEastAsia"/>
        </w:rPr>
        <w:t>evaluation framework</w:t>
      </w:r>
      <w:r>
        <w:rPr>
          <w:rFonts w:eastAsiaTheme="majorEastAsia"/>
        </w:rPr>
        <w:t xml:space="preserve">. </w:t>
      </w:r>
      <w:r w:rsidR="00EE5311">
        <w:rPr>
          <w:rFonts w:eastAsia="Calibri"/>
        </w:rPr>
        <w:t>In addition to this, the evaluation will build on the national review process which is likely to take place from January to March. As the UNDAF is the primary document for supporting the Government national development plan, the consultant will be expected to work closely with the consultant(s) conducting the national review and as much as possible, collaborate and work jointly to reduce duplication of efforts (for example, share consultation meetings with stakeholders).</w:t>
      </w:r>
    </w:p>
    <w:p w14:paraId="253B0B78" w14:textId="58231C9A" w:rsidR="006E444A" w:rsidRDefault="006E444A" w:rsidP="00BA45E8">
      <w:pPr>
        <w:jc w:val="both"/>
        <w:rPr>
          <w:rFonts w:eastAsia="Calibri"/>
        </w:rPr>
      </w:pPr>
      <w:r>
        <w:rPr>
          <w:rFonts w:eastAsia="Calibri"/>
        </w:rPr>
        <w:t xml:space="preserve">The </w:t>
      </w:r>
      <w:r w:rsidR="00BA45E8">
        <w:rPr>
          <w:rFonts w:eastAsia="Calibri"/>
        </w:rPr>
        <w:t>evaluation</w:t>
      </w:r>
      <w:r>
        <w:rPr>
          <w:rFonts w:eastAsia="Calibri"/>
        </w:rPr>
        <w:t xml:space="preserve"> should also </w:t>
      </w:r>
      <w:r w:rsidRPr="0037364A">
        <w:rPr>
          <w:rFonts w:eastAsia="Calibri"/>
        </w:rPr>
        <w:t>include analysis of the</w:t>
      </w:r>
      <w:r>
        <w:rPr>
          <w:rFonts w:eastAsia="Calibri"/>
        </w:rPr>
        <w:t xml:space="preserve"> mainstreaming of the</w:t>
      </w:r>
      <w:r w:rsidRPr="0037364A">
        <w:rPr>
          <w:rFonts w:eastAsia="Calibri"/>
        </w:rPr>
        <w:t xml:space="preserve"> five UN programming principles (human rights-based approach, gender equality, environmental sustainability, results-based management, capacity development) and examine </w:t>
      </w:r>
      <w:proofErr w:type="spellStart"/>
      <w:r w:rsidRPr="0037364A">
        <w:rPr>
          <w:rFonts w:eastAsia="Calibri"/>
        </w:rPr>
        <w:t>DaO</w:t>
      </w:r>
      <w:proofErr w:type="spellEnd"/>
      <w:r w:rsidRPr="0037364A">
        <w:rPr>
          <w:rFonts w:eastAsia="Calibri"/>
        </w:rPr>
        <w:t xml:space="preserve"> as an overall strategy. </w:t>
      </w:r>
    </w:p>
    <w:p w14:paraId="6533B95D" w14:textId="77777777" w:rsidR="006E444A" w:rsidRDefault="006E444A">
      <w:pPr>
        <w:rPr>
          <w:b/>
          <w:lang w:val="en-US"/>
        </w:rPr>
      </w:pPr>
    </w:p>
    <w:p w14:paraId="0C5B0EBD" w14:textId="77777777" w:rsidR="008D3928" w:rsidRDefault="00A10CB5" w:rsidP="006E444A">
      <w:pPr>
        <w:pStyle w:val="Heading1"/>
        <w:rPr>
          <w:lang w:val="en-US"/>
        </w:rPr>
      </w:pPr>
      <w:r>
        <w:rPr>
          <w:lang w:val="en-US"/>
        </w:rPr>
        <w:t>5.</w:t>
      </w:r>
      <w:r>
        <w:rPr>
          <w:lang w:val="en-US"/>
        </w:rPr>
        <w:tab/>
      </w:r>
      <w:r w:rsidR="008D3928">
        <w:rPr>
          <w:lang w:val="en-US"/>
        </w:rPr>
        <w:t>Evaluation Methodology</w:t>
      </w:r>
    </w:p>
    <w:p w14:paraId="1C5115FF" w14:textId="2108FAF0" w:rsidR="00B93BAE" w:rsidRDefault="00B93BAE" w:rsidP="00B27E37">
      <w:pPr>
        <w:jc w:val="both"/>
      </w:pPr>
      <w:r w:rsidRPr="00B93BAE">
        <w:rPr>
          <w:lang w:val="en-US"/>
        </w:rPr>
        <w:t>The e</w:t>
      </w:r>
      <w:r w:rsidRPr="00B93BAE">
        <w:t xml:space="preserve">valuation </w:t>
      </w:r>
      <w:r>
        <w:t xml:space="preserve">should be a programmatic evaluation that </w:t>
      </w:r>
      <w:r w:rsidRPr="00B93BAE">
        <w:t xml:space="preserve">assesses performance against </w:t>
      </w:r>
      <w:r>
        <w:t>the</w:t>
      </w:r>
      <w:r w:rsidRPr="00B93BAE">
        <w:t xml:space="preserve"> given programme fra</w:t>
      </w:r>
      <w:r>
        <w:t>mework</w:t>
      </w:r>
      <w:r w:rsidRPr="00B93BAE">
        <w:t xml:space="preserve">. </w:t>
      </w:r>
      <w:r w:rsidR="00E25010">
        <w:t xml:space="preserve">The </w:t>
      </w:r>
      <w:r w:rsidRPr="00B93BAE">
        <w:t xml:space="preserve">UN contribution </w:t>
      </w:r>
      <w:r>
        <w:t xml:space="preserve">should be against </w:t>
      </w:r>
      <w:r w:rsidRPr="00B93BAE">
        <w:t>national development outcomes contained in the results framework. As such</w:t>
      </w:r>
      <w:r>
        <w:t>, and i</w:t>
      </w:r>
      <w:r w:rsidRPr="0037364A">
        <w:rPr>
          <w:rFonts w:eastAsia="Calibri"/>
        </w:rPr>
        <w:t>n line with the UN System’s mandate to promote national ownership and capacity development, the evaluation is</w:t>
      </w:r>
      <w:r>
        <w:rPr>
          <w:rFonts w:eastAsia="Calibri"/>
        </w:rPr>
        <w:t xml:space="preserve"> country-led, with n</w:t>
      </w:r>
      <w:r w:rsidRPr="0037364A">
        <w:rPr>
          <w:rFonts w:eastAsia="Calibri"/>
        </w:rPr>
        <w:t>ational partners, both within Government</w:t>
      </w:r>
      <w:r>
        <w:rPr>
          <w:rFonts w:eastAsia="Calibri"/>
        </w:rPr>
        <w:t xml:space="preserve"> and civil society, co-determining</w:t>
      </w:r>
      <w:r w:rsidRPr="0037364A">
        <w:rPr>
          <w:rFonts w:eastAsia="Calibri"/>
        </w:rPr>
        <w:t xml:space="preserve"> what is to be evaluated, jointly assess</w:t>
      </w:r>
      <w:r>
        <w:rPr>
          <w:rFonts w:eastAsia="Calibri"/>
        </w:rPr>
        <w:t>ing</w:t>
      </w:r>
      <w:r w:rsidRPr="0037364A">
        <w:rPr>
          <w:rFonts w:eastAsia="Calibri"/>
        </w:rPr>
        <w:t xml:space="preserve"> the quality of the evaluation and </w:t>
      </w:r>
      <w:r>
        <w:rPr>
          <w:rFonts w:eastAsia="Calibri"/>
        </w:rPr>
        <w:t xml:space="preserve">its </w:t>
      </w:r>
      <w:r w:rsidRPr="0037364A">
        <w:rPr>
          <w:rFonts w:eastAsia="Calibri"/>
        </w:rPr>
        <w:t xml:space="preserve">application to the wider national sphere. </w:t>
      </w:r>
      <w:r w:rsidRPr="00B93BAE">
        <w:t>T</w:t>
      </w:r>
      <w:r>
        <w:t>he overall approach should be</w:t>
      </w:r>
      <w:r w:rsidRPr="00B93BAE">
        <w:t xml:space="preserve"> participatory and orientated towards learning how to jointly enhance development results at the national level</w:t>
      </w:r>
      <w:r w:rsidRPr="00B93BAE">
        <w:rPr>
          <w:rFonts w:ascii="Calibri" w:hAnsi="Calibri" w:cs="Calibri"/>
          <w:color w:val="000000"/>
          <w:sz w:val="22"/>
          <w:szCs w:val="22"/>
        </w:rPr>
        <w:t>.</w:t>
      </w:r>
      <w:r>
        <w:rPr>
          <w:rFonts w:ascii="Calibri" w:hAnsi="Calibri" w:cs="Calibri"/>
          <w:color w:val="000000"/>
          <w:sz w:val="22"/>
          <w:szCs w:val="22"/>
        </w:rPr>
        <w:t xml:space="preserve"> </w:t>
      </w:r>
      <w:r>
        <w:rPr>
          <w:rFonts w:eastAsia="Calibri"/>
        </w:rPr>
        <w:t xml:space="preserve">The Evaluation </w:t>
      </w:r>
      <w:r w:rsidR="000857E5">
        <w:rPr>
          <w:rFonts w:eastAsia="Calibri"/>
        </w:rPr>
        <w:t>should also</w:t>
      </w:r>
      <w:r>
        <w:rPr>
          <w:rFonts w:eastAsia="Calibri"/>
        </w:rPr>
        <w:t xml:space="preserve"> be </w:t>
      </w:r>
      <w:r>
        <w:t>gender and h</w:t>
      </w:r>
      <w:r w:rsidR="000857E5">
        <w:t>uman rights responsive and should</w:t>
      </w:r>
      <w:r>
        <w:t xml:space="preserve"> conform to UNEG norms and standards for evaluations, as well as ethical guidelines. </w:t>
      </w:r>
    </w:p>
    <w:p w14:paraId="6DC586FD" w14:textId="26C2695A" w:rsidR="00B93BAE" w:rsidRDefault="000857E5" w:rsidP="00B27E37">
      <w:pPr>
        <w:jc w:val="both"/>
        <w:rPr>
          <w:rFonts w:eastAsia="Calibri"/>
        </w:rPr>
      </w:pPr>
      <w:r w:rsidRPr="0037364A">
        <w:rPr>
          <w:rFonts w:eastAsia="Calibri"/>
        </w:rPr>
        <w:t>The evaluation will assess delivery of the UNDA</w:t>
      </w:r>
      <w:r>
        <w:rPr>
          <w:rFonts w:eastAsia="Calibri"/>
        </w:rPr>
        <w:t>F</w:t>
      </w:r>
      <w:r w:rsidRPr="0037364A">
        <w:rPr>
          <w:rFonts w:eastAsia="Calibri"/>
        </w:rPr>
        <w:t xml:space="preserve"> Outcomes and broader contribution to the </w:t>
      </w:r>
      <w:r>
        <w:rPr>
          <w:rFonts w:eastAsia="Calibri"/>
        </w:rPr>
        <w:t>Malawi Growth and Development Strategy II as well as advancement of human rights in country.</w:t>
      </w:r>
      <w:r w:rsidRPr="0037364A">
        <w:rPr>
          <w:rFonts w:eastAsia="Calibri"/>
        </w:rPr>
        <w:t xml:space="preserve"> Given realisation of the </w:t>
      </w:r>
      <w:r w:rsidR="003C011A">
        <w:rPr>
          <w:rFonts w:eastAsia="Calibri"/>
        </w:rPr>
        <w:t>UNDAF</w:t>
      </w:r>
      <w:r w:rsidRPr="0037364A">
        <w:rPr>
          <w:rFonts w:eastAsia="Calibri"/>
        </w:rPr>
        <w:t xml:space="preserve"> Outcomes involves a number of partners, establishing a causal linkage between the development intervention and the observed result (attribution) may prove problematic. The evaluation will therefore consider the </w:t>
      </w:r>
      <w:r w:rsidRPr="000857E5">
        <w:rPr>
          <w:rFonts w:eastAsia="Calibri"/>
        </w:rPr>
        <w:t>contribution</w:t>
      </w:r>
      <w:r w:rsidRPr="0037364A">
        <w:rPr>
          <w:rFonts w:eastAsia="Calibri"/>
        </w:rPr>
        <w:t xml:space="preserve"> of the UN t</w:t>
      </w:r>
      <w:r>
        <w:rPr>
          <w:rFonts w:eastAsia="Calibri"/>
        </w:rPr>
        <w:t>o the UNDAF</w:t>
      </w:r>
      <w:r w:rsidRPr="0037364A">
        <w:rPr>
          <w:rFonts w:eastAsia="Calibri"/>
        </w:rPr>
        <w:t xml:space="preserve"> Outcomes in light of national strategies and actions to support the planned change</w:t>
      </w:r>
    </w:p>
    <w:p w14:paraId="4DD89052" w14:textId="467DAF42" w:rsidR="00B93BAE" w:rsidRPr="0037364A" w:rsidRDefault="00B93BAE" w:rsidP="00B27E37">
      <w:pPr>
        <w:jc w:val="both"/>
        <w:rPr>
          <w:rFonts w:eastAsia="Calibri"/>
        </w:rPr>
      </w:pPr>
      <w:r w:rsidRPr="0037364A">
        <w:rPr>
          <w:rFonts w:eastAsia="Calibri"/>
        </w:rPr>
        <w:t xml:space="preserve">The primary focus of the evaluation will be at the Outcome level. </w:t>
      </w:r>
      <w:r>
        <w:rPr>
          <w:rFonts w:eastAsia="Calibri"/>
        </w:rPr>
        <w:t>As</w:t>
      </w:r>
      <w:r w:rsidRPr="0037364A">
        <w:rPr>
          <w:rFonts w:eastAsia="Calibri"/>
        </w:rPr>
        <w:t xml:space="preserve"> </w:t>
      </w:r>
      <w:r>
        <w:rPr>
          <w:rFonts w:eastAsia="Calibri"/>
        </w:rPr>
        <w:t>the assessment</w:t>
      </w:r>
      <w:r w:rsidRPr="0037364A">
        <w:rPr>
          <w:rFonts w:eastAsia="Calibri"/>
        </w:rPr>
        <w:t xml:space="preserve"> will be undertaken during the penultimate year of the UNDA</w:t>
      </w:r>
      <w:r w:rsidR="000857E5">
        <w:rPr>
          <w:rFonts w:eastAsia="Calibri"/>
        </w:rPr>
        <w:t>F</w:t>
      </w:r>
      <w:r w:rsidRPr="0037364A">
        <w:rPr>
          <w:rFonts w:eastAsia="Calibri"/>
        </w:rPr>
        <w:t xml:space="preserve">, it </w:t>
      </w:r>
      <w:r>
        <w:rPr>
          <w:rFonts w:eastAsia="Calibri"/>
        </w:rPr>
        <w:t xml:space="preserve">will </w:t>
      </w:r>
      <w:r w:rsidRPr="0037364A">
        <w:rPr>
          <w:rFonts w:eastAsia="Calibri"/>
        </w:rPr>
        <w:t>not</w:t>
      </w:r>
      <w:r>
        <w:rPr>
          <w:rFonts w:eastAsia="Calibri"/>
        </w:rPr>
        <w:t xml:space="preserve"> be</w:t>
      </w:r>
      <w:r w:rsidRPr="0037364A">
        <w:rPr>
          <w:rFonts w:eastAsia="Calibri"/>
        </w:rPr>
        <w:t xml:space="preserve"> a standard summative evaluation and will require some degree of anticipation in terms of the </w:t>
      </w:r>
      <w:r w:rsidRPr="0037364A">
        <w:rPr>
          <w:rFonts w:eastAsia="Calibri"/>
        </w:rPr>
        <w:lastRenderedPageBreak/>
        <w:t xml:space="preserve">likelihood of Outcome delivery. It will be for the </w:t>
      </w:r>
      <w:r w:rsidR="009A1373">
        <w:rPr>
          <w:rFonts w:eastAsia="Calibri"/>
        </w:rPr>
        <w:t>Consultant</w:t>
      </w:r>
      <w:r w:rsidRPr="0037364A">
        <w:rPr>
          <w:rFonts w:eastAsia="Calibri"/>
        </w:rPr>
        <w:t xml:space="preserve"> to establish in the Inception Report how they plan to manage this challenge, whilst retaining due rigour. </w:t>
      </w:r>
    </w:p>
    <w:p w14:paraId="08256FBC" w14:textId="77777777" w:rsidR="00B93BAE" w:rsidRPr="0037364A" w:rsidRDefault="00B93BAE" w:rsidP="00B27E37">
      <w:pPr>
        <w:rPr>
          <w:rFonts w:eastAsia="Calibri"/>
        </w:rPr>
      </w:pPr>
      <w:r w:rsidRPr="0037364A">
        <w:rPr>
          <w:rFonts w:eastAsia="Calibri"/>
        </w:rPr>
        <w:t xml:space="preserve">The standard set of evaluation criteria </w:t>
      </w:r>
      <w:r w:rsidR="000857E5">
        <w:rPr>
          <w:rFonts w:eastAsia="Calibri"/>
        </w:rPr>
        <w:t>across all UNDAF</w:t>
      </w:r>
      <w:r w:rsidRPr="0037364A">
        <w:rPr>
          <w:rFonts w:eastAsia="Calibri"/>
        </w:rPr>
        <w:t xml:space="preserve"> evaluations is to be used, namely:</w:t>
      </w:r>
    </w:p>
    <w:p w14:paraId="1F3C3FE3" w14:textId="39F35A4B" w:rsidR="00B93BAE" w:rsidRPr="00CF287A" w:rsidRDefault="00B93BAE" w:rsidP="00B93BAE">
      <w:pPr>
        <w:pStyle w:val="ListParagraph"/>
        <w:numPr>
          <w:ilvl w:val="0"/>
          <w:numId w:val="17"/>
        </w:numPr>
        <w:spacing w:before="0" w:after="0" w:line="280" w:lineRule="exact"/>
        <w:jc w:val="both"/>
        <w:rPr>
          <w:rFonts w:eastAsia="Calibri"/>
        </w:rPr>
      </w:pPr>
      <w:r w:rsidRPr="000857E5">
        <w:rPr>
          <w:rFonts w:eastAsia="Calibri"/>
          <w:b/>
        </w:rPr>
        <w:t>Relevance -</w:t>
      </w:r>
      <w:r w:rsidRPr="0037364A">
        <w:rPr>
          <w:rFonts w:eastAsia="Calibri"/>
        </w:rPr>
        <w:t xml:space="preserve"> The extent </w:t>
      </w:r>
      <w:r w:rsidR="000857E5">
        <w:rPr>
          <w:rFonts w:eastAsia="Calibri"/>
        </w:rPr>
        <w:t>to which the objectives of UNDAF</w:t>
      </w:r>
      <w:r w:rsidRPr="0037364A">
        <w:rPr>
          <w:rFonts w:eastAsia="Calibri"/>
        </w:rPr>
        <w:t xml:space="preserve"> are consistent with cou</w:t>
      </w:r>
      <w:r>
        <w:rPr>
          <w:rFonts w:eastAsia="Calibri"/>
        </w:rPr>
        <w:t xml:space="preserve">ntry needs, national priorities </w:t>
      </w:r>
      <w:r w:rsidRPr="0075380A">
        <w:rPr>
          <w:rFonts w:eastAsia="Calibri"/>
        </w:rPr>
        <w:t>(including National Strategy for Gender Development)</w:t>
      </w:r>
      <w:r w:rsidRPr="0037364A">
        <w:rPr>
          <w:rFonts w:eastAsia="Calibri"/>
        </w:rPr>
        <w:t xml:space="preserve"> the country’s international and regional commitments, including on human rights  (core human rights treaties, including </w:t>
      </w:r>
      <w:hyperlink r:id="rId10" w:history="1">
        <w:r w:rsidR="00AF4154" w:rsidRPr="006E43C1">
          <w:rPr>
            <w:rFonts w:eastAsia="Times New Roman"/>
            <w:lang w:eastAsia="en-GB"/>
          </w:rPr>
          <w:t>International Covenant on Civil and Political Rights</w:t>
        </w:r>
      </w:hyperlink>
      <w:r w:rsidR="00AF4154">
        <w:rPr>
          <w:lang w:eastAsia="en-GB"/>
        </w:rPr>
        <w:t xml:space="preserve">, </w:t>
      </w:r>
      <w:r w:rsidR="00AF4154" w:rsidRPr="00AF4154">
        <w:rPr>
          <w:rFonts w:cs="Arial"/>
          <w:bCs/>
        </w:rPr>
        <w:t>International Covenant on Economic, Social and Cultural</w:t>
      </w:r>
      <w:r w:rsidR="00AF4154" w:rsidRPr="006E43C1">
        <w:rPr>
          <w:bCs/>
        </w:rPr>
        <w:t xml:space="preserve"> Rights</w:t>
      </w:r>
      <w:r w:rsidR="00AF4154">
        <w:rPr>
          <w:bCs/>
        </w:rPr>
        <w:t xml:space="preserve">, </w:t>
      </w:r>
      <w:r w:rsidR="00AF4154" w:rsidRPr="00AF4154">
        <w:rPr>
          <w:rFonts w:cs="Arial"/>
          <w:bCs/>
        </w:rPr>
        <w:t>International Convention on the Elimination of All Forms of</w:t>
      </w:r>
      <w:r w:rsidR="00AF4154" w:rsidRPr="006E43C1">
        <w:rPr>
          <w:bCs/>
        </w:rPr>
        <w:t xml:space="preserve"> Discrimination</w:t>
      </w:r>
      <w:r w:rsidR="00AF4154">
        <w:rPr>
          <w:bCs/>
        </w:rPr>
        <w:t xml:space="preserve">, </w:t>
      </w:r>
      <w:r w:rsidR="00AF4154" w:rsidRPr="00AF4154">
        <w:rPr>
          <w:rFonts w:cs="Arial"/>
          <w:bCs/>
        </w:rPr>
        <w:t>Convention to Eliminate All Forms of Discrimination Against</w:t>
      </w:r>
      <w:r w:rsidR="00AF4154" w:rsidRPr="006E43C1">
        <w:rPr>
          <w:bCs/>
        </w:rPr>
        <w:t xml:space="preserve"> Women</w:t>
      </w:r>
      <w:r w:rsidR="00AF4154">
        <w:rPr>
          <w:bCs/>
        </w:rPr>
        <w:t xml:space="preserve">, </w:t>
      </w:r>
      <w:r w:rsidR="00AF4154" w:rsidRPr="00AF4154">
        <w:rPr>
          <w:rFonts w:cs="Arial"/>
          <w:bCs/>
        </w:rPr>
        <w:t>Convention on the Rights of Persons with Disabilities</w:t>
      </w:r>
      <w:r w:rsidR="00AF4154">
        <w:rPr>
          <w:bCs/>
        </w:rPr>
        <w:t xml:space="preserve">, </w:t>
      </w:r>
      <w:r w:rsidR="00AF4154" w:rsidRPr="006E43C1">
        <w:rPr>
          <w:bCs/>
        </w:rPr>
        <w:t>Convention on the Rights of Chil</w:t>
      </w:r>
      <w:r w:rsidR="00AF4154">
        <w:rPr>
          <w:bCs/>
        </w:rPr>
        <w:t>d</w:t>
      </w:r>
      <w:r w:rsidR="00AF4154" w:rsidRPr="006E43C1">
        <w:rPr>
          <w:bCs/>
        </w:rPr>
        <w:t>ren</w:t>
      </w:r>
      <w:r w:rsidR="00AF4154" w:rsidRPr="0037364A">
        <w:rPr>
          <w:rFonts w:eastAsia="Calibri"/>
        </w:rPr>
        <w:t xml:space="preserve"> </w:t>
      </w:r>
      <w:r w:rsidRPr="0037364A">
        <w:rPr>
          <w:rFonts w:eastAsia="Calibri"/>
        </w:rPr>
        <w:t>etc.) and the recommendations of Human Rights mechanisms (including the treaty bodies, special procedures and UPR), sustainable development, environment, and the needs of women and men</w:t>
      </w:r>
      <w:r>
        <w:rPr>
          <w:rFonts w:eastAsia="Calibri"/>
        </w:rPr>
        <w:t xml:space="preserve"> of all ages</w:t>
      </w:r>
      <w:r w:rsidRPr="0037364A">
        <w:rPr>
          <w:rFonts w:eastAsia="Calibri"/>
        </w:rPr>
        <w:t xml:space="preserve">, </w:t>
      </w:r>
      <w:r>
        <w:rPr>
          <w:rFonts w:eastAsia="Calibri"/>
        </w:rPr>
        <w:t>young people, boys and girls and most vulnerable groups</w:t>
      </w:r>
      <w:r w:rsidRPr="0037364A">
        <w:rPr>
          <w:rFonts w:eastAsia="Calibri"/>
        </w:rPr>
        <w:t xml:space="preserve"> in the country</w:t>
      </w:r>
      <w:r>
        <w:rPr>
          <w:rFonts w:eastAsia="Calibri"/>
        </w:rPr>
        <w:t xml:space="preserve">. </w:t>
      </w:r>
      <w:r w:rsidRPr="00CF287A">
        <w:rPr>
          <w:rFonts w:eastAsia="Calibri"/>
        </w:rPr>
        <w:t xml:space="preserve">To what extent was the </w:t>
      </w:r>
      <w:r w:rsidR="003C011A">
        <w:rPr>
          <w:rFonts w:eastAsia="Calibri"/>
        </w:rPr>
        <w:t>UNDAF</w:t>
      </w:r>
      <w:r w:rsidRPr="00CF287A">
        <w:rPr>
          <w:rFonts w:eastAsia="Calibri"/>
        </w:rPr>
        <w:t xml:space="preserve"> informed by substantive human rights and gender analyses that identified underlying causes and barriers to H</w:t>
      </w:r>
      <w:r>
        <w:rPr>
          <w:rFonts w:eastAsia="Calibri"/>
        </w:rPr>
        <w:t xml:space="preserve">uman Rights and Gender </w:t>
      </w:r>
      <w:r w:rsidR="000857E5">
        <w:rPr>
          <w:rFonts w:eastAsia="Calibri"/>
        </w:rPr>
        <w:t>Equality</w:t>
      </w:r>
      <w:r w:rsidRPr="00CF287A">
        <w:rPr>
          <w:rFonts w:eastAsia="Calibri"/>
        </w:rPr>
        <w:t>?</w:t>
      </w:r>
    </w:p>
    <w:p w14:paraId="656BB0F8" w14:textId="500C851F" w:rsidR="00B93BAE" w:rsidRPr="00CF287A" w:rsidRDefault="00B93BAE" w:rsidP="00B93BAE">
      <w:pPr>
        <w:pStyle w:val="ListParagraph"/>
        <w:numPr>
          <w:ilvl w:val="0"/>
          <w:numId w:val="17"/>
        </w:numPr>
        <w:spacing w:before="0" w:after="0" w:line="280" w:lineRule="exact"/>
        <w:jc w:val="both"/>
        <w:rPr>
          <w:rFonts w:eastAsia="Calibri"/>
        </w:rPr>
      </w:pPr>
      <w:r w:rsidRPr="000857E5">
        <w:rPr>
          <w:rFonts w:eastAsia="Calibri"/>
          <w:b/>
        </w:rPr>
        <w:t>Effectiveness -</w:t>
      </w:r>
      <w:r w:rsidRPr="00CF287A">
        <w:rPr>
          <w:rFonts w:eastAsia="Calibri"/>
        </w:rPr>
        <w:t xml:space="preserve"> The extent to which the UN contributed to, or is likely to contribute to, the outcomes defined in the </w:t>
      </w:r>
      <w:r w:rsidR="003C011A">
        <w:rPr>
          <w:rFonts w:eastAsia="Calibri"/>
        </w:rPr>
        <w:t>UNDAF</w:t>
      </w:r>
      <w:r w:rsidRPr="00CF287A">
        <w:rPr>
          <w:rFonts w:eastAsia="Calibri"/>
        </w:rPr>
        <w:t xml:space="preserve"> and to the degree to which were the results were equitably distributed among the targeted groups. To what extent w</w:t>
      </w:r>
      <w:r w:rsidR="00D90AAC">
        <w:rPr>
          <w:rFonts w:eastAsia="Calibri"/>
        </w:rPr>
        <w:t>as</w:t>
      </w:r>
      <w:r w:rsidRPr="00CF287A">
        <w:rPr>
          <w:rFonts w:eastAsia="Calibri"/>
        </w:rPr>
        <w:t xml:space="preserve"> a human rights based approach and a gender mainstreaming strategy incorporated in the design and implementation of the </w:t>
      </w:r>
      <w:r w:rsidR="003C011A">
        <w:rPr>
          <w:rFonts w:eastAsia="Calibri"/>
        </w:rPr>
        <w:t>UNDAF</w:t>
      </w:r>
      <w:r w:rsidRPr="00CF287A">
        <w:rPr>
          <w:rFonts w:eastAsia="Calibri"/>
        </w:rPr>
        <w:t xml:space="preserve">? </w:t>
      </w:r>
      <w:r>
        <w:rPr>
          <w:rFonts w:eastAsia="Calibri"/>
        </w:rPr>
        <w:t xml:space="preserve">Did the intervention contribute to empowerment of rights holders, especially women and young people, to claim and duty bearers to fulfil Human Rights and Gender Equality standards? </w:t>
      </w:r>
      <w:r w:rsidRPr="0037364A">
        <w:rPr>
          <w:rFonts w:eastAsia="Calibri"/>
        </w:rPr>
        <w:t xml:space="preserve">The </w:t>
      </w:r>
      <w:r w:rsidRPr="00CF287A">
        <w:rPr>
          <w:rFonts w:eastAsia="Calibri"/>
        </w:rPr>
        <w:t>evaluation should also note how the unintended results, if any, have affected national development positively or negatively and to what extent have they been foreseen and managed.</w:t>
      </w:r>
    </w:p>
    <w:p w14:paraId="6F70FB33" w14:textId="77777777" w:rsidR="00B93BAE" w:rsidRPr="00CF287A" w:rsidRDefault="00B93BAE" w:rsidP="00B93BAE">
      <w:pPr>
        <w:pStyle w:val="ListParagraph"/>
        <w:numPr>
          <w:ilvl w:val="0"/>
          <w:numId w:val="17"/>
        </w:numPr>
        <w:spacing w:before="0" w:after="0" w:line="280" w:lineRule="exact"/>
        <w:jc w:val="both"/>
        <w:rPr>
          <w:rFonts w:eastAsia="Calibri"/>
        </w:rPr>
      </w:pPr>
      <w:r w:rsidRPr="000857E5">
        <w:rPr>
          <w:rFonts w:eastAsia="Calibri"/>
          <w:b/>
        </w:rPr>
        <w:t>Efficiency -</w:t>
      </w:r>
      <w:r w:rsidRPr="00CF287A">
        <w:rPr>
          <w:rFonts w:eastAsia="Calibri"/>
        </w:rPr>
        <w:t xml:space="preserve"> The extent to which outcomes were achieved with the appropriate amount of resources and maintenance of minimum transaction cost (funds, expertise, time, administrative costs, etc.). The extent to which resource allocation took into account or prioritised most marginalised groups including women and girls. To what extent were adequate resources provided for integrating </w:t>
      </w:r>
      <w:r w:rsidR="000857E5" w:rsidRPr="00CF287A">
        <w:rPr>
          <w:rFonts w:eastAsia="Calibri"/>
        </w:rPr>
        <w:t>H</w:t>
      </w:r>
      <w:r w:rsidR="000857E5">
        <w:rPr>
          <w:rFonts w:eastAsia="Calibri"/>
        </w:rPr>
        <w:t>uman Rights and Gender Equality</w:t>
      </w:r>
      <w:r w:rsidR="000857E5" w:rsidRPr="00CF287A">
        <w:rPr>
          <w:rFonts w:eastAsia="Calibri"/>
        </w:rPr>
        <w:t xml:space="preserve"> </w:t>
      </w:r>
      <w:r w:rsidRPr="00CF287A">
        <w:rPr>
          <w:rFonts w:eastAsia="Calibri"/>
        </w:rPr>
        <w:t>in the UNDA</w:t>
      </w:r>
      <w:r w:rsidR="000857E5">
        <w:rPr>
          <w:rFonts w:eastAsia="Calibri"/>
        </w:rPr>
        <w:t>F</w:t>
      </w:r>
      <w:r w:rsidRPr="00CF287A">
        <w:rPr>
          <w:rFonts w:eastAsia="Calibri"/>
        </w:rPr>
        <w:t>?</w:t>
      </w:r>
    </w:p>
    <w:p w14:paraId="5C61BCF3" w14:textId="77777777" w:rsidR="00B93BAE" w:rsidRDefault="00B93BAE" w:rsidP="00B93BAE">
      <w:pPr>
        <w:pStyle w:val="ListParagraph"/>
        <w:numPr>
          <w:ilvl w:val="0"/>
          <w:numId w:val="17"/>
        </w:numPr>
        <w:spacing w:before="0" w:after="0" w:line="280" w:lineRule="exact"/>
        <w:jc w:val="both"/>
        <w:rPr>
          <w:rFonts w:eastAsia="Calibri"/>
        </w:rPr>
      </w:pPr>
      <w:r w:rsidRPr="000857E5">
        <w:rPr>
          <w:rFonts w:eastAsia="Calibri"/>
          <w:b/>
        </w:rPr>
        <w:t>Sustainability -</w:t>
      </w:r>
      <w:r w:rsidRPr="00CF287A">
        <w:rPr>
          <w:rFonts w:eastAsia="Calibri"/>
        </w:rPr>
        <w:t xml:space="preserve"> The extent to which the benefits from a development intervention have continued, or are likely to continue, after it has been completed. In particular, if the transition from developing </w:t>
      </w:r>
      <w:r w:rsidRPr="00CF287A">
        <w:rPr>
          <w:rFonts w:eastAsia="Calibri"/>
          <w:i/>
        </w:rPr>
        <w:t>individual</w:t>
      </w:r>
      <w:r w:rsidRPr="00CF287A">
        <w:rPr>
          <w:rFonts w:eastAsia="Calibri"/>
        </w:rPr>
        <w:t xml:space="preserve"> capacity in the short-term to creating </w:t>
      </w:r>
      <w:r w:rsidRPr="00CF287A">
        <w:rPr>
          <w:rFonts w:eastAsia="Calibri"/>
          <w:i/>
        </w:rPr>
        <w:t>institutional</w:t>
      </w:r>
      <w:r w:rsidRPr="00CF287A">
        <w:rPr>
          <w:rFonts w:eastAsia="Calibri"/>
        </w:rPr>
        <w:t xml:space="preserve"> capacity in the long-term has been made. The range of requirements should be considered, including creation of technical expertise, financial independence and mechanisms through which rights-holders may participate in and assert the fulfilment of their rights. To what extent did the UNDA</w:t>
      </w:r>
      <w:r w:rsidR="000857E5">
        <w:rPr>
          <w:rFonts w:eastAsia="Calibri"/>
        </w:rPr>
        <w:t>F</w:t>
      </w:r>
      <w:r w:rsidRPr="00CF287A">
        <w:rPr>
          <w:rFonts w:eastAsia="Calibri"/>
        </w:rPr>
        <w:t xml:space="preserve"> contribute to developing an enabling environment (including capacities of rights holders and duty bearers) and institutional changes to advance </w:t>
      </w:r>
      <w:r>
        <w:rPr>
          <w:rFonts w:eastAsia="Calibri"/>
        </w:rPr>
        <w:t>Human Rights and Gender Equality</w:t>
      </w:r>
      <w:r w:rsidRPr="00CF287A">
        <w:rPr>
          <w:rFonts w:eastAsia="Calibri"/>
        </w:rPr>
        <w:t xml:space="preserve"> issues?</w:t>
      </w:r>
    </w:p>
    <w:p w14:paraId="2C9AA5FF" w14:textId="77777777" w:rsidR="00F414E6" w:rsidRPr="00F414E6" w:rsidRDefault="00A96DD0" w:rsidP="00A96DD0">
      <w:pPr>
        <w:pStyle w:val="ListParagraph"/>
        <w:numPr>
          <w:ilvl w:val="0"/>
          <w:numId w:val="17"/>
        </w:numPr>
        <w:shd w:val="clear" w:color="auto" w:fill="FFFFFF"/>
        <w:spacing w:before="0" w:after="0" w:line="280" w:lineRule="exact"/>
        <w:jc w:val="both"/>
        <w:rPr>
          <w:rFonts w:ascii="Arial" w:hAnsi="Arial" w:cs="Arial"/>
          <w:color w:val="000000"/>
          <w:sz w:val="18"/>
          <w:szCs w:val="18"/>
        </w:rPr>
      </w:pPr>
      <w:r w:rsidRPr="00F414E6">
        <w:rPr>
          <w:rFonts w:eastAsia="Calibri"/>
          <w:b/>
        </w:rPr>
        <w:t>Impact –</w:t>
      </w:r>
      <w:r w:rsidRPr="00F414E6">
        <w:rPr>
          <w:rFonts w:eastAsia="Calibri"/>
        </w:rPr>
        <w:t xml:space="preserve"> </w:t>
      </w:r>
      <w:r w:rsidRPr="001B15FD">
        <w:rPr>
          <w:rFonts w:cs="Arial"/>
          <w:color w:val="000000"/>
        </w:rPr>
        <w:t xml:space="preserve">Assess the changes in the well-being of individuals, households and communities </w:t>
      </w:r>
      <w:r w:rsidR="00F414E6" w:rsidRPr="001B15FD">
        <w:rPr>
          <w:rFonts w:cs="Arial"/>
          <w:color w:val="000000"/>
        </w:rPr>
        <w:t>attributed to the UNDAF. Identify the changes that have occurred and provide accountability of the UN system. It will also provide feedback to help improve the design of the next UNDAF.</w:t>
      </w:r>
    </w:p>
    <w:p w14:paraId="43DEFACF" w14:textId="77777777" w:rsidR="000857E5" w:rsidRPr="0037364A" w:rsidRDefault="000857E5" w:rsidP="000857E5">
      <w:pPr>
        <w:rPr>
          <w:rFonts w:eastAsia="Calibri"/>
        </w:rPr>
      </w:pPr>
      <w:r>
        <w:rPr>
          <w:rFonts w:eastAsia="Calibri"/>
        </w:rPr>
        <w:t xml:space="preserve">During assessment, </w:t>
      </w:r>
      <w:r w:rsidRPr="0037364A">
        <w:rPr>
          <w:rFonts w:eastAsia="Calibri"/>
        </w:rPr>
        <w:t xml:space="preserve">using the above criteria, the evaluators should identify the various factors that can explain performance. Where these factors have been identified as </w:t>
      </w:r>
      <w:r w:rsidR="003C011A">
        <w:rPr>
          <w:rFonts w:eastAsia="Calibri"/>
        </w:rPr>
        <w:t>UNDAF</w:t>
      </w:r>
      <w:r w:rsidRPr="0037364A">
        <w:rPr>
          <w:rFonts w:eastAsia="Calibri"/>
        </w:rPr>
        <w:t xml:space="preserve"> outcomes in their own right, they should be considered as both results and enabling factors. The evaluators </w:t>
      </w:r>
      <w:r w:rsidRPr="00E31D2F">
        <w:rPr>
          <w:rFonts w:eastAsia="Calibri"/>
          <w:u w:val="single"/>
        </w:rPr>
        <w:t>must</w:t>
      </w:r>
      <w:r w:rsidRPr="0037364A">
        <w:rPr>
          <w:rFonts w:eastAsia="Calibri"/>
        </w:rPr>
        <w:t xml:space="preserve"> include reference to:</w:t>
      </w:r>
    </w:p>
    <w:p w14:paraId="5C48A280" w14:textId="3773EE00" w:rsidR="000857E5" w:rsidRPr="0037364A" w:rsidRDefault="000857E5" w:rsidP="000857E5">
      <w:pPr>
        <w:pStyle w:val="ListParagraph"/>
        <w:numPr>
          <w:ilvl w:val="0"/>
          <w:numId w:val="18"/>
        </w:numPr>
        <w:spacing w:before="0" w:after="0" w:line="280" w:lineRule="exact"/>
        <w:jc w:val="both"/>
        <w:rPr>
          <w:rFonts w:eastAsia="Calibri"/>
        </w:rPr>
      </w:pPr>
      <w:r w:rsidRPr="00B27E37">
        <w:rPr>
          <w:rFonts w:eastAsia="Calibri"/>
          <w:b/>
        </w:rPr>
        <w:t>UN Coordination and Value Addition of Delivering as One -</w:t>
      </w:r>
      <w:r w:rsidRPr="0037364A">
        <w:rPr>
          <w:rFonts w:eastAsia="Calibri"/>
        </w:rPr>
        <w:t xml:space="preserve"> The extent to which </w:t>
      </w:r>
      <w:r>
        <w:rPr>
          <w:rFonts w:eastAsia="Calibri"/>
        </w:rPr>
        <w:t xml:space="preserve">UN Coordination and </w:t>
      </w:r>
      <w:proofErr w:type="spellStart"/>
      <w:r w:rsidRPr="0037364A">
        <w:rPr>
          <w:rFonts w:eastAsia="Calibri"/>
        </w:rPr>
        <w:t>DaO</w:t>
      </w:r>
      <w:proofErr w:type="spellEnd"/>
      <w:r w:rsidRPr="0037364A">
        <w:rPr>
          <w:rFonts w:eastAsia="Calibri"/>
        </w:rPr>
        <w:t xml:space="preserve"> created or encouraged synergies among agencies, optimal results and avoidance of duplication? The extent to which harmonisation measures at the operational level contribute to improved efficiency and results? Factors that facilitated or adversely impacted upon implementation and commitment to the </w:t>
      </w:r>
      <w:proofErr w:type="spellStart"/>
      <w:r w:rsidRPr="0037364A">
        <w:rPr>
          <w:rFonts w:eastAsia="Calibri"/>
        </w:rPr>
        <w:t>DaO</w:t>
      </w:r>
      <w:proofErr w:type="spellEnd"/>
      <w:r w:rsidRPr="0037364A">
        <w:rPr>
          <w:rFonts w:eastAsia="Calibri"/>
        </w:rPr>
        <w:t xml:space="preserve"> approach</w:t>
      </w:r>
      <w:r>
        <w:rPr>
          <w:rFonts w:eastAsia="Calibri"/>
        </w:rPr>
        <w:t>.</w:t>
      </w:r>
    </w:p>
    <w:p w14:paraId="698EF764" w14:textId="77777777" w:rsidR="000857E5" w:rsidRPr="001F6677" w:rsidRDefault="000857E5" w:rsidP="000857E5">
      <w:pPr>
        <w:pStyle w:val="ListParagraph"/>
        <w:numPr>
          <w:ilvl w:val="0"/>
          <w:numId w:val="18"/>
        </w:numPr>
        <w:spacing w:before="0" w:after="0" w:line="280" w:lineRule="exact"/>
        <w:jc w:val="both"/>
        <w:rPr>
          <w:rFonts w:eastAsia="Calibri"/>
        </w:rPr>
      </w:pPr>
      <w:r w:rsidRPr="00B27E37">
        <w:rPr>
          <w:rFonts w:eastAsia="Calibri"/>
          <w:b/>
        </w:rPr>
        <w:t>UN Programming Principles -</w:t>
      </w:r>
      <w:r w:rsidRPr="001F6677">
        <w:rPr>
          <w:rFonts w:eastAsia="Calibri"/>
        </w:rPr>
        <w:t xml:space="preserve"> To what extent were the UNDA</w:t>
      </w:r>
      <w:r>
        <w:rPr>
          <w:rFonts w:eastAsia="Calibri"/>
        </w:rPr>
        <w:t>F</w:t>
      </w:r>
      <w:r w:rsidRPr="001F6677">
        <w:rPr>
          <w:rFonts w:eastAsia="Calibri"/>
        </w:rPr>
        <w:t xml:space="preserve"> programming principles (human rights-based approach, gender equality, environmental sustainability, results-based management, capacity development) considered and mainstreamed in the chain of results? Were any shortcomings due to a failure to take account of programming principles during implementation?</w:t>
      </w:r>
      <w:r>
        <w:rPr>
          <w:rFonts w:eastAsia="Calibri"/>
        </w:rPr>
        <w:t xml:space="preserve"> </w:t>
      </w:r>
      <w:r>
        <w:t xml:space="preserve">Were adequate resources (both agency specific and One UN Fund) allocated to enable the application and implementation of </w:t>
      </w:r>
      <w:r w:rsidR="003C011A">
        <w:t>UNDAF</w:t>
      </w:r>
      <w:r>
        <w:t xml:space="preserve"> programming principles and related results?</w:t>
      </w:r>
    </w:p>
    <w:p w14:paraId="2CB5B0F0" w14:textId="5D7639AA" w:rsidR="000857E5" w:rsidRDefault="000857E5" w:rsidP="000857E5">
      <w:pPr>
        <w:pStyle w:val="ListParagraph"/>
        <w:numPr>
          <w:ilvl w:val="0"/>
          <w:numId w:val="18"/>
        </w:numPr>
        <w:spacing w:before="0" w:after="0" w:line="280" w:lineRule="exact"/>
        <w:jc w:val="both"/>
        <w:rPr>
          <w:rFonts w:eastAsia="Calibri"/>
        </w:rPr>
      </w:pPr>
      <w:r w:rsidRPr="0037364A">
        <w:rPr>
          <w:rFonts w:eastAsia="Calibri"/>
        </w:rPr>
        <w:lastRenderedPageBreak/>
        <w:t xml:space="preserve">How well did the UN use its </w:t>
      </w:r>
      <w:r w:rsidRPr="00B27E37">
        <w:rPr>
          <w:rFonts w:eastAsia="Calibri"/>
          <w:b/>
        </w:rPr>
        <w:t>partnerships</w:t>
      </w:r>
      <w:r w:rsidRPr="0037364A">
        <w:rPr>
          <w:rFonts w:eastAsia="Calibri"/>
        </w:rPr>
        <w:t xml:space="preserve"> (with civil society/private sector/local government/parliament/national human rights institutions/</w:t>
      </w:r>
      <w:r>
        <w:rPr>
          <w:rFonts w:eastAsia="Calibri"/>
        </w:rPr>
        <w:t>gender equality advocates/</w:t>
      </w:r>
      <w:r w:rsidRPr="0037364A">
        <w:rPr>
          <w:rFonts w:eastAsia="Calibri"/>
        </w:rPr>
        <w:t xml:space="preserve">international development partners) to improve performance? To what extent was the “active, free, and meaningful” participation of all stakeholders </w:t>
      </w:r>
      <w:r>
        <w:rPr>
          <w:rFonts w:eastAsia="Calibri"/>
        </w:rPr>
        <w:t xml:space="preserve">(in particular vulnerable groups including women and girls) </w:t>
      </w:r>
      <w:r w:rsidRPr="0037364A">
        <w:rPr>
          <w:rFonts w:eastAsia="Calibri"/>
        </w:rPr>
        <w:t xml:space="preserve">ensured in the </w:t>
      </w:r>
      <w:r w:rsidR="003C011A">
        <w:rPr>
          <w:rFonts w:eastAsia="Calibri"/>
        </w:rPr>
        <w:t>UNDAF</w:t>
      </w:r>
      <w:r w:rsidRPr="0037364A">
        <w:rPr>
          <w:rFonts w:eastAsia="Calibri"/>
        </w:rPr>
        <w:t xml:space="preserve"> process?</w:t>
      </w:r>
    </w:p>
    <w:p w14:paraId="4744A847" w14:textId="5DFB3132" w:rsidR="000857E5" w:rsidRPr="0037364A" w:rsidRDefault="000857E5" w:rsidP="000857E5">
      <w:pPr>
        <w:pStyle w:val="ListParagraph"/>
        <w:numPr>
          <w:ilvl w:val="0"/>
          <w:numId w:val="18"/>
        </w:numPr>
        <w:spacing w:before="0" w:after="0" w:line="280" w:lineRule="exact"/>
        <w:jc w:val="both"/>
        <w:rPr>
          <w:rFonts w:eastAsia="Calibri"/>
        </w:rPr>
      </w:pPr>
      <w:r w:rsidRPr="0037364A">
        <w:rPr>
          <w:rFonts w:eastAsia="Calibri"/>
        </w:rPr>
        <w:t xml:space="preserve">Did the UN undertake appropriate </w:t>
      </w:r>
      <w:r w:rsidRPr="00B27E37">
        <w:rPr>
          <w:rFonts w:eastAsia="Calibri"/>
          <w:b/>
        </w:rPr>
        <w:t>risk analysis</w:t>
      </w:r>
      <w:r w:rsidRPr="0037364A">
        <w:rPr>
          <w:rFonts w:eastAsia="Calibri"/>
        </w:rPr>
        <w:t xml:space="preserve"> and take appropriate actions to ensure that results to which it contributed are not lost? </w:t>
      </w:r>
    </w:p>
    <w:p w14:paraId="2FF87F6A" w14:textId="36CF8AD9" w:rsidR="000857E5" w:rsidRPr="0037364A" w:rsidRDefault="000857E5" w:rsidP="000857E5">
      <w:pPr>
        <w:pStyle w:val="ListParagraph"/>
        <w:numPr>
          <w:ilvl w:val="0"/>
          <w:numId w:val="18"/>
        </w:numPr>
        <w:spacing w:before="0" w:after="0" w:line="280" w:lineRule="exact"/>
        <w:jc w:val="both"/>
        <w:rPr>
          <w:rFonts w:eastAsia="Calibri"/>
        </w:rPr>
      </w:pPr>
      <w:r w:rsidRPr="00B27E37">
        <w:rPr>
          <w:rFonts w:eastAsia="Calibri"/>
          <w:b/>
        </w:rPr>
        <w:t>Responsiveness -</w:t>
      </w:r>
      <w:r w:rsidR="00E25010">
        <w:rPr>
          <w:rFonts w:eastAsia="Calibri"/>
        </w:rPr>
        <w:t xml:space="preserve"> How adequately did the UN</w:t>
      </w:r>
      <w:r w:rsidRPr="0037364A">
        <w:rPr>
          <w:rFonts w:eastAsia="Calibri"/>
        </w:rPr>
        <w:t xml:space="preserve"> during planning and implementation of the UNDA</w:t>
      </w:r>
      <w:r>
        <w:rPr>
          <w:rFonts w:eastAsia="Calibri"/>
        </w:rPr>
        <w:t>F</w:t>
      </w:r>
      <w:r w:rsidRPr="0037364A">
        <w:rPr>
          <w:rFonts w:eastAsia="Calibri"/>
        </w:rPr>
        <w:t xml:space="preserve"> respond to changes in national priorities and to additional requests from national counterparts, as well as to shifts caused by major external factors and evolving country context (e.g. natural disaster, elections)?</w:t>
      </w:r>
    </w:p>
    <w:p w14:paraId="6B3CD441" w14:textId="77777777" w:rsidR="000857E5" w:rsidRPr="0037364A" w:rsidRDefault="000857E5" w:rsidP="000857E5">
      <w:pPr>
        <w:pStyle w:val="ListParagraph"/>
        <w:numPr>
          <w:ilvl w:val="0"/>
          <w:numId w:val="18"/>
        </w:numPr>
        <w:spacing w:before="0" w:after="0" w:line="280" w:lineRule="exact"/>
        <w:jc w:val="both"/>
        <w:rPr>
          <w:rFonts w:eastAsia="Calibri"/>
        </w:rPr>
      </w:pPr>
      <w:r w:rsidRPr="0037364A">
        <w:rPr>
          <w:rFonts w:eastAsia="Calibri"/>
        </w:rPr>
        <w:t xml:space="preserve">To what extent did the </w:t>
      </w:r>
      <w:r w:rsidRPr="0037364A">
        <w:t>UNDA</w:t>
      </w:r>
      <w:r>
        <w:t>F</w:t>
      </w:r>
      <w:r w:rsidRPr="0037364A">
        <w:t xml:space="preserve"> </w:t>
      </w:r>
      <w:r w:rsidRPr="00B27E37">
        <w:rPr>
          <w:b/>
        </w:rPr>
        <w:t>Governance and Management Structures</w:t>
      </w:r>
      <w:r w:rsidRPr="0037364A">
        <w:t xml:space="preserve"> promote or challenge delivery, with reference to the internal Division of Labour and Go</w:t>
      </w:r>
      <w:r w:rsidR="009D5529">
        <w:t xml:space="preserve">vernment of Malawi </w:t>
      </w:r>
      <w:r w:rsidRPr="0037364A">
        <w:t xml:space="preserve">Dialogue Structure? Could </w:t>
      </w:r>
      <w:r w:rsidR="00D90AAC">
        <w:t>outcome</w:t>
      </w:r>
      <w:r w:rsidRPr="0037364A">
        <w:t xml:space="preserve"> groups be better defined and operationalised in future?</w:t>
      </w:r>
    </w:p>
    <w:p w14:paraId="19366716" w14:textId="77777777" w:rsidR="009D5529" w:rsidRDefault="009D5529" w:rsidP="000857E5">
      <w:r>
        <w:t>The evaluation</w:t>
      </w:r>
      <w:r w:rsidR="000857E5" w:rsidRPr="0037364A">
        <w:rPr>
          <w:color w:val="000000"/>
        </w:rPr>
        <w:t xml:space="preserve"> will not use a pre/post comparison design and, therefore, does not lend itself to </w:t>
      </w:r>
      <w:r w:rsidR="000857E5">
        <w:rPr>
          <w:color w:val="000000"/>
        </w:rPr>
        <w:t xml:space="preserve">specifically </w:t>
      </w:r>
      <w:r w:rsidR="000857E5" w:rsidRPr="0037364A">
        <w:rPr>
          <w:color w:val="000000"/>
        </w:rPr>
        <w:t>attributing effects to the UNDA</w:t>
      </w:r>
      <w:r>
        <w:rPr>
          <w:color w:val="000000"/>
        </w:rPr>
        <w:t>F</w:t>
      </w:r>
      <w:r w:rsidR="000857E5" w:rsidRPr="0037364A">
        <w:rPr>
          <w:color w:val="000000"/>
        </w:rPr>
        <w:t>.</w:t>
      </w:r>
      <w:r w:rsidR="000857E5" w:rsidRPr="0037364A">
        <w:t xml:space="preserve"> </w:t>
      </w:r>
      <w:r>
        <w:t>The UNDAF</w:t>
      </w:r>
      <w:r w:rsidR="000857E5" w:rsidRPr="0037364A">
        <w:t xml:space="preserve"> evaluation should draw on a variety of data collection methods, including but not limited to: </w:t>
      </w:r>
    </w:p>
    <w:p w14:paraId="571D8212" w14:textId="77777777" w:rsidR="009D5529" w:rsidRPr="009D5529" w:rsidRDefault="000857E5" w:rsidP="009D5529">
      <w:pPr>
        <w:pStyle w:val="ListParagraph"/>
        <w:numPr>
          <w:ilvl w:val="0"/>
          <w:numId w:val="19"/>
        </w:numPr>
        <w:rPr>
          <w:b/>
          <w:lang w:val="en-US"/>
        </w:rPr>
      </w:pPr>
      <w:r w:rsidRPr="0037364A">
        <w:t xml:space="preserve">document review; </w:t>
      </w:r>
    </w:p>
    <w:p w14:paraId="2213C688" w14:textId="77777777" w:rsidR="009D5529" w:rsidRPr="009D5529" w:rsidRDefault="000857E5" w:rsidP="009D5529">
      <w:pPr>
        <w:pStyle w:val="ListParagraph"/>
        <w:numPr>
          <w:ilvl w:val="0"/>
          <w:numId w:val="19"/>
        </w:numPr>
        <w:rPr>
          <w:b/>
          <w:lang w:val="en-US"/>
        </w:rPr>
      </w:pPr>
      <w:r w:rsidRPr="0037364A">
        <w:t xml:space="preserve">semi-structured key stakeholder interviews; </w:t>
      </w:r>
    </w:p>
    <w:p w14:paraId="6BB408A6" w14:textId="77777777" w:rsidR="009D5529" w:rsidRPr="009D5529" w:rsidRDefault="000857E5" w:rsidP="009D5529">
      <w:pPr>
        <w:pStyle w:val="ListParagraph"/>
        <w:numPr>
          <w:ilvl w:val="0"/>
          <w:numId w:val="19"/>
        </w:numPr>
        <w:rPr>
          <w:b/>
          <w:lang w:val="en-US"/>
        </w:rPr>
      </w:pPr>
      <w:r w:rsidRPr="0037364A">
        <w:t xml:space="preserve">surveys; </w:t>
      </w:r>
    </w:p>
    <w:p w14:paraId="74BCBFD0" w14:textId="77777777" w:rsidR="009D5529" w:rsidRPr="009D5529" w:rsidRDefault="000857E5" w:rsidP="009D5529">
      <w:pPr>
        <w:pStyle w:val="ListParagraph"/>
        <w:numPr>
          <w:ilvl w:val="0"/>
          <w:numId w:val="19"/>
        </w:numPr>
        <w:rPr>
          <w:b/>
          <w:lang w:val="en-US"/>
        </w:rPr>
      </w:pPr>
      <w:r w:rsidRPr="0037364A">
        <w:t xml:space="preserve">focus groups; </w:t>
      </w:r>
    </w:p>
    <w:p w14:paraId="081783FB" w14:textId="77777777" w:rsidR="009D5529" w:rsidRPr="009D5529" w:rsidRDefault="000857E5" w:rsidP="009D5529">
      <w:pPr>
        <w:pStyle w:val="ListParagraph"/>
        <w:numPr>
          <w:ilvl w:val="0"/>
          <w:numId w:val="19"/>
        </w:numPr>
        <w:rPr>
          <w:b/>
          <w:lang w:val="en-US"/>
        </w:rPr>
      </w:pPr>
      <w:r w:rsidRPr="0037364A">
        <w:t>outcome mapping</w:t>
      </w:r>
      <w:r w:rsidR="009D5529">
        <w:t>;</w:t>
      </w:r>
      <w:r w:rsidRPr="0037364A">
        <w:t xml:space="preserve"> and</w:t>
      </w:r>
      <w:r w:rsidR="009D5529">
        <w:t>,</w:t>
      </w:r>
      <w:r w:rsidRPr="0037364A">
        <w:t xml:space="preserve"> </w:t>
      </w:r>
    </w:p>
    <w:p w14:paraId="092ED994" w14:textId="77777777" w:rsidR="009D5529" w:rsidRPr="009D5529" w:rsidRDefault="000857E5" w:rsidP="009D5529">
      <w:pPr>
        <w:pStyle w:val="ListParagraph"/>
        <w:numPr>
          <w:ilvl w:val="0"/>
          <w:numId w:val="19"/>
        </w:numPr>
        <w:rPr>
          <w:b/>
          <w:lang w:val="en-US"/>
        </w:rPr>
      </w:pPr>
      <w:proofErr w:type="gramStart"/>
      <w:r w:rsidRPr="0037364A">
        <w:t>observational</w:t>
      </w:r>
      <w:proofErr w:type="gramEnd"/>
      <w:r w:rsidRPr="0037364A">
        <w:t xml:space="preserve"> visits. </w:t>
      </w:r>
    </w:p>
    <w:p w14:paraId="655DA861" w14:textId="77777777" w:rsidR="000857E5" w:rsidRPr="009D5529" w:rsidRDefault="000857E5" w:rsidP="009D5529">
      <w:pPr>
        <w:rPr>
          <w:b/>
          <w:lang w:val="en-US"/>
        </w:rPr>
      </w:pPr>
      <w:r w:rsidRPr="0037364A">
        <w:t xml:space="preserve">These should be identified based upon availability, logistical constraints (travel, costs, time, </w:t>
      </w:r>
      <w:proofErr w:type="spellStart"/>
      <w:r w:rsidRPr="0037364A">
        <w:t>etc</w:t>
      </w:r>
      <w:proofErr w:type="spellEnd"/>
      <w:r w:rsidRPr="0037364A">
        <w:t>) and ethical considerations. Data should be systemat</w:t>
      </w:r>
      <w:r w:rsidR="009D5529">
        <w:t xml:space="preserve">ically disaggregated by sex, age, </w:t>
      </w:r>
      <w:r w:rsidR="009D5529" w:rsidRPr="0037364A">
        <w:t>geographical region</w:t>
      </w:r>
      <w:r w:rsidRPr="0037364A">
        <w:t xml:space="preserve">, </w:t>
      </w:r>
      <w:r w:rsidR="009D5529">
        <w:t xml:space="preserve">and </w:t>
      </w:r>
      <w:r w:rsidRPr="0037364A">
        <w:t>to the extent possible, other contextually-relevant markers of equity. It is anticipated that the inception report will include an evaluation matrix linking the data collection methods to the evaluation criteria and questions. Analysis should combine qualitative and quantitative tools, triangulating information sources and findings where possible for validation purposes.</w:t>
      </w:r>
    </w:p>
    <w:p w14:paraId="5511721F" w14:textId="77777777" w:rsidR="000E6C5A" w:rsidRDefault="000E6C5A">
      <w:pPr>
        <w:rPr>
          <w:lang w:val="en-US"/>
        </w:rPr>
      </w:pPr>
    </w:p>
    <w:p w14:paraId="1953E3C9" w14:textId="77777777" w:rsidR="00613D49" w:rsidRPr="00613D49" w:rsidRDefault="00A10CB5" w:rsidP="006E444A">
      <w:pPr>
        <w:pStyle w:val="Heading1"/>
        <w:rPr>
          <w:lang w:val="en-US"/>
        </w:rPr>
      </w:pPr>
      <w:r>
        <w:rPr>
          <w:lang w:val="en-US"/>
        </w:rPr>
        <w:t>6.</w:t>
      </w:r>
      <w:r>
        <w:rPr>
          <w:lang w:val="en-US"/>
        </w:rPr>
        <w:tab/>
      </w:r>
      <w:r w:rsidR="00613D49" w:rsidRPr="00613D49">
        <w:rPr>
          <w:lang w:val="en-US"/>
        </w:rPr>
        <w:t>Management and Conduct of the Evaluation</w:t>
      </w:r>
    </w:p>
    <w:p w14:paraId="4256454D" w14:textId="77777777" w:rsidR="009D5529" w:rsidRDefault="00A10CB5" w:rsidP="009D5529">
      <w:pPr>
        <w:pStyle w:val="Heading2"/>
      </w:pPr>
      <w:r>
        <w:t>6.1</w:t>
      </w:r>
      <w:r>
        <w:tab/>
      </w:r>
      <w:r w:rsidR="009D5529" w:rsidRPr="009D5529">
        <w:t>E</w:t>
      </w:r>
      <w:r w:rsidR="009D5529">
        <w:t>valuation Management Structure</w:t>
      </w:r>
    </w:p>
    <w:p w14:paraId="02AD660E" w14:textId="04810912" w:rsidR="009D5529" w:rsidRPr="009D5529" w:rsidRDefault="00170323" w:rsidP="009D5529">
      <w:r w:rsidRPr="0037364A">
        <w:rPr>
          <w:rFonts w:ascii="Calibri" w:eastAsia="MS PGothic" w:hAnsi="Calibri"/>
          <w:color w:val="000000"/>
        </w:rPr>
        <w:t>UNDA</w:t>
      </w:r>
      <w:r>
        <w:rPr>
          <w:rFonts w:ascii="Calibri" w:eastAsia="MS PGothic" w:hAnsi="Calibri"/>
          <w:color w:val="000000"/>
        </w:rPr>
        <w:t>F</w:t>
      </w:r>
      <w:r w:rsidRPr="0037364A">
        <w:rPr>
          <w:rFonts w:ascii="Calibri" w:eastAsia="MS PGothic" w:hAnsi="Calibri"/>
          <w:color w:val="000000"/>
        </w:rPr>
        <w:t xml:space="preserve"> evaluations are country-level evaluations. As such, they are jointly commissioned and financed by the UNCT and the national government. The </w:t>
      </w:r>
      <w:r w:rsidR="009A1373">
        <w:rPr>
          <w:rFonts w:ascii="Calibri" w:eastAsia="MS PGothic" w:hAnsi="Calibri"/>
          <w:color w:val="000000"/>
        </w:rPr>
        <w:t>Consultant</w:t>
      </w:r>
      <w:r w:rsidRPr="0037364A">
        <w:rPr>
          <w:rFonts w:ascii="Calibri" w:eastAsia="MS PGothic" w:hAnsi="Calibri"/>
          <w:color w:val="000000"/>
        </w:rPr>
        <w:t xml:space="preserve"> is expected to work in full independence from the evaluation commissioners</w:t>
      </w:r>
      <w:r w:rsidR="004A4534">
        <w:rPr>
          <w:rFonts w:ascii="Calibri" w:eastAsia="MS PGothic" w:hAnsi="Calibri"/>
          <w:color w:val="000000"/>
        </w:rPr>
        <w:t xml:space="preserve"> </w:t>
      </w:r>
      <w:r w:rsidR="009D5529" w:rsidRPr="009D5529">
        <w:t xml:space="preserve">under the supervision of a dual-tiered evaluation management structure. </w:t>
      </w:r>
    </w:p>
    <w:p w14:paraId="5130DAB6" w14:textId="734027C4" w:rsidR="009D5529" w:rsidRPr="009D5529" w:rsidRDefault="009D5529" w:rsidP="00F875F8">
      <w:pPr>
        <w:pStyle w:val="ListParagraph"/>
        <w:numPr>
          <w:ilvl w:val="0"/>
          <w:numId w:val="23"/>
        </w:numPr>
      </w:pPr>
      <w:r w:rsidRPr="009D5529">
        <w:t>Direct super</w:t>
      </w:r>
      <w:r w:rsidR="00F875F8">
        <w:t xml:space="preserve">vision is provided by the UN Programme Management Team which for this purpose, will be expanded </w:t>
      </w:r>
      <w:r w:rsidR="00F875F8">
        <w:rPr>
          <w:b/>
          <w:bCs/>
        </w:rPr>
        <w:t xml:space="preserve">to </w:t>
      </w:r>
      <w:r w:rsidR="00F875F8" w:rsidRPr="00F875F8">
        <w:rPr>
          <w:bCs/>
        </w:rPr>
        <w:t xml:space="preserve">include </w:t>
      </w:r>
      <w:r w:rsidRPr="00F875F8">
        <w:t>1</w:t>
      </w:r>
      <w:r w:rsidR="00BD0C84" w:rsidRPr="00F875F8">
        <w:t>-2 representatives</w:t>
      </w:r>
      <w:r w:rsidRPr="009D5529">
        <w:t xml:space="preserve"> </w:t>
      </w:r>
      <w:r w:rsidR="00F875F8">
        <w:t xml:space="preserve">from the national counterparts. </w:t>
      </w:r>
      <w:r w:rsidRPr="009D5529">
        <w:t xml:space="preserve">This group will be responsible for the day-to-day implementation of the evaluation and management of the evaluation budget. The key roles of the </w:t>
      </w:r>
      <w:r w:rsidR="00DC73AE">
        <w:t>PMT</w:t>
      </w:r>
      <w:r w:rsidRPr="009D5529">
        <w:t xml:space="preserve"> are: </w:t>
      </w:r>
    </w:p>
    <w:p w14:paraId="5A4357BA" w14:textId="15BDDB9C" w:rsidR="009D5529" w:rsidRPr="009D5529" w:rsidRDefault="009D5529" w:rsidP="00170323">
      <w:pPr>
        <w:pStyle w:val="ListParagraph"/>
        <w:numPr>
          <w:ilvl w:val="1"/>
          <w:numId w:val="19"/>
        </w:numPr>
      </w:pPr>
      <w:r w:rsidRPr="009D5529">
        <w:t>To prepare the terms of reference for the evaluation in coordination with the Evaluation Steering Committee (</w:t>
      </w:r>
      <w:r w:rsidR="00DC73AE">
        <w:t>UNCT</w:t>
      </w:r>
      <w:r w:rsidRPr="009D5529">
        <w:t xml:space="preserve">); </w:t>
      </w:r>
    </w:p>
    <w:p w14:paraId="648962B8" w14:textId="3BB61606" w:rsidR="009D5529" w:rsidRPr="009D5529" w:rsidRDefault="009D5529" w:rsidP="00170323">
      <w:pPr>
        <w:pStyle w:val="ListParagraph"/>
        <w:numPr>
          <w:ilvl w:val="1"/>
          <w:numId w:val="19"/>
        </w:numPr>
      </w:pPr>
      <w:r w:rsidRPr="009D5529">
        <w:t xml:space="preserve">To lead the hiring of the team of external consultants, reviewing proposals and approving the selection of the </w:t>
      </w:r>
      <w:r w:rsidR="009A1373">
        <w:t>Consultant</w:t>
      </w:r>
      <w:r w:rsidRPr="009D5529">
        <w:t xml:space="preserve">; </w:t>
      </w:r>
    </w:p>
    <w:p w14:paraId="059D191E" w14:textId="3303E006" w:rsidR="009D5529" w:rsidRPr="009D5529" w:rsidRDefault="009D5529" w:rsidP="00170323">
      <w:pPr>
        <w:pStyle w:val="ListParagraph"/>
        <w:numPr>
          <w:ilvl w:val="1"/>
          <w:numId w:val="19"/>
        </w:numPr>
      </w:pPr>
      <w:r w:rsidRPr="009D5529">
        <w:t xml:space="preserve">To supervise and guide the </w:t>
      </w:r>
      <w:r w:rsidR="009A1373">
        <w:t>Consultant</w:t>
      </w:r>
      <w:r w:rsidRPr="009D5529">
        <w:t xml:space="preserve"> in each step of the evaluation process; </w:t>
      </w:r>
    </w:p>
    <w:p w14:paraId="76D9596E" w14:textId="77777777" w:rsidR="009D5529" w:rsidRPr="009D5529" w:rsidRDefault="009D5529" w:rsidP="00170323">
      <w:pPr>
        <w:pStyle w:val="ListParagraph"/>
        <w:numPr>
          <w:ilvl w:val="1"/>
          <w:numId w:val="19"/>
        </w:numPr>
      </w:pPr>
      <w:r w:rsidRPr="009D5529">
        <w:t xml:space="preserve">To review, provide substantive comments and approve the inception report, including the work plan, analytical framework and methodology; </w:t>
      </w:r>
    </w:p>
    <w:p w14:paraId="0B48C062" w14:textId="77777777" w:rsidR="009D5529" w:rsidRPr="009D5529" w:rsidRDefault="009D5529" w:rsidP="00170323">
      <w:pPr>
        <w:pStyle w:val="ListParagraph"/>
        <w:numPr>
          <w:ilvl w:val="1"/>
          <w:numId w:val="19"/>
        </w:numPr>
      </w:pPr>
      <w:r w:rsidRPr="009D5529">
        <w:t xml:space="preserve">To review and provide substantive feedback to the draft and final evaluation reports, for quality assurance purposes; </w:t>
      </w:r>
    </w:p>
    <w:p w14:paraId="010926FA" w14:textId="77777777" w:rsidR="009D5529" w:rsidRDefault="009D5529" w:rsidP="00170323">
      <w:pPr>
        <w:pStyle w:val="ListParagraph"/>
        <w:numPr>
          <w:ilvl w:val="1"/>
          <w:numId w:val="19"/>
        </w:numPr>
      </w:pPr>
      <w:r w:rsidRPr="009D5529">
        <w:lastRenderedPageBreak/>
        <w:t xml:space="preserve">to ensure the quality and independence of the evaluation and to guarantee its alignment with UNEG Norms and Standards and Ethical Guidelines; </w:t>
      </w:r>
    </w:p>
    <w:p w14:paraId="57290136" w14:textId="729289BC" w:rsidR="00170323" w:rsidRPr="00170323" w:rsidRDefault="00170323" w:rsidP="00170323">
      <w:pPr>
        <w:pStyle w:val="ListParagraph"/>
        <w:numPr>
          <w:ilvl w:val="1"/>
          <w:numId w:val="19"/>
        </w:numPr>
        <w:autoSpaceDE w:val="0"/>
        <w:autoSpaceDN w:val="0"/>
        <w:adjustRightInd w:val="0"/>
        <w:spacing w:before="0" w:after="56" w:line="240" w:lineRule="auto"/>
        <w:rPr>
          <w:rFonts w:ascii="Calibri" w:hAnsi="Calibri" w:cs="Calibri"/>
          <w:color w:val="000000"/>
          <w:szCs w:val="22"/>
        </w:rPr>
      </w:pPr>
      <w:r w:rsidRPr="00170323">
        <w:rPr>
          <w:rFonts w:ascii="Calibri" w:hAnsi="Calibri" w:cs="Calibri"/>
          <w:color w:val="000000"/>
          <w:szCs w:val="22"/>
        </w:rPr>
        <w:t xml:space="preserve">To identify and ensure the participation of relevant stakeholders in coordination with the </w:t>
      </w:r>
      <w:r w:rsidR="00DC73AE">
        <w:rPr>
          <w:rFonts w:ascii="Calibri" w:hAnsi="Calibri" w:cs="Calibri"/>
          <w:color w:val="000000"/>
          <w:szCs w:val="22"/>
        </w:rPr>
        <w:t>UNCT</w:t>
      </w:r>
      <w:r w:rsidRPr="00170323">
        <w:rPr>
          <w:rFonts w:ascii="Calibri" w:hAnsi="Calibri" w:cs="Calibri"/>
          <w:color w:val="000000"/>
          <w:szCs w:val="22"/>
        </w:rPr>
        <w:t xml:space="preserve"> throughout the evaluation process; </w:t>
      </w:r>
    </w:p>
    <w:p w14:paraId="5B205DE4" w14:textId="77777777" w:rsidR="00170323" w:rsidRPr="00170323" w:rsidRDefault="00170323" w:rsidP="00170323">
      <w:pPr>
        <w:pStyle w:val="ListParagraph"/>
        <w:numPr>
          <w:ilvl w:val="1"/>
          <w:numId w:val="19"/>
        </w:numPr>
        <w:autoSpaceDE w:val="0"/>
        <w:autoSpaceDN w:val="0"/>
        <w:adjustRightInd w:val="0"/>
        <w:spacing w:before="0" w:after="56" w:line="240" w:lineRule="auto"/>
        <w:rPr>
          <w:rFonts w:ascii="Calibri" w:hAnsi="Calibri" w:cs="Calibri"/>
          <w:color w:val="000000"/>
          <w:szCs w:val="22"/>
        </w:rPr>
      </w:pPr>
      <w:r w:rsidRPr="00170323">
        <w:rPr>
          <w:rFonts w:ascii="Calibri" w:hAnsi="Calibri" w:cs="Calibri"/>
          <w:color w:val="000000"/>
          <w:szCs w:val="22"/>
        </w:rPr>
        <w:t>to ensure the evaluation findings and conclusions are relevant and recommendations are implementable; and</w:t>
      </w:r>
      <w:r>
        <w:rPr>
          <w:rFonts w:ascii="Calibri" w:hAnsi="Calibri" w:cs="Calibri"/>
          <w:color w:val="000000"/>
          <w:szCs w:val="22"/>
        </w:rPr>
        <w:t>,</w:t>
      </w:r>
      <w:r w:rsidRPr="00170323">
        <w:rPr>
          <w:rFonts w:ascii="Calibri" w:hAnsi="Calibri" w:cs="Calibri"/>
          <w:color w:val="000000"/>
          <w:szCs w:val="22"/>
        </w:rPr>
        <w:t xml:space="preserve"> </w:t>
      </w:r>
    </w:p>
    <w:p w14:paraId="03BEE101" w14:textId="77777777" w:rsidR="00170323" w:rsidRDefault="00170323" w:rsidP="00170323">
      <w:pPr>
        <w:pStyle w:val="ListParagraph"/>
        <w:numPr>
          <w:ilvl w:val="1"/>
          <w:numId w:val="19"/>
        </w:numPr>
        <w:autoSpaceDE w:val="0"/>
        <w:autoSpaceDN w:val="0"/>
        <w:adjustRightInd w:val="0"/>
        <w:spacing w:before="0" w:after="0" w:line="240" w:lineRule="auto"/>
        <w:rPr>
          <w:rFonts w:ascii="Calibri" w:hAnsi="Calibri" w:cs="Calibri"/>
          <w:color w:val="000000"/>
          <w:szCs w:val="22"/>
        </w:rPr>
      </w:pPr>
      <w:r w:rsidRPr="00170323">
        <w:rPr>
          <w:rFonts w:ascii="Calibri" w:hAnsi="Calibri" w:cs="Calibri"/>
          <w:color w:val="000000"/>
          <w:szCs w:val="22"/>
        </w:rPr>
        <w:t xml:space="preserve">to contribute to the dissemination of the evaluation findings and follow-up on the management response </w:t>
      </w:r>
    </w:p>
    <w:p w14:paraId="4CCA896D" w14:textId="77777777" w:rsidR="00170323" w:rsidRPr="00170323" w:rsidRDefault="00170323" w:rsidP="00170323">
      <w:pPr>
        <w:autoSpaceDE w:val="0"/>
        <w:autoSpaceDN w:val="0"/>
        <w:adjustRightInd w:val="0"/>
        <w:spacing w:before="0" w:after="0" w:line="240" w:lineRule="auto"/>
        <w:ind w:left="1080"/>
        <w:rPr>
          <w:rFonts w:ascii="Calibri" w:hAnsi="Calibri" w:cs="Calibri"/>
          <w:color w:val="000000"/>
          <w:szCs w:val="22"/>
        </w:rPr>
      </w:pPr>
    </w:p>
    <w:p w14:paraId="23FD3D79" w14:textId="3C33188D" w:rsidR="00F875F8" w:rsidRPr="00F875F8" w:rsidRDefault="00170323" w:rsidP="004A4534">
      <w:pPr>
        <w:pStyle w:val="ListParagraph"/>
        <w:numPr>
          <w:ilvl w:val="0"/>
          <w:numId w:val="23"/>
        </w:numPr>
        <w:rPr>
          <w:sz w:val="18"/>
        </w:rPr>
      </w:pPr>
      <w:r w:rsidRPr="00170323">
        <w:t xml:space="preserve">The decision-making organ for the UNDAF Evaluation </w:t>
      </w:r>
      <w:r w:rsidR="00F875F8">
        <w:t xml:space="preserve">will be the UNCT. Again, for </w:t>
      </w:r>
      <w:r w:rsidR="00EE5311">
        <w:t>purposes</w:t>
      </w:r>
      <w:r w:rsidR="00F875F8">
        <w:t xml:space="preserve"> of the evaluation, the UNCT will be expanded to include </w:t>
      </w:r>
      <w:r w:rsidR="00EE5311">
        <w:t>two national counterparts. O</w:t>
      </w:r>
      <w:r w:rsidR="00EE5311" w:rsidRPr="00170323">
        <w:t>ther key stakeholders such as national civil society organizations and donor representatives</w:t>
      </w:r>
      <w:r w:rsidR="00EE5311">
        <w:t xml:space="preserve"> may also be added.</w:t>
      </w:r>
    </w:p>
    <w:p w14:paraId="546EAC41" w14:textId="77777777" w:rsidR="004A4534" w:rsidRPr="004A4534" w:rsidRDefault="004A4534" w:rsidP="004A4534">
      <w:pPr>
        <w:rPr>
          <w:sz w:val="18"/>
        </w:rPr>
      </w:pPr>
    </w:p>
    <w:p w14:paraId="34D31181" w14:textId="078E6C3B" w:rsidR="009D5529" w:rsidRDefault="00A10CB5" w:rsidP="009D5529">
      <w:pPr>
        <w:pStyle w:val="Heading2"/>
      </w:pPr>
      <w:r>
        <w:t>6.2</w:t>
      </w:r>
      <w:r>
        <w:tab/>
      </w:r>
      <w:r w:rsidR="009A1373">
        <w:t xml:space="preserve">Consultant </w:t>
      </w:r>
      <w:r w:rsidR="00170323">
        <w:t>PRofile</w:t>
      </w:r>
    </w:p>
    <w:p w14:paraId="3950B5CC" w14:textId="0A18569D" w:rsidR="00170323" w:rsidRDefault="009D5529" w:rsidP="009D5529">
      <w:pPr>
        <w:rPr>
          <w:rFonts w:ascii="Calibri" w:eastAsia="MS PGothic" w:hAnsi="Calibri"/>
          <w:color w:val="000000"/>
        </w:rPr>
      </w:pPr>
      <w:r w:rsidRPr="002B514F">
        <w:rPr>
          <w:rFonts w:ascii="Calibri" w:eastAsia="MS PGothic" w:hAnsi="Calibri"/>
          <w:color w:val="000000"/>
        </w:rPr>
        <w:t xml:space="preserve">The </w:t>
      </w:r>
      <w:r w:rsidR="009A1373">
        <w:rPr>
          <w:rFonts w:ascii="Calibri" w:eastAsia="MS PGothic" w:hAnsi="Calibri"/>
          <w:color w:val="000000"/>
        </w:rPr>
        <w:t xml:space="preserve">consultant should have </w:t>
      </w:r>
      <w:r w:rsidR="00170323">
        <w:rPr>
          <w:rFonts w:ascii="Calibri" w:eastAsia="MS PGothic" w:hAnsi="Calibri"/>
          <w:color w:val="000000"/>
        </w:rPr>
        <w:t>the following profile:</w:t>
      </w:r>
    </w:p>
    <w:p w14:paraId="685B1797" w14:textId="77777777" w:rsidR="00170323" w:rsidRDefault="00170323" w:rsidP="00170323">
      <w:pPr>
        <w:pStyle w:val="ListParagraph"/>
        <w:numPr>
          <w:ilvl w:val="0"/>
          <w:numId w:val="25"/>
        </w:numPr>
        <w:rPr>
          <w:rFonts w:ascii="Calibri" w:eastAsia="MS PGothic" w:hAnsi="Calibri"/>
          <w:color w:val="000000"/>
        </w:rPr>
      </w:pPr>
      <w:r>
        <w:rPr>
          <w:rFonts w:ascii="Calibri" w:eastAsia="MS PGothic" w:hAnsi="Calibri"/>
          <w:color w:val="000000"/>
        </w:rPr>
        <w:t>Minimum 10</w:t>
      </w:r>
      <w:r w:rsidR="009D5529" w:rsidRPr="00170323">
        <w:rPr>
          <w:rFonts w:ascii="Calibri" w:eastAsia="MS PGothic" w:hAnsi="Calibri"/>
          <w:color w:val="000000"/>
        </w:rPr>
        <w:t xml:space="preserve"> </w:t>
      </w:r>
      <w:r w:rsidR="002725AB" w:rsidRPr="00170323">
        <w:rPr>
          <w:rFonts w:ascii="Calibri" w:eastAsia="MS PGothic" w:hAnsi="Calibri"/>
          <w:color w:val="000000"/>
        </w:rPr>
        <w:t>years’ experience</w:t>
      </w:r>
      <w:r w:rsidR="009D5529" w:rsidRPr="00170323">
        <w:rPr>
          <w:rFonts w:ascii="Calibri" w:eastAsia="MS PGothic" w:hAnsi="Calibri"/>
          <w:color w:val="000000"/>
        </w:rPr>
        <w:t xml:space="preserve"> of conducting complex evaluations, including at least one UNDAF evaluation and one Gender Equality and Human Rights responsive evaluation. </w:t>
      </w:r>
    </w:p>
    <w:p w14:paraId="12992185" w14:textId="43A5AE90" w:rsidR="009A1373" w:rsidRDefault="009A1373" w:rsidP="009A1373">
      <w:pPr>
        <w:pStyle w:val="ListParagraph"/>
        <w:numPr>
          <w:ilvl w:val="0"/>
          <w:numId w:val="25"/>
        </w:numPr>
        <w:rPr>
          <w:rFonts w:ascii="Calibri" w:eastAsia="MS PGothic" w:hAnsi="Calibri"/>
          <w:color w:val="000000"/>
        </w:rPr>
      </w:pPr>
      <w:r w:rsidRPr="00170323">
        <w:rPr>
          <w:rFonts w:ascii="Calibri" w:eastAsia="MS PGothic" w:hAnsi="Calibri"/>
          <w:color w:val="000000"/>
        </w:rPr>
        <w:t>Master’s degree in International Development, Public Administrati</w:t>
      </w:r>
      <w:r>
        <w:rPr>
          <w:rFonts w:ascii="Calibri" w:eastAsia="MS PGothic" w:hAnsi="Calibri"/>
          <w:color w:val="000000"/>
        </w:rPr>
        <w:t>on, Evaluation or related field</w:t>
      </w:r>
    </w:p>
    <w:p w14:paraId="2281EED5" w14:textId="77777777" w:rsidR="009A1373" w:rsidRPr="0037364A" w:rsidRDefault="009A1373" w:rsidP="009A1373">
      <w:pPr>
        <w:pStyle w:val="ListParagraph"/>
        <w:numPr>
          <w:ilvl w:val="0"/>
          <w:numId w:val="25"/>
        </w:numPr>
        <w:spacing w:before="0" w:after="0" w:line="280" w:lineRule="exact"/>
        <w:jc w:val="both"/>
        <w:rPr>
          <w:rFonts w:eastAsia="MS PGothic"/>
        </w:rPr>
      </w:pPr>
      <w:r w:rsidRPr="0037364A">
        <w:rPr>
          <w:rFonts w:eastAsia="MS PGothic"/>
        </w:rPr>
        <w:t xml:space="preserve">Extensive experience of qualitative and quantitative data collection and analysis methods </w:t>
      </w:r>
    </w:p>
    <w:p w14:paraId="6DB4348C" w14:textId="77777777" w:rsidR="009A1373" w:rsidRPr="0037364A" w:rsidRDefault="009A1373" w:rsidP="009A1373">
      <w:pPr>
        <w:pStyle w:val="ListParagraph"/>
        <w:numPr>
          <w:ilvl w:val="0"/>
          <w:numId w:val="25"/>
        </w:numPr>
        <w:spacing w:before="0" w:after="0" w:line="280" w:lineRule="exact"/>
        <w:jc w:val="both"/>
        <w:rPr>
          <w:rFonts w:eastAsia="MS PGothic"/>
        </w:rPr>
      </w:pPr>
      <w:r w:rsidRPr="0037364A">
        <w:rPr>
          <w:rFonts w:eastAsia="MS PGothic"/>
        </w:rPr>
        <w:t>A strong record in designing and leading evaluations, using a wide range of evaluation approaches</w:t>
      </w:r>
    </w:p>
    <w:p w14:paraId="3550D087" w14:textId="77777777" w:rsidR="009A1373" w:rsidRPr="0037364A" w:rsidRDefault="009A1373" w:rsidP="009A1373">
      <w:pPr>
        <w:pStyle w:val="ListParagraph"/>
        <w:numPr>
          <w:ilvl w:val="0"/>
          <w:numId w:val="25"/>
        </w:numPr>
        <w:spacing w:before="0" w:after="0" w:line="280" w:lineRule="exact"/>
        <w:jc w:val="both"/>
        <w:rPr>
          <w:rFonts w:eastAsia="MS PGothic"/>
          <w:lang w:bidi="en-US"/>
        </w:rPr>
      </w:pPr>
      <w:r w:rsidRPr="0037364A">
        <w:rPr>
          <w:rFonts w:eastAsia="MS PGothic"/>
          <w:lang w:bidi="en-US"/>
        </w:rPr>
        <w:t>Process management</w:t>
      </w:r>
      <w:r>
        <w:rPr>
          <w:rFonts w:eastAsia="MS PGothic"/>
          <w:lang w:bidi="en-US"/>
        </w:rPr>
        <w:t xml:space="preserve"> and facilitation</w:t>
      </w:r>
      <w:r w:rsidRPr="0037364A">
        <w:rPr>
          <w:rFonts w:eastAsia="MS PGothic"/>
          <w:lang w:bidi="en-US"/>
        </w:rPr>
        <w:t xml:space="preserve"> skills, including ability to negotiate with a wide range of stakeholders</w:t>
      </w:r>
    </w:p>
    <w:p w14:paraId="19835BD5" w14:textId="77777777" w:rsidR="00170323" w:rsidRDefault="00170323" w:rsidP="00170323">
      <w:pPr>
        <w:pStyle w:val="ListParagraph"/>
        <w:numPr>
          <w:ilvl w:val="0"/>
          <w:numId w:val="25"/>
        </w:numPr>
        <w:rPr>
          <w:rFonts w:ascii="Calibri" w:eastAsia="MS PGothic" w:hAnsi="Calibri"/>
          <w:color w:val="000000"/>
        </w:rPr>
      </w:pPr>
      <w:r>
        <w:rPr>
          <w:rFonts w:eastAsia="MS PGothic"/>
          <w:color w:val="000000"/>
        </w:rPr>
        <w:t xml:space="preserve">Strong understanding </w:t>
      </w:r>
      <w:r>
        <w:rPr>
          <w:rFonts w:ascii="Calibri" w:eastAsia="MS PGothic" w:hAnsi="Calibri"/>
          <w:color w:val="000000"/>
        </w:rPr>
        <w:t xml:space="preserve">of the United Nations system and </w:t>
      </w:r>
      <w:r w:rsidR="003C011A">
        <w:rPr>
          <w:rFonts w:ascii="Calibri" w:eastAsia="MS PGothic" w:hAnsi="Calibri"/>
          <w:color w:val="000000"/>
        </w:rPr>
        <w:t>UNDAF</w:t>
      </w:r>
      <w:r>
        <w:rPr>
          <w:rFonts w:ascii="Calibri" w:eastAsia="MS PGothic" w:hAnsi="Calibri"/>
          <w:color w:val="000000"/>
        </w:rPr>
        <w:t xml:space="preserve"> programming processes and procedures</w:t>
      </w:r>
    </w:p>
    <w:p w14:paraId="3AEBDC53" w14:textId="77777777" w:rsidR="009A1373" w:rsidRPr="0037364A" w:rsidRDefault="009A1373" w:rsidP="009A1373">
      <w:pPr>
        <w:pStyle w:val="ListParagraph"/>
        <w:numPr>
          <w:ilvl w:val="0"/>
          <w:numId w:val="25"/>
        </w:numPr>
        <w:spacing w:before="0" w:after="0" w:line="280" w:lineRule="exact"/>
        <w:jc w:val="both"/>
        <w:rPr>
          <w:rFonts w:eastAsia="MS PGothic"/>
        </w:rPr>
      </w:pPr>
      <w:r w:rsidRPr="0037364A">
        <w:rPr>
          <w:rFonts w:eastAsia="MS PGothic"/>
        </w:rPr>
        <w:t xml:space="preserve">Ability to assess the application of the five UN Programming Principles: human rights (the human rights based approach to programming, human rights analysis and related mandates within the UN system), gender equality (especially gender analysis), environmental sustainability, results-based management, and capacity development. </w:t>
      </w:r>
    </w:p>
    <w:p w14:paraId="3AF58C1A" w14:textId="77777777" w:rsidR="009A1373" w:rsidRDefault="009A1373" w:rsidP="00170323">
      <w:pPr>
        <w:pStyle w:val="ListParagraph"/>
        <w:numPr>
          <w:ilvl w:val="0"/>
          <w:numId w:val="25"/>
        </w:numPr>
        <w:rPr>
          <w:rFonts w:ascii="Calibri" w:eastAsia="MS PGothic" w:hAnsi="Calibri"/>
          <w:color w:val="000000"/>
        </w:rPr>
      </w:pPr>
      <w:r w:rsidRPr="0037364A">
        <w:rPr>
          <w:rFonts w:eastAsia="MS PGothic"/>
        </w:rPr>
        <w:t xml:space="preserve">Understanding of </w:t>
      </w:r>
      <w:proofErr w:type="spellStart"/>
      <w:r w:rsidRPr="0037364A">
        <w:rPr>
          <w:rFonts w:eastAsia="MS PGothic"/>
        </w:rPr>
        <w:t>DaO</w:t>
      </w:r>
      <w:proofErr w:type="spellEnd"/>
      <w:r w:rsidRPr="0037364A">
        <w:rPr>
          <w:rFonts w:eastAsia="MS PGothic"/>
        </w:rPr>
        <w:t xml:space="preserve"> principles and processes</w:t>
      </w:r>
      <w:r>
        <w:rPr>
          <w:rFonts w:ascii="Calibri" w:eastAsia="MS PGothic" w:hAnsi="Calibri"/>
          <w:color w:val="000000"/>
        </w:rPr>
        <w:t xml:space="preserve"> </w:t>
      </w:r>
    </w:p>
    <w:p w14:paraId="5F66AA8E" w14:textId="19246C22" w:rsidR="00170323" w:rsidRDefault="00170323" w:rsidP="00170323">
      <w:pPr>
        <w:pStyle w:val="ListParagraph"/>
        <w:numPr>
          <w:ilvl w:val="0"/>
          <w:numId w:val="25"/>
        </w:numPr>
        <w:rPr>
          <w:rFonts w:ascii="Calibri" w:eastAsia="MS PGothic" w:hAnsi="Calibri"/>
          <w:color w:val="000000"/>
        </w:rPr>
      </w:pPr>
      <w:r>
        <w:rPr>
          <w:rFonts w:ascii="Calibri" w:eastAsia="MS PGothic" w:hAnsi="Calibri"/>
          <w:color w:val="000000"/>
        </w:rPr>
        <w:t>Familiarity of national planning processes</w:t>
      </w:r>
      <w:r w:rsidR="009A1373">
        <w:rPr>
          <w:rFonts w:ascii="Calibri" w:eastAsia="MS PGothic" w:hAnsi="Calibri"/>
          <w:color w:val="000000"/>
        </w:rPr>
        <w:t>.</w:t>
      </w:r>
    </w:p>
    <w:p w14:paraId="74B6854A" w14:textId="539818D2" w:rsidR="009A1373" w:rsidRDefault="009A1373" w:rsidP="00170323">
      <w:pPr>
        <w:pStyle w:val="ListParagraph"/>
        <w:numPr>
          <w:ilvl w:val="0"/>
          <w:numId w:val="25"/>
        </w:numPr>
        <w:rPr>
          <w:rFonts w:ascii="Calibri" w:eastAsia="MS PGothic" w:hAnsi="Calibri"/>
          <w:color w:val="000000"/>
        </w:rPr>
      </w:pPr>
      <w:r>
        <w:rPr>
          <w:rFonts w:ascii="Calibri" w:eastAsia="MS PGothic" w:hAnsi="Calibri"/>
          <w:color w:val="000000"/>
        </w:rPr>
        <w:t>Experience of the Malawian context is desirable.</w:t>
      </w:r>
    </w:p>
    <w:p w14:paraId="00AA01ED" w14:textId="07626801" w:rsidR="00170323" w:rsidRDefault="00170323" w:rsidP="00170323">
      <w:pPr>
        <w:pStyle w:val="ListParagraph"/>
        <w:numPr>
          <w:ilvl w:val="0"/>
          <w:numId w:val="25"/>
        </w:numPr>
        <w:rPr>
          <w:rFonts w:ascii="Calibri" w:eastAsia="MS PGothic" w:hAnsi="Calibri"/>
          <w:color w:val="000000"/>
        </w:rPr>
      </w:pPr>
      <w:r>
        <w:rPr>
          <w:rFonts w:ascii="Calibri" w:eastAsia="MS PGothic" w:hAnsi="Calibri"/>
          <w:color w:val="000000"/>
        </w:rPr>
        <w:t>Strong</w:t>
      </w:r>
      <w:r w:rsidR="009D5529" w:rsidRPr="00170323">
        <w:rPr>
          <w:rFonts w:ascii="Calibri" w:eastAsia="MS PGothic" w:hAnsi="Calibri"/>
          <w:color w:val="000000"/>
        </w:rPr>
        <w:t xml:space="preserve"> management</w:t>
      </w:r>
      <w:r>
        <w:rPr>
          <w:rFonts w:ascii="Calibri" w:eastAsia="MS PGothic" w:hAnsi="Calibri"/>
          <w:color w:val="000000"/>
        </w:rPr>
        <w:t>, communication</w:t>
      </w:r>
      <w:r w:rsidR="009A1373">
        <w:rPr>
          <w:rFonts w:ascii="Calibri" w:eastAsia="MS PGothic" w:hAnsi="Calibri"/>
          <w:color w:val="000000"/>
        </w:rPr>
        <w:t>, interview</w:t>
      </w:r>
      <w:r w:rsidR="009D5529" w:rsidRPr="00170323">
        <w:rPr>
          <w:rFonts w:ascii="Calibri" w:eastAsia="MS PGothic" w:hAnsi="Calibri"/>
          <w:color w:val="000000"/>
        </w:rPr>
        <w:t xml:space="preserve"> and writing skills</w:t>
      </w:r>
    </w:p>
    <w:p w14:paraId="4C9EC5C5" w14:textId="77777777" w:rsidR="009A1373" w:rsidRDefault="009A1373" w:rsidP="009A1373">
      <w:pPr>
        <w:pStyle w:val="ListParagraph"/>
        <w:numPr>
          <w:ilvl w:val="0"/>
          <w:numId w:val="25"/>
        </w:numPr>
        <w:spacing w:before="0" w:after="0" w:line="280" w:lineRule="exact"/>
        <w:jc w:val="both"/>
        <w:rPr>
          <w:rFonts w:eastAsia="MS PGothic"/>
        </w:rPr>
      </w:pPr>
      <w:r w:rsidRPr="005A7230">
        <w:rPr>
          <w:rFonts w:eastAsia="MS PGothic"/>
        </w:rPr>
        <w:t>Excellent communication and interview skills</w:t>
      </w:r>
      <w:r w:rsidRPr="0037364A">
        <w:rPr>
          <w:rFonts w:eastAsia="MS PGothic"/>
        </w:rPr>
        <w:t xml:space="preserve"> </w:t>
      </w:r>
    </w:p>
    <w:p w14:paraId="1E24DDEC" w14:textId="77777777" w:rsidR="009A1373" w:rsidRPr="005A7230" w:rsidRDefault="009A1373" w:rsidP="009A1373">
      <w:pPr>
        <w:pStyle w:val="ListParagraph"/>
        <w:numPr>
          <w:ilvl w:val="0"/>
          <w:numId w:val="25"/>
        </w:numPr>
        <w:spacing w:before="0" w:after="0" w:line="280" w:lineRule="exact"/>
        <w:jc w:val="both"/>
        <w:rPr>
          <w:rFonts w:eastAsia="MS PGothic"/>
        </w:rPr>
      </w:pPr>
      <w:r w:rsidRPr="005A7230">
        <w:rPr>
          <w:rFonts w:eastAsia="MS PGothic"/>
        </w:rPr>
        <w:t>Demonstrated ability to deliver quality results within strict deadlines.</w:t>
      </w:r>
    </w:p>
    <w:p w14:paraId="60FFD373" w14:textId="77777777" w:rsidR="009A1373" w:rsidRDefault="009A1373" w:rsidP="009A1373">
      <w:pPr>
        <w:pStyle w:val="ListParagraph"/>
        <w:numPr>
          <w:ilvl w:val="0"/>
          <w:numId w:val="25"/>
        </w:numPr>
        <w:spacing w:before="0" w:after="0" w:line="280" w:lineRule="exact"/>
        <w:jc w:val="both"/>
        <w:rPr>
          <w:rFonts w:eastAsia="MS PGothic"/>
        </w:rPr>
      </w:pPr>
      <w:r w:rsidRPr="0037364A">
        <w:rPr>
          <w:rFonts w:eastAsia="MS PGothic"/>
        </w:rPr>
        <w:t xml:space="preserve">Proficiency in English </w:t>
      </w:r>
    </w:p>
    <w:p w14:paraId="5A1058B1" w14:textId="3BBE5FCC" w:rsidR="009D5529" w:rsidRPr="00DE7F9A" w:rsidRDefault="009D5529" w:rsidP="009D5529">
      <w:pPr>
        <w:rPr>
          <w:rFonts w:ascii="Calibri" w:eastAsia="MS PGothic" w:hAnsi="Calibri"/>
          <w:color w:val="000000"/>
        </w:rPr>
      </w:pPr>
      <w:r w:rsidRPr="00DE7F9A">
        <w:rPr>
          <w:rFonts w:ascii="Calibri" w:eastAsia="MS PGothic" w:hAnsi="Calibri"/>
          <w:color w:val="000000"/>
        </w:rPr>
        <w:t xml:space="preserve">The </w:t>
      </w:r>
      <w:r w:rsidR="009A1373">
        <w:rPr>
          <w:rFonts w:ascii="Calibri" w:eastAsia="MS PGothic" w:hAnsi="Calibri"/>
          <w:color w:val="000000"/>
        </w:rPr>
        <w:t>consultant</w:t>
      </w:r>
      <w:r w:rsidRPr="00DE7F9A">
        <w:rPr>
          <w:rFonts w:ascii="Calibri" w:eastAsia="MS PGothic" w:hAnsi="Calibri"/>
          <w:color w:val="000000"/>
        </w:rPr>
        <w:t xml:space="preserve"> is expected to be fully self-sufficient in terms of IT/office equipment, stationary, communication, office space, accommodation, transport and other logistics.</w:t>
      </w:r>
    </w:p>
    <w:p w14:paraId="4338EE8C" w14:textId="5E22862F" w:rsidR="00613D49" w:rsidRDefault="009D5529">
      <w:pPr>
        <w:rPr>
          <w:rFonts w:eastAsia="MS PGothic"/>
          <w:lang w:bidi="en-US"/>
        </w:rPr>
      </w:pPr>
      <w:r w:rsidRPr="0037364A">
        <w:rPr>
          <w:rFonts w:ascii="Calibri" w:eastAsia="MS PGothic" w:hAnsi="Calibri"/>
          <w:color w:val="000000"/>
        </w:rPr>
        <w:t xml:space="preserve">Note: </w:t>
      </w:r>
      <w:r w:rsidR="009A1373">
        <w:rPr>
          <w:rFonts w:eastAsia="MS PGothic"/>
          <w:lang w:bidi="en-US"/>
        </w:rPr>
        <w:t>the consultant</w:t>
      </w:r>
      <w:r w:rsidRPr="0037364A">
        <w:rPr>
          <w:rFonts w:eastAsia="MS PGothic"/>
          <w:lang w:bidi="en-US"/>
        </w:rPr>
        <w:t xml:space="preserve"> should be independent from any organizations that have been involved in designing, executing or advising any aspect of the subject of the evaluation. Existence of any potential conflict of interest should be communicated in writing to the evaluation manager prior to signing of a work contract (see </w:t>
      </w:r>
      <w:hyperlink r:id="rId11" w:history="1">
        <w:r w:rsidRPr="0037364A">
          <w:rPr>
            <w:rStyle w:val="Hyperlink"/>
            <w:rFonts w:eastAsia="MS PGothic"/>
            <w:lang w:bidi="en-US"/>
          </w:rPr>
          <w:t>UNEG Ethical Guidelines</w:t>
        </w:r>
      </w:hyperlink>
      <w:r w:rsidRPr="0037364A">
        <w:rPr>
          <w:rFonts w:eastAsia="MS PGothic"/>
          <w:lang w:bidi="en-US"/>
        </w:rPr>
        <w:t xml:space="preserve"> for further clarification about conflict of interest)</w:t>
      </w:r>
    </w:p>
    <w:p w14:paraId="7A2453E9" w14:textId="77777777" w:rsidR="00170323" w:rsidRDefault="00170323">
      <w:pPr>
        <w:rPr>
          <w:rFonts w:eastAsia="MS PGothic"/>
          <w:lang w:bidi="en-US"/>
        </w:rPr>
      </w:pPr>
    </w:p>
    <w:p w14:paraId="5EB416CA" w14:textId="77777777" w:rsidR="00170323" w:rsidRPr="00170323" w:rsidRDefault="00A10CB5" w:rsidP="004A4534">
      <w:pPr>
        <w:pStyle w:val="Heading1"/>
        <w:rPr>
          <w:rFonts w:eastAsia="MS PGothic"/>
          <w:lang w:bidi="en-US"/>
        </w:rPr>
      </w:pPr>
      <w:r>
        <w:t>7.</w:t>
      </w:r>
      <w:r>
        <w:tab/>
      </w:r>
      <w:r w:rsidR="004A4534">
        <w:t>Evaluation Process and timeframe</w:t>
      </w:r>
    </w:p>
    <w:p w14:paraId="3DDB3B0B" w14:textId="046A2C52" w:rsidR="004A4534" w:rsidRPr="0037364A" w:rsidRDefault="004A4534" w:rsidP="004A4534">
      <w:pPr>
        <w:rPr>
          <w:rFonts w:eastAsia="Perpetua"/>
          <w:lang w:eastAsia="ja-JP" w:bidi="he-IL"/>
        </w:rPr>
      </w:pPr>
      <w:r w:rsidRPr="0037364A">
        <w:rPr>
          <w:rFonts w:eastAsia="Calibri"/>
        </w:rPr>
        <w:t xml:space="preserve">The </w:t>
      </w:r>
      <w:r w:rsidR="009A1373">
        <w:rPr>
          <w:rFonts w:eastAsia="Calibri"/>
        </w:rPr>
        <w:t>Consultant</w:t>
      </w:r>
      <w:r w:rsidRPr="0037364A">
        <w:rPr>
          <w:rFonts w:eastAsia="Calibri"/>
        </w:rPr>
        <w:t xml:space="preserve"> must prepare an inception report that operationalizes the design elements of the </w:t>
      </w:r>
      <w:proofErr w:type="spellStart"/>
      <w:r w:rsidRPr="0037364A">
        <w:rPr>
          <w:rFonts w:eastAsia="Calibri"/>
        </w:rPr>
        <w:t>ToR</w:t>
      </w:r>
      <w:proofErr w:type="spellEnd"/>
      <w:r w:rsidRPr="0037364A">
        <w:rPr>
          <w:rFonts w:eastAsia="Calibri"/>
        </w:rPr>
        <w:t>. The report should include the results of a desk review, d</w:t>
      </w:r>
      <w:r w:rsidR="009A1373">
        <w:rPr>
          <w:rFonts w:eastAsia="Calibri"/>
        </w:rPr>
        <w:t>esc</w:t>
      </w:r>
      <w:r w:rsidRPr="0037364A">
        <w:rPr>
          <w:rFonts w:eastAsia="Calibri"/>
        </w:rPr>
        <w:t xml:space="preserve">ription of evaluation methodology/methodological approach, data collection plan, additional data collection tools and analysis methods, key informants, evaluation questions, performance criteria, issues to be studied, work plan and reporting requirements. The report should also include an </w:t>
      </w:r>
      <w:proofErr w:type="spellStart"/>
      <w:r w:rsidRPr="0037364A">
        <w:rPr>
          <w:rFonts w:eastAsia="Calibri"/>
        </w:rPr>
        <w:t>evaluability</w:t>
      </w:r>
      <w:proofErr w:type="spellEnd"/>
      <w:r w:rsidRPr="0037364A">
        <w:rPr>
          <w:rFonts w:eastAsia="Calibri"/>
        </w:rPr>
        <w:t xml:space="preserve"> assessment, foreseen limitations and risks, team composition and distribution of tasks, resource requirements and logistic support. To facilitate the development of the </w:t>
      </w:r>
      <w:r w:rsidRPr="0037364A">
        <w:rPr>
          <w:rFonts w:eastAsia="Calibri"/>
        </w:rPr>
        <w:lastRenderedPageBreak/>
        <w:t xml:space="preserve">inception report </w:t>
      </w:r>
      <w:r>
        <w:rPr>
          <w:rFonts w:eastAsia="Calibri"/>
        </w:rPr>
        <w:t>a</w:t>
      </w:r>
      <w:r w:rsidRPr="0037364A">
        <w:rPr>
          <w:rFonts w:eastAsia="Calibri"/>
        </w:rPr>
        <w:t xml:space="preserve"> list of documents</w:t>
      </w:r>
      <w:r>
        <w:rPr>
          <w:rFonts w:eastAsia="Calibri"/>
        </w:rPr>
        <w:t xml:space="preserve"> will be </w:t>
      </w:r>
      <w:r w:rsidRPr="0037364A">
        <w:rPr>
          <w:rFonts w:eastAsia="Calibri"/>
        </w:rPr>
        <w:t xml:space="preserve">provided in </w:t>
      </w:r>
      <w:r>
        <w:rPr>
          <w:rFonts w:eastAsia="Calibri"/>
        </w:rPr>
        <w:t>to</w:t>
      </w:r>
      <w:r w:rsidRPr="0037364A">
        <w:rPr>
          <w:rFonts w:eastAsia="Calibri"/>
        </w:rPr>
        <w:t xml:space="preserve"> the evaluators. </w:t>
      </w:r>
      <w:r w:rsidRPr="0037364A">
        <w:rPr>
          <w:rFonts w:eastAsia="Perpetua"/>
          <w:lang w:eastAsia="ja-JP" w:bidi="he-IL"/>
        </w:rPr>
        <w:t xml:space="preserve">The </w:t>
      </w:r>
      <w:r w:rsidR="00903E27">
        <w:rPr>
          <w:rFonts w:eastAsia="Perpetua"/>
          <w:lang w:eastAsia="ja-JP" w:bidi="he-IL"/>
        </w:rPr>
        <w:t>PMT</w:t>
      </w:r>
      <w:r w:rsidRPr="0037364A">
        <w:rPr>
          <w:rFonts w:eastAsia="Perpetua"/>
          <w:lang w:eastAsia="ja-JP" w:bidi="he-IL"/>
        </w:rPr>
        <w:t xml:space="preserve"> will review and provide substantive comments to the report, before final approval can be awarded by the </w:t>
      </w:r>
      <w:r w:rsidR="00903E27">
        <w:rPr>
          <w:rFonts w:eastAsia="Perpetua"/>
          <w:lang w:eastAsia="ja-JP" w:bidi="he-IL"/>
        </w:rPr>
        <w:t>UNCT</w:t>
      </w:r>
      <w:r w:rsidRPr="0037364A">
        <w:rPr>
          <w:rFonts w:eastAsia="Perpetua"/>
          <w:lang w:eastAsia="ja-JP" w:bidi="he-IL"/>
        </w:rPr>
        <w:t>.</w:t>
      </w:r>
    </w:p>
    <w:p w14:paraId="1E74F1E9" w14:textId="54CB4BCF" w:rsidR="004A4534" w:rsidRPr="0037364A" w:rsidRDefault="004A4534" w:rsidP="004A4534">
      <w:pPr>
        <w:rPr>
          <w:rFonts w:eastAsia="Perpetua"/>
          <w:lang w:eastAsia="ja-JP" w:bidi="he-IL"/>
        </w:rPr>
      </w:pPr>
      <w:r w:rsidRPr="0037364A">
        <w:rPr>
          <w:rFonts w:eastAsia="Calibri"/>
        </w:rPr>
        <w:t xml:space="preserve">The </w:t>
      </w:r>
      <w:r w:rsidR="009A1373">
        <w:rPr>
          <w:rFonts w:eastAsia="Calibri"/>
        </w:rPr>
        <w:t>Consultant</w:t>
      </w:r>
      <w:r w:rsidRPr="0037364A">
        <w:rPr>
          <w:rFonts w:eastAsia="Calibri"/>
        </w:rPr>
        <w:t xml:space="preserve"> must then proceed with data collection and analysis. This process should be made in close consultation with the </w:t>
      </w:r>
      <w:r w:rsidR="00903E27">
        <w:rPr>
          <w:rFonts w:eastAsia="Calibri"/>
        </w:rPr>
        <w:t>Resident Coordinator’s Office</w:t>
      </w:r>
      <w:r w:rsidRPr="0037364A">
        <w:rPr>
          <w:rFonts w:eastAsia="Calibri"/>
        </w:rPr>
        <w:t xml:space="preserve"> who will ensure coordination with the </w:t>
      </w:r>
      <w:r w:rsidR="00903E27">
        <w:rPr>
          <w:rFonts w:eastAsia="Calibri"/>
        </w:rPr>
        <w:t>PMT</w:t>
      </w:r>
      <w:r w:rsidRPr="0037364A">
        <w:rPr>
          <w:rFonts w:eastAsia="Calibri"/>
        </w:rPr>
        <w:t xml:space="preserve"> and the </w:t>
      </w:r>
      <w:r w:rsidR="00903E27">
        <w:rPr>
          <w:rFonts w:eastAsia="Calibri"/>
        </w:rPr>
        <w:t>UNCT</w:t>
      </w:r>
      <w:r w:rsidRPr="0037364A">
        <w:rPr>
          <w:rFonts w:eastAsia="Calibri"/>
        </w:rPr>
        <w:t xml:space="preserve">. Preliminary findings should be presented to the </w:t>
      </w:r>
      <w:r w:rsidR="00903E27">
        <w:rPr>
          <w:rFonts w:eastAsia="Calibri"/>
        </w:rPr>
        <w:t>PMT and UNCT</w:t>
      </w:r>
      <w:r w:rsidRPr="0037364A">
        <w:rPr>
          <w:rFonts w:eastAsia="Calibri"/>
        </w:rPr>
        <w:t>. Based on their feedback, a final report should be produced, in accordance with U</w:t>
      </w:r>
      <w:r w:rsidRPr="0037364A">
        <w:t>NEG Norms and Standards</w:t>
      </w:r>
      <w:r w:rsidRPr="0037364A">
        <w:rPr>
          <w:rFonts w:eastAsia="Calibri"/>
        </w:rPr>
        <w:t>.</w:t>
      </w:r>
    </w:p>
    <w:p w14:paraId="0771341E" w14:textId="6B894E5F" w:rsidR="004A4534" w:rsidRDefault="004A4534" w:rsidP="004A4534">
      <w:pPr>
        <w:rPr>
          <w:rFonts w:eastAsia="Calibri"/>
        </w:rPr>
      </w:pPr>
      <w:r w:rsidRPr="0037364A">
        <w:rPr>
          <w:rFonts w:eastAsia="Calibri"/>
        </w:rPr>
        <w:t xml:space="preserve">Once the evaluation report has been validated by the </w:t>
      </w:r>
      <w:r w:rsidR="00DC73AE">
        <w:rPr>
          <w:rFonts w:eastAsia="Calibri"/>
        </w:rPr>
        <w:t>UNCT</w:t>
      </w:r>
      <w:r w:rsidRPr="0037364A">
        <w:rPr>
          <w:rFonts w:eastAsia="Calibri"/>
        </w:rPr>
        <w:t xml:space="preserve">, it will be made publicly available through posting on the UNDG and UNCT websites. The </w:t>
      </w:r>
      <w:r w:rsidR="00DC73AE">
        <w:rPr>
          <w:rFonts w:eastAsia="Calibri"/>
        </w:rPr>
        <w:t>UNCT</w:t>
      </w:r>
      <w:r w:rsidRPr="0037364A">
        <w:rPr>
          <w:rFonts w:eastAsia="Calibri"/>
        </w:rPr>
        <w:t xml:space="preserve"> will develop a management response to the evaluation recommendations, including a timeframe and responsibilities for follow up. Lessons learned from the evaluation will be extracted and disseminated in order to contribute to strategic planning, learning, advocacy and decision-making at all levels, including for the formulation of the </w:t>
      </w:r>
      <w:r w:rsidR="003C011A">
        <w:rPr>
          <w:rFonts w:eastAsia="Calibri"/>
        </w:rPr>
        <w:t>UNDAF</w:t>
      </w:r>
      <w:r w:rsidRPr="0037364A">
        <w:rPr>
          <w:rFonts w:eastAsia="Calibri"/>
        </w:rPr>
        <w:t xml:space="preserve"> successor document.</w:t>
      </w:r>
    </w:p>
    <w:p w14:paraId="1CE9066B" w14:textId="77777777" w:rsidR="004A4534" w:rsidRPr="0037364A" w:rsidRDefault="004A4534" w:rsidP="004A4534">
      <w:pPr>
        <w:pStyle w:val="CommentText"/>
        <w:rPr>
          <w:rFonts w:eastAsia="Calibri"/>
        </w:rPr>
      </w:pPr>
      <w:r w:rsidRPr="0037364A">
        <w:rPr>
          <w:rFonts w:eastAsia="Calibri"/>
        </w:rPr>
        <w:t xml:space="preserve">Deadlines may require revision, dependent on the availability of data and informants. </w:t>
      </w:r>
    </w:p>
    <w:p w14:paraId="32A7EE18" w14:textId="77777777" w:rsidR="004A4534" w:rsidRPr="004C1820" w:rsidRDefault="004A4534" w:rsidP="004A4534">
      <w:pPr>
        <w:pStyle w:val="CommentText"/>
        <w:rPr>
          <w:rFonts w:cs="Arial"/>
          <w: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4762"/>
      </w:tblGrid>
      <w:tr w:rsidR="004A4534" w:rsidRPr="004C1820" w14:paraId="7ACD018C" w14:textId="77777777" w:rsidTr="008E4268">
        <w:trPr>
          <w:trHeight w:val="395"/>
        </w:trPr>
        <w:tc>
          <w:tcPr>
            <w:tcW w:w="2771" w:type="pct"/>
            <w:vAlign w:val="center"/>
          </w:tcPr>
          <w:p w14:paraId="6F65E389" w14:textId="77777777" w:rsidR="004A4534" w:rsidRPr="004A4534" w:rsidRDefault="004A4534" w:rsidP="004A4534">
            <w:pPr>
              <w:spacing w:before="0" w:after="0" w:line="240" w:lineRule="auto"/>
              <w:jc w:val="center"/>
              <w:rPr>
                <w:rFonts w:eastAsia="Calibri"/>
                <w:b/>
              </w:rPr>
            </w:pPr>
            <w:r w:rsidRPr="004A4534">
              <w:rPr>
                <w:rFonts w:eastAsia="Calibri"/>
                <w:b/>
              </w:rPr>
              <w:t>Key Deliverables</w:t>
            </w:r>
          </w:p>
        </w:tc>
        <w:tc>
          <w:tcPr>
            <w:tcW w:w="2229" w:type="pct"/>
            <w:vAlign w:val="center"/>
          </w:tcPr>
          <w:p w14:paraId="32D6F049" w14:textId="77777777" w:rsidR="004A4534" w:rsidRPr="004A4534" w:rsidRDefault="004A4534" w:rsidP="004A4534">
            <w:pPr>
              <w:spacing w:before="0" w:after="0" w:line="240" w:lineRule="auto"/>
              <w:jc w:val="center"/>
              <w:rPr>
                <w:rFonts w:eastAsia="Calibri"/>
                <w:b/>
              </w:rPr>
            </w:pPr>
            <w:r w:rsidRPr="004A4534">
              <w:rPr>
                <w:rFonts w:eastAsia="Calibri"/>
                <w:b/>
              </w:rPr>
              <w:t>Payment schedule/amounts</w:t>
            </w:r>
          </w:p>
        </w:tc>
      </w:tr>
      <w:tr w:rsidR="004A4534" w:rsidRPr="004C1820" w14:paraId="4875039A" w14:textId="77777777" w:rsidTr="008E4268">
        <w:trPr>
          <w:trHeight w:val="665"/>
        </w:trPr>
        <w:tc>
          <w:tcPr>
            <w:tcW w:w="2771" w:type="pct"/>
          </w:tcPr>
          <w:p w14:paraId="25C160AE" w14:textId="77777777" w:rsidR="004A4534" w:rsidRPr="004A4534" w:rsidRDefault="004A4534" w:rsidP="004A4534">
            <w:pPr>
              <w:spacing w:before="0" w:after="0" w:line="240" w:lineRule="auto"/>
              <w:rPr>
                <w:rFonts w:eastAsia="Calibri"/>
                <w:b/>
              </w:rPr>
            </w:pPr>
            <w:r w:rsidRPr="004A4534">
              <w:rPr>
                <w:rFonts w:eastAsia="Calibri"/>
                <w:b/>
              </w:rPr>
              <w:t>Inception Report</w:t>
            </w:r>
          </w:p>
          <w:p w14:paraId="06A6C0C4" w14:textId="77777777" w:rsidR="004A4534" w:rsidRPr="006A4D4B" w:rsidRDefault="004A4534" w:rsidP="004A4534">
            <w:pPr>
              <w:spacing w:before="0" w:after="0" w:line="240" w:lineRule="auto"/>
              <w:rPr>
                <w:rFonts w:eastAsia="Calibri"/>
              </w:rPr>
            </w:pPr>
            <w:r>
              <w:rPr>
                <w:rFonts w:eastAsia="Calibri"/>
              </w:rPr>
              <w:t>Includes d</w:t>
            </w:r>
            <w:r w:rsidRPr="006A4D4B">
              <w:rPr>
                <w:rFonts w:eastAsia="Calibri"/>
              </w:rPr>
              <w:t xml:space="preserve">etailed Evaluation Work Plan, Evaluation Matrix </w:t>
            </w:r>
            <w:r>
              <w:rPr>
                <w:rFonts w:eastAsia="Calibri"/>
              </w:rPr>
              <w:t>&amp;</w:t>
            </w:r>
            <w:r w:rsidRPr="006A4D4B">
              <w:rPr>
                <w:rFonts w:eastAsia="Calibri"/>
              </w:rPr>
              <w:t xml:space="preserve"> Tools</w:t>
            </w:r>
          </w:p>
        </w:tc>
        <w:tc>
          <w:tcPr>
            <w:tcW w:w="2229" w:type="pct"/>
          </w:tcPr>
          <w:p w14:paraId="463DD29B" w14:textId="0E4F5400" w:rsidR="004A4534" w:rsidRPr="004A4534" w:rsidRDefault="007F48E7" w:rsidP="004A4534">
            <w:pPr>
              <w:spacing w:before="0" w:after="0" w:line="240" w:lineRule="auto"/>
              <w:rPr>
                <w:rFonts w:eastAsia="Calibri"/>
                <w:b/>
              </w:rPr>
            </w:pPr>
            <w:r>
              <w:rPr>
                <w:rFonts w:eastAsia="Calibri"/>
                <w:b/>
              </w:rPr>
              <w:t>9</w:t>
            </w:r>
            <w:r w:rsidR="00BD0C84" w:rsidRPr="00BD0C84">
              <w:rPr>
                <w:rFonts w:eastAsia="Calibri"/>
                <w:b/>
                <w:vertAlign w:val="superscript"/>
              </w:rPr>
              <w:t>th</w:t>
            </w:r>
            <w:r w:rsidR="00BD0C84">
              <w:rPr>
                <w:rFonts w:eastAsia="Calibri"/>
                <w:b/>
              </w:rPr>
              <w:t xml:space="preserve"> </w:t>
            </w:r>
            <w:r w:rsidR="001B15FD">
              <w:rPr>
                <w:rFonts w:eastAsia="Calibri"/>
                <w:b/>
              </w:rPr>
              <w:t>March</w:t>
            </w:r>
            <w:r w:rsidR="004A4534" w:rsidRPr="004A4534">
              <w:rPr>
                <w:rFonts w:eastAsia="Calibri"/>
                <w:b/>
              </w:rPr>
              <w:t xml:space="preserve"> </w:t>
            </w:r>
            <w:r w:rsidR="00BD0C84">
              <w:rPr>
                <w:rFonts w:eastAsia="Calibri"/>
                <w:b/>
              </w:rPr>
              <w:t>2015</w:t>
            </w:r>
            <w:r w:rsidR="00C85E14">
              <w:rPr>
                <w:rFonts w:eastAsia="Calibri"/>
                <w:b/>
              </w:rPr>
              <w:t xml:space="preserve"> (</w:t>
            </w:r>
            <w:r w:rsidR="001B15FD">
              <w:rPr>
                <w:rFonts w:eastAsia="Calibri"/>
                <w:b/>
              </w:rPr>
              <w:t>5</w:t>
            </w:r>
            <w:r w:rsidR="00E32557">
              <w:rPr>
                <w:rFonts w:eastAsia="Calibri"/>
                <w:b/>
              </w:rPr>
              <w:t xml:space="preserve"> days</w:t>
            </w:r>
            <w:r w:rsidR="00C85E14">
              <w:rPr>
                <w:rFonts w:eastAsia="Calibri"/>
                <w:b/>
              </w:rPr>
              <w:t>)</w:t>
            </w:r>
          </w:p>
          <w:p w14:paraId="4CC54F03" w14:textId="77777777" w:rsidR="004A4534" w:rsidRPr="001761CA" w:rsidRDefault="004A4534" w:rsidP="004A4534">
            <w:pPr>
              <w:spacing w:before="0" w:after="0" w:line="240" w:lineRule="auto"/>
              <w:rPr>
                <w:rFonts w:eastAsia="Calibri"/>
              </w:rPr>
            </w:pPr>
            <w:r w:rsidRPr="001761CA">
              <w:rPr>
                <w:rFonts w:eastAsia="Calibri"/>
              </w:rPr>
              <w:t>20% of total value of contract (upon approval of report)</w:t>
            </w:r>
          </w:p>
        </w:tc>
      </w:tr>
      <w:tr w:rsidR="004A4534" w:rsidRPr="004C1820" w14:paraId="1AF67AC2" w14:textId="77777777" w:rsidTr="008E4268">
        <w:trPr>
          <w:trHeight w:val="665"/>
        </w:trPr>
        <w:tc>
          <w:tcPr>
            <w:tcW w:w="2771" w:type="pct"/>
          </w:tcPr>
          <w:p w14:paraId="4C17F8CC" w14:textId="77777777" w:rsidR="004A4534" w:rsidRPr="004A4534" w:rsidRDefault="004A4534" w:rsidP="004A4534">
            <w:pPr>
              <w:spacing w:before="0" w:after="0" w:line="240" w:lineRule="auto"/>
              <w:rPr>
                <w:rFonts w:eastAsia="Calibri"/>
                <w:b/>
              </w:rPr>
            </w:pPr>
            <w:r w:rsidRPr="004A4534">
              <w:rPr>
                <w:rFonts w:eastAsia="Calibri"/>
                <w:b/>
              </w:rPr>
              <w:t xml:space="preserve">Draft Evaluation Report </w:t>
            </w:r>
          </w:p>
          <w:p w14:paraId="4EB07962" w14:textId="77777777" w:rsidR="004A4534" w:rsidRPr="00772757" w:rsidRDefault="004A4534" w:rsidP="004A4534">
            <w:pPr>
              <w:spacing w:before="0" w:after="0" w:line="240" w:lineRule="auto"/>
              <w:rPr>
                <w:rFonts w:eastAsia="Calibri"/>
              </w:rPr>
            </w:pPr>
            <w:r w:rsidRPr="00772757">
              <w:rPr>
                <w:rFonts w:eastAsia="Calibri"/>
              </w:rPr>
              <w:t>To be assessed using UNEG Quality Checklist</w:t>
            </w:r>
          </w:p>
        </w:tc>
        <w:tc>
          <w:tcPr>
            <w:tcW w:w="2229" w:type="pct"/>
          </w:tcPr>
          <w:p w14:paraId="632D852F" w14:textId="4D9AB8DD" w:rsidR="004A4534" w:rsidRPr="004A4534" w:rsidRDefault="00BB5B48" w:rsidP="004A4534">
            <w:pPr>
              <w:spacing w:before="0" w:after="0" w:line="240" w:lineRule="auto"/>
              <w:rPr>
                <w:rFonts w:eastAsia="Calibri"/>
                <w:b/>
              </w:rPr>
            </w:pPr>
            <w:r>
              <w:rPr>
                <w:rFonts w:eastAsia="Calibri"/>
                <w:b/>
              </w:rPr>
              <w:t>1</w:t>
            </w:r>
            <w:r w:rsidRPr="00BB5B48">
              <w:rPr>
                <w:rFonts w:eastAsia="Calibri"/>
                <w:b/>
                <w:vertAlign w:val="superscript"/>
              </w:rPr>
              <w:t>st</w:t>
            </w:r>
            <w:r>
              <w:rPr>
                <w:rFonts w:eastAsia="Calibri"/>
                <w:b/>
              </w:rPr>
              <w:t xml:space="preserve"> May</w:t>
            </w:r>
            <w:r w:rsidR="004A4534" w:rsidRPr="004A4534">
              <w:rPr>
                <w:rFonts w:eastAsia="Calibri"/>
                <w:b/>
              </w:rPr>
              <w:t xml:space="preserve"> </w:t>
            </w:r>
            <w:r w:rsidR="00BD0C84">
              <w:rPr>
                <w:rFonts w:eastAsia="Calibri"/>
                <w:b/>
              </w:rPr>
              <w:t>2015</w:t>
            </w:r>
            <w:r>
              <w:rPr>
                <w:rFonts w:eastAsia="Calibri"/>
                <w:b/>
              </w:rPr>
              <w:t xml:space="preserve"> (40</w:t>
            </w:r>
            <w:r w:rsidR="00E32557">
              <w:rPr>
                <w:rFonts w:eastAsia="Calibri"/>
                <w:b/>
              </w:rPr>
              <w:t xml:space="preserve"> days</w:t>
            </w:r>
            <w:r w:rsidR="00C85E14">
              <w:rPr>
                <w:rFonts w:eastAsia="Calibri"/>
                <w:b/>
              </w:rPr>
              <w:t>)</w:t>
            </w:r>
          </w:p>
          <w:p w14:paraId="645B3B15" w14:textId="77777777" w:rsidR="004A4534" w:rsidRPr="001761CA" w:rsidRDefault="004A4534" w:rsidP="004A4534">
            <w:pPr>
              <w:spacing w:before="0" w:after="0" w:line="240" w:lineRule="auto"/>
              <w:rPr>
                <w:rFonts w:eastAsia="Calibri"/>
              </w:rPr>
            </w:pPr>
            <w:r w:rsidRPr="001761CA">
              <w:rPr>
                <w:rFonts w:eastAsia="Calibri"/>
              </w:rPr>
              <w:t>40% of total value of contract (upon approval of report)</w:t>
            </w:r>
          </w:p>
        </w:tc>
      </w:tr>
      <w:tr w:rsidR="004A4534" w:rsidRPr="004C1820" w14:paraId="6894BB7F" w14:textId="77777777" w:rsidTr="008E4268">
        <w:trPr>
          <w:trHeight w:val="665"/>
        </w:trPr>
        <w:tc>
          <w:tcPr>
            <w:tcW w:w="2771" w:type="pct"/>
          </w:tcPr>
          <w:p w14:paraId="7CD02E0E" w14:textId="77777777" w:rsidR="004A4534" w:rsidRPr="004A4534" w:rsidRDefault="004A4534" w:rsidP="004A4534">
            <w:pPr>
              <w:spacing w:before="0" w:after="0" w:line="240" w:lineRule="auto"/>
              <w:rPr>
                <w:rFonts w:eastAsia="Calibri"/>
                <w:b/>
              </w:rPr>
            </w:pPr>
            <w:r w:rsidRPr="004A4534">
              <w:rPr>
                <w:rFonts w:eastAsia="Calibri"/>
                <w:b/>
              </w:rPr>
              <w:t xml:space="preserve">Final Evaluation Report </w:t>
            </w:r>
          </w:p>
          <w:p w14:paraId="5983B729" w14:textId="77777777" w:rsidR="004A4534" w:rsidRDefault="004A4534" w:rsidP="004A4534">
            <w:pPr>
              <w:spacing w:before="0" w:after="0" w:line="240" w:lineRule="auto"/>
              <w:rPr>
                <w:rFonts w:eastAsia="Calibri"/>
              </w:rPr>
            </w:pPr>
            <w:r w:rsidRPr="006A4D4B">
              <w:rPr>
                <w:rFonts w:eastAsia="Calibri"/>
              </w:rPr>
              <w:t>Max</w:t>
            </w:r>
            <w:r>
              <w:rPr>
                <w:rFonts w:eastAsia="Calibri"/>
              </w:rPr>
              <w:t>.</w:t>
            </w:r>
            <w:r w:rsidRPr="006A4D4B">
              <w:rPr>
                <w:rFonts w:eastAsia="Calibri"/>
              </w:rPr>
              <w:t xml:space="preserve"> 30,000 words plus essential annexes</w:t>
            </w:r>
            <w:r>
              <w:rPr>
                <w:rFonts w:eastAsia="Calibri"/>
              </w:rPr>
              <w:t xml:space="preserve"> and 2,500 word Executive Summary</w:t>
            </w:r>
            <w:r w:rsidRPr="006A4D4B">
              <w:rPr>
                <w:rFonts w:eastAsia="Calibri"/>
              </w:rPr>
              <w:t xml:space="preserve"> (submitted in hard and soft copy).</w:t>
            </w:r>
          </w:p>
          <w:p w14:paraId="2D168546" w14:textId="77777777" w:rsidR="004A4534" w:rsidRPr="006A4D4B" w:rsidRDefault="004A4534" w:rsidP="004A4534">
            <w:pPr>
              <w:spacing w:before="0" w:after="0" w:line="240" w:lineRule="auto"/>
              <w:rPr>
                <w:rFonts w:eastAsia="Calibri"/>
              </w:rPr>
            </w:pPr>
            <w:r>
              <w:rPr>
                <w:rFonts w:eastAsia="Calibri"/>
              </w:rPr>
              <w:t>To be assessed using UNEG Quality Checklist</w:t>
            </w:r>
          </w:p>
        </w:tc>
        <w:tc>
          <w:tcPr>
            <w:tcW w:w="2229" w:type="pct"/>
          </w:tcPr>
          <w:p w14:paraId="54039F0D" w14:textId="04518CC3" w:rsidR="004A4534" w:rsidRPr="004A4534" w:rsidRDefault="00BB5B48" w:rsidP="004A4534">
            <w:pPr>
              <w:spacing w:before="0" w:after="0" w:line="240" w:lineRule="auto"/>
              <w:rPr>
                <w:rFonts w:eastAsia="Calibri"/>
                <w:b/>
              </w:rPr>
            </w:pPr>
            <w:r>
              <w:rPr>
                <w:rFonts w:eastAsia="Calibri"/>
                <w:b/>
              </w:rPr>
              <w:t>15</w:t>
            </w:r>
            <w:r w:rsidRPr="00BB5B48">
              <w:rPr>
                <w:rFonts w:eastAsia="Calibri"/>
                <w:b/>
                <w:vertAlign w:val="superscript"/>
              </w:rPr>
              <w:t>th</w:t>
            </w:r>
            <w:r>
              <w:rPr>
                <w:rFonts w:eastAsia="Calibri"/>
                <w:b/>
              </w:rPr>
              <w:t xml:space="preserve"> </w:t>
            </w:r>
            <w:r w:rsidR="00E0558F">
              <w:rPr>
                <w:rFonts w:eastAsia="Calibri"/>
                <w:b/>
              </w:rPr>
              <w:t>May</w:t>
            </w:r>
            <w:r w:rsidR="00BD0C84">
              <w:rPr>
                <w:rFonts w:eastAsia="Calibri"/>
                <w:b/>
              </w:rPr>
              <w:t xml:space="preserve"> 2015</w:t>
            </w:r>
            <w:r w:rsidR="00E32557">
              <w:rPr>
                <w:rFonts w:eastAsia="Calibri"/>
                <w:b/>
              </w:rPr>
              <w:t xml:space="preserve"> (5 days</w:t>
            </w:r>
            <w:r w:rsidR="00C85E14">
              <w:rPr>
                <w:rFonts w:eastAsia="Calibri"/>
                <w:b/>
              </w:rPr>
              <w:t>)</w:t>
            </w:r>
          </w:p>
          <w:p w14:paraId="29F9A0A6" w14:textId="77777777" w:rsidR="004A4534" w:rsidRPr="001761CA" w:rsidRDefault="004A4534" w:rsidP="004A4534">
            <w:pPr>
              <w:spacing w:before="0" w:after="0" w:line="240" w:lineRule="auto"/>
              <w:rPr>
                <w:rFonts w:eastAsia="Calibri"/>
              </w:rPr>
            </w:pPr>
            <w:r w:rsidRPr="001761CA">
              <w:rPr>
                <w:rFonts w:eastAsia="Calibri"/>
              </w:rPr>
              <w:t>40% of total value of contract (upon approval of report)</w:t>
            </w:r>
          </w:p>
        </w:tc>
      </w:tr>
    </w:tbl>
    <w:p w14:paraId="2CE9E402" w14:textId="77777777" w:rsidR="004A4534" w:rsidRPr="0037364A" w:rsidRDefault="004A4534" w:rsidP="004A4534">
      <w:pPr>
        <w:rPr>
          <w:rFonts w:eastAsia="Calibri"/>
        </w:rPr>
      </w:pPr>
    </w:p>
    <w:p w14:paraId="23DCF7A5" w14:textId="77777777" w:rsidR="004A4534" w:rsidRDefault="004A4534" w:rsidP="004A4534">
      <w:pPr>
        <w:rPr>
          <w:rFonts w:eastAsia="Calibri"/>
        </w:rPr>
      </w:pPr>
    </w:p>
    <w:p w14:paraId="784EB048" w14:textId="77777777" w:rsidR="004A4534" w:rsidRDefault="004A4534" w:rsidP="004A4534">
      <w:pPr>
        <w:rPr>
          <w:rFonts w:eastAsia="Calibri"/>
        </w:rPr>
      </w:pPr>
    </w:p>
    <w:p w14:paraId="7DCDA1EE" w14:textId="77777777" w:rsidR="004A4534" w:rsidRDefault="004A4534" w:rsidP="004A4534">
      <w:pPr>
        <w:rPr>
          <w:rFonts w:eastAsia="Calibri"/>
        </w:rPr>
      </w:pPr>
    </w:p>
    <w:p w14:paraId="54CA1754" w14:textId="77777777" w:rsidR="002105E2" w:rsidRDefault="002105E2" w:rsidP="004A4534">
      <w:pPr>
        <w:rPr>
          <w:rFonts w:eastAsia="Calibri"/>
        </w:rPr>
        <w:sectPr w:rsidR="002105E2" w:rsidSect="00B56EEB">
          <w:headerReference w:type="default" r:id="rId12"/>
          <w:pgSz w:w="11906" w:h="16838"/>
          <w:pgMar w:top="720" w:right="720" w:bottom="720" w:left="720" w:header="720" w:footer="720" w:gutter="0"/>
          <w:cols w:space="720"/>
          <w:docGrid w:linePitch="360"/>
        </w:sectPr>
      </w:pPr>
    </w:p>
    <w:p w14:paraId="67EDD2B2" w14:textId="77777777" w:rsidR="004A4534" w:rsidRPr="0037364A" w:rsidRDefault="004A4534" w:rsidP="004A4534">
      <w:pPr>
        <w:pStyle w:val="Heading1"/>
      </w:pPr>
      <w:r w:rsidRPr="0037364A">
        <w:lastRenderedPageBreak/>
        <w:t>Annex I: UNDA</w:t>
      </w:r>
      <w:r w:rsidR="003C011A">
        <w:t>F</w:t>
      </w:r>
      <w:r w:rsidRPr="0037364A">
        <w:t xml:space="preserve"> Evaluation </w:t>
      </w:r>
      <w:r>
        <w:t>Schedule</w:t>
      </w:r>
    </w:p>
    <w:p w14:paraId="29B8E70F" w14:textId="77777777" w:rsidR="004A4534" w:rsidRDefault="004A4534" w:rsidP="004A4534">
      <w:pPr>
        <w:rPr>
          <w:rFonts w:eastAsia="Calibri"/>
        </w:rPr>
      </w:pPr>
    </w:p>
    <w:tbl>
      <w:tblPr>
        <w:tblStyle w:val="TableGrid"/>
        <w:tblW w:w="15091" w:type="dxa"/>
        <w:tblLook w:val="04A0" w:firstRow="1" w:lastRow="0" w:firstColumn="1" w:lastColumn="0" w:noHBand="0" w:noVBand="1"/>
      </w:tblPr>
      <w:tblGrid>
        <w:gridCol w:w="1562"/>
        <w:gridCol w:w="8064"/>
        <w:gridCol w:w="1260"/>
        <w:gridCol w:w="1613"/>
        <w:gridCol w:w="2592"/>
      </w:tblGrid>
      <w:tr w:rsidR="00B60BED" w14:paraId="3EB32356" w14:textId="77777777" w:rsidTr="00773385">
        <w:tc>
          <w:tcPr>
            <w:tcW w:w="1562" w:type="dxa"/>
          </w:tcPr>
          <w:p w14:paraId="3584EF9C" w14:textId="77777777" w:rsidR="00B60BED" w:rsidRPr="003C011A" w:rsidRDefault="00B60BED" w:rsidP="003C011A">
            <w:pPr>
              <w:jc w:val="center"/>
              <w:rPr>
                <w:rFonts w:eastAsia="Calibri"/>
                <w:b/>
              </w:rPr>
            </w:pPr>
            <w:r w:rsidRPr="003C011A">
              <w:rPr>
                <w:rFonts w:eastAsia="Calibri"/>
                <w:b/>
              </w:rPr>
              <w:t>Phase</w:t>
            </w:r>
          </w:p>
        </w:tc>
        <w:tc>
          <w:tcPr>
            <w:tcW w:w="8064" w:type="dxa"/>
          </w:tcPr>
          <w:p w14:paraId="47E90040" w14:textId="77777777" w:rsidR="00B60BED" w:rsidRPr="003C011A" w:rsidRDefault="00B60BED" w:rsidP="003C011A">
            <w:pPr>
              <w:jc w:val="center"/>
              <w:rPr>
                <w:rFonts w:eastAsia="Calibri"/>
                <w:b/>
              </w:rPr>
            </w:pPr>
            <w:r w:rsidRPr="003C011A">
              <w:rPr>
                <w:rFonts w:eastAsia="Calibri"/>
                <w:b/>
              </w:rPr>
              <w:t>Activity</w:t>
            </w:r>
          </w:p>
        </w:tc>
        <w:tc>
          <w:tcPr>
            <w:tcW w:w="1260" w:type="dxa"/>
          </w:tcPr>
          <w:p w14:paraId="50BB6327" w14:textId="77777777" w:rsidR="00B60BED" w:rsidRPr="003C011A" w:rsidRDefault="00B60BED" w:rsidP="003C011A">
            <w:pPr>
              <w:jc w:val="center"/>
              <w:rPr>
                <w:rFonts w:eastAsia="Calibri"/>
                <w:b/>
              </w:rPr>
            </w:pPr>
            <w:r w:rsidRPr="003C011A">
              <w:rPr>
                <w:rFonts w:eastAsia="Calibri"/>
                <w:b/>
              </w:rPr>
              <w:t>Responsible</w:t>
            </w:r>
          </w:p>
        </w:tc>
        <w:tc>
          <w:tcPr>
            <w:tcW w:w="1613" w:type="dxa"/>
          </w:tcPr>
          <w:p w14:paraId="3FD7A915" w14:textId="77777777" w:rsidR="00B60BED" w:rsidRPr="003C011A" w:rsidRDefault="00B60BED" w:rsidP="003C011A">
            <w:pPr>
              <w:jc w:val="center"/>
              <w:rPr>
                <w:rFonts w:eastAsia="Calibri"/>
                <w:b/>
              </w:rPr>
            </w:pPr>
            <w:r>
              <w:rPr>
                <w:rFonts w:eastAsia="Calibri"/>
                <w:b/>
              </w:rPr>
              <w:t>Time</w:t>
            </w:r>
            <w:r w:rsidRPr="003C011A">
              <w:rPr>
                <w:rFonts w:eastAsia="Calibri"/>
                <w:b/>
              </w:rPr>
              <w:t>frame</w:t>
            </w:r>
          </w:p>
        </w:tc>
        <w:tc>
          <w:tcPr>
            <w:tcW w:w="2592" w:type="dxa"/>
          </w:tcPr>
          <w:p w14:paraId="4F7E6345" w14:textId="77777777" w:rsidR="00B60BED" w:rsidRPr="003C011A" w:rsidRDefault="00B60BED" w:rsidP="00F61341">
            <w:pPr>
              <w:jc w:val="center"/>
              <w:rPr>
                <w:rFonts w:eastAsia="Calibri"/>
                <w:b/>
              </w:rPr>
            </w:pPr>
            <w:r w:rsidRPr="003C011A">
              <w:rPr>
                <w:rFonts w:eastAsia="Calibri"/>
                <w:b/>
              </w:rPr>
              <w:t>Output</w:t>
            </w:r>
          </w:p>
        </w:tc>
      </w:tr>
      <w:tr w:rsidR="00B60BED" w14:paraId="04A9216C" w14:textId="77777777" w:rsidTr="00773385">
        <w:tc>
          <w:tcPr>
            <w:tcW w:w="1562" w:type="dxa"/>
            <w:vMerge w:val="restart"/>
            <w:vAlign w:val="center"/>
          </w:tcPr>
          <w:p w14:paraId="795F68D7" w14:textId="77777777" w:rsidR="00B60BED" w:rsidRPr="003C011A" w:rsidRDefault="00B60BED" w:rsidP="003C011A">
            <w:pPr>
              <w:rPr>
                <w:rFonts w:eastAsia="Calibri"/>
                <w:b/>
              </w:rPr>
            </w:pPr>
            <w:r w:rsidRPr="003C011A">
              <w:rPr>
                <w:rFonts w:eastAsia="Calibri"/>
                <w:b/>
              </w:rPr>
              <w:t>Planning</w:t>
            </w:r>
          </w:p>
        </w:tc>
        <w:tc>
          <w:tcPr>
            <w:tcW w:w="8064" w:type="dxa"/>
          </w:tcPr>
          <w:p w14:paraId="5C45EEB3" w14:textId="77777777" w:rsidR="00B60BED" w:rsidRPr="003C011A" w:rsidRDefault="00B60BED" w:rsidP="00AE5FD8">
            <w:r w:rsidRPr="003C011A">
              <w:rPr>
                <w:b/>
              </w:rPr>
              <w:t xml:space="preserve">Draft </w:t>
            </w:r>
            <w:proofErr w:type="spellStart"/>
            <w:r w:rsidRPr="003C011A">
              <w:rPr>
                <w:b/>
              </w:rPr>
              <w:t>ToR</w:t>
            </w:r>
            <w:proofErr w:type="spellEnd"/>
          </w:p>
          <w:p w14:paraId="01E326C4" w14:textId="77777777" w:rsidR="00B60BED" w:rsidRPr="003C011A" w:rsidRDefault="00B60BED" w:rsidP="00AE5FD8">
            <w:pPr>
              <w:rPr>
                <w:rFonts w:eastAsia="Calibri"/>
              </w:rPr>
            </w:pPr>
            <w:r>
              <w:t>RCO</w:t>
            </w:r>
            <w:r w:rsidRPr="003C011A">
              <w:t xml:space="preserve"> drafts the TOR in close consultation with the </w:t>
            </w:r>
            <w:r>
              <w:t>PMT</w:t>
            </w:r>
            <w:r w:rsidRPr="003C011A">
              <w:t xml:space="preserve">. </w:t>
            </w:r>
            <w:r>
              <w:t xml:space="preserve">UNCT </w:t>
            </w:r>
            <w:r w:rsidRPr="003C011A">
              <w:t>validates the final TOR.</w:t>
            </w:r>
          </w:p>
        </w:tc>
        <w:tc>
          <w:tcPr>
            <w:tcW w:w="1260" w:type="dxa"/>
          </w:tcPr>
          <w:p w14:paraId="0252E999" w14:textId="77777777" w:rsidR="00B60BED" w:rsidRPr="003C011A" w:rsidRDefault="00244381" w:rsidP="003C011A">
            <w:pPr>
              <w:rPr>
                <w:rFonts w:eastAsia="Calibri"/>
              </w:rPr>
            </w:pPr>
            <w:r>
              <w:rPr>
                <w:rFonts w:eastAsia="Calibri"/>
              </w:rPr>
              <w:t>RCO</w:t>
            </w:r>
          </w:p>
        </w:tc>
        <w:tc>
          <w:tcPr>
            <w:tcW w:w="1613" w:type="dxa"/>
          </w:tcPr>
          <w:p w14:paraId="41D8557F" w14:textId="04684744" w:rsidR="00B60BED" w:rsidRDefault="00190B3F" w:rsidP="00190B3F">
            <w:pPr>
              <w:rPr>
                <w:rFonts w:eastAsia="Calibri"/>
              </w:rPr>
            </w:pPr>
            <w:r>
              <w:rPr>
                <w:rFonts w:eastAsia="Calibri"/>
              </w:rPr>
              <w:t>29</w:t>
            </w:r>
            <w:r w:rsidRPr="00190B3F">
              <w:rPr>
                <w:rFonts w:eastAsia="Calibri"/>
                <w:vertAlign w:val="superscript"/>
              </w:rPr>
              <w:t>th</w:t>
            </w:r>
            <w:r>
              <w:rPr>
                <w:rFonts w:eastAsia="Calibri"/>
              </w:rPr>
              <w:t xml:space="preserve"> Sep – 12</w:t>
            </w:r>
            <w:r w:rsidRPr="00190B3F">
              <w:rPr>
                <w:rFonts w:eastAsia="Calibri"/>
                <w:vertAlign w:val="superscript"/>
              </w:rPr>
              <w:t>th</w:t>
            </w:r>
            <w:r>
              <w:rPr>
                <w:rFonts w:eastAsia="Calibri"/>
              </w:rPr>
              <w:t xml:space="preserve"> December</w:t>
            </w:r>
          </w:p>
        </w:tc>
        <w:tc>
          <w:tcPr>
            <w:tcW w:w="2592" w:type="dxa"/>
          </w:tcPr>
          <w:p w14:paraId="2354BB7B" w14:textId="77777777" w:rsidR="00B60BED" w:rsidRDefault="00E17157" w:rsidP="004A4534">
            <w:pPr>
              <w:rPr>
                <w:rFonts w:eastAsia="Calibri"/>
              </w:rPr>
            </w:pPr>
            <w:r>
              <w:rPr>
                <w:rFonts w:eastAsia="Calibri"/>
              </w:rPr>
              <w:t>Draft TOR developed</w:t>
            </w:r>
          </w:p>
        </w:tc>
      </w:tr>
      <w:tr w:rsidR="00B60BED" w14:paraId="692AE6C4" w14:textId="77777777" w:rsidTr="00773385">
        <w:tc>
          <w:tcPr>
            <w:tcW w:w="1562" w:type="dxa"/>
            <w:vMerge/>
            <w:vAlign w:val="center"/>
          </w:tcPr>
          <w:p w14:paraId="6773E780" w14:textId="1EE36961" w:rsidR="00B60BED" w:rsidRPr="003C011A" w:rsidRDefault="00B60BED" w:rsidP="003C011A">
            <w:pPr>
              <w:rPr>
                <w:rFonts w:eastAsia="Calibri"/>
                <w:b/>
              </w:rPr>
            </w:pPr>
          </w:p>
        </w:tc>
        <w:tc>
          <w:tcPr>
            <w:tcW w:w="8064" w:type="dxa"/>
          </w:tcPr>
          <w:p w14:paraId="79B90492" w14:textId="77777777" w:rsidR="00B60BED" w:rsidRDefault="00DC73AE" w:rsidP="004A4534">
            <w:pPr>
              <w:rPr>
                <w:b/>
              </w:rPr>
            </w:pPr>
            <w:r>
              <w:rPr>
                <w:b/>
              </w:rPr>
              <w:t>Identify National Counterparts</w:t>
            </w:r>
          </w:p>
          <w:p w14:paraId="64850D56" w14:textId="2F82AC42" w:rsidR="00DC73AE" w:rsidRPr="00190B3F" w:rsidRDefault="00190B3F" w:rsidP="004A4534">
            <w:r>
              <w:t>Suitable G</w:t>
            </w:r>
            <w:r w:rsidR="00DC73AE">
              <w:t xml:space="preserve">overnment representatives </w:t>
            </w:r>
            <w:r>
              <w:t>identified</w:t>
            </w:r>
            <w:r w:rsidR="00DC73AE">
              <w:t xml:space="preserve"> </w:t>
            </w:r>
            <w:r>
              <w:t xml:space="preserve">and agreed </w:t>
            </w:r>
            <w:r w:rsidR="00DC73AE">
              <w:t>to parti</w:t>
            </w:r>
            <w:r>
              <w:t>ci</w:t>
            </w:r>
            <w:r w:rsidR="00DC73AE">
              <w:t>pate in PMT and UNCT</w:t>
            </w:r>
            <w:r>
              <w:t xml:space="preserve"> for purpose of management of the evaluation.</w:t>
            </w:r>
          </w:p>
        </w:tc>
        <w:tc>
          <w:tcPr>
            <w:tcW w:w="1260" w:type="dxa"/>
          </w:tcPr>
          <w:p w14:paraId="5F5D9566" w14:textId="77777777" w:rsidR="00B60BED" w:rsidRPr="003C011A" w:rsidRDefault="00244381" w:rsidP="003C011A">
            <w:pPr>
              <w:rPr>
                <w:rFonts w:eastAsia="Calibri"/>
              </w:rPr>
            </w:pPr>
            <w:r w:rsidRPr="003C011A">
              <w:rPr>
                <w:rFonts w:eastAsia="Calibri"/>
              </w:rPr>
              <w:t>UNCT</w:t>
            </w:r>
          </w:p>
        </w:tc>
        <w:tc>
          <w:tcPr>
            <w:tcW w:w="1613" w:type="dxa"/>
          </w:tcPr>
          <w:p w14:paraId="24395F3F" w14:textId="62DA4FE7" w:rsidR="00B60BED" w:rsidRDefault="00190B3F" w:rsidP="007F48E7">
            <w:pPr>
              <w:rPr>
                <w:rFonts w:eastAsia="Calibri"/>
              </w:rPr>
            </w:pPr>
            <w:r>
              <w:rPr>
                <w:rFonts w:eastAsia="Calibri"/>
              </w:rPr>
              <w:t>8</w:t>
            </w:r>
            <w:r w:rsidRPr="00190B3F">
              <w:rPr>
                <w:rFonts w:eastAsia="Calibri"/>
                <w:vertAlign w:val="superscript"/>
              </w:rPr>
              <w:t>th</w:t>
            </w:r>
            <w:r w:rsidR="007F48E7">
              <w:rPr>
                <w:rFonts w:eastAsia="Calibri"/>
                <w:vertAlign w:val="superscript"/>
              </w:rPr>
              <w:t xml:space="preserve"> </w:t>
            </w:r>
            <w:r w:rsidR="00E32557">
              <w:rPr>
                <w:rFonts w:eastAsia="Calibri"/>
              </w:rPr>
              <w:t>–</w:t>
            </w:r>
            <w:r w:rsidR="00B60BED">
              <w:rPr>
                <w:rFonts w:eastAsia="Calibri"/>
              </w:rPr>
              <w:t xml:space="preserve"> </w:t>
            </w:r>
            <w:r>
              <w:rPr>
                <w:rFonts w:eastAsia="Calibri"/>
              </w:rPr>
              <w:t>16</w:t>
            </w:r>
            <w:r w:rsidR="00B60BED" w:rsidRPr="00AE5FD8">
              <w:rPr>
                <w:rFonts w:eastAsia="Calibri"/>
                <w:vertAlign w:val="superscript"/>
              </w:rPr>
              <w:t>th</w:t>
            </w:r>
            <w:r w:rsidR="00B60BED">
              <w:rPr>
                <w:rFonts w:eastAsia="Calibri"/>
              </w:rPr>
              <w:t xml:space="preserve"> </w:t>
            </w:r>
            <w:r>
              <w:rPr>
                <w:rFonts w:eastAsia="Calibri"/>
              </w:rPr>
              <w:t>Dec</w:t>
            </w:r>
          </w:p>
        </w:tc>
        <w:tc>
          <w:tcPr>
            <w:tcW w:w="2592" w:type="dxa"/>
          </w:tcPr>
          <w:p w14:paraId="01DD4AB6" w14:textId="3C101E4B" w:rsidR="00190B3F" w:rsidRPr="00190B3F" w:rsidRDefault="00190B3F" w:rsidP="00190B3F">
            <w:r w:rsidRPr="00190B3F">
              <w:t>National Counterparts identified and agreed</w:t>
            </w:r>
          </w:p>
          <w:p w14:paraId="4807AAA9" w14:textId="356514D7" w:rsidR="00B60BED" w:rsidRPr="00E17157" w:rsidRDefault="00B60BED" w:rsidP="004A4534">
            <w:pPr>
              <w:rPr>
                <w:rFonts w:eastAsia="Calibri"/>
              </w:rPr>
            </w:pPr>
          </w:p>
        </w:tc>
      </w:tr>
      <w:tr w:rsidR="00B60BED" w14:paraId="481B8694" w14:textId="77777777" w:rsidTr="00773385">
        <w:tc>
          <w:tcPr>
            <w:tcW w:w="1562" w:type="dxa"/>
            <w:vMerge/>
            <w:vAlign w:val="center"/>
          </w:tcPr>
          <w:p w14:paraId="2EEDB0AC" w14:textId="77777777" w:rsidR="00B60BED" w:rsidRPr="003C011A" w:rsidRDefault="00B60BED" w:rsidP="003C011A">
            <w:pPr>
              <w:rPr>
                <w:rFonts w:eastAsia="Calibri"/>
                <w:b/>
              </w:rPr>
            </w:pPr>
          </w:p>
        </w:tc>
        <w:tc>
          <w:tcPr>
            <w:tcW w:w="8064" w:type="dxa"/>
          </w:tcPr>
          <w:p w14:paraId="6F9F744C" w14:textId="1BDBB9E5" w:rsidR="00B60BED" w:rsidRPr="003C011A" w:rsidRDefault="00B60BED" w:rsidP="004A4534">
            <w:pPr>
              <w:rPr>
                <w:b/>
              </w:rPr>
            </w:pPr>
            <w:r w:rsidRPr="003C011A">
              <w:rPr>
                <w:b/>
              </w:rPr>
              <w:t xml:space="preserve">Select </w:t>
            </w:r>
            <w:r w:rsidR="009A1373">
              <w:rPr>
                <w:b/>
              </w:rPr>
              <w:t>Consultant</w:t>
            </w:r>
          </w:p>
          <w:p w14:paraId="533D8231" w14:textId="0BEBC648" w:rsidR="00B60BED" w:rsidRPr="003C011A" w:rsidRDefault="00DC73AE" w:rsidP="004A4534">
            <w:pPr>
              <w:rPr>
                <w:bCs/>
              </w:rPr>
            </w:pPr>
            <w:r>
              <w:t>PMT</w:t>
            </w:r>
            <w:r w:rsidR="00B60BED" w:rsidRPr="003C011A">
              <w:t xml:space="preserve"> opens the bidding process for recruitment of </w:t>
            </w:r>
            <w:r w:rsidR="009A1373">
              <w:t>Consultant</w:t>
            </w:r>
            <w:r w:rsidR="00B60BED" w:rsidRPr="003C011A">
              <w:t xml:space="preserve"> based on the agreed TOR and according to UN procurement rules. </w:t>
            </w:r>
            <w:r>
              <w:t>PMT</w:t>
            </w:r>
            <w:r w:rsidR="00B60BED" w:rsidRPr="003C011A">
              <w:t xml:space="preserve"> selects the </w:t>
            </w:r>
            <w:r w:rsidR="009A1373">
              <w:t>Consultant</w:t>
            </w:r>
            <w:r w:rsidR="00B60BED" w:rsidRPr="003C011A">
              <w:t xml:space="preserve"> against agreed selection criteria. Interviews may be conducted with candidates.</w:t>
            </w:r>
            <w:r w:rsidR="00B60BED" w:rsidRPr="003C011A">
              <w:rPr>
                <w:bCs/>
              </w:rPr>
              <w:t xml:space="preserve"> </w:t>
            </w:r>
          </w:p>
        </w:tc>
        <w:tc>
          <w:tcPr>
            <w:tcW w:w="1260" w:type="dxa"/>
          </w:tcPr>
          <w:p w14:paraId="79B871EE" w14:textId="1D4499E8" w:rsidR="00B60BED" w:rsidRPr="001811CB" w:rsidRDefault="00DC73AE" w:rsidP="003C011A">
            <w:r>
              <w:t>PMT</w:t>
            </w:r>
          </w:p>
        </w:tc>
        <w:tc>
          <w:tcPr>
            <w:tcW w:w="1613" w:type="dxa"/>
          </w:tcPr>
          <w:p w14:paraId="33F7B963" w14:textId="4A5D8067" w:rsidR="00B60BED" w:rsidRDefault="00190B3F" w:rsidP="00190B3F">
            <w:pPr>
              <w:rPr>
                <w:rFonts w:eastAsia="Calibri"/>
              </w:rPr>
            </w:pPr>
            <w:r>
              <w:rPr>
                <w:rFonts w:eastAsia="Calibri"/>
              </w:rPr>
              <w:t>15</w:t>
            </w:r>
            <w:r w:rsidRPr="00190B3F">
              <w:rPr>
                <w:rFonts w:eastAsia="Calibri"/>
                <w:vertAlign w:val="superscript"/>
              </w:rPr>
              <w:t>th</w:t>
            </w:r>
            <w:r>
              <w:rPr>
                <w:rFonts w:eastAsia="Calibri"/>
              </w:rPr>
              <w:t xml:space="preserve"> Dec – 6</w:t>
            </w:r>
            <w:r w:rsidRPr="00190B3F">
              <w:rPr>
                <w:rFonts w:eastAsia="Calibri"/>
                <w:vertAlign w:val="superscript"/>
              </w:rPr>
              <w:t>th</w:t>
            </w:r>
            <w:r>
              <w:rPr>
                <w:rFonts w:eastAsia="Calibri"/>
              </w:rPr>
              <w:t xml:space="preserve"> Feb</w:t>
            </w:r>
          </w:p>
        </w:tc>
        <w:tc>
          <w:tcPr>
            <w:tcW w:w="2592" w:type="dxa"/>
          </w:tcPr>
          <w:p w14:paraId="418FE39B" w14:textId="1465D019" w:rsidR="00B60BED" w:rsidRDefault="009A1373" w:rsidP="00E17157">
            <w:pPr>
              <w:rPr>
                <w:rFonts w:eastAsia="Calibri"/>
              </w:rPr>
            </w:pPr>
            <w:r>
              <w:rPr>
                <w:rFonts w:eastAsia="Calibri"/>
              </w:rPr>
              <w:t>Consultant</w:t>
            </w:r>
            <w:r w:rsidR="00E17157">
              <w:rPr>
                <w:rFonts w:eastAsia="Calibri"/>
              </w:rPr>
              <w:t xml:space="preserve"> selected</w:t>
            </w:r>
          </w:p>
        </w:tc>
      </w:tr>
      <w:tr w:rsidR="00B60BED" w14:paraId="66F3F0FE" w14:textId="77777777" w:rsidTr="00773385">
        <w:tc>
          <w:tcPr>
            <w:tcW w:w="1562" w:type="dxa"/>
            <w:vMerge/>
            <w:vAlign w:val="center"/>
          </w:tcPr>
          <w:p w14:paraId="6306AA5D" w14:textId="77777777" w:rsidR="00B60BED" w:rsidRPr="003C011A" w:rsidRDefault="00B60BED" w:rsidP="003C011A">
            <w:pPr>
              <w:rPr>
                <w:rFonts w:eastAsia="Calibri"/>
                <w:b/>
              </w:rPr>
            </w:pPr>
          </w:p>
        </w:tc>
        <w:tc>
          <w:tcPr>
            <w:tcW w:w="8064" w:type="dxa"/>
          </w:tcPr>
          <w:p w14:paraId="11C2A062" w14:textId="41D25F3D" w:rsidR="00B60BED" w:rsidRPr="003C011A" w:rsidRDefault="00B60BED" w:rsidP="004A4534">
            <w:pPr>
              <w:rPr>
                <w:b/>
              </w:rPr>
            </w:pPr>
            <w:r w:rsidRPr="003C011A">
              <w:rPr>
                <w:b/>
              </w:rPr>
              <w:t xml:space="preserve">Contract </w:t>
            </w:r>
            <w:r w:rsidR="009A1373">
              <w:rPr>
                <w:b/>
              </w:rPr>
              <w:t>Consultant</w:t>
            </w:r>
          </w:p>
          <w:p w14:paraId="728F86F9" w14:textId="157AE9C3" w:rsidR="00B60BED" w:rsidRPr="003C011A" w:rsidRDefault="00DC73AE" w:rsidP="009A1373">
            <w:pPr>
              <w:rPr>
                <w:rFonts w:eastAsia="Calibri"/>
              </w:rPr>
            </w:pPr>
            <w:r>
              <w:t>PMT</w:t>
            </w:r>
            <w:r w:rsidR="00B60BED" w:rsidRPr="003C011A">
              <w:t xml:space="preserve"> prepares a contract with the </w:t>
            </w:r>
            <w:r w:rsidR="009A1373">
              <w:t>Consultant</w:t>
            </w:r>
            <w:r w:rsidR="00B60BED" w:rsidRPr="003C011A">
              <w:t xml:space="preserve"> according to the TOR. The contract outlines the responsibilities of the </w:t>
            </w:r>
            <w:r w:rsidR="009A1373">
              <w:t>Consultant</w:t>
            </w:r>
            <w:r w:rsidR="00B60BED" w:rsidRPr="003C011A">
              <w:t>, duration, fees, travel, etc.</w:t>
            </w:r>
          </w:p>
        </w:tc>
        <w:tc>
          <w:tcPr>
            <w:tcW w:w="1260" w:type="dxa"/>
          </w:tcPr>
          <w:p w14:paraId="0739E137" w14:textId="511C3B08" w:rsidR="00B60BED" w:rsidRPr="001811CB" w:rsidRDefault="00DC73AE" w:rsidP="003C011A">
            <w:r>
              <w:t>PMT</w:t>
            </w:r>
          </w:p>
        </w:tc>
        <w:tc>
          <w:tcPr>
            <w:tcW w:w="1613" w:type="dxa"/>
          </w:tcPr>
          <w:p w14:paraId="5281BE0A" w14:textId="469B6ECC" w:rsidR="00B60BED" w:rsidRDefault="00190B3F" w:rsidP="007F48E7">
            <w:pPr>
              <w:rPr>
                <w:rFonts w:eastAsia="Calibri"/>
              </w:rPr>
            </w:pPr>
            <w:r>
              <w:rPr>
                <w:rFonts w:eastAsia="Calibri"/>
              </w:rPr>
              <w:t>6</w:t>
            </w:r>
            <w:r w:rsidRPr="00190B3F">
              <w:rPr>
                <w:rFonts w:eastAsia="Calibri"/>
                <w:vertAlign w:val="superscript"/>
              </w:rPr>
              <w:t>th</w:t>
            </w:r>
            <w:r w:rsidR="007F48E7">
              <w:rPr>
                <w:rFonts w:eastAsia="Calibri"/>
                <w:vertAlign w:val="superscript"/>
              </w:rPr>
              <w:t xml:space="preserve"> </w:t>
            </w:r>
            <w:r w:rsidR="00E32557">
              <w:rPr>
                <w:rFonts w:eastAsia="Calibri"/>
              </w:rPr>
              <w:t>–</w:t>
            </w:r>
            <w:r w:rsidR="00B60BED">
              <w:rPr>
                <w:rFonts w:eastAsia="Calibri"/>
              </w:rPr>
              <w:t xml:space="preserve"> 1</w:t>
            </w:r>
            <w:r>
              <w:rPr>
                <w:rFonts w:eastAsia="Calibri"/>
              </w:rPr>
              <w:t>3</w:t>
            </w:r>
            <w:r w:rsidR="00B60BED" w:rsidRPr="00AE5FD8">
              <w:rPr>
                <w:rFonts w:eastAsia="Calibri"/>
                <w:vertAlign w:val="superscript"/>
              </w:rPr>
              <w:t>th</w:t>
            </w:r>
            <w:r w:rsidR="00B60BED">
              <w:rPr>
                <w:rFonts w:eastAsia="Calibri"/>
              </w:rPr>
              <w:t xml:space="preserve"> </w:t>
            </w:r>
            <w:r>
              <w:rPr>
                <w:rFonts w:eastAsia="Calibri"/>
              </w:rPr>
              <w:t>Feb</w:t>
            </w:r>
          </w:p>
        </w:tc>
        <w:tc>
          <w:tcPr>
            <w:tcW w:w="2592" w:type="dxa"/>
          </w:tcPr>
          <w:p w14:paraId="56647546" w14:textId="2457A84F" w:rsidR="00B60BED" w:rsidRDefault="009A1373" w:rsidP="00E17157">
            <w:pPr>
              <w:rPr>
                <w:rFonts w:eastAsia="Calibri"/>
              </w:rPr>
            </w:pPr>
            <w:r>
              <w:rPr>
                <w:rFonts w:eastAsia="Calibri"/>
              </w:rPr>
              <w:t>Consultant</w:t>
            </w:r>
            <w:r w:rsidR="00E17157">
              <w:rPr>
                <w:rFonts w:eastAsia="Calibri"/>
              </w:rPr>
              <w:t xml:space="preserve"> recruited and contracted</w:t>
            </w:r>
          </w:p>
        </w:tc>
      </w:tr>
      <w:tr w:rsidR="00B60BED" w14:paraId="7D631EB0" w14:textId="77777777" w:rsidTr="00773385">
        <w:tc>
          <w:tcPr>
            <w:tcW w:w="1562" w:type="dxa"/>
            <w:vMerge w:val="restart"/>
            <w:vAlign w:val="center"/>
          </w:tcPr>
          <w:p w14:paraId="37713610" w14:textId="77777777" w:rsidR="00B60BED" w:rsidRPr="003C011A" w:rsidRDefault="00B60BED" w:rsidP="003C011A">
            <w:pPr>
              <w:rPr>
                <w:rFonts w:eastAsia="Calibri"/>
                <w:b/>
              </w:rPr>
            </w:pPr>
            <w:r w:rsidRPr="003C011A">
              <w:rPr>
                <w:rFonts w:eastAsia="Calibri"/>
                <w:b/>
              </w:rPr>
              <w:t>Implementation</w:t>
            </w:r>
          </w:p>
        </w:tc>
        <w:tc>
          <w:tcPr>
            <w:tcW w:w="8064" w:type="dxa"/>
          </w:tcPr>
          <w:p w14:paraId="0D33CBF9" w14:textId="30295073" w:rsidR="00B60BED" w:rsidRPr="003C011A" w:rsidRDefault="00B60BED" w:rsidP="004A4534">
            <w:pPr>
              <w:rPr>
                <w:b/>
              </w:rPr>
            </w:pPr>
            <w:r w:rsidRPr="003C011A">
              <w:rPr>
                <w:b/>
              </w:rPr>
              <w:t xml:space="preserve">Brief </w:t>
            </w:r>
            <w:r w:rsidR="009A1373">
              <w:rPr>
                <w:b/>
              </w:rPr>
              <w:t>Consultant</w:t>
            </w:r>
          </w:p>
          <w:p w14:paraId="1724BFDD" w14:textId="11B0D575" w:rsidR="00B60BED" w:rsidRPr="003C011A" w:rsidRDefault="00DC73AE" w:rsidP="004A4534">
            <w:r>
              <w:t>PMT</w:t>
            </w:r>
            <w:r w:rsidR="00B60BED" w:rsidRPr="003C011A">
              <w:t xml:space="preserve"> provides access to all relevant documentation. All relevant stakeholders to facilitate access to all necessary information. </w:t>
            </w:r>
          </w:p>
        </w:tc>
        <w:tc>
          <w:tcPr>
            <w:tcW w:w="1260" w:type="dxa"/>
          </w:tcPr>
          <w:p w14:paraId="77E141CC" w14:textId="4F108EF5" w:rsidR="00B60BED" w:rsidRPr="001811CB" w:rsidRDefault="00DC73AE" w:rsidP="003C011A">
            <w:r>
              <w:t>PMT</w:t>
            </w:r>
          </w:p>
        </w:tc>
        <w:tc>
          <w:tcPr>
            <w:tcW w:w="1613" w:type="dxa"/>
          </w:tcPr>
          <w:p w14:paraId="17A61803" w14:textId="29F83DC6" w:rsidR="00B60BED" w:rsidRDefault="00190B3F" w:rsidP="00A74CD4">
            <w:pPr>
              <w:rPr>
                <w:rFonts w:eastAsia="Calibri"/>
              </w:rPr>
            </w:pPr>
            <w:r>
              <w:rPr>
                <w:rFonts w:eastAsia="Calibri"/>
              </w:rPr>
              <w:t>2</w:t>
            </w:r>
            <w:r w:rsidRPr="00190B3F">
              <w:rPr>
                <w:rFonts w:eastAsia="Calibri"/>
                <w:vertAlign w:val="superscript"/>
              </w:rPr>
              <w:t>nd</w:t>
            </w:r>
            <w:r>
              <w:rPr>
                <w:rFonts w:eastAsia="Calibri"/>
              </w:rPr>
              <w:t xml:space="preserve"> Mar</w:t>
            </w:r>
          </w:p>
        </w:tc>
        <w:tc>
          <w:tcPr>
            <w:tcW w:w="2592" w:type="dxa"/>
          </w:tcPr>
          <w:p w14:paraId="59F3E9F4" w14:textId="6CE96D7B" w:rsidR="00B60BED" w:rsidRDefault="009A1373" w:rsidP="004A4534">
            <w:pPr>
              <w:rPr>
                <w:rFonts w:eastAsia="Calibri"/>
              </w:rPr>
            </w:pPr>
            <w:r>
              <w:rPr>
                <w:rFonts w:eastAsia="Calibri"/>
              </w:rPr>
              <w:t>Consultant</w:t>
            </w:r>
            <w:r w:rsidR="00E17157">
              <w:rPr>
                <w:rFonts w:eastAsia="Calibri"/>
              </w:rPr>
              <w:t xml:space="preserve"> briefed</w:t>
            </w:r>
          </w:p>
        </w:tc>
      </w:tr>
      <w:tr w:rsidR="00B60BED" w14:paraId="732BC9CA" w14:textId="77777777" w:rsidTr="00773385">
        <w:tc>
          <w:tcPr>
            <w:tcW w:w="1562" w:type="dxa"/>
            <w:vMerge/>
            <w:vAlign w:val="center"/>
          </w:tcPr>
          <w:p w14:paraId="5E9D391A" w14:textId="77777777" w:rsidR="00B60BED" w:rsidRDefault="00B60BED" w:rsidP="003C011A">
            <w:pPr>
              <w:rPr>
                <w:rFonts w:eastAsia="Calibri"/>
              </w:rPr>
            </w:pPr>
          </w:p>
        </w:tc>
        <w:tc>
          <w:tcPr>
            <w:tcW w:w="8064" w:type="dxa"/>
          </w:tcPr>
          <w:p w14:paraId="50A47B54" w14:textId="77777777" w:rsidR="00B60BED" w:rsidRPr="003C011A" w:rsidRDefault="00B60BED" w:rsidP="004A4534">
            <w:pPr>
              <w:rPr>
                <w:b/>
              </w:rPr>
            </w:pPr>
            <w:r w:rsidRPr="003C011A">
              <w:rPr>
                <w:b/>
              </w:rPr>
              <w:t>Inception Report</w:t>
            </w:r>
          </w:p>
          <w:p w14:paraId="511C1A09" w14:textId="4AC1ABD1" w:rsidR="00B60BED" w:rsidRPr="003C011A" w:rsidRDefault="009A1373" w:rsidP="004A4534">
            <w:r>
              <w:t>Consultant</w:t>
            </w:r>
            <w:r w:rsidR="00B60BED" w:rsidRPr="003C011A">
              <w:t xml:space="preserve"> to prepare and submit to the </w:t>
            </w:r>
            <w:r w:rsidR="00DC73AE">
              <w:t>PMT</w:t>
            </w:r>
            <w:r w:rsidR="00B60BED" w:rsidRPr="003C011A">
              <w:t xml:space="preserve"> an Inception Report that further refines the overall evaluation scope, approach, design and timeframe, provides a detailed outline of the evaluation methodology. </w:t>
            </w:r>
          </w:p>
        </w:tc>
        <w:tc>
          <w:tcPr>
            <w:tcW w:w="1260" w:type="dxa"/>
          </w:tcPr>
          <w:p w14:paraId="3E1FA0EA" w14:textId="4AC6744C" w:rsidR="00B60BED" w:rsidRPr="001811CB" w:rsidRDefault="009A1373" w:rsidP="003C011A">
            <w:r>
              <w:t>Consultant</w:t>
            </w:r>
          </w:p>
        </w:tc>
        <w:tc>
          <w:tcPr>
            <w:tcW w:w="1613" w:type="dxa"/>
          </w:tcPr>
          <w:p w14:paraId="5E6CFC16" w14:textId="02173F86" w:rsidR="00B60BED" w:rsidRDefault="007F48E7" w:rsidP="00E32557">
            <w:pPr>
              <w:rPr>
                <w:rFonts w:eastAsia="Calibri"/>
              </w:rPr>
            </w:pPr>
            <w:r>
              <w:rPr>
                <w:rFonts w:eastAsia="Calibri"/>
              </w:rPr>
              <w:t>2</w:t>
            </w:r>
            <w:r w:rsidRPr="00190B3F">
              <w:rPr>
                <w:rFonts w:eastAsia="Calibri"/>
                <w:vertAlign w:val="superscript"/>
              </w:rPr>
              <w:t>nd</w:t>
            </w:r>
            <w:r>
              <w:rPr>
                <w:rFonts w:eastAsia="Calibri"/>
              </w:rPr>
              <w:t xml:space="preserve"> Mar – 9</w:t>
            </w:r>
            <w:r w:rsidRPr="007F48E7">
              <w:rPr>
                <w:rFonts w:eastAsia="Calibri"/>
                <w:vertAlign w:val="superscript"/>
              </w:rPr>
              <w:t>th</w:t>
            </w:r>
            <w:r>
              <w:rPr>
                <w:rFonts w:eastAsia="Calibri"/>
              </w:rPr>
              <w:t xml:space="preserve"> Mar</w:t>
            </w:r>
          </w:p>
        </w:tc>
        <w:tc>
          <w:tcPr>
            <w:tcW w:w="2592" w:type="dxa"/>
          </w:tcPr>
          <w:p w14:paraId="160FB1FC" w14:textId="77777777" w:rsidR="00B60BED" w:rsidRDefault="00E17157" w:rsidP="004A4534">
            <w:pPr>
              <w:rPr>
                <w:rFonts w:eastAsia="Calibri"/>
              </w:rPr>
            </w:pPr>
            <w:r>
              <w:rPr>
                <w:rFonts w:eastAsia="Calibri"/>
              </w:rPr>
              <w:t>Inception report developed</w:t>
            </w:r>
          </w:p>
        </w:tc>
      </w:tr>
      <w:tr w:rsidR="00B60BED" w14:paraId="41783DB1" w14:textId="77777777" w:rsidTr="00773385">
        <w:tc>
          <w:tcPr>
            <w:tcW w:w="1562" w:type="dxa"/>
            <w:vMerge/>
            <w:vAlign w:val="center"/>
          </w:tcPr>
          <w:p w14:paraId="71E941E4" w14:textId="77777777" w:rsidR="00B60BED" w:rsidRDefault="00B60BED" w:rsidP="003C011A">
            <w:pPr>
              <w:rPr>
                <w:rFonts w:eastAsia="Calibri"/>
              </w:rPr>
            </w:pPr>
          </w:p>
        </w:tc>
        <w:tc>
          <w:tcPr>
            <w:tcW w:w="8064" w:type="dxa"/>
          </w:tcPr>
          <w:p w14:paraId="1C91BD3E" w14:textId="77777777" w:rsidR="00B60BED" w:rsidRPr="003C011A" w:rsidRDefault="00B60BED" w:rsidP="002105E2">
            <w:pPr>
              <w:rPr>
                <w:b/>
              </w:rPr>
            </w:pPr>
            <w:r w:rsidRPr="003C011A">
              <w:rPr>
                <w:b/>
              </w:rPr>
              <w:t>Data Collection and Analysis</w:t>
            </w:r>
          </w:p>
          <w:p w14:paraId="1E15BF47" w14:textId="52697633" w:rsidR="00B60BED" w:rsidRPr="003C011A" w:rsidRDefault="009A1373" w:rsidP="002105E2">
            <w:r>
              <w:t>Consultant</w:t>
            </w:r>
            <w:r w:rsidR="00B60BED" w:rsidRPr="003C011A">
              <w:t xml:space="preserve"> collects data deploying various data collection methods agreed upon in the Inception Report. Relevant stakeholders from UNCT and the different UN agencies to facilitate access to information and provide all necessary logistical/organisational support. </w:t>
            </w:r>
          </w:p>
        </w:tc>
        <w:tc>
          <w:tcPr>
            <w:tcW w:w="1260" w:type="dxa"/>
          </w:tcPr>
          <w:p w14:paraId="4357D2C5" w14:textId="198238EC" w:rsidR="00B60BED" w:rsidRPr="001811CB" w:rsidRDefault="009A1373" w:rsidP="003C011A">
            <w:r>
              <w:t>Consultant</w:t>
            </w:r>
          </w:p>
        </w:tc>
        <w:tc>
          <w:tcPr>
            <w:tcW w:w="1613" w:type="dxa"/>
          </w:tcPr>
          <w:p w14:paraId="240C3893" w14:textId="093702B3" w:rsidR="00050652" w:rsidRDefault="00050652" w:rsidP="00050652">
            <w:pPr>
              <w:rPr>
                <w:rFonts w:eastAsia="Calibri"/>
              </w:rPr>
            </w:pPr>
            <w:r>
              <w:rPr>
                <w:rFonts w:eastAsia="Calibri"/>
              </w:rPr>
              <w:t>9</w:t>
            </w:r>
            <w:r w:rsidRPr="00B60BED">
              <w:rPr>
                <w:rFonts w:eastAsia="Calibri"/>
                <w:vertAlign w:val="superscript"/>
              </w:rPr>
              <w:t>th</w:t>
            </w:r>
            <w:r>
              <w:rPr>
                <w:rFonts w:eastAsia="Calibri"/>
              </w:rPr>
              <w:t xml:space="preserve"> Mar – 3</w:t>
            </w:r>
            <w:r w:rsidRPr="00050652">
              <w:rPr>
                <w:rFonts w:eastAsia="Calibri"/>
                <w:vertAlign w:val="superscript"/>
              </w:rPr>
              <w:t>rd</w:t>
            </w:r>
            <w:r>
              <w:rPr>
                <w:rFonts w:eastAsia="Calibri"/>
              </w:rPr>
              <w:t xml:space="preserve">  April</w:t>
            </w:r>
          </w:p>
          <w:p w14:paraId="28A7004C" w14:textId="19617FD8" w:rsidR="00050652" w:rsidRDefault="00050652" w:rsidP="004A4534">
            <w:pPr>
              <w:rPr>
                <w:rFonts w:eastAsia="Calibri"/>
              </w:rPr>
            </w:pPr>
          </w:p>
        </w:tc>
        <w:tc>
          <w:tcPr>
            <w:tcW w:w="2592" w:type="dxa"/>
          </w:tcPr>
          <w:p w14:paraId="29C33941" w14:textId="77777777" w:rsidR="00B60BED" w:rsidRDefault="00E17157" w:rsidP="004A4534">
            <w:pPr>
              <w:rPr>
                <w:rFonts w:eastAsia="Calibri"/>
              </w:rPr>
            </w:pPr>
            <w:r>
              <w:rPr>
                <w:rFonts w:eastAsia="Calibri"/>
              </w:rPr>
              <w:t>Data collection and analysis completed</w:t>
            </w:r>
          </w:p>
        </w:tc>
      </w:tr>
      <w:tr w:rsidR="00B60BED" w14:paraId="64F70FA4" w14:textId="77777777" w:rsidTr="00773385">
        <w:tc>
          <w:tcPr>
            <w:tcW w:w="1562" w:type="dxa"/>
            <w:vMerge/>
            <w:vAlign w:val="center"/>
          </w:tcPr>
          <w:p w14:paraId="3CE3894A" w14:textId="77777777" w:rsidR="00B60BED" w:rsidRDefault="00B60BED" w:rsidP="003C011A">
            <w:pPr>
              <w:rPr>
                <w:rFonts w:eastAsia="Calibri"/>
              </w:rPr>
            </w:pPr>
          </w:p>
        </w:tc>
        <w:tc>
          <w:tcPr>
            <w:tcW w:w="8064" w:type="dxa"/>
          </w:tcPr>
          <w:p w14:paraId="0016BB7F" w14:textId="77777777" w:rsidR="00B60BED" w:rsidRPr="003C011A" w:rsidRDefault="00B60BED" w:rsidP="002105E2">
            <w:pPr>
              <w:rPr>
                <w:b/>
              </w:rPr>
            </w:pPr>
            <w:r w:rsidRPr="003C011A">
              <w:rPr>
                <w:b/>
              </w:rPr>
              <w:t>Preliminary findings</w:t>
            </w:r>
          </w:p>
          <w:p w14:paraId="0323A1ED" w14:textId="145BA39D" w:rsidR="00B60BED" w:rsidRPr="003C011A" w:rsidRDefault="009A1373" w:rsidP="002105E2">
            <w:r>
              <w:t>Consultant</w:t>
            </w:r>
            <w:r w:rsidR="00B60BED" w:rsidRPr="003C011A">
              <w:t xml:space="preserve"> delivers a presentation on the evaluation preliminary findings to the </w:t>
            </w:r>
            <w:r w:rsidR="00DC73AE">
              <w:t>PMT</w:t>
            </w:r>
            <w:r w:rsidR="00B60BED" w:rsidRPr="003C011A">
              <w:t xml:space="preserve">, the </w:t>
            </w:r>
            <w:r w:rsidR="00DC73AE">
              <w:t>UNCT</w:t>
            </w:r>
            <w:r w:rsidR="00B60BED" w:rsidRPr="003C011A">
              <w:t xml:space="preserve"> and its representatives, as well as additional stakeholders invited by the </w:t>
            </w:r>
            <w:r w:rsidR="00DC73AE">
              <w:t>UNCT</w:t>
            </w:r>
            <w:r w:rsidR="00B60BED" w:rsidRPr="003C011A">
              <w:t xml:space="preserve"> for immediate feedback.</w:t>
            </w:r>
          </w:p>
        </w:tc>
        <w:tc>
          <w:tcPr>
            <w:tcW w:w="1260" w:type="dxa"/>
          </w:tcPr>
          <w:p w14:paraId="0907A9B7" w14:textId="1B48DC92" w:rsidR="00B60BED" w:rsidRPr="001811CB" w:rsidRDefault="009A1373" w:rsidP="003C011A">
            <w:r>
              <w:t>Consultant</w:t>
            </w:r>
          </w:p>
        </w:tc>
        <w:tc>
          <w:tcPr>
            <w:tcW w:w="1613" w:type="dxa"/>
          </w:tcPr>
          <w:p w14:paraId="06067D7C" w14:textId="76CF787B" w:rsidR="00B60BED" w:rsidRDefault="00050652" w:rsidP="00050652">
            <w:pPr>
              <w:rPr>
                <w:rFonts w:eastAsia="Calibri"/>
              </w:rPr>
            </w:pPr>
            <w:r>
              <w:rPr>
                <w:rFonts w:eastAsia="Calibri"/>
              </w:rPr>
              <w:t>6</w:t>
            </w:r>
            <w:r w:rsidRPr="00050652">
              <w:rPr>
                <w:rFonts w:eastAsia="Calibri"/>
                <w:vertAlign w:val="superscript"/>
              </w:rPr>
              <w:t>th</w:t>
            </w:r>
            <w:r>
              <w:rPr>
                <w:rFonts w:eastAsia="Calibri"/>
              </w:rPr>
              <w:t xml:space="preserve">  – 10</w:t>
            </w:r>
            <w:r w:rsidRPr="00050652">
              <w:rPr>
                <w:rFonts w:eastAsia="Calibri"/>
                <w:vertAlign w:val="superscript"/>
              </w:rPr>
              <w:t>th</w:t>
            </w:r>
            <w:r>
              <w:rPr>
                <w:rFonts w:eastAsia="Calibri"/>
              </w:rPr>
              <w:t xml:space="preserve"> </w:t>
            </w:r>
            <w:r w:rsidR="007F48E7">
              <w:rPr>
                <w:rFonts w:eastAsia="Calibri"/>
              </w:rPr>
              <w:t>Apr</w:t>
            </w:r>
          </w:p>
        </w:tc>
        <w:tc>
          <w:tcPr>
            <w:tcW w:w="2592" w:type="dxa"/>
          </w:tcPr>
          <w:p w14:paraId="4208C194" w14:textId="77777777" w:rsidR="00B60BED" w:rsidRDefault="00E17157" w:rsidP="00E17157">
            <w:pPr>
              <w:rPr>
                <w:rFonts w:eastAsia="Calibri"/>
              </w:rPr>
            </w:pPr>
            <w:r>
              <w:rPr>
                <w:rFonts w:eastAsia="Calibri"/>
              </w:rPr>
              <w:t>Preliminary findings of evaluation presented</w:t>
            </w:r>
          </w:p>
        </w:tc>
      </w:tr>
      <w:tr w:rsidR="00B60BED" w14:paraId="20F688BC" w14:textId="77777777" w:rsidTr="00773385">
        <w:tc>
          <w:tcPr>
            <w:tcW w:w="1562" w:type="dxa"/>
            <w:vMerge/>
            <w:vAlign w:val="center"/>
          </w:tcPr>
          <w:p w14:paraId="751FFC23" w14:textId="77777777" w:rsidR="00B60BED" w:rsidRDefault="00B60BED" w:rsidP="003C011A">
            <w:pPr>
              <w:rPr>
                <w:rFonts w:eastAsia="Calibri"/>
              </w:rPr>
            </w:pPr>
          </w:p>
        </w:tc>
        <w:tc>
          <w:tcPr>
            <w:tcW w:w="8064" w:type="dxa"/>
          </w:tcPr>
          <w:p w14:paraId="6718CAB1" w14:textId="77777777" w:rsidR="00B60BED" w:rsidRPr="003C011A" w:rsidRDefault="00B60BED" w:rsidP="002105E2">
            <w:pPr>
              <w:rPr>
                <w:b/>
              </w:rPr>
            </w:pPr>
            <w:r w:rsidRPr="003C011A">
              <w:rPr>
                <w:b/>
              </w:rPr>
              <w:t>Reporting</w:t>
            </w:r>
          </w:p>
          <w:p w14:paraId="3D24CB6E" w14:textId="753D431F" w:rsidR="00B60BED" w:rsidRPr="003C011A" w:rsidRDefault="009A1373" w:rsidP="002105E2">
            <w:r>
              <w:t>Consultant</w:t>
            </w:r>
            <w:r w:rsidR="00B60BED" w:rsidRPr="003C011A">
              <w:t xml:space="preserve"> prepares the report in accordance with the UNEG Norms and Standards. The report is to be logically structured, contain evidence-based findings, conclusions, lessons and recommendations. </w:t>
            </w:r>
          </w:p>
        </w:tc>
        <w:tc>
          <w:tcPr>
            <w:tcW w:w="1260" w:type="dxa"/>
          </w:tcPr>
          <w:p w14:paraId="479D20B7" w14:textId="4F8B6189" w:rsidR="00B60BED" w:rsidRPr="001811CB" w:rsidRDefault="009A1373" w:rsidP="003C011A">
            <w:r>
              <w:t>Consultant</w:t>
            </w:r>
          </w:p>
          <w:p w14:paraId="71FCD994" w14:textId="77777777" w:rsidR="00B60BED" w:rsidRPr="001811CB" w:rsidRDefault="00B60BED" w:rsidP="003C011A"/>
        </w:tc>
        <w:tc>
          <w:tcPr>
            <w:tcW w:w="1613" w:type="dxa"/>
          </w:tcPr>
          <w:p w14:paraId="0C33FF73" w14:textId="692A09E9" w:rsidR="00B60BED" w:rsidRDefault="00050652" w:rsidP="00050652">
            <w:pPr>
              <w:rPr>
                <w:rFonts w:eastAsia="Calibri"/>
              </w:rPr>
            </w:pPr>
            <w:r>
              <w:rPr>
                <w:rFonts w:eastAsia="Calibri"/>
              </w:rPr>
              <w:t>13</w:t>
            </w:r>
            <w:r w:rsidRPr="00050652">
              <w:rPr>
                <w:rFonts w:eastAsia="Calibri"/>
                <w:vertAlign w:val="superscript"/>
              </w:rPr>
              <w:t>th</w:t>
            </w:r>
            <w:r>
              <w:rPr>
                <w:rFonts w:eastAsia="Calibri"/>
              </w:rPr>
              <w:t xml:space="preserve"> – 24</w:t>
            </w:r>
            <w:r w:rsidRPr="00050652">
              <w:rPr>
                <w:rFonts w:eastAsia="Calibri"/>
                <w:vertAlign w:val="superscript"/>
              </w:rPr>
              <w:t>th</w:t>
            </w:r>
            <w:r>
              <w:rPr>
                <w:rFonts w:eastAsia="Calibri"/>
              </w:rPr>
              <w:t xml:space="preserve"> Apr</w:t>
            </w:r>
          </w:p>
        </w:tc>
        <w:tc>
          <w:tcPr>
            <w:tcW w:w="2592" w:type="dxa"/>
          </w:tcPr>
          <w:p w14:paraId="41DB9BD8" w14:textId="77777777" w:rsidR="00B60BED" w:rsidRDefault="00E17157" w:rsidP="004A4534">
            <w:pPr>
              <w:rPr>
                <w:rFonts w:eastAsia="Calibri"/>
              </w:rPr>
            </w:pPr>
            <w:r>
              <w:rPr>
                <w:rFonts w:eastAsia="Calibri"/>
              </w:rPr>
              <w:t>Final report drafted</w:t>
            </w:r>
          </w:p>
        </w:tc>
      </w:tr>
      <w:tr w:rsidR="00B60BED" w14:paraId="146BB1E6" w14:textId="77777777" w:rsidTr="00773385">
        <w:tc>
          <w:tcPr>
            <w:tcW w:w="1562" w:type="dxa"/>
            <w:vMerge/>
            <w:vAlign w:val="center"/>
          </w:tcPr>
          <w:p w14:paraId="2CE850EA" w14:textId="77777777" w:rsidR="00B60BED" w:rsidRDefault="00B60BED" w:rsidP="003C011A">
            <w:pPr>
              <w:rPr>
                <w:rFonts w:eastAsia="Calibri"/>
              </w:rPr>
            </w:pPr>
          </w:p>
        </w:tc>
        <w:tc>
          <w:tcPr>
            <w:tcW w:w="8064" w:type="dxa"/>
          </w:tcPr>
          <w:p w14:paraId="6774F8D2" w14:textId="72FDA7EB" w:rsidR="00B60BED" w:rsidRPr="003C011A" w:rsidRDefault="00B60BED" w:rsidP="002105E2">
            <w:pPr>
              <w:rPr>
                <w:b/>
              </w:rPr>
            </w:pPr>
            <w:r w:rsidRPr="003C011A">
              <w:rPr>
                <w:b/>
              </w:rPr>
              <w:t xml:space="preserve">Present Draft Evaluation Report to </w:t>
            </w:r>
            <w:r w:rsidR="00DC73AE">
              <w:rPr>
                <w:b/>
              </w:rPr>
              <w:t>UNCT</w:t>
            </w:r>
            <w:r w:rsidRPr="003C011A">
              <w:rPr>
                <w:b/>
              </w:rPr>
              <w:t xml:space="preserve"> and </w:t>
            </w:r>
            <w:r w:rsidR="00DC73AE">
              <w:rPr>
                <w:b/>
              </w:rPr>
              <w:t>PMT</w:t>
            </w:r>
          </w:p>
        </w:tc>
        <w:tc>
          <w:tcPr>
            <w:tcW w:w="1260" w:type="dxa"/>
          </w:tcPr>
          <w:p w14:paraId="0D7A8C00" w14:textId="23CDC2D2" w:rsidR="00B60BED" w:rsidRPr="001811CB" w:rsidRDefault="009A1373" w:rsidP="003C011A">
            <w:r>
              <w:t>Consultant</w:t>
            </w:r>
          </w:p>
        </w:tc>
        <w:tc>
          <w:tcPr>
            <w:tcW w:w="1613" w:type="dxa"/>
          </w:tcPr>
          <w:p w14:paraId="31598B35" w14:textId="7D9E4791" w:rsidR="00B60BED" w:rsidRDefault="00BB5B48" w:rsidP="00BB5B48">
            <w:pPr>
              <w:rPr>
                <w:rFonts w:eastAsia="Calibri"/>
              </w:rPr>
            </w:pPr>
            <w:r>
              <w:rPr>
                <w:rFonts w:eastAsia="Calibri"/>
              </w:rPr>
              <w:t>27</w:t>
            </w:r>
            <w:r w:rsidRPr="00BB5B48">
              <w:rPr>
                <w:rFonts w:eastAsia="Calibri"/>
                <w:vertAlign w:val="superscript"/>
              </w:rPr>
              <w:t>th</w:t>
            </w:r>
            <w:r>
              <w:rPr>
                <w:rFonts w:eastAsia="Calibri"/>
              </w:rPr>
              <w:t xml:space="preserve"> Apr – </w:t>
            </w:r>
            <w:r w:rsidR="00050652">
              <w:rPr>
                <w:rFonts w:eastAsia="Calibri"/>
              </w:rPr>
              <w:t>1</w:t>
            </w:r>
            <w:r w:rsidR="00050652" w:rsidRPr="00050652">
              <w:rPr>
                <w:rFonts w:eastAsia="Calibri"/>
                <w:vertAlign w:val="superscript"/>
              </w:rPr>
              <w:t>st</w:t>
            </w:r>
            <w:r>
              <w:rPr>
                <w:rFonts w:eastAsia="Calibri"/>
              </w:rPr>
              <w:t xml:space="preserve"> May</w:t>
            </w:r>
          </w:p>
        </w:tc>
        <w:tc>
          <w:tcPr>
            <w:tcW w:w="2592" w:type="dxa"/>
          </w:tcPr>
          <w:p w14:paraId="533E345D" w14:textId="77777777" w:rsidR="00B60BED" w:rsidRDefault="00E17157" w:rsidP="004A4534">
            <w:pPr>
              <w:rPr>
                <w:rFonts w:eastAsia="Calibri"/>
              </w:rPr>
            </w:pPr>
            <w:r>
              <w:rPr>
                <w:rFonts w:eastAsia="Calibri"/>
              </w:rPr>
              <w:t>Draft final report presented</w:t>
            </w:r>
          </w:p>
        </w:tc>
      </w:tr>
      <w:tr w:rsidR="00B60BED" w14:paraId="0198C21D" w14:textId="77777777" w:rsidTr="00773385">
        <w:tc>
          <w:tcPr>
            <w:tcW w:w="1562" w:type="dxa"/>
            <w:vMerge/>
            <w:vAlign w:val="center"/>
          </w:tcPr>
          <w:p w14:paraId="02947D6E" w14:textId="39D1AA90" w:rsidR="00B60BED" w:rsidRDefault="00B60BED" w:rsidP="003C011A">
            <w:pPr>
              <w:rPr>
                <w:rFonts w:eastAsia="Calibri"/>
              </w:rPr>
            </w:pPr>
          </w:p>
        </w:tc>
        <w:tc>
          <w:tcPr>
            <w:tcW w:w="8064" w:type="dxa"/>
          </w:tcPr>
          <w:p w14:paraId="159C9345" w14:textId="4F55D439" w:rsidR="00B60BED" w:rsidRPr="003C011A" w:rsidRDefault="00DC73AE" w:rsidP="002105E2">
            <w:pPr>
              <w:rPr>
                <w:b/>
              </w:rPr>
            </w:pPr>
            <w:r>
              <w:rPr>
                <w:b/>
              </w:rPr>
              <w:t>PMT</w:t>
            </w:r>
            <w:r w:rsidR="00B60BED" w:rsidRPr="003C011A">
              <w:rPr>
                <w:b/>
              </w:rPr>
              <w:t xml:space="preserve"> and </w:t>
            </w:r>
            <w:r>
              <w:rPr>
                <w:b/>
              </w:rPr>
              <w:t>UNCT</w:t>
            </w:r>
            <w:r w:rsidR="00B60BED" w:rsidRPr="003C011A">
              <w:rPr>
                <w:b/>
              </w:rPr>
              <w:t xml:space="preserve"> provide final feedback to the </w:t>
            </w:r>
            <w:r w:rsidR="009A1373">
              <w:rPr>
                <w:b/>
              </w:rPr>
              <w:t>Consultant</w:t>
            </w:r>
          </w:p>
        </w:tc>
        <w:tc>
          <w:tcPr>
            <w:tcW w:w="1260" w:type="dxa"/>
          </w:tcPr>
          <w:p w14:paraId="32CA7B49" w14:textId="49D217B5" w:rsidR="00B60BED" w:rsidRPr="001811CB" w:rsidRDefault="00DC73AE" w:rsidP="003C011A">
            <w:r>
              <w:t>PMT</w:t>
            </w:r>
            <w:r w:rsidR="00B60BED">
              <w:t xml:space="preserve"> / </w:t>
            </w:r>
            <w:r>
              <w:t>UNCT</w:t>
            </w:r>
          </w:p>
        </w:tc>
        <w:tc>
          <w:tcPr>
            <w:tcW w:w="1613" w:type="dxa"/>
          </w:tcPr>
          <w:p w14:paraId="1CE8795C" w14:textId="45F0CD52" w:rsidR="00B60BED" w:rsidRDefault="00BB5B48" w:rsidP="00BB5B48">
            <w:pPr>
              <w:rPr>
                <w:rFonts w:eastAsia="Calibri"/>
              </w:rPr>
            </w:pPr>
            <w:r>
              <w:rPr>
                <w:rFonts w:eastAsia="Calibri"/>
              </w:rPr>
              <w:t>4</w:t>
            </w:r>
            <w:r w:rsidRPr="00BB5B48">
              <w:rPr>
                <w:rFonts w:eastAsia="Calibri"/>
                <w:vertAlign w:val="superscript"/>
              </w:rPr>
              <w:t>th</w:t>
            </w:r>
            <w:r>
              <w:rPr>
                <w:rFonts w:eastAsia="Calibri"/>
              </w:rPr>
              <w:t xml:space="preserve"> – 8</w:t>
            </w:r>
            <w:r w:rsidRPr="00BB5B48">
              <w:rPr>
                <w:rFonts w:eastAsia="Calibri"/>
                <w:vertAlign w:val="superscript"/>
              </w:rPr>
              <w:t>th</w:t>
            </w:r>
            <w:r>
              <w:rPr>
                <w:rFonts w:eastAsia="Calibri"/>
              </w:rPr>
              <w:t xml:space="preserve"> May</w:t>
            </w:r>
          </w:p>
        </w:tc>
        <w:tc>
          <w:tcPr>
            <w:tcW w:w="2592" w:type="dxa"/>
          </w:tcPr>
          <w:p w14:paraId="1D849019" w14:textId="220F7713" w:rsidR="00B60BED" w:rsidRDefault="00E17157" w:rsidP="00E17157">
            <w:pPr>
              <w:rPr>
                <w:rFonts w:eastAsia="Calibri"/>
              </w:rPr>
            </w:pPr>
            <w:r>
              <w:rPr>
                <w:rFonts w:eastAsia="Calibri"/>
              </w:rPr>
              <w:t xml:space="preserve">Feedback on report provided by </w:t>
            </w:r>
            <w:r w:rsidR="00DC73AE">
              <w:rPr>
                <w:rFonts w:eastAsia="Calibri"/>
              </w:rPr>
              <w:t>PMT</w:t>
            </w:r>
            <w:r>
              <w:rPr>
                <w:rFonts w:eastAsia="Calibri"/>
              </w:rPr>
              <w:t xml:space="preserve"> and </w:t>
            </w:r>
            <w:r w:rsidR="00DC73AE">
              <w:rPr>
                <w:rFonts w:eastAsia="Calibri"/>
              </w:rPr>
              <w:t>UNCT</w:t>
            </w:r>
          </w:p>
        </w:tc>
      </w:tr>
      <w:tr w:rsidR="00B60BED" w14:paraId="103CA64F" w14:textId="77777777" w:rsidTr="00773385">
        <w:tc>
          <w:tcPr>
            <w:tcW w:w="1562" w:type="dxa"/>
            <w:vMerge/>
            <w:vAlign w:val="center"/>
          </w:tcPr>
          <w:p w14:paraId="5C5B7A65" w14:textId="77777777" w:rsidR="00B60BED" w:rsidRDefault="00B60BED" w:rsidP="003C011A">
            <w:pPr>
              <w:rPr>
                <w:rFonts w:eastAsia="Calibri"/>
              </w:rPr>
            </w:pPr>
          </w:p>
        </w:tc>
        <w:tc>
          <w:tcPr>
            <w:tcW w:w="8064" w:type="dxa"/>
          </w:tcPr>
          <w:p w14:paraId="3C7366CF" w14:textId="730B3001" w:rsidR="00B60BED" w:rsidRPr="003C011A" w:rsidRDefault="009A1373" w:rsidP="002105E2">
            <w:pPr>
              <w:rPr>
                <w:b/>
              </w:rPr>
            </w:pPr>
            <w:r>
              <w:rPr>
                <w:b/>
              </w:rPr>
              <w:t>Consultant</w:t>
            </w:r>
            <w:r w:rsidR="00B60BED" w:rsidRPr="003C011A">
              <w:rPr>
                <w:b/>
              </w:rPr>
              <w:t xml:space="preserve"> produces a final report based on the </w:t>
            </w:r>
            <w:r w:rsidR="00DC73AE">
              <w:rPr>
                <w:b/>
              </w:rPr>
              <w:t>UNCT</w:t>
            </w:r>
            <w:r w:rsidR="00B60BED" w:rsidRPr="003C011A">
              <w:rPr>
                <w:b/>
              </w:rPr>
              <w:t xml:space="preserve"> and </w:t>
            </w:r>
            <w:r w:rsidR="00DC73AE">
              <w:rPr>
                <w:b/>
              </w:rPr>
              <w:t>PMT</w:t>
            </w:r>
            <w:r w:rsidR="00B60BED" w:rsidRPr="003C011A">
              <w:rPr>
                <w:b/>
              </w:rPr>
              <w:t xml:space="preserve"> final feedback.</w:t>
            </w:r>
          </w:p>
        </w:tc>
        <w:tc>
          <w:tcPr>
            <w:tcW w:w="1260" w:type="dxa"/>
          </w:tcPr>
          <w:p w14:paraId="323BEAA4" w14:textId="44569D6E" w:rsidR="00B60BED" w:rsidRPr="001811CB" w:rsidRDefault="009A1373" w:rsidP="003C011A">
            <w:r>
              <w:t>Consultant</w:t>
            </w:r>
          </w:p>
        </w:tc>
        <w:tc>
          <w:tcPr>
            <w:tcW w:w="1613" w:type="dxa"/>
          </w:tcPr>
          <w:p w14:paraId="3FA56E72" w14:textId="7B312499" w:rsidR="00B60BED" w:rsidRDefault="00BB5B48" w:rsidP="007A3839">
            <w:pPr>
              <w:rPr>
                <w:rFonts w:eastAsia="Calibri"/>
              </w:rPr>
            </w:pPr>
            <w:r>
              <w:rPr>
                <w:rFonts w:eastAsia="Calibri"/>
              </w:rPr>
              <w:t>11</w:t>
            </w:r>
            <w:r w:rsidRPr="00BB5B48">
              <w:rPr>
                <w:rFonts w:eastAsia="Calibri"/>
                <w:vertAlign w:val="superscript"/>
              </w:rPr>
              <w:t>th</w:t>
            </w:r>
            <w:r>
              <w:rPr>
                <w:rFonts w:eastAsia="Calibri"/>
              </w:rPr>
              <w:t xml:space="preserve"> – 15</w:t>
            </w:r>
            <w:r w:rsidRPr="00BB5B48">
              <w:rPr>
                <w:rFonts w:eastAsia="Calibri"/>
                <w:vertAlign w:val="superscript"/>
              </w:rPr>
              <w:t>th</w:t>
            </w:r>
            <w:r>
              <w:rPr>
                <w:rFonts w:eastAsia="Calibri"/>
              </w:rPr>
              <w:t xml:space="preserve"> </w:t>
            </w:r>
            <w:r w:rsidR="007F48E7">
              <w:rPr>
                <w:rFonts w:eastAsia="Calibri"/>
              </w:rPr>
              <w:t>May</w:t>
            </w:r>
          </w:p>
        </w:tc>
        <w:tc>
          <w:tcPr>
            <w:tcW w:w="2592" w:type="dxa"/>
          </w:tcPr>
          <w:p w14:paraId="488ACF39" w14:textId="77777777" w:rsidR="00B60BED" w:rsidRDefault="00E17157" w:rsidP="004A4534">
            <w:pPr>
              <w:rPr>
                <w:rFonts w:eastAsia="Calibri"/>
              </w:rPr>
            </w:pPr>
            <w:r>
              <w:rPr>
                <w:rFonts w:eastAsia="Calibri"/>
              </w:rPr>
              <w:t>Final report developed</w:t>
            </w:r>
          </w:p>
        </w:tc>
      </w:tr>
      <w:tr w:rsidR="00B60BED" w14:paraId="398779E2" w14:textId="77777777" w:rsidTr="00773385">
        <w:tc>
          <w:tcPr>
            <w:tcW w:w="1562" w:type="dxa"/>
            <w:vMerge w:val="restart"/>
            <w:vAlign w:val="center"/>
          </w:tcPr>
          <w:p w14:paraId="01C4EE0F" w14:textId="77777777" w:rsidR="00B60BED" w:rsidRPr="003C011A" w:rsidRDefault="00B60BED" w:rsidP="003C011A">
            <w:pPr>
              <w:rPr>
                <w:rFonts w:eastAsia="Calibri"/>
                <w:b/>
              </w:rPr>
            </w:pPr>
            <w:r w:rsidRPr="003C011A">
              <w:rPr>
                <w:rFonts w:eastAsia="Calibri"/>
                <w:b/>
              </w:rPr>
              <w:t>Review and Follow-up</w:t>
            </w:r>
          </w:p>
        </w:tc>
        <w:tc>
          <w:tcPr>
            <w:tcW w:w="8064" w:type="dxa"/>
          </w:tcPr>
          <w:p w14:paraId="7AED6241" w14:textId="77777777" w:rsidR="00B60BED" w:rsidRPr="003C011A" w:rsidRDefault="00B60BED" w:rsidP="002105E2">
            <w:pPr>
              <w:rPr>
                <w:b/>
              </w:rPr>
            </w:pPr>
            <w:r w:rsidRPr="003C011A">
              <w:rPr>
                <w:b/>
              </w:rPr>
              <w:t>Disseminate Evaluation Findings</w:t>
            </w:r>
          </w:p>
          <w:p w14:paraId="7FDF4947" w14:textId="1F3FA47A" w:rsidR="00B60BED" w:rsidRPr="00F61341" w:rsidRDefault="00DC73AE" w:rsidP="00F61341">
            <w:r>
              <w:t>PMT</w:t>
            </w:r>
            <w:r w:rsidR="00B60BED" w:rsidRPr="001811CB">
              <w:t xml:space="preserve"> disseminates report to internal and external stakeholders, ensuring access to vulnerable or marginalised groups. A workshop is organised to disseminate and discuss the evaluation findings. Report to be published on the UN </w:t>
            </w:r>
            <w:r w:rsidR="00B60BED">
              <w:t>Malawi</w:t>
            </w:r>
            <w:r w:rsidR="00B60BED" w:rsidRPr="001811CB">
              <w:t xml:space="preserve"> and UNDG websites.</w:t>
            </w:r>
          </w:p>
        </w:tc>
        <w:tc>
          <w:tcPr>
            <w:tcW w:w="1260" w:type="dxa"/>
          </w:tcPr>
          <w:p w14:paraId="340B2EB1" w14:textId="73D94751" w:rsidR="00B60BED" w:rsidRPr="001811CB" w:rsidRDefault="00DC73AE" w:rsidP="003C011A">
            <w:r>
              <w:t>PMT</w:t>
            </w:r>
          </w:p>
        </w:tc>
        <w:tc>
          <w:tcPr>
            <w:tcW w:w="1613" w:type="dxa"/>
          </w:tcPr>
          <w:p w14:paraId="2C0B068E" w14:textId="69BF23C1" w:rsidR="00B60BED" w:rsidRDefault="00BB5B48" w:rsidP="00BB5B48">
            <w:pPr>
              <w:rPr>
                <w:rFonts w:eastAsia="Calibri"/>
              </w:rPr>
            </w:pPr>
            <w:r>
              <w:rPr>
                <w:rFonts w:eastAsia="Calibri"/>
              </w:rPr>
              <w:t>18</w:t>
            </w:r>
            <w:r w:rsidRPr="00BB5B48">
              <w:rPr>
                <w:rFonts w:eastAsia="Calibri"/>
                <w:vertAlign w:val="superscript"/>
              </w:rPr>
              <w:t>th</w:t>
            </w:r>
            <w:r>
              <w:rPr>
                <w:rFonts w:eastAsia="Calibri"/>
              </w:rPr>
              <w:t xml:space="preserve"> – 22</w:t>
            </w:r>
            <w:r w:rsidRPr="00BB5B48">
              <w:rPr>
                <w:rFonts w:eastAsia="Calibri"/>
                <w:vertAlign w:val="superscript"/>
              </w:rPr>
              <w:t>nd</w:t>
            </w:r>
            <w:r>
              <w:rPr>
                <w:rFonts w:eastAsia="Calibri"/>
              </w:rPr>
              <w:t xml:space="preserve"> </w:t>
            </w:r>
            <w:r w:rsidR="007F48E7">
              <w:rPr>
                <w:rFonts w:eastAsia="Calibri"/>
              </w:rPr>
              <w:t>May</w:t>
            </w:r>
          </w:p>
        </w:tc>
        <w:tc>
          <w:tcPr>
            <w:tcW w:w="2592" w:type="dxa"/>
          </w:tcPr>
          <w:p w14:paraId="3E074FA6" w14:textId="77777777" w:rsidR="00B60BED" w:rsidRDefault="00E17157" w:rsidP="004A4534">
            <w:pPr>
              <w:rPr>
                <w:rFonts w:eastAsia="Calibri"/>
              </w:rPr>
            </w:pPr>
            <w:r>
              <w:rPr>
                <w:rFonts w:eastAsia="Calibri"/>
              </w:rPr>
              <w:t>Findings of evaluations shared with stakeholders</w:t>
            </w:r>
          </w:p>
        </w:tc>
      </w:tr>
      <w:tr w:rsidR="00B60BED" w14:paraId="34A3615F" w14:textId="77777777" w:rsidTr="00773385">
        <w:tc>
          <w:tcPr>
            <w:tcW w:w="1562" w:type="dxa"/>
            <w:vMerge/>
          </w:tcPr>
          <w:p w14:paraId="1D5BA021" w14:textId="77777777" w:rsidR="00B60BED" w:rsidRDefault="00B60BED" w:rsidP="004A4534">
            <w:pPr>
              <w:rPr>
                <w:rFonts w:eastAsia="Calibri"/>
              </w:rPr>
            </w:pPr>
          </w:p>
        </w:tc>
        <w:tc>
          <w:tcPr>
            <w:tcW w:w="8064" w:type="dxa"/>
          </w:tcPr>
          <w:p w14:paraId="5F1AE156" w14:textId="77777777" w:rsidR="00B60BED" w:rsidRPr="003C011A" w:rsidRDefault="00B60BED" w:rsidP="002105E2">
            <w:pPr>
              <w:rPr>
                <w:b/>
              </w:rPr>
            </w:pPr>
            <w:r w:rsidRPr="003C011A">
              <w:rPr>
                <w:b/>
              </w:rPr>
              <w:t>Extract and Share Lessons Learned</w:t>
            </w:r>
          </w:p>
          <w:p w14:paraId="254387CC" w14:textId="03FB6501" w:rsidR="00B60BED" w:rsidRPr="002105E2" w:rsidRDefault="00DC73AE" w:rsidP="002105E2">
            <w:pPr>
              <w:rPr>
                <w:b/>
                <w:color w:val="1F497D" w:themeColor="text2"/>
              </w:rPr>
            </w:pPr>
            <w:r>
              <w:t>PMT</w:t>
            </w:r>
            <w:r w:rsidR="00B60BED" w:rsidRPr="001811CB">
              <w:t xml:space="preserve"> to ensure lessons learned from evaluation are extracted and disseminated in order to contribute to strategic planning, learning, advocacy and decision-making at all levels. Lessons should be applied in t</w:t>
            </w:r>
            <w:r w:rsidR="00B60BED">
              <w:t>he design of the following UNDAF</w:t>
            </w:r>
            <w:r w:rsidR="00B60BED" w:rsidRPr="001811CB">
              <w:t xml:space="preserve"> cycle and can feed into knowledge management processes internally.</w:t>
            </w:r>
          </w:p>
        </w:tc>
        <w:tc>
          <w:tcPr>
            <w:tcW w:w="1260" w:type="dxa"/>
          </w:tcPr>
          <w:p w14:paraId="2ABD51A3" w14:textId="6BB0AF65" w:rsidR="00B60BED" w:rsidRPr="001811CB" w:rsidRDefault="00DC73AE" w:rsidP="003C011A">
            <w:pPr>
              <w:rPr>
                <w:rFonts w:eastAsia="Calibri"/>
              </w:rPr>
            </w:pPr>
            <w:r>
              <w:t>PMT</w:t>
            </w:r>
          </w:p>
        </w:tc>
        <w:tc>
          <w:tcPr>
            <w:tcW w:w="1613" w:type="dxa"/>
          </w:tcPr>
          <w:p w14:paraId="3BF19A5B" w14:textId="0CC82AA7" w:rsidR="00B60BED" w:rsidRDefault="00BB5B48" w:rsidP="004A4534">
            <w:pPr>
              <w:rPr>
                <w:rFonts w:eastAsia="Calibri"/>
              </w:rPr>
            </w:pPr>
            <w:r>
              <w:rPr>
                <w:rFonts w:eastAsia="Calibri"/>
              </w:rPr>
              <w:t>25</w:t>
            </w:r>
            <w:r w:rsidRPr="00BB5B48">
              <w:rPr>
                <w:rFonts w:eastAsia="Calibri"/>
                <w:vertAlign w:val="superscript"/>
              </w:rPr>
              <w:t>th</w:t>
            </w:r>
            <w:r>
              <w:rPr>
                <w:rFonts w:eastAsia="Calibri"/>
              </w:rPr>
              <w:t xml:space="preserve"> – 29</w:t>
            </w:r>
            <w:r w:rsidRPr="00BB5B48">
              <w:rPr>
                <w:rFonts w:eastAsia="Calibri"/>
                <w:vertAlign w:val="superscript"/>
              </w:rPr>
              <w:t>th</w:t>
            </w:r>
            <w:r>
              <w:rPr>
                <w:rFonts w:eastAsia="Calibri"/>
              </w:rPr>
              <w:t xml:space="preserve"> My</w:t>
            </w:r>
            <w:r w:rsidR="00E17157">
              <w:rPr>
                <w:rFonts w:eastAsia="Calibri"/>
              </w:rPr>
              <w:t xml:space="preserve"> </w:t>
            </w:r>
          </w:p>
        </w:tc>
        <w:tc>
          <w:tcPr>
            <w:tcW w:w="2592" w:type="dxa"/>
          </w:tcPr>
          <w:p w14:paraId="3EBB5B1E" w14:textId="77777777" w:rsidR="00B60BED" w:rsidRDefault="00E17157" w:rsidP="004A4534">
            <w:pPr>
              <w:rPr>
                <w:rFonts w:eastAsia="Calibri"/>
              </w:rPr>
            </w:pPr>
            <w:r>
              <w:rPr>
                <w:rFonts w:eastAsia="Calibri"/>
              </w:rPr>
              <w:t>Lessons learned extracted and shared</w:t>
            </w:r>
          </w:p>
        </w:tc>
      </w:tr>
      <w:tr w:rsidR="00B60BED" w14:paraId="45332D79" w14:textId="77777777" w:rsidTr="00773385">
        <w:tc>
          <w:tcPr>
            <w:tcW w:w="1562" w:type="dxa"/>
            <w:vMerge/>
          </w:tcPr>
          <w:p w14:paraId="7ADB3A52" w14:textId="77777777" w:rsidR="00B60BED" w:rsidRDefault="00B60BED" w:rsidP="004A4534">
            <w:pPr>
              <w:rPr>
                <w:rFonts w:eastAsia="Calibri"/>
              </w:rPr>
            </w:pPr>
          </w:p>
        </w:tc>
        <w:tc>
          <w:tcPr>
            <w:tcW w:w="8064" w:type="dxa"/>
          </w:tcPr>
          <w:p w14:paraId="47596090" w14:textId="77777777" w:rsidR="00B60BED" w:rsidRPr="003C011A" w:rsidRDefault="00B60BED" w:rsidP="002105E2">
            <w:pPr>
              <w:rPr>
                <w:b/>
              </w:rPr>
            </w:pPr>
            <w:r w:rsidRPr="003C011A">
              <w:rPr>
                <w:b/>
              </w:rPr>
              <w:t>Develop Evaluation Management Response</w:t>
            </w:r>
          </w:p>
          <w:p w14:paraId="4ADA490E" w14:textId="2F27A884" w:rsidR="00B60BED" w:rsidRDefault="00DC73AE" w:rsidP="002105E2">
            <w:pPr>
              <w:rPr>
                <w:b/>
                <w:color w:val="1F497D" w:themeColor="text2"/>
              </w:rPr>
            </w:pPr>
            <w:r>
              <w:t>UNCT</w:t>
            </w:r>
            <w:r w:rsidR="00B60BED" w:rsidRPr="001811CB">
              <w:t xml:space="preserve"> issues a management response that outlines agreed upon actions as to how the evaluation findings and recommendations will be addressed by the UNCT. The Evaluation Management Response should be issued within two months after the evaluation findings become available and shared with DOCO and other entities</w:t>
            </w:r>
          </w:p>
        </w:tc>
        <w:tc>
          <w:tcPr>
            <w:tcW w:w="1260" w:type="dxa"/>
          </w:tcPr>
          <w:p w14:paraId="333188A3" w14:textId="6F876B69" w:rsidR="00B60BED" w:rsidRPr="001811CB" w:rsidRDefault="00DC73AE" w:rsidP="003C011A">
            <w:r>
              <w:t>UNCT</w:t>
            </w:r>
          </w:p>
        </w:tc>
        <w:tc>
          <w:tcPr>
            <w:tcW w:w="1613" w:type="dxa"/>
          </w:tcPr>
          <w:p w14:paraId="0E5393EF" w14:textId="4E0905D9" w:rsidR="00B60BED" w:rsidRDefault="00BB5B48" w:rsidP="004A4534">
            <w:pPr>
              <w:rPr>
                <w:rFonts w:eastAsia="Calibri"/>
              </w:rPr>
            </w:pPr>
            <w:r>
              <w:rPr>
                <w:rFonts w:eastAsia="Calibri"/>
              </w:rPr>
              <w:t>1</w:t>
            </w:r>
            <w:r w:rsidRPr="00BB5B48">
              <w:rPr>
                <w:rFonts w:eastAsia="Calibri"/>
                <w:vertAlign w:val="superscript"/>
              </w:rPr>
              <w:t>st</w:t>
            </w:r>
            <w:r>
              <w:rPr>
                <w:rFonts w:eastAsia="Calibri"/>
              </w:rPr>
              <w:t xml:space="preserve"> – 5</w:t>
            </w:r>
            <w:r w:rsidRPr="00BB5B48">
              <w:rPr>
                <w:rFonts w:eastAsia="Calibri"/>
                <w:vertAlign w:val="superscript"/>
              </w:rPr>
              <w:t>th</w:t>
            </w:r>
            <w:r>
              <w:rPr>
                <w:rFonts w:eastAsia="Calibri"/>
              </w:rPr>
              <w:t xml:space="preserve"> June</w:t>
            </w:r>
            <w:r w:rsidR="007F48E7">
              <w:rPr>
                <w:rFonts w:eastAsia="Calibri"/>
              </w:rPr>
              <w:t xml:space="preserve"> </w:t>
            </w:r>
          </w:p>
        </w:tc>
        <w:tc>
          <w:tcPr>
            <w:tcW w:w="2592" w:type="dxa"/>
          </w:tcPr>
          <w:p w14:paraId="375EEC93" w14:textId="77777777" w:rsidR="00E17157" w:rsidRPr="00E17157" w:rsidRDefault="00E17157" w:rsidP="00E17157">
            <w:r w:rsidRPr="00E17157">
              <w:t>Evaluation Management Response developed</w:t>
            </w:r>
          </w:p>
          <w:p w14:paraId="4FA69872" w14:textId="77777777" w:rsidR="00B60BED" w:rsidRPr="00E17157" w:rsidRDefault="00B60BED" w:rsidP="004A4534">
            <w:pPr>
              <w:rPr>
                <w:rFonts w:eastAsia="Calibri"/>
              </w:rPr>
            </w:pPr>
          </w:p>
        </w:tc>
      </w:tr>
      <w:tr w:rsidR="00B60BED" w14:paraId="2FD7653A" w14:textId="77777777" w:rsidTr="00773385">
        <w:tc>
          <w:tcPr>
            <w:tcW w:w="1562" w:type="dxa"/>
            <w:vMerge/>
          </w:tcPr>
          <w:p w14:paraId="57644F8D" w14:textId="77777777" w:rsidR="00B60BED" w:rsidRDefault="00B60BED" w:rsidP="004A4534">
            <w:pPr>
              <w:rPr>
                <w:rFonts w:eastAsia="Calibri"/>
              </w:rPr>
            </w:pPr>
          </w:p>
        </w:tc>
        <w:tc>
          <w:tcPr>
            <w:tcW w:w="8064" w:type="dxa"/>
          </w:tcPr>
          <w:p w14:paraId="3E4CB0D6" w14:textId="77777777" w:rsidR="00B60BED" w:rsidRPr="003C011A" w:rsidRDefault="00B60BED" w:rsidP="002105E2">
            <w:pPr>
              <w:rPr>
                <w:b/>
              </w:rPr>
            </w:pPr>
            <w:r w:rsidRPr="003C011A">
              <w:rPr>
                <w:b/>
              </w:rPr>
              <w:t xml:space="preserve">Follow up of Implementation of Management Response Actions   </w:t>
            </w:r>
          </w:p>
          <w:p w14:paraId="1F28C8B4" w14:textId="77777777" w:rsidR="00B60BED" w:rsidRPr="001811CB" w:rsidRDefault="00B60BED" w:rsidP="002105E2">
            <w:pPr>
              <w:rPr>
                <w:b/>
                <w:color w:val="1F497D" w:themeColor="text2"/>
              </w:rPr>
            </w:pPr>
            <w:r w:rsidRPr="001811CB">
              <w:t>This step is beyond the completion of the normal evaluation process and is normally done as part of annual planning and review proce</w:t>
            </w:r>
            <w:r>
              <w:t>sses by the UNCT and other UNDAF</w:t>
            </w:r>
            <w:r w:rsidRPr="001811CB">
              <w:t xml:space="preserve"> stakeholders.  It is also a good practice for Audits to examine the extent to which management response actions were followed up</w:t>
            </w:r>
          </w:p>
        </w:tc>
        <w:tc>
          <w:tcPr>
            <w:tcW w:w="1260" w:type="dxa"/>
          </w:tcPr>
          <w:p w14:paraId="7AA85563" w14:textId="1900D44A" w:rsidR="00B60BED" w:rsidRDefault="00DC73AE" w:rsidP="003C011A">
            <w:pPr>
              <w:rPr>
                <w:rFonts w:eastAsia="Calibri"/>
              </w:rPr>
            </w:pPr>
            <w:r>
              <w:t>UNCT</w:t>
            </w:r>
            <w:r w:rsidR="00B60BED">
              <w:t xml:space="preserve"> / </w:t>
            </w:r>
            <w:r w:rsidR="00B60BED" w:rsidRPr="001811CB">
              <w:t>UNCT</w:t>
            </w:r>
          </w:p>
        </w:tc>
        <w:tc>
          <w:tcPr>
            <w:tcW w:w="1613" w:type="dxa"/>
          </w:tcPr>
          <w:p w14:paraId="26E0B96B" w14:textId="7655F287" w:rsidR="00B60BED" w:rsidRDefault="00BB5B48" w:rsidP="004A4534">
            <w:pPr>
              <w:rPr>
                <w:rFonts w:eastAsia="Calibri"/>
              </w:rPr>
            </w:pPr>
            <w:r>
              <w:rPr>
                <w:rFonts w:eastAsia="Calibri"/>
              </w:rPr>
              <w:t>8</w:t>
            </w:r>
            <w:r w:rsidRPr="00BB5B48">
              <w:rPr>
                <w:rFonts w:eastAsia="Calibri"/>
                <w:vertAlign w:val="superscript"/>
              </w:rPr>
              <w:t>th</w:t>
            </w:r>
            <w:r>
              <w:rPr>
                <w:rFonts w:eastAsia="Calibri"/>
              </w:rPr>
              <w:t xml:space="preserve"> June</w:t>
            </w:r>
            <w:r w:rsidR="00E17157">
              <w:rPr>
                <w:rFonts w:eastAsia="Calibri"/>
              </w:rPr>
              <w:t xml:space="preserve"> onwards</w:t>
            </w:r>
          </w:p>
        </w:tc>
        <w:tc>
          <w:tcPr>
            <w:tcW w:w="2592" w:type="dxa"/>
          </w:tcPr>
          <w:p w14:paraId="1635FA7E" w14:textId="77777777" w:rsidR="00B60BED" w:rsidRPr="00E17157" w:rsidRDefault="00E17157" w:rsidP="004A4534">
            <w:pPr>
              <w:rPr>
                <w:rFonts w:eastAsia="Calibri"/>
              </w:rPr>
            </w:pPr>
            <w:r w:rsidRPr="00E17157">
              <w:t>Management Response Actions   followed-up and implemented</w:t>
            </w:r>
          </w:p>
        </w:tc>
      </w:tr>
    </w:tbl>
    <w:p w14:paraId="75533769" w14:textId="77777777" w:rsidR="002105E2" w:rsidRPr="0037364A" w:rsidRDefault="002105E2" w:rsidP="004A4534">
      <w:pPr>
        <w:rPr>
          <w:rFonts w:eastAsia="Calibri"/>
        </w:rPr>
      </w:pPr>
    </w:p>
    <w:p w14:paraId="1481B314" w14:textId="77777777" w:rsidR="009D5529" w:rsidRDefault="009D5529">
      <w:pPr>
        <w:rPr>
          <w:lang w:val="en-US"/>
        </w:rPr>
      </w:pPr>
    </w:p>
    <w:p w14:paraId="4EBFCA86" w14:textId="77777777" w:rsidR="007A3839" w:rsidRDefault="007A3839">
      <w:pPr>
        <w:rPr>
          <w:lang w:val="en-US"/>
        </w:rPr>
      </w:pPr>
    </w:p>
    <w:p w14:paraId="2EC962BA" w14:textId="77777777" w:rsidR="007A3839" w:rsidRDefault="007A3839">
      <w:pPr>
        <w:rPr>
          <w:lang w:val="en-US"/>
        </w:rPr>
      </w:pPr>
    </w:p>
    <w:p w14:paraId="7EDD508F" w14:textId="77777777" w:rsidR="007A3839" w:rsidRDefault="007A3839">
      <w:pPr>
        <w:rPr>
          <w:lang w:val="en-US"/>
        </w:rPr>
      </w:pPr>
    </w:p>
    <w:p w14:paraId="0B6879BC" w14:textId="77777777" w:rsidR="007A3839" w:rsidRDefault="007A3839">
      <w:pPr>
        <w:rPr>
          <w:lang w:val="en-US"/>
        </w:rPr>
      </w:pPr>
    </w:p>
    <w:p w14:paraId="3AA4F23E" w14:textId="77777777" w:rsidR="00050652" w:rsidRDefault="00050652">
      <w:pPr>
        <w:rPr>
          <w:lang w:val="en-US"/>
        </w:rPr>
      </w:pPr>
    </w:p>
    <w:p w14:paraId="4212D778" w14:textId="77777777" w:rsidR="007A3839" w:rsidRDefault="007A3839">
      <w:pPr>
        <w:rPr>
          <w:lang w:val="en-US"/>
        </w:rPr>
      </w:pPr>
    </w:p>
    <w:sectPr w:rsidR="007A3839" w:rsidSect="002105E2">
      <w:pgSz w:w="16838" w:h="11906" w:orient="landscape"/>
      <w:pgMar w:top="720" w:right="720" w:bottom="720" w:left="72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4E73592" w15:done="0"/>
  <w15:commentEx w15:paraId="44FEF8E2" w15:done="0"/>
  <w15:commentEx w15:paraId="049EBD96" w15:done="0"/>
  <w15:commentEx w15:paraId="58DBE1E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62176C" w14:textId="77777777" w:rsidR="004803E9" w:rsidRDefault="004803E9" w:rsidP="002E7C94">
      <w:pPr>
        <w:spacing w:before="0" w:after="0" w:line="240" w:lineRule="auto"/>
      </w:pPr>
      <w:r>
        <w:separator/>
      </w:r>
    </w:p>
  </w:endnote>
  <w:endnote w:type="continuationSeparator" w:id="0">
    <w:p w14:paraId="78FFB4F2" w14:textId="77777777" w:rsidR="004803E9" w:rsidRDefault="004803E9" w:rsidP="002E7C9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570850" w14:textId="77777777" w:rsidR="004803E9" w:rsidRDefault="004803E9" w:rsidP="002E7C94">
      <w:pPr>
        <w:spacing w:before="0" w:after="0" w:line="240" w:lineRule="auto"/>
      </w:pPr>
      <w:r>
        <w:separator/>
      </w:r>
    </w:p>
  </w:footnote>
  <w:footnote w:type="continuationSeparator" w:id="0">
    <w:p w14:paraId="3DD799DC" w14:textId="77777777" w:rsidR="004803E9" w:rsidRDefault="004803E9" w:rsidP="002E7C94">
      <w:pPr>
        <w:spacing w:before="0" w:after="0" w:line="240" w:lineRule="auto"/>
      </w:pPr>
      <w:r>
        <w:continuationSeparator/>
      </w:r>
    </w:p>
  </w:footnote>
  <w:footnote w:id="1">
    <w:p w14:paraId="4F0FD9A3" w14:textId="77777777" w:rsidR="00E92F88" w:rsidRDefault="00E92F88">
      <w:pPr>
        <w:pStyle w:val="FootnoteText"/>
      </w:pPr>
      <w:r>
        <w:rPr>
          <w:rStyle w:val="FootnoteReference"/>
        </w:rPr>
        <w:footnoteRef/>
      </w:r>
      <w:r>
        <w:t xml:space="preserve"> </w:t>
      </w:r>
      <w:r w:rsidRPr="000E6C5A">
        <w:rPr>
          <w:b/>
        </w:rPr>
        <w:t>Resident</w:t>
      </w:r>
      <w:r>
        <w:t>: FAO, UNAIDS, UNDP, , UNFPA, UNHCR, UNICEF, UN Women, WFP, WHO</w:t>
      </w:r>
    </w:p>
    <w:p w14:paraId="2E1D1696" w14:textId="77777777" w:rsidR="00E92F88" w:rsidRPr="000E6C5A" w:rsidRDefault="00E92F88">
      <w:pPr>
        <w:pStyle w:val="FootnoteText"/>
        <w:rPr>
          <w:lang w:val="en-US"/>
        </w:rPr>
      </w:pPr>
      <w:r>
        <w:t xml:space="preserve">   </w:t>
      </w:r>
      <w:r w:rsidRPr="000E6C5A">
        <w:rPr>
          <w:b/>
        </w:rPr>
        <w:t>Non-Resident:</w:t>
      </w:r>
      <w:r>
        <w:rPr>
          <w:b/>
        </w:rPr>
        <w:t xml:space="preserve"> </w:t>
      </w:r>
      <w:r>
        <w:t>IAEA, IFAD, ILO, UNCDF, OHCHR, UN-Habitat, UNEP, UNESCO, IOM, UNIDO, UNODC, OCHA</w:t>
      </w:r>
    </w:p>
  </w:footnote>
  <w:footnote w:id="2">
    <w:p w14:paraId="2CF84033" w14:textId="77777777" w:rsidR="00E92F88" w:rsidRPr="002E7C94" w:rsidRDefault="00E92F88">
      <w:pPr>
        <w:pStyle w:val="FootnoteText"/>
        <w:rPr>
          <w:lang w:val="en-US"/>
        </w:rPr>
      </w:pPr>
      <w:r>
        <w:rPr>
          <w:rStyle w:val="FootnoteReference"/>
        </w:rPr>
        <w:footnoteRef/>
      </w:r>
      <w:r>
        <w:t xml:space="preserve"> </w:t>
      </w:r>
      <w:hyperlink r:id="rId1" w:history="1">
        <w:r w:rsidRPr="00C27345">
          <w:rPr>
            <w:rStyle w:val="Hyperlink"/>
          </w:rPr>
          <w:t>http://www.nsomalawi.mw/</w:t>
        </w:r>
      </w:hyperlink>
      <w:r>
        <w:t xml:space="preserve"> </w:t>
      </w:r>
    </w:p>
  </w:footnote>
  <w:footnote w:id="3">
    <w:p w14:paraId="4AC3B7D9" w14:textId="77777777" w:rsidR="00E92F88" w:rsidRPr="000E6C5A" w:rsidRDefault="00E92F88">
      <w:pPr>
        <w:pStyle w:val="FootnoteText"/>
        <w:rPr>
          <w:lang w:val="en-US"/>
        </w:rPr>
      </w:pPr>
      <w:r>
        <w:rPr>
          <w:rStyle w:val="FootnoteReference"/>
        </w:rPr>
        <w:footnoteRef/>
      </w:r>
      <w:r>
        <w:t xml:space="preserve"> </w:t>
      </w:r>
      <w:hyperlink r:id="rId2" w:history="1">
        <w:r w:rsidRPr="00C27345">
          <w:rPr>
            <w:rStyle w:val="Hyperlink"/>
          </w:rPr>
          <w:t>http://www.undg.org/docs/12720/UNDAF%20ToR%20Guidance%20OCT%2022%20Draft.pdf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1DAC89" w14:textId="77777777" w:rsidR="00E92F88" w:rsidRPr="00A2270A" w:rsidRDefault="00E92F88" w:rsidP="00A2270A">
    <w:pPr>
      <w:spacing w:before="0" w:after="0" w:line="240" w:lineRule="auto"/>
      <w:ind w:left="2880" w:firstLine="720"/>
      <w:jc w:val="right"/>
      <w:rPr>
        <w:rFonts w:cs="Arial"/>
        <w:b/>
        <w:sz w:val="24"/>
        <w:szCs w:val="24"/>
      </w:rPr>
    </w:pPr>
    <w:r w:rsidRPr="00A2270A">
      <w:rPr>
        <w:b/>
        <w:noProof/>
        <w:sz w:val="28"/>
        <w:szCs w:val="28"/>
        <w:lang w:eastAsia="en-GB"/>
      </w:rPr>
      <w:drawing>
        <wp:anchor distT="0" distB="0" distL="114300" distR="114300" simplePos="0" relativeHeight="251659264" behindDoc="0" locked="0" layoutInCell="1" allowOverlap="1" wp14:anchorId="287C5C0B" wp14:editId="45E3CBD7">
          <wp:simplePos x="0" y="0"/>
          <wp:positionH relativeFrom="column">
            <wp:posOffset>-285750</wp:posOffset>
          </wp:positionH>
          <wp:positionV relativeFrom="paragraph">
            <wp:posOffset>-199390</wp:posOffset>
          </wp:positionV>
          <wp:extent cx="2228850" cy="732155"/>
          <wp:effectExtent l="0" t="0" r="0" b="0"/>
          <wp:wrapSquare wrapText="bothSides"/>
          <wp:docPr id="1" name="Picture 1" descr="C:\Users\Cathal.elder\Documents\Logos\One UN Logo\Final\UNMALAWI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thal.elder\Documents\Logos\One UN Logo\Final\UNMALAWIF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28850" cy="732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270A">
      <w:rPr>
        <w:b/>
        <w:noProof/>
        <w:sz w:val="28"/>
        <w:szCs w:val="28"/>
      </w:rPr>
      <w:t>UNDAF Evaluation</w:t>
    </w:r>
  </w:p>
  <w:p w14:paraId="2A70D478" w14:textId="77777777" w:rsidR="00E92F88" w:rsidRDefault="00E92F88" w:rsidP="002725AB">
    <w:pPr>
      <w:spacing w:before="0" w:after="0" w:line="240" w:lineRule="auto"/>
      <w:ind w:left="2880" w:firstLine="720"/>
      <w:jc w:val="right"/>
      <w:rPr>
        <w:rFonts w:cs="Arial"/>
        <w:b/>
        <w:sz w:val="24"/>
        <w:szCs w:val="24"/>
      </w:rPr>
    </w:pPr>
    <w:r>
      <w:rPr>
        <w:rFonts w:cs="Arial"/>
        <w:b/>
        <w:sz w:val="24"/>
        <w:szCs w:val="24"/>
      </w:rPr>
      <w:t>Terms of Reference</w:t>
    </w:r>
  </w:p>
  <w:p w14:paraId="4593CB1F" w14:textId="77777777" w:rsidR="00E92F88" w:rsidRPr="002725AB" w:rsidRDefault="00E92F88" w:rsidP="002725AB">
    <w:pPr>
      <w:spacing w:before="0" w:after="0" w:line="240" w:lineRule="auto"/>
      <w:ind w:left="2880" w:firstLine="720"/>
      <w:jc w:val="right"/>
      <w:rPr>
        <w:rFonts w:cs="Arial"/>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D09C2"/>
    <w:multiLevelType w:val="hybridMultilevel"/>
    <w:tmpl w:val="31341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D87C79"/>
    <w:multiLevelType w:val="hybridMultilevel"/>
    <w:tmpl w:val="E91C64C8"/>
    <w:lvl w:ilvl="0" w:tplc="538A2D3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75161CB"/>
    <w:multiLevelType w:val="hybridMultilevel"/>
    <w:tmpl w:val="04DE0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9EA09F1"/>
    <w:multiLevelType w:val="hybridMultilevel"/>
    <w:tmpl w:val="4372E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D065647"/>
    <w:multiLevelType w:val="hybridMultilevel"/>
    <w:tmpl w:val="E91C64C8"/>
    <w:lvl w:ilvl="0" w:tplc="538A2D3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32D55B9"/>
    <w:multiLevelType w:val="hybridMultilevel"/>
    <w:tmpl w:val="E25EC2F0"/>
    <w:lvl w:ilvl="0" w:tplc="002C005A">
      <w:start w:val="1"/>
      <w:numFmt w:val="bullet"/>
      <w:lvlText w:val="•"/>
      <w:lvlJc w:val="left"/>
      <w:pPr>
        <w:tabs>
          <w:tab w:val="num" w:pos="720"/>
        </w:tabs>
        <w:ind w:left="720" w:hanging="360"/>
      </w:pPr>
      <w:rPr>
        <w:rFonts w:ascii="Arial" w:hAnsi="Arial" w:hint="default"/>
      </w:rPr>
    </w:lvl>
    <w:lvl w:ilvl="1" w:tplc="DF8C7B18" w:tentative="1">
      <w:start w:val="1"/>
      <w:numFmt w:val="bullet"/>
      <w:lvlText w:val="•"/>
      <w:lvlJc w:val="left"/>
      <w:pPr>
        <w:tabs>
          <w:tab w:val="num" w:pos="1440"/>
        </w:tabs>
        <w:ind w:left="1440" w:hanging="360"/>
      </w:pPr>
      <w:rPr>
        <w:rFonts w:ascii="Arial" w:hAnsi="Arial" w:hint="default"/>
      </w:rPr>
    </w:lvl>
    <w:lvl w:ilvl="2" w:tplc="CF801756" w:tentative="1">
      <w:start w:val="1"/>
      <w:numFmt w:val="bullet"/>
      <w:lvlText w:val="•"/>
      <w:lvlJc w:val="left"/>
      <w:pPr>
        <w:tabs>
          <w:tab w:val="num" w:pos="2160"/>
        </w:tabs>
        <w:ind w:left="2160" w:hanging="360"/>
      </w:pPr>
      <w:rPr>
        <w:rFonts w:ascii="Arial" w:hAnsi="Arial" w:hint="default"/>
      </w:rPr>
    </w:lvl>
    <w:lvl w:ilvl="3" w:tplc="8454EF02" w:tentative="1">
      <w:start w:val="1"/>
      <w:numFmt w:val="bullet"/>
      <w:lvlText w:val="•"/>
      <w:lvlJc w:val="left"/>
      <w:pPr>
        <w:tabs>
          <w:tab w:val="num" w:pos="2880"/>
        </w:tabs>
        <w:ind w:left="2880" w:hanging="360"/>
      </w:pPr>
      <w:rPr>
        <w:rFonts w:ascii="Arial" w:hAnsi="Arial" w:hint="default"/>
      </w:rPr>
    </w:lvl>
    <w:lvl w:ilvl="4" w:tplc="D6EC94DA" w:tentative="1">
      <w:start w:val="1"/>
      <w:numFmt w:val="bullet"/>
      <w:lvlText w:val="•"/>
      <w:lvlJc w:val="left"/>
      <w:pPr>
        <w:tabs>
          <w:tab w:val="num" w:pos="3600"/>
        </w:tabs>
        <w:ind w:left="3600" w:hanging="360"/>
      </w:pPr>
      <w:rPr>
        <w:rFonts w:ascii="Arial" w:hAnsi="Arial" w:hint="default"/>
      </w:rPr>
    </w:lvl>
    <w:lvl w:ilvl="5" w:tplc="F2B21C1A" w:tentative="1">
      <w:start w:val="1"/>
      <w:numFmt w:val="bullet"/>
      <w:lvlText w:val="•"/>
      <w:lvlJc w:val="left"/>
      <w:pPr>
        <w:tabs>
          <w:tab w:val="num" w:pos="4320"/>
        </w:tabs>
        <w:ind w:left="4320" w:hanging="360"/>
      </w:pPr>
      <w:rPr>
        <w:rFonts w:ascii="Arial" w:hAnsi="Arial" w:hint="default"/>
      </w:rPr>
    </w:lvl>
    <w:lvl w:ilvl="6" w:tplc="78D624A0" w:tentative="1">
      <w:start w:val="1"/>
      <w:numFmt w:val="bullet"/>
      <w:lvlText w:val="•"/>
      <w:lvlJc w:val="left"/>
      <w:pPr>
        <w:tabs>
          <w:tab w:val="num" w:pos="5040"/>
        </w:tabs>
        <w:ind w:left="5040" w:hanging="360"/>
      </w:pPr>
      <w:rPr>
        <w:rFonts w:ascii="Arial" w:hAnsi="Arial" w:hint="default"/>
      </w:rPr>
    </w:lvl>
    <w:lvl w:ilvl="7" w:tplc="7E9CBD90" w:tentative="1">
      <w:start w:val="1"/>
      <w:numFmt w:val="bullet"/>
      <w:lvlText w:val="•"/>
      <w:lvlJc w:val="left"/>
      <w:pPr>
        <w:tabs>
          <w:tab w:val="num" w:pos="5760"/>
        </w:tabs>
        <w:ind w:left="5760" w:hanging="360"/>
      </w:pPr>
      <w:rPr>
        <w:rFonts w:ascii="Arial" w:hAnsi="Arial" w:hint="default"/>
      </w:rPr>
    </w:lvl>
    <w:lvl w:ilvl="8" w:tplc="B282B858" w:tentative="1">
      <w:start w:val="1"/>
      <w:numFmt w:val="bullet"/>
      <w:lvlText w:val="•"/>
      <w:lvlJc w:val="left"/>
      <w:pPr>
        <w:tabs>
          <w:tab w:val="num" w:pos="6480"/>
        </w:tabs>
        <w:ind w:left="6480" w:hanging="360"/>
      </w:pPr>
      <w:rPr>
        <w:rFonts w:ascii="Arial" w:hAnsi="Arial" w:hint="default"/>
      </w:rPr>
    </w:lvl>
  </w:abstractNum>
  <w:abstractNum w:abstractNumId="6">
    <w:nsid w:val="1CC439B8"/>
    <w:multiLevelType w:val="hybridMultilevel"/>
    <w:tmpl w:val="1A1286E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F1D620C"/>
    <w:multiLevelType w:val="hybridMultilevel"/>
    <w:tmpl w:val="E91C64C8"/>
    <w:lvl w:ilvl="0" w:tplc="538A2D3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2097305"/>
    <w:multiLevelType w:val="hybridMultilevel"/>
    <w:tmpl w:val="B930D5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76B795F"/>
    <w:multiLevelType w:val="hybridMultilevel"/>
    <w:tmpl w:val="0082C6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9A60188"/>
    <w:multiLevelType w:val="hybridMultilevel"/>
    <w:tmpl w:val="59103E8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CCE2963"/>
    <w:multiLevelType w:val="hybridMultilevel"/>
    <w:tmpl w:val="19366D88"/>
    <w:lvl w:ilvl="0" w:tplc="538A2D36">
      <w:start w:val="1"/>
      <w:numFmt w:val="lowerRoman"/>
      <w:lvlText w:val="%1)"/>
      <w:lvlJc w:val="left"/>
      <w:pPr>
        <w:ind w:left="1080" w:hanging="72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95E17BB"/>
    <w:multiLevelType w:val="hybridMultilevel"/>
    <w:tmpl w:val="186C3E78"/>
    <w:lvl w:ilvl="0" w:tplc="145C835C">
      <w:start w:val="1"/>
      <w:numFmt w:val="bullet"/>
      <w:lvlText w:val="•"/>
      <w:lvlJc w:val="left"/>
      <w:pPr>
        <w:tabs>
          <w:tab w:val="num" w:pos="720"/>
        </w:tabs>
        <w:ind w:left="720" w:hanging="360"/>
      </w:pPr>
      <w:rPr>
        <w:rFonts w:ascii="Arial" w:hAnsi="Arial" w:hint="default"/>
      </w:rPr>
    </w:lvl>
    <w:lvl w:ilvl="1" w:tplc="E4DED470" w:tentative="1">
      <w:start w:val="1"/>
      <w:numFmt w:val="bullet"/>
      <w:lvlText w:val="•"/>
      <w:lvlJc w:val="left"/>
      <w:pPr>
        <w:tabs>
          <w:tab w:val="num" w:pos="1440"/>
        </w:tabs>
        <w:ind w:left="1440" w:hanging="360"/>
      </w:pPr>
      <w:rPr>
        <w:rFonts w:ascii="Arial" w:hAnsi="Arial" w:hint="default"/>
      </w:rPr>
    </w:lvl>
    <w:lvl w:ilvl="2" w:tplc="4BA09506" w:tentative="1">
      <w:start w:val="1"/>
      <w:numFmt w:val="bullet"/>
      <w:lvlText w:val="•"/>
      <w:lvlJc w:val="left"/>
      <w:pPr>
        <w:tabs>
          <w:tab w:val="num" w:pos="2160"/>
        </w:tabs>
        <w:ind w:left="2160" w:hanging="360"/>
      </w:pPr>
      <w:rPr>
        <w:rFonts w:ascii="Arial" w:hAnsi="Arial" w:hint="default"/>
      </w:rPr>
    </w:lvl>
    <w:lvl w:ilvl="3" w:tplc="B4D033A4" w:tentative="1">
      <w:start w:val="1"/>
      <w:numFmt w:val="bullet"/>
      <w:lvlText w:val="•"/>
      <w:lvlJc w:val="left"/>
      <w:pPr>
        <w:tabs>
          <w:tab w:val="num" w:pos="2880"/>
        </w:tabs>
        <w:ind w:left="2880" w:hanging="360"/>
      </w:pPr>
      <w:rPr>
        <w:rFonts w:ascii="Arial" w:hAnsi="Arial" w:hint="default"/>
      </w:rPr>
    </w:lvl>
    <w:lvl w:ilvl="4" w:tplc="702CB344" w:tentative="1">
      <w:start w:val="1"/>
      <w:numFmt w:val="bullet"/>
      <w:lvlText w:val="•"/>
      <w:lvlJc w:val="left"/>
      <w:pPr>
        <w:tabs>
          <w:tab w:val="num" w:pos="3600"/>
        </w:tabs>
        <w:ind w:left="3600" w:hanging="360"/>
      </w:pPr>
      <w:rPr>
        <w:rFonts w:ascii="Arial" w:hAnsi="Arial" w:hint="default"/>
      </w:rPr>
    </w:lvl>
    <w:lvl w:ilvl="5" w:tplc="EEA2520C" w:tentative="1">
      <w:start w:val="1"/>
      <w:numFmt w:val="bullet"/>
      <w:lvlText w:val="•"/>
      <w:lvlJc w:val="left"/>
      <w:pPr>
        <w:tabs>
          <w:tab w:val="num" w:pos="4320"/>
        </w:tabs>
        <w:ind w:left="4320" w:hanging="360"/>
      </w:pPr>
      <w:rPr>
        <w:rFonts w:ascii="Arial" w:hAnsi="Arial" w:hint="default"/>
      </w:rPr>
    </w:lvl>
    <w:lvl w:ilvl="6" w:tplc="31061BF6" w:tentative="1">
      <w:start w:val="1"/>
      <w:numFmt w:val="bullet"/>
      <w:lvlText w:val="•"/>
      <w:lvlJc w:val="left"/>
      <w:pPr>
        <w:tabs>
          <w:tab w:val="num" w:pos="5040"/>
        </w:tabs>
        <w:ind w:left="5040" w:hanging="360"/>
      </w:pPr>
      <w:rPr>
        <w:rFonts w:ascii="Arial" w:hAnsi="Arial" w:hint="default"/>
      </w:rPr>
    </w:lvl>
    <w:lvl w:ilvl="7" w:tplc="19041C7E" w:tentative="1">
      <w:start w:val="1"/>
      <w:numFmt w:val="bullet"/>
      <w:lvlText w:val="•"/>
      <w:lvlJc w:val="left"/>
      <w:pPr>
        <w:tabs>
          <w:tab w:val="num" w:pos="5760"/>
        </w:tabs>
        <w:ind w:left="5760" w:hanging="360"/>
      </w:pPr>
      <w:rPr>
        <w:rFonts w:ascii="Arial" w:hAnsi="Arial" w:hint="default"/>
      </w:rPr>
    </w:lvl>
    <w:lvl w:ilvl="8" w:tplc="66CAEF32" w:tentative="1">
      <w:start w:val="1"/>
      <w:numFmt w:val="bullet"/>
      <w:lvlText w:val="•"/>
      <w:lvlJc w:val="left"/>
      <w:pPr>
        <w:tabs>
          <w:tab w:val="num" w:pos="6480"/>
        </w:tabs>
        <w:ind w:left="6480" w:hanging="360"/>
      </w:pPr>
      <w:rPr>
        <w:rFonts w:ascii="Arial" w:hAnsi="Arial" w:hint="default"/>
      </w:rPr>
    </w:lvl>
  </w:abstractNum>
  <w:abstractNum w:abstractNumId="13">
    <w:nsid w:val="39A06935"/>
    <w:multiLevelType w:val="hybridMultilevel"/>
    <w:tmpl w:val="A58ED26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9BF242E"/>
    <w:multiLevelType w:val="hybridMultilevel"/>
    <w:tmpl w:val="86D86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A0F159C"/>
    <w:multiLevelType w:val="hybridMultilevel"/>
    <w:tmpl w:val="C84EFE1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E9B05EB"/>
    <w:multiLevelType w:val="hybridMultilevel"/>
    <w:tmpl w:val="4FA49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5852F9F"/>
    <w:multiLevelType w:val="hybridMultilevel"/>
    <w:tmpl w:val="6C7EB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C646224"/>
    <w:multiLevelType w:val="hybridMultilevel"/>
    <w:tmpl w:val="8CA4DE08"/>
    <w:lvl w:ilvl="0" w:tplc="97F4D5C0">
      <w:start w:val="1"/>
      <w:numFmt w:val="bullet"/>
      <w:lvlText w:val="–"/>
      <w:lvlJc w:val="left"/>
      <w:pPr>
        <w:tabs>
          <w:tab w:val="num" w:pos="720"/>
        </w:tabs>
        <w:ind w:left="720" w:hanging="360"/>
      </w:pPr>
      <w:rPr>
        <w:rFonts w:ascii="Arial" w:hAnsi="Arial" w:hint="default"/>
      </w:rPr>
    </w:lvl>
    <w:lvl w:ilvl="1" w:tplc="9DC03AB6">
      <w:start w:val="1"/>
      <w:numFmt w:val="bullet"/>
      <w:lvlText w:val="–"/>
      <w:lvlJc w:val="left"/>
      <w:pPr>
        <w:tabs>
          <w:tab w:val="num" w:pos="1440"/>
        </w:tabs>
        <w:ind w:left="1440" w:hanging="360"/>
      </w:pPr>
      <w:rPr>
        <w:rFonts w:ascii="Arial" w:hAnsi="Arial" w:hint="default"/>
      </w:rPr>
    </w:lvl>
    <w:lvl w:ilvl="2" w:tplc="C29EDDCA">
      <w:start w:val="1975"/>
      <w:numFmt w:val="bullet"/>
      <w:lvlText w:val="•"/>
      <w:lvlJc w:val="left"/>
      <w:pPr>
        <w:tabs>
          <w:tab w:val="num" w:pos="2160"/>
        </w:tabs>
        <w:ind w:left="2160" w:hanging="360"/>
      </w:pPr>
      <w:rPr>
        <w:rFonts w:ascii="Arial" w:hAnsi="Arial" w:hint="default"/>
      </w:rPr>
    </w:lvl>
    <w:lvl w:ilvl="3" w:tplc="2C261A82" w:tentative="1">
      <w:start w:val="1"/>
      <w:numFmt w:val="bullet"/>
      <w:lvlText w:val="–"/>
      <w:lvlJc w:val="left"/>
      <w:pPr>
        <w:tabs>
          <w:tab w:val="num" w:pos="2880"/>
        </w:tabs>
        <w:ind w:left="2880" w:hanging="360"/>
      </w:pPr>
      <w:rPr>
        <w:rFonts w:ascii="Arial" w:hAnsi="Arial" w:hint="default"/>
      </w:rPr>
    </w:lvl>
    <w:lvl w:ilvl="4" w:tplc="5EFC6F66" w:tentative="1">
      <w:start w:val="1"/>
      <w:numFmt w:val="bullet"/>
      <w:lvlText w:val="–"/>
      <w:lvlJc w:val="left"/>
      <w:pPr>
        <w:tabs>
          <w:tab w:val="num" w:pos="3600"/>
        </w:tabs>
        <w:ind w:left="3600" w:hanging="360"/>
      </w:pPr>
      <w:rPr>
        <w:rFonts w:ascii="Arial" w:hAnsi="Arial" w:hint="default"/>
      </w:rPr>
    </w:lvl>
    <w:lvl w:ilvl="5" w:tplc="F8044B5C" w:tentative="1">
      <w:start w:val="1"/>
      <w:numFmt w:val="bullet"/>
      <w:lvlText w:val="–"/>
      <w:lvlJc w:val="left"/>
      <w:pPr>
        <w:tabs>
          <w:tab w:val="num" w:pos="4320"/>
        </w:tabs>
        <w:ind w:left="4320" w:hanging="360"/>
      </w:pPr>
      <w:rPr>
        <w:rFonts w:ascii="Arial" w:hAnsi="Arial" w:hint="default"/>
      </w:rPr>
    </w:lvl>
    <w:lvl w:ilvl="6" w:tplc="5706EEA6" w:tentative="1">
      <w:start w:val="1"/>
      <w:numFmt w:val="bullet"/>
      <w:lvlText w:val="–"/>
      <w:lvlJc w:val="left"/>
      <w:pPr>
        <w:tabs>
          <w:tab w:val="num" w:pos="5040"/>
        </w:tabs>
        <w:ind w:left="5040" w:hanging="360"/>
      </w:pPr>
      <w:rPr>
        <w:rFonts w:ascii="Arial" w:hAnsi="Arial" w:hint="default"/>
      </w:rPr>
    </w:lvl>
    <w:lvl w:ilvl="7" w:tplc="F77E421E" w:tentative="1">
      <w:start w:val="1"/>
      <w:numFmt w:val="bullet"/>
      <w:lvlText w:val="–"/>
      <w:lvlJc w:val="left"/>
      <w:pPr>
        <w:tabs>
          <w:tab w:val="num" w:pos="5760"/>
        </w:tabs>
        <w:ind w:left="5760" w:hanging="360"/>
      </w:pPr>
      <w:rPr>
        <w:rFonts w:ascii="Arial" w:hAnsi="Arial" w:hint="default"/>
      </w:rPr>
    </w:lvl>
    <w:lvl w:ilvl="8" w:tplc="CD22399A" w:tentative="1">
      <w:start w:val="1"/>
      <w:numFmt w:val="bullet"/>
      <w:lvlText w:val="–"/>
      <w:lvlJc w:val="left"/>
      <w:pPr>
        <w:tabs>
          <w:tab w:val="num" w:pos="6480"/>
        </w:tabs>
        <w:ind w:left="6480" w:hanging="360"/>
      </w:pPr>
      <w:rPr>
        <w:rFonts w:ascii="Arial" w:hAnsi="Arial" w:hint="default"/>
      </w:rPr>
    </w:lvl>
  </w:abstractNum>
  <w:abstractNum w:abstractNumId="19">
    <w:nsid w:val="4F4E1D8B"/>
    <w:multiLevelType w:val="hybridMultilevel"/>
    <w:tmpl w:val="35E850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F6C1D56"/>
    <w:multiLevelType w:val="hybridMultilevel"/>
    <w:tmpl w:val="6F74239E"/>
    <w:lvl w:ilvl="0" w:tplc="758277DA">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A1179C2"/>
    <w:multiLevelType w:val="hybridMultilevel"/>
    <w:tmpl w:val="C4FEDFA6"/>
    <w:lvl w:ilvl="0" w:tplc="538A2D36">
      <w:start w:val="1"/>
      <w:numFmt w:val="lowerRoman"/>
      <w:lvlText w:val="%1)"/>
      <w:lvlJc w:val="left"/>
      <w:pPr>
        <w:ind w:left="1080" w:hanging="720"/>
      </w:pPr>
      <w:rPr>
        <w:rFonts w:hint="default"/>
      </w:rPr>
    </w:lvl>
    <w:lvl w:ilvl="1" w:tplc="0809000F">
      <w:start w:val="1"/>
      <w:numFmt w:val="decimal"/>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D5131A8"/>
    <w:multiLevelType w:val="hybridMultilevel"/>
    <w:tmpl w:val="61D49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1A373C5"/>
    <w:multiLevelType w:val="hybridMultilevel"/>
    <w:tmpl w:val="26D8A8F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2017B3F"/>
    <w:multiLevelType w:val="hybridMultilevel"/>
    <w:tmpl w:val="C2EC8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27C7CFB"/>
    <w:multiLevelType w:val="hybridMultilevel"/>
    <w:tmpl w:val="ED800F5E"/>
    <w:lvl w:ilvl="0" w:tplc="D3644F86">
      <w:start w:val="1"/>
      <w:numFmt w:val="bullet"/>
      <w:lvlText w:val="•"/>
      <w:lvlJc w:val="left"/>
      <w:pPr>
        <w:tabs>
          <w:tab w:val="num" w:pos="720"/>
        </w:tabs>
        <w:ind w:left="720" w:hanging="360"/>
      </w:pPr>
      <w:rPr>
        <w:rFonts w:ascii="Arial" w:hAnsi="Arial" w:hint="default"/>
      </w:rPr>
    </w:lvl>
    <w:lvl w:ilvl="1" w:tplc="3E3E5E46" w:tentative="1">
      <w:start w:val="1"/>
      <w:numFmt w:val="bullet"/>
      <w:lvlText w:val="•"/>
      <w:lvlJc w:val="left"/>
      <w:pPr>
        <w:tabs>
          <w:tab w:val="num" w:pos="1440"/>
        </w:tabs>
        <w:ind w:left="1440" w:hanging="360"/>
      </w:pPr>
      <w:rPr>
        <w:rFonts w:ascii="Arial" w:hAnsi="Arial" w:hint="default"/>
      </w:rPr>
    </w:lvl>
    <w:lvl w:ilvl="2" w:tplc="0F86D73A" w:tentative="1">
      <w:start w:val="1"/>
      <w:numFmt w:val="bullet"/>
      <w:lvlText w:val="•"/>
      <w:lvlJc w:val="left"/>
      <w:pPr>
        <w:tabs>
          <w:tab w:val="num" w:pos="2160"/>
        </w:tabs>
        <w:ind w:left="2160" w:hanging="360"/>
      </w:pPr>
      <w:rPr>
        <w:rFonts w:ascii="Arial" w:hAnsi="Arial" w:hint="default"/>
      </w:rPr>
    </w:lvl>
    <w:lvl w:ilvl="3" w:tplc="8392E874" w:tentative="1">
      <w:start w:val="1"/>
      <w:numFmt w:val="bullet"/>
      <w:lvlText w:val="•"/>
      <w:lvlJc w:val="left"/>
      <w:pPr>
        <w:tabs>
          <w:tab w:val="num" w:pos="2880"/>
        </w:tabs>
        <w:ind w:left="2880" w:hanging="360"/>
      </w:pPr>
      <w:rPr>
        <w:rFonts w:ascii="Arial" w:hAnsi="Arial" w:hint="default"/>
      </w:rPr>
    </w:lvl>
    <w:lvl w:ilvl="4" w:tplc="4AF28C9C" w:tentative="1">
      <w:start w:val="1"/>
      <w:numFmt w:val="bullet"/>
      <w:lvlText w:val="•"/>
      <w:lvlJc w:val="left"/>
      <w:pPr>
        <w:tabs>
          <w:tab w:val="num" w:pos="3600"/>
        </w:tabs>
        <w:ind w:left="3600" w:hanging="360"/>
      </w:pPr>
      <w:rPr>
        <w:rFonts w:ascii="Arial" w:hAnsi="Arial" w:hint="default"/>
      </w:rPr>
    </w:lvl>
    <w:lvl w:ilvl="5" w:tplc="AC5AAB96" w:tentative="1">
      <w:start w:val="1"/>
      <w:numFmt w:val="bullet"/>
      <w:lvlText w:val="•"/>
      <w:lvlJc w:val="left"/>
      <w:pPr>
        <w:tabs>
          <w:tab w:val="num" w:pos="4320"/>
        </w:tabs>
        <w:ind w:left="4320" w:hanging="360"/>
      </w:pPr>
      <w:rPr>
        <w:rFonts w:ascii="Arial" w:hAnsi="Arial" w:hint="default"/>
      </w:rPr>
    </w:lvl>
    <w:lvl w:ilvl="6" w:tplc="106EAEA4" w:tentative="1">
      <w:start w:val="1"/>
      <w:numFmt w:val="bullet"/>
      <w:lvlText w:val="•"/>
      <w:lvlJc w:val="left"/>
      <w:pPr>
        <w:tabs>
          <w:tab w:val="num" w:pos="5040"/>
        </w:tabs>
        <w:ind w:left="5040" w:hanging="360"/>
      </w:pPr>
      <w:rPr>
        <w:rFonts w:ascii="Arial" w:hAnsi="Arial" w:hint="default"/>
      </w:rPr>
    </w:lvl>
    <w:lvl w:ilvl="7" w:tplc="488CA168" w:tentative="1">
      <w:start w:val="1"/>
      <w:numFmt w:val="bullet"/>
      <w:lvlText w:val="•"/>
      <w:lvlJc w:val="left"/>
      <w:pPr>
        <w:tabs>
          <w:tab w:val="num" w:pos="5760"/>
        </w:tabs>
        <w:ind w:left="5760" w:hanging="360"/>
      </w:pPr>
      <w:rPr>
        <w:rFonts w:ascii="Arial" w:hAnsi="Arial" w:hint="default"/>
      </w:rPr>
    </w:lvl>
    <w:lvl w:ilvl="8" w:tplc="826625AA" w:tentative="1">
      <w:start w:val="1"/>
      <w:numFmt w:val="bullet"/>
      <w:lvlText w:val="•"/>
      <w:lvlJc w:val="left"/>
      <w:pPr>
        <w:tabs>
          <w:tab w:val="num" w:pos="6480"/>
        </w:tabs>
        <w:ind w:left="6480" w:hanging="360"/>
      </w:pPr>
      <w:rPr>
        <w:rFonts w:ascii="Arial" w:hAnsi="Arial" w:hint="default"/>
      </w:rPr>
    </w:lvl>
  </w:abstractNum>
  <w:abstractNum w:abstractNumId="26">
    <w:nsid w:val="6B9B59B2"/>
    <w:multiLevelType w:val="hybridMultilevel"/>
    <w:tmpl w:val="94D63E04"/>
    <w:lvl w:ilvl="0" w:tplc="732268FA">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DC44B92"/>
    <w:multiLevelType w:val="hybridMultilevel"/>
    <w:tmpl w:val="D766E6FE"/>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1633AA7"/>
    <w:multiLevelType w:val="hybridMultilevel"/>
    <w:tmpl w:val="2E1068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19529FF"/>
    <w:multiLevelType w:val="hybridMultilevel"/>
    <w:tmpl w:val="DDB05B76"/>
    <w:lvl w:ilvl="0" w:tplc="2A1E3F64">
      <w:start w:val="1"/>
      <w:numFmt w:val="decimal"/>
      <w:lvlText w:val="%1."/>
      <w:lvlJc w:val="left"/>
      <w:pPr>
        <w:ind w:left="720" w:hanging="360"/>
      </w:pPr>
      <w:rPr>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1FA53D0"/>
    <w:multiLevelType w:val="hybridMultilevel"/>
    <w:tmpl w:val="E91C64C8"/>
    <w:lvl w:ilvl="0" w:tplc="538A2D3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6027A7F"/>
    <w:multiLevelType w:val="hybridMultilevel"/>
    <w:tmpl w:val="366A0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7B36C1B"/>
    <w:multiLevelType w:val="hybridMultilevel"/>
    <w:tmpl w:val="F9026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ACF194C"/>
    <w:multiLevelType w:val="hybridMultilevel"/>
    <w:tmpl w:val="66E625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F0367D1"/>
    <w:multiLevelType w:val="hybridMultilevel"/>
    <w:tmpl w:val="EF82FB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F984D03"/>
    <w:multiLevelType w:val="hybridMultilevel"/>
    <w:tmpl w:val="87CE62F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10"/>
  </w:num>
  <w:num w:numId="4">
    <w:abstractNumId w:val="9"/>
  </w:num>
  <w:num w:numId="5">
    <w:abstractNumId w:val="27"/>
  </w:num>
  <w:num w:numId="6">
    <w:abstractNumId w:val="20"/>
  </w:num>
  <w:num w:numId="7">
    <w:abstractNumId w:val="19"/>
  </w:num>
  <w:num w:numId="8">
    <w:abstractNumId w:val="29"/>
  </w:num>
  <w:num w:numId="9">
    <w:abstractNumId w:val="7"/>
  </w:num>
  <w:num w:numId="10">
    <w:abstractNumId w:val="30"/>
  </w:num>
  <w:num w:numId="11">
    <w:abstractNumId w:val="8"/>
  </w:num>
  <w:num w:numId="12">
    <w:abstractNumId w:val="4"/>
  </w:num>
  <w:num w:numId="13">
    <w:abstractNumId w:val="13"/>
  </w:num>
  <w:num w:numId="14">
    <w:abstractNumId w:val="15"/>
  </w:num>
  <w:num w:numId="15">
    <w:abstractNumId w:val="23"/>
  </w:num>
  <w:num w:numId="16">
    <w:abstractNumId w:val="14"/>
  </w:num>
  <w:num w:numId="17">
    <w:abstractNumId w:val="1"/>
  </w:num>
  <w:num w:numId="18">
    <w:abstractNumId w:val="21"/>
  </w:num>
  <w:num w:numId="19">
    <w:abstractNumId w:val="34"/>
  </w:num>
  <w:num w:numId="20">
    <w:abstractNumId w:val="11"/>
  </w:num>
  <w:num w:numId="21">
    <w:abstractNumId w:val="24"/>
  </w:num>
  <w:num w:numId="22">
    <w:abstractNumId w:val="3"/>
  </w:num>
  <w:num w:numId="23">
    <w:abstractNumId w:val="6"/>
  </w:num>
  <w:num w:numId="24">
    <w:abstractNumId w:val="35"/>
  </w:num>
  <w:num w:numId="25">
    <w:abstractNumId w:val="16"/>
  </w:num>
  <w:num w:numId="26">
    <w:abstractNumId w:val="17"/>
  </w:num>
  <w:num w:numId="27">
    <w:abstractNumId w:val="33"/>
  </w:num>
  <w:num w:numId="28">
    <w:abstractNumId w:val="31"/>
  </w:num>
  <w:num w:numId="29">
    <w:abstractNumId w:val="2"/>
  </w:num>
  <w:num w:numId="30">
    <w:abstractNumId w:val="25"/>
  </w:num>
  <w:num w:numId="31">
    <w:abstractNumId w:val="5"/>
  </w:num>
  <w:num w:numId="32">
    <w:abstractNumId w:val="12"/>
  </w:num>
  <w:num w:numId="33">
    <w:abstractNumId w:val="18"/>
  </w:num>
  <w:num w:numId="34">
    <w:abstractNumId w:val="26"/>
  </w:num>
  <w:num w:numId="35">
    <w:abstractNumId w:val="32"/>
  </w:num>
  <w:num w:numId="36">
    <w:abstractNumId w:val="2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rouble">
    <w15:presenceInfo w15:providerId="None" w15:userId="Troub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C31"/>
    <w:rsid w:val="00004807"/>
    <w:rsid w:val="00007E0D"/>
    <w:rsid w:val="00012A16"/>
    <w:rsid w:val="00050652"/>
    <w:rsid w:val="00080DF9"/>
    <w:rsid w:val="000857E5"/>
    <w:rsid w:val="000A362F"/>
    <w:rsid w:val="000A6CB7"/>
    <w:rsid w:val="000E6C5A"/>
    <w:rsid w:val="000F70AD"/>
    <w:rsid w:val="00170323"/>
    <w:rsid w:val="00190B3F"/>
    <w:rsid w:val="001B15FD"/>
    <w:rsid w:val="001C1C2B"/>
    <w:rsid w:val="001D2A4D"/>
    <w:rsid w:val="00202859"/>
    <w:rsid w:val="002105E2"/>
    <w:rsid w:val="00244381"/>
    <w:rsid w:val="002725AB"/>
    <w:rsid w:val="002B514F"/>
    <w:rsid w:val="002E6A46"/>
    <w:rsid w:val="002E7C94"/>
    <w:rsid w:val="00363615"/>
    <w:rsid w:val="003C011A"/>
    <w:rsid w:val="00417A5B"/>
    <w:rsid w:val="004803E9"/>
    <w:rsid w:val="00483662"/>
    <w:rsid w:val="004A4534"/>
    <w:rsid w:val="004D55CC"/>
    <w:rsid w:val="005213D6"/>
    <w:rsid w:val="0053273E"/>
    <w:rsid w:val="00545BDB"/>
    <w:rsid w:val="00554C31"/>
    <w:rsid w:val="00582A1E"/>
    <w:rsid w:val="005B3620"/>
    <w:rsid w:val="005D421B"/>
    <w:rsid w:val="00604253"/>
    <w:rsid w:val="00613D49"/>
    <w:rsid w:val="0068749F"/>
    <w:rsid w:val="006E444A"/>
    <w:rsid w:val="006F7104"/>
    <w:rsid w:val="00724757"/>
    <w:rsid w:val="007619AD"/>
    <w:rsid w:val="00763EE0"/>
    <w:rsid w:val="00773385"/>
    <w:rsid w:val="007A3839"/>
    <w:rsid w:val="007A6E57"/>
    <w:rsid w:val="007B5169"/>
    <w:rsid w:val="007B611A"/>
    <w:rsid w:val="007F48E7"/>
    <w:rsid w:val="008103DB"/>
    <w:rsid w:val="008D3928"/>
    <w:rsid w:val="008E4268"/>
    <w:rsid w:val="00903E27"/>
    <w:rsid w:val="00940642"/>
    <w:rsid w:val="00955208"/>
    <w:rsid w:val="009A1373"/>
    <w:rsid w:val="009D5529"/>
    <w:rsid w:val="009D6ABC"/>
    <w:rsid w:val="009E1651"/>
    <w:rsid w:val="00A10CB5"/>
    <w:rsid w:val="00A2270A"/>
    <w:rsid w:val="00A7048F"/>
    <w:rsid w:val="00A74CD4"/>
    <w:rsid w:val="00A81A37"/>
    <w:rsid w:val="00A85B44"/>
    <w:rsid w:val="00A96DD0"/>
    <w:rsid w:val="00AB21B6"/>
    <w:rsid w:val="00AE5FD8"/>
    <w:rsid w:val="00AF4154"/>
    <w:rsid w:val="00B27E37"/>
    <w:rsid w:val="00B56EEB"/>
    <w:rsid w:val="00B60BED"/>
    <w:rsid w:val="00B93BAE"/>
    <w:rsid w:val="00BA45E8"/>
    <w:rsid w:val="00BB5B48"/>
    <w:rsid w:val="00BC0F4F"/>
    <w:rsid w:val="00BD0C84"/>
    <w:rsid w:val="00BF300F"/>
    <w:rsid w:val="00C43483"/>
    <w:rsid w:val="00C61D6F"/>
    <w:rsid w:val="00C72038"/>
    <w:rsid w:val="00C85E14"/>
    <w:rsid w:val="00CC7B48"/>
    <w:rsid w:val="00D26B54"/>
    <w:rsid w:val="00D61C9C"/>
    <w:rsid w:val="00D90AAC"/>
    <w:rsid w:val="00DC73AE"/>
    <w:rsid w:val="00DE69F9"/>
    <w:rsid w:val="00E0558F"/>
    <w:rsid w:val="00E17157"/>
    <w:rsid w:val="00E25010"/>
    <w:rsid w:val="00E32557"/>
    <w:rsid w:val="00E804BD"/>
    <w:rsid w:val="00E92F88"/>
    <w:rsid w:val="00E9340E"/>
    <w:rsid w:val="00EE2AA3"/>
    <w:rsid w:val="00EE5311"/>
    <w:rsid w:val="00EF6464"/>
    <w:rsid w:val="00F04123"/>
    <w:rsid w:val="00F06CB0"/>
    <w:rsid w:val="00F27CE1"/>
    <w:rsid w:val="00F414E6"/>
    <w:rsid w:val="00F61341"/>
    <w:rsid w:val="00F61F37"/>
    <w:rsid w:val="00F875F8"/>
    <w:rsid w:val="00FA79AD"/>
    <w:rsid w:val="00FD42F3"/>
    <w:rsid w:val="00FE38B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D15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EEB"/>
    <w:rPr>
      <w:sz w:val="20"/>
      <w:szCs w:val="20"/>
    </w:rPr>
  </w:style>
  <w:style w:type="paragraph" w:styleId="Heading1">
    <w:name w:val="heading 1"/>
    <w:basedOn w:val="Normal"/>
    <w:next w:val="Normal"/>
    <w:link w:val="Heading1Char"/>
    <w:uiPriority w:val="9"/>
    <w:qFormat/>
    <w:rsid w:val="00B56EEB"/>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6E444A"/>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b/>
      <w:caps/>
      <w:spacing w:val="15"/>
      <w:sz w:val="22"/>
      <w:szCs w:val="22"/>
    </w:rPr>
  </w:style>
  <w:style w:type="paragraph" w:styleId="Heading3">
    <w:name w:val="heading 3"/>
    <w:basedOn w:val="Normal"/>
    <w:next w:val="Normal"/>
    <w:link w:val="Heading3Char"/>
    <w:uiPriority w:val="9"/>
    <w:unhideWhenUsed/>
    <w:qFormat/>
    <w:rsid w:val="00B93BAE"/>
    <w:pPr>
      <w:pBdr>
        <w:top w:val="single" w:sz="6" w:space="2" w:color="4F81BD" w:themeColor="accent1"/>
        <w:left w:val="single" w:sz="6" w:space="2" w:color="4F81BD" w:themeColor="accent1"/>
      </w:pBdr>
      <w:spacing w:before="300" w:after="0"/>
      <w:outlineLvl w:val="2"/>
    </w:pPr>
    <w:rPr>
      <w:b/>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B56EEB"/>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B56EEB"/>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B56EEB"/>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B56EEB"/>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B56EEB"/>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B56EEB"/>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56EEB"/>
    <w:pPr>
      <w:spacing w:before="0" w:after="0" w:line="240" w:lineRule="auto"/>
    </w:pPr>
  </w:style>
  <w:style w:type="paragraph" w:styleId="ListParagraph">
    <w:name w:val="List Paragraph"/>
    <w:aliases w:val="Table/Figure Heading,List Paragraph (numbered (a)),Lapis Bulleted List,Dot pt,F5 List Paragraph,List Paragraph1,No Spacing1,List Paragraph Char Char Char,Indicator Text,Numbered Para 1,Bullet 1,List Paragraph12,Bullet Points,MAIN CONTENT"/>
    <w:basedOn w:val="Normal"/>
    <w:link w:val="ListParagraphChar"/>
    <w:uiPriority w:val="34"/>
    <w:qFormat/>
    <w:rsid w:val="00B56EEB"/>
    <w:pPr>
      <w:ind w:left="720"/>
      <w:contextualSpacing/>
    </w:pPr>
  </w:style>
  <w:style w:type="character" w:customStyle="1" w:styleId="ListParagraphChar">
    <w:name w:val="List Paragraph Char"/>
    <w:aliases w:val="Table/Figure Heading Char,List Paragraph (numbered (a)) Char,Lapis Bulleted List Char,Dot pt Char,F5 List Paragraph Char,List Paragraph1 Char,No Spacing1 Char,List Paragraph Char Char Char Char,Indicator Text Char,Bullet 1 Char"/>
    <w:basedOn w:val="DefaultParagraphFont"/>
    <w:link w:val="ListParagraph"/>
    <w:uiPriority w:val="34"/>
    <w:rsid w:val="00FE38B3"/>
    <w:rPr>
      <w:sz w:val="20"/>
      <w:szCs w:val="20"/>
    </w:rPr>
  </w:style>
  <w:style w:type="character" w:styleId="Hyperlink">
    <w:name w:val="Hyperlink"/>
    <w:basedOn w:val="DefaultParagraphFont"/>
    <w:uiPriority w:val="99"/>
    <w:unhideWhenUsed/>
    <w:rsid w:val="00012A16"/>
    <w:rPr>
      <w:color w:val="0000FF"/>
      <w:u w:val="single"/>
    </w:rPr>
  </w:style>
  <w:style w:type="character" w:customStyle="1" w:styleId="apple-converted-space">
    <w:name w:val="apple-converted-space"/>
    <w:basedOn w:val="DefaultParagraphFont"/>
    <w:rsid w:val="00012A16"/>
  </w:style>
  <w:style w:type="character" w:customStyle="1" w:styleId="Heading3Char">
    <w:name w:val="Heading 3 Char"/>
    <w:basedOn w:val="DefaultParagraphFont"/>
    <w:link w:val="Heading3"/>
    <w:uiPriority w:val="9"/>
    <w:rsid w:val="00B93BAE"/>
    <w:rPr>
      <w:b/>
      <w:caps/>
      <w:color w:val="243F60" w:themeColor="accent1" w:themeShade="7F"/>
      <w:spacing w:val="15"/>
    </w:rPr>
  </w:style>
  <w:style w:type="character" w:customStyle="1" w:styleId="Heading2Char">
    <w:name w:val="Heading 2 Char"/>
    <w:basedOn w:val="DefaultParagraphFont"/>
    <w:link w:val="Heading2"/>
    <w:uiPriority w:val="9"/>
    <w:rsid w:val="006E444A"/>
    <w:rPr>
      <w:b/>
      <w:caps/>
      <w:spacing w:val="15"/>
      <w:shd w:val="clear" w:color="auto" w:fill="DBE5F1" w:themeFill="accent1" w:themeFillTint="33"/>
    </w:rPr>
  </w:style>
  <w:style w:type="paragraph" w:customStyle="1" w:styleId="Default">
    <w:name w:val="Default"/>
    <w:rsid w:val="008D3928"/>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2E7C94"/>
    <w:pPr>
      <w:spacing w:after="0" w:line="240" w:lineRule="auto"/>
    </w:pPr>
  </w:style>
  <w:style w:type="character" w:customStyle="1" w:styleId="FootnoteTextChar">
    <w:name w:val="Footnote Text Char"/>
    <w:basedOn w:val="DefaultParagraphFont"/>
    <w:link w:val="FootnoteText"/>
    <w:uiPriority w:val="99"/>
    <w:semiHidden/>
    <w:rsid w:val="002E7C94"/>
    <w:rPr>
      <w:sz w:val="20"/>
      <w:szCs w:val="20"/>
    </w:rPr>
  </w:style>
  <w:style w:type="character" w:styleId="FootnoteReference">
    <w:name w:val="footnote reference"/>
    <w:basedOn w:val="DefaultParagraphFont"/>
    <w:uiPriority w:val="99"/>
    <w:semiHidden/>
    <w:unhideWhenUsed/>
    <w:rsid w:val="002E7C94"/>
    <w:rPr>
      <w:vertAlign w:val="superscript"/>
    </w:rPr>
  </w:style>
  <w:style w:type="character" w:customStyle="1" w:styleId="Heading1Char">
    <w:name w:val="Heading 1 Char"/>
    <w:basedOn w:val="DefaultParagraphFont"/>
    <w:link w:val="Heading1"/>
    <w:uiPriority w:val="9"/>
    <w:rsid w:val="00B56EEB"/>
    <w:rPr>
      <w:b/>
      <w:bCs/>
      <w:caps/>
      <w:color w:val="FFFFFF" w:themeColor="background1"/>
      <w:spacing w:val="15"/>
      <w:shd w:val="clear" w:color="auto" w:fill="4F81BD" w:themeFill="accent1"/>
    </w:rPr>
  </w:style>
  <w:style w:type="character" w:customStyle="1" w:styleId="Heading4Char">
    <w:name w:val="Heading 4 Char"/>
    <w:basedOn w:val="DefaultParagraphFont"/>
    <w:link w:val="Heading4"/>
    <w:uiPriority w:val="9"/>
    <w:semiHidden/>
    <w:rsid w:val="00B56EEB"/>
    <w:rPr>
      <w:caps/>
      <w:color w:val="365F91" w:themeColor="accent1" w:themeShade="BF"/>
      <w:spacing w:val="10"/>
    </w:rPr>
  </w:style>
  <w:style w:type="character" w:customStyle="1" w:styleId="Heading5Char">
    <w:name w:val="Heading 5 Char"/>
    <w:basedOn w:val="DefaultParagraphFont"/>
    <w:link w:val="Heading5"/>
    <w:uiPriority w:val="9"/>
    <w:semiHidden/>
    <w:rsid w:val="00B56EEB"/>
    <w:rPr>
      <w:caps/>
      <w:color w:val="365F91" w:themeColor="accent1" w:themeShade="BF"/>
      <w:spacing w:val="10"/>
    </w:rPr>
  </w:style>
  <w:style w:type="character" w:customStyle="1" w:styleId="Heading6Char">
    <w:name w:val="Heading 6 Char"/>
    <w:basedOn w:val="DefaultParagraphFont"/>
    <w:link w:val="Heading6"/>
    <w:uiPriority w:val="9"/>
    <w:semiHidden/>
    <w:rsid w:val="00B56EEB"/>
    <w:rPr>
      <w:caps/>
      <w:color w:val="365F91" w:themeColor="accent1" w:themeShade="BF"/>
      <w:spacing w:val="10"/>
    </w:rPr>
  </w:style>
  <w:style w:type="character" w:customStyle="1" w:styleId="Heading7Char">
    <w:name w:val="Heading 7 Char"/>
    <w:basedOn w:val="DefaultParagraphFont"/>
    <w:link w:val="Heading7"/>
    <w:uiPriority w:val="9"/>
    <w:semiHidden/>
    <w:rsid w:val="00B56EEB"/>
    <w:rPr>
      <w:caps/>
      <w:color w:val="365F91" w:themeColor="accent1" w:themeShade="BF"/>
      <w:spacing w:val="10"/>
    </w:rPr>
  </w:style>
  <w:style w:type="character" w:customStyle="1" w:styleId="Heading8Char">
    <w:name w:val="Heading 8 Char"/>
    <w:basedOn w:val="DefaultParagraphFont"/>
    <w:link w:val="Heading8"/>
    <w:uiPriority w:val="9"/>
    <w:semiHidden/>
    <w:rsid w:val="00B56EEB"/>
    <w:rPr>
      <w:caps/>
      <w:spacing w:val="10"/>
      <w:sz w:val="18"/>
      <w:szCs w:val="18"/>
    </w:rPr>
  </w:style>
  <w:style w:type="character" w:customStyle="1" w:styleId="Heading9Char">
    <w:name w:val="Heading 9 Char"/>
    <w:basedOn w:val="DefaultParagraphFont"/>
    <w:link w:val="Heading9"/>
    <w:uiPriority w:val="9"/>
    <w:semiHidden/>
    <w:rsid w:val="00B56EEB"/>
    <w:rPr>
      <w:i/>
      <w:caps/>
      <w:spacing w:val="10"/>
      <w:sz w:val="18"/>
      <w:szCs w:val="18"/>
    </w:rPr>
  </w:style>
  <w:style w:type="paragraph" w:styleId="Caption">
    <w:name w:val="caption"/>
    <w:basedOn w:val="Normal"/>
    <w:next w:val="Normal"/>
    <w:uiPriority w:val="35"/>
    <w:semiHidden/>
    <w:unhideWhenUsed/>
    <w:qFormat/>
    <w:rsid w:val="00B56EEB"/>
    <w:rPr>
      <w:b/>
      <w:bCs/>
      <w:color w:val="365F91" w:themeColor="accent1" w:themeShade="BF"/>
      <w:sz w:val="16"/>
      <w:szCs w:val="16"/>
    </w:rPr>
  </w:style>
  <w:style w:type="paragraph" w:styleId="Title">
    <w:name w:val="Title"/>
    <w:basedOn w:val="Normal"/>
    <w:next w:val="Normal"/>
    <w:link w:val="TitleChar"/>
    <w:uiPriority w:val="10"/>
    <w:qFormat/>
    <w:rsid w:val="00B56EEB"/>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B56EEB"/>
    <w:rPr>
      <w:caps/>
      <w:color w:val="4F81BD" w:themeColor="accent1"/>
      <w:spacing w:val="10"/>
      <w:kern w:val="28"/>
      <w:sz w:val="52"/>
      <w:szCs w:val="52"/>
    </w:rPr>
  </w:style>
  <w:style w:type="paragraph" w:styleId="Subtitle">
    <w:name w:val="Subtitle"/>
    <w:basedOn w:val="Normal"/>
    <w:next w:val="Normal"/>
    <w:link w:val="SubtitleChar"/>
    <w:uiPriority w:val="11"/>
    <w:qFormat/>
    <w:rsid w:val="00B56EEB"/>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B56EEB"/>
    <w:rPr>
      <w:caps/>
      <w:color w:val="595959" w:themeColor="text1" w:themeTint="A6"/>
      <w:spacing w:val="10"/>
      <w:sz w:val="24"/>
      <w:szCs w:val="24"/>
    </w:rPr>
  </w:style>
  <w:style w:type="character" w:styleId="Strong">
    <w:name w:val="Strong"/>
    <w:uiPriority w:val="22"/>
    <w:qFormat/>
    <w:rsid w:val="00B56EEB"/>
    <w:rPr>
      <w:b/>
      <w:bCs/>
    </w:rPr>
  </w:style>
  <w:style w:type="character" w:styleId="Emphasis">
    <w:name w:val="Emphasis"/>
    <w:uiPriority w:val="20"/>
    <w:qFormat/>
    <w:rsid w:val="00B56EEB"/>
    <w:rPr>
      <w:caps/>
      <w:color w:val="243F60" w:themeColor="accent1" w:themeShade="7F"/>
      <w:spacing w:val="5"/>
    </w:rPr>
  </w:style>
  <w:style w:type="character" w:customStyle="1" w:styleId="NoSpacingChar">
    <w:name w:val="No Spacing Char"/>
    <w:basedOn w:val="DefaultParagraphFont"/>
    <w:link w:val="NoSpacing"/>
    <w:uiPriority w:val="1"/>
    <w:rsid w:val="00B56EEB"/>
    <w:rPr>
      <w:sz w:val="20"/>
      <w:szCs w:val="20"/>
    </w:rPr>
  </w:style>
  <w:style w:type="paragraph" w:styleId="Quote">
    <w:name w:val="Quote"/>
    <w:basedOn w:val="Normal"/>
    <w:next w:val="Normal"/>
    <w:link w:val="QuoteChar"/>
    <w:uiPriority w:val="29"/>
    <w:qFormat/>
    <w:rsid w:val="00B56EEB"/>
    <w:rPr>
      <w:i/>
      <w:iCs/>
    </w:rPr>
  </w:style>
  <w:style w:type="character" w:customStyle="1" w:styleId="QuoteChar">
    <w:name w:val="Quote Char"/>
    <w:basedOn w:val="DefaultParagraphFont"/>
    <w:link w:val="Quote"/>
    <w:uiPriority w:val="29"/>
    <w:rsid w:val="00B56EEB"/>
    <w:rPr>
      <w:i/>
      <w:iCs/>
      <w:sz w:val="20"/>
      <w:szCs w:val="20"/>
    </w:rPr>
  </w:style>
  <w:style w:type="paragraph" w:styleId="IntenseQuote">
    <w:name w:val="Intense Quote"/>
    <w:basedOn w:val="Normal"/>
    <w:next w:val="Normal"/>
    <w:link w:val="IntenseQuoteChar"/>
    <w:uiPriority w:val="30"/>
    <w:qFormat/>
    <w:rsid w:val="00B56EEB"/>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B56EEB"/>
    <w:rPr>
      <w:i/>
      <w:iCs/>
      <w:color w:val="4F81BD" w:themeColor="accent1"/>
      <w:sz w:val="20"/>
      <w:szCs w:val="20"/>
    </w:rPr>
  </w:style>
  <w:style w:type="character" w:styleId="SubtleEmphasis">
    <w:name w:val="Subtle Emphasis"/>
    <w:uiPriority w:val="19"/>
    <w:qFormat/>
    <w:rsid w:val="00B56EEB"/>
    <w:rPr>
      <w:i/>
      <w:iCs/>
      <w:color w:val="243F60" w:themeColor="accent1" w:themeShade="7F"/>
    </w:rPr>
  </w:style>
  <w:style w:type="character" w:styleId="IntenseEmphasis">
    <w:name w:val="Intense Emphasis"/>
    <w:uiPriority w:val="21"/>
    <w:qFormat/>
    <w:rsid w:val="00B56EEB"/>
    <w:rPr>
      <w:b/>
      <w:bCs/>
      <w:caps/>
      <w:color w:val="243F60" w:themeColor="accent1" w:themeShade="7F"/>
      <w:spacing w:val="10"/>
    </w:rPr>
  </w:style>
  <w:style w:type="character" w:styleId="SubtleReference">
    <w:name w:val="Subtle Reference"/>
    <w:uiPriority w:val="31"/>
    <w:qFormat/>
    <w:rsid w:val="00B56EEB"/>
    <w:rPr>
      <w:b/>
      <w:bCs/>
      <w:color w:val="4F81BD" w:themeColor="accent1"/>
    </w:rPr>
  </w:style>
  <w:style w:type="character" w:styleId="IntenseReference">
    <w:name w:val="Intense Reference"/>
    <w:uiPriority w:val="32"/>
    <w:qFormat/>
    <w:rsid w:val="00B56EEB"/>
    <w:rPr>
      <w:b/>
      <w:bCs/>
      <w:i/>
      <w:iCs/>
      <w:caps/>
      <w:color w:val="4F81BD" w:themeColor="accent1"/>
    </w:rPr>
  </w:style>
  <w:style w:type="character" w:styleId="BookTitle">
    <w:name w:val="Book Title"/>
    <w:uiPriority w:val="33"/>
    <w:qFormat/>
    <w:rsid w:val="00B56EEB"/>
    <w:rPr>
      <w:b/>
      <w:bCs/>
      <w:i/>
      <w:iCs/>
      <w:spacing w:val="9"/>
    </w:rPr>
  </w:style>
  <w:style w:type="paragraph" w:styleId="TOCHeading">
    <w:name w:val="TOC Heading"/>
    <w:basedOn w:val="Heading1"/>
    <w:next w:val="Normal"/>
    <w:uiPriority w:val="39"/>
    <w:semiHidden/>
    <w:unhideWhenUsed/>
    <w:qFormat/>
    <w:rsid w:val="00B56EEB"/>
    <w:pPr>
      <w:outlineLvl w:val="9"/>
    </w:pPr>
    <w:rPr>
      <w:lang w:bidi="en-US"/>
    </w:rPr>
  </w:style>
  <w:style w:type="paragraph" w:styleId="CommentText">
    <w:name w:val="annotation text"/>
    <w:basedOn w:val="Normal"/>
    <w:link w:val="CommentTextChar"/>
    <w:unhideWhenUsed/>
    <w:rsid w:val="004A4534"/>
    <w:pPr>
      <w:spacing w:before="0" w:after="0" w:line="240" w:lineRule="auto"/>
      <w:jc w:val="both"/>
    </w:pPr>
    <w:rPr>
      <w:rFonts w:eastAsia="Times New Roman" w:cs="Times New Roman"/>
    </w:rPr>
  </w:style>
  <w:style w:type="character" w:customStyle="1" w:styleId="CommentTextChar">
    <w:name w:val="Comment Text Char"/>
    <w:basedOn w:val="DefaultParagraphFont"/>
    <w:link w:val="CommentText"/>
    <w:rsid w:val="004A4534"/>
    <w:rPr>
      <w:rFonts w:eastAsia="Times New Roman" w:cs="Times New Roman"/>
      <w:sz w:val="20"/>
      <w:szCs w:val="20"/>
    </w:rPr>
  </w:style>
  <w:style w:type="table" w:styleId="TableGrid">
    <w:name w:val="Table Grid"/>
    <w:basedOn w:val="TableNormal"/>
    <w:uiPriority w:val="59"/>
    <w:rsid w:val="002105E2"/>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B514F"/>
    <w:rPr>
      <w:sz w:val="16"/>
      <w:szCs w:val="16"/>
    </w:rPr>
  </w:style>
  <w:style w:type="paragraph" w:styleId="CommentSubject">
    <w:name w:val="annotation subject"/>
    <w:basedOn w:val="CommentText"/>
    <w:next w:val="CommentText"/>
    <w:link w:val="CommentSubjectChar"/>
    <w:uiPriority w:val="99"/>
    <w:semiHidden/>
    <w:unhideWhenUsed/>
    <w:rsid w:val="002B514F"/>
    <w:pPr>
      <w:spacing w:before="200" w:after="200"/>
      <w:jc w:val="left"/>
    </w:pPr>
    <w:rPr>
      <w:rFonts w:eastAsiaTheme="minorEastAsia" w:cstheme="minorBidi"/>
      <w:b/>
      <w:bCs/>
    </w:rPr>
  </w:style>
  <w:style w:type="character" w:customStyle="1" w:styleId="CommentSubjectChar">
    <w:name w:val="Comment Subject Char"/>
    <w:basedOn w:val="CommentTextChar"/>
    <w:link w:val="CommentSubject"/>
    <w:uiPriority w:val="99"/>
    <w:semiHidden/>
    <w:rsid w:val="002B514F"/>
    <w:rPr>
      <w:rFonts w:eastAsia="Times New Roman" w:cs="Times New Roman"/>
      <w:b/>
      <w:bCs/>
      <w:sz w:val="20"/>
      <w:szCs w:val="20"/>
    </w:rPr>
  </w:style>
  <w:style w:type="paragraph" w:styleId="BalloonText">
    <w:name w:val="Balloon Text"/>
    <w:basedOn w:val="Normal"/>
    <w:link w:val="BalloonTextChar"/>
    <w:uiPriority w:val="99"/>
    <w:semiHidden/>
    <w:unhideWhenUsed/>
    <w:rsid w:val="002B514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14F"/>
    <w:rPr>
      <w:rFonts w:ascii="Tahoma" w:hAnsi="Tahoma" w:cs="Tahoma"/>
      <w:sz w:val="16"/>
      <w:szCs w:val="16"/>
    </w:rPr>
  </w:style>
  <w:style w:type="paragraph" w:styleId="Header">
    <w:name w:val="header"/>
    <w:basedOn w:val="Normal"/>
    <w:link w:val="HeaderChar"/>
    <w:uiPriority w:val="99"/>
    <w:unhideWhenUsed/>
    <w:rsid w:val="00A2270A"/>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A2270A"/>
    <w:rPr>
      <w:sz w:val="20"/>
      <w:szCs w:val="20"/>
    </w:rPr>
  </w:style>
  <w:style w:type="paragraph" w:styleId="Footer">
    <w:name w:val="footer"/>
    <w:basedOn w:val="Normal"/>
    <w:link w:val="FooterChar"/>
    <w:uiPriority w:val="99"/>
    <w:unhideWhenUsed/>
    <w:rsid w:val="00A2270A"/>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A2270A"/>
    <w:rPr>
      <w:sz w:val="20"/>
      <w:szCs w:val="20"/>
    </w:rPr>
  </w:style>
  <w:style w:type="paragraph" w:styleId="NormalWeb">
    <w:name w:val="Normal (Web)"/>
    <w:basedOn w:val="Normal"/>
    <w:uiPriority w:val="99"/>
    <w:unhideWhenUsed/>
    <w:rsid w:val="00A96DD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EEB"/>
    <w:rPr>
      <w:sz w:val="20"/>
      <w:szCs w:val="20"/>
    </w:rPr>
  </w:style>
  <w:style w:type="paragraph" w:styleId="Heading1">
    <w:name w:val="heading 1"/>
    <w:basedOn w:val="Normal"/>
    <w:next w:val="Normal"/>
    <w:link w:val="Heading1Char"/>
    <w:uiPriority w:val="9"/>
    <w:qFormat/>
    <w:rsid w:val="00B56EEB"/>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6E444A"/>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b/>
      <w:caps/>
      <w:spacing w:val="15"/>
      <w:sz w:val="22"/>
      <w:szCs w:val="22"/>
    </w:rPr>
  </w:style>
  <w:style w:type="paragraph" w:styleId="Heading3">
    <w:name w:val="heading 3"/>
    <w:basedOn w:val="Normal"/>
    <w:next w:val="Normal"/>
    <w:link w:val="Heading3Char"/>
    <w:uiPriority w:val="9"/>
    <w:unhideWhenUsed/>
    <w:qFormat/>
    <w:rsid w:val="00B93BAE"/>
    <w:pPr>
      <w:pBdr>
        <w:top w:val="single" w:sz="6" w:space="2" w:color="4F81BD" w:themeColor="accent1"/>
        <w:left w:val="single" w:sz="6" w:space="2" w:color="4F81BD" w:themeColor="accent1"/>
      </w:pBdr>
      <w:spacing w:before="300" w:after="0"/>
      <w:outlineLvl w:val="2"/>
    </w:pPr>
    <w:rPr>
      <w:b/>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B56EEB"/>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B56EEB"/>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B56EEB"/>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B56EEB"/>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B56EEB"/>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B56EEB"/>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56EEB"/>
    <w:pPr>
      <w:spacing w:before="0" w:after="0" w:line="240" w:lineRule="auto"/>
    </w:pPr>
  </w:style>
  <w:style w:type="paragraph" w:styleId="ListParagraph">
    <w:name w:val="List Paragraph"/>
    <w:aliases w:val="Table/Figure Heading,List Paragraph (numbered (a)),Lapis Bulleted List,Dot pt,F5 List Paragraph,List Paragraph1,No Spacing1,List Paragraph Char Char Char,Indicator Text,Numbered Para 1,Bullet 1,List Paragraph12,Bullet Points,MAIN CONTENT"/>
    <w:basedOn w:val="Normal"/>
    <w:link w:val="ListParagraphChar"/>
    <w:uiPriority w:val="34"/>
    <w:qFormat/>
    <w:rsid w:val="00B56EEB"/>
    <w:pPr>
      <w:ind w:left="720"/>
      <w:contextualSpacing/>
    </w:pPr>
  </w:style>
  <w:style w:type="character" w:customStyle="1" w:styleId="ListParagraphChar">
    <w:name w:val="List Paragraph Char"/>
    <w:aliases w:val="Table/Figure Heading Char,List Paragraph (numbered (a)) Char,Lapis Bulleted List Char,Dot pt Char,F5 List Paragraph Char,List Paragraph1 Char,No Spacing1 Char,List Paragraph Char Char Char Char,Indicator Text Char,Bullet 1 Char"/>
    <w:basedOn w:val="DefaultParagraphFont"/>
    <w:link w:val="ListParagraph"/>
    <w:uiPriority w:val="34"/>
    <w:rsid w:val="00FE38B3"/>
    <w:rPr>
      <w:sz w:val="20"/>
      <w:szCs w:val="20"/>
    </w:rPr>
  </w:style>
  <w:style w:type="character" w:styleId="Hyperlink">
    <w:name w:val="Hyperlink"/>
    <w:basedOn w:val="DefaultParagraphFont"/>
    <w:uiPriority w:val="99"/>
    <w:unhideWhenUsed/>
    <w:rsid w:val="00012A16"/>
    <w:rPr>
      <w:color w:val="0000FF"/>
      <w:u w:val="single"/>
    </w:rPr>
  </w:style>
  <w:style w:type="character" w:customStyle="1" w:styleId="apple-converted-space">
    <w:name w:val="apple-converted-space"/>
    <w:basedOn w:val="DefaultParagraphFont"/>
    <w:rsid w:val="00012A16"/>
  </w:style>
  <w:style w:type="character" w:customStyle="1" w:styleId="Heading3Char">
    <w:name w:val="Heading 3 Char"/>
    <w:basedOn w:val="DefaultParagraphFont"/>
    <w:link w:val="Heading3"/>
    <w:uiPriority w:val="9"/>
    <w:rsid w:val="00B93BAE"/>
    <w:rPr>
      <w:b/>
      <w:caps/>
      <w:color w:val="243F60" w:themeColor="accent1" w:themeShade="7F"/>
      <w:spacing w:val="15"/>
    </w:rPr>
  </w:style>
  <w:style w:type="character" w:customStyle="1" w:styleId="Heading2Char">
    <w:name w:val="Heading 2 Char"/>
    <w:basedOn w:val="DefaultParagraphFont"/>
    <w:link w:val="Heading2"/>
    <w:uiPriority w:val="9"/>
    <w:rsid w:val="006E444A"/>
    <w:rPr>
      <w:b/>
      <w:caps/>
      <w:spacing w:val="15"/>
      <w:shd w:val="clear" w:color="auto" w:fill="DBE5F1" w:themeFill="accent1" w:themeFillTint="33"/>
    </w:rPr>
  </w:style>
  <w:style w:type="paragraph" w:customStyle="1" w:styleId="Default">
    <w:name w:val="Default"/>
    <w:rsid w:val="008D3928"/>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2E7C94"/>
    <w:pPr>
      <w:spacing w:after="0" w:line="240" w:lineRule="auto"/>
    </w:pPr>
  </w:style>
  <w:style w:type="character" w:customStyle="1" w:styleId="FootnoteTextChar">
    <w:name w:val="Footnote Text Char"/>
    <w:basedOn w:val="DefaultParagraphFont"/>
    <w:link w:val="FootnoteText"/>
    <w:uiPriority w:val="99"/>
    <w:semiHidden/>
    <w:rsid w:val="002E7C94"/>
    <w:rPr>
      <w:sz w:val="20"/>
      <w:szCs w:val="20"/>
    </w:rPr>
  </w:style>
  <w:style w:type="character" w:styleId="FootnoteReference">
    <w:name w:val="footnote reference"/>
    <w:basedOn w:val="DefaultParagraphFont"/>
    <w:uiPriority w:val="99"/>
    <w:semiHidden/>
    <w:unhideWhenUsed/>
    <w:rsid w:val="002E7C94"/>
    <w:rPr>
      <w:vertAlign w:val="superscript"/>
    </w:rPr>
  </w:style>
  <w:style w:type="character" w:customStyle="1" w:styleId="Heading1Char">
    <w:name w:val="Heading 1 Char"/>
    <w:basedOn w:val="DefaultParagraphFont"/>
    <w:link w:val="Heading1"/>
    <w:uiPriority w:val="9"/>
    <w:rsid w:val="00B56EEB"/>
    <w:rPr>
      <w:b/>
      <w:bCs/>
      <w:caps/>
      <w:color w:val="FFFFFF" w:themeColor="background1"/>
      <w:spacing w:val="15"/>
      <w:shd w:val="clear" w:color="auto" w:fill="4F81BD" w:themeFill="accent1"/>
    </w:rPr>
  </w:style>
  <w:style w:type="character" w:customStyle="1" w:styleId="Heading4Char">
    <w:name w:val="Heading 4 Char"/>
    <w:basedOn w:val="DefaultParagraphFont"/>
    <w:link w:val="Heading4"/>
    <w:uiPriority w:val="9"/>
    <w:semiHidden/>
    <w:rsid w:val="00B56EEB"/>
    <w:rPr>
      <w:caps/>
      <w:color w:val="365F91" w:themeColor="accent1" w:themeShade="BF"/>
      <w:spacing w:val="10"/>
    </w:rPr>
  </w:style>
  <w:style w:type="character" w:customStyle="1" w:styleId="Heading5Char">
    <w:name w:val="Heading 5 Char"/>
    <w:basedOn w:val="DefaultParagraphFont"/>
    <w:link w:val="Heading5"/>
    <w:uiPriority w:val="9"/>
    <w:semiHidden/>
    <w:rsid w:val="00B56EEB"/>
    <w:rPr>
      <w:caps/>
      <w:color w:val="365F91" w:themeColor="accent1" w:themeShade="BF"/>
      <w:spacing w:val="10"/>
    </w:rPr>
  </w:style>
  <w:style w:type="character" w:customStyle="1" w:styleId="Heading6Char">
    <w:name w:val="Heading 6 Char"/>
    <w:basedOn w:val="DefaultParagraphFont"/>
    <w:link w:val="Heading6"/>
    <w:uiPriority w:val="9"/>
    <w:semiHidden/>
    <w:rsid w:val="00B56EEB"/>
    <w:rPr>
      <w:caps/>
      <w:color w:val="365F91" w:themeColor="accent1" w:themeShade="BF"/>
      <w:spacing w:val="10"/>
    </w:rPr>
  </w:style>
  <w:style w:type="character" w:customStyle="1" w:styleId="Heading7Char">
    <w:name w:val="Heading 7 Char"/>
    <w:basedOn w:val="DefaultParagraphFont"/>
    <w:link w:val="Heading7"/>
    <w:uiPriority w:val="9"/>
    <w:semiHidden/>
    <w:rsid w:val="00B56EEB"/>
    <w:rPr>
      <w:caps/>
      <w:color w:val="365F91" w:themeColor="accent1" w:themeShade="BF"/>
      <w:spacing w:val="10"/>
    </w:rPr>
  </w:style>
  <w:style w:type="character" w:customStyle="1" w:styleId="Heading8Char">
    <w:name w:val="Heading 8 Char"/>
    <w:basedOn w:val="DefaultParagraphFont"/>
    <w:link w:val="Heading8"/>
    <w:uiPriority w:val="9"/>
    <w:semiHidden/>
    <w:rsid w:val="00B56EEB"/>
    <w:rPr>
      <w:caps/>
      <w:spacing w:val="10"/>
      <w:sz w:val="18"/>
      <w:szCs w:val="18"/>
    </w:rPr>
  </w:style>
  <w:style w:type="character" w:customStyle="1" w:styleId="Heading9Char">
    <w:name w:val="Heading 9 Char"/>
    <w:basedOn w:val="DefaultParagraphFont"/>
    <w:link w:val="Heading9"/>
    <w:uiPriority w:val="9"/>
    <w:semiHidden/>
    <w:rsid w:val="00B56EEB"/>
    <w:rPr>
      <w:i/>
      <w:caps/>
      <w:spacing w:val="10"/>
      <w:sz w:val="18"/>
      <w:szCs w:val="18"/>
    </w:rPr>
  </w:style>
  <w:style w:type="paragraph" w:styleId="Caption">
    <w:name w:val="caption"/>
    <w:basedOn w:val="Normal"/>
    <w:next w:val="Normal"/>
    <w:uiPriority w:val="35"/>
    <w:semiHidden/>
    <w:unhideWhenUsed/>
    <w:qFormat/>
    <w:rsid w:val="00B56EEB"/>
    <w:rPr>
      <w:b/>
      <w:bCs/>
      <w:color w:val="365F91" w:themeColor="accent1" w:themeShade="BF"/>
      <w:sz w:val="16"/>
      <w:szCs w:val="16"/>
    </w:rPr>
  </w:style>
  <w:style w:type="paragraph" w:styleId="Title">
    <w:name w:val="Title"/>
    <w:basedOn w:val="Normal"/>
    <w:next w:val="Normal"/>
    <w:link w:val="TitleChar"/>
    <w:uiPriority w:val="10"/>
    <w:qFormat/>
    <w:rsid w:val="00B56EEB"/>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B56EEB"/>
    <w:rPr>
      <w:caps/>
      <w:color w:val="4F81BD" w:themeColor="accent1"/>
      <w:spacing w:val="10"/>
      <w:kern w:val="28"/>
      <w:sz w:val="52"/>
      <w:szCs w:val="52"/>
    </w:rPr>
  </w:style>
  <w:style w:type="paragraph" w:styleId="Subtitle">
    <w:name w:val="Subtitle"/>
    <w:basedOn w:val="Normal"/>
    <w:next w:val="Normal"/>
    <w:link w:val="SubtitleChar"/>
    <w:uiPriority w:val="11"/>
    <w:qFormat/>
    <w:rsid w:val="00B56EEB"/>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B56EEB"/>
    <w:rPr>
      <w:caps/>
      <w:color w:val="595959" w:themeColor="text1" w:themeTint="A6"/>
      <w:spacing w:val="10"/>
      <w:sz w:val="24"/>
      <w:szCs w:val="24"/>
    </w:rPr>
  </w:style>
  <w:style w:type="character" w:styleId="Strong">
    <w:name w:val="Strong"/>
    <w:uiPriority w:val="22"/>
    <w:qFormat/>
    <w:rsid w:val="00B56EEB"/>
    <w:rPr>
      <w:b/>
      <w:bCs/>
    </w:rPr>
  </w:style>
  <w:style w:type="character" w:styleId="Emphasis">
    <w:name w:val="Emphasis"/>
    <w:uiPriority w:val="20"/>
    <w:qFormat/>
    <w:rsid w:val="00B56EEB"/>
    <w:rPr>
      <w:caps/>
      <w:color w:val="243F60" w:themeColor="accent1" w:themeShade="7F"/>
      <w:spacing w:val="5"/>
    </w:rPr>
  </w:style>
  <w:style w:type="character" w:customStyle="1" w:styleId="NoSpacingChar">
    <w:name w:val="No Spacing Char"/>
    <w:basedOn w:val="DefaultParagraphFont"/>
    <w:link w:val="NoSpacing"/>
    <w:uiPriority w:val="1"/>
    <w:rsid w:val="00B56EEB"/>
    <w:rPr>
      <w:sz w:val="20"/>
      <w:szCs w:val="20"/>
    </w:rPr>
  </w:style>
  <w:style w:type="paragraph" w:styleId="Quote">
    <w:name w:val="Quote"/>
    <w:basedOn w:val="Normal"/>
    <w:next w:val="Normal"/>
    <w:link w:val="QuoteChar"/>
    <w:uiPriority w:val="29"/>
    <w:qFormat/>
    <w:rsid w:val="00B56EEB"/>
    <w:rPr>
      <w:i/>
      <w:iCs/>
    </w:rPr>
  </w:style>
  <w:style w:type="character" w:customStyle="1" w:styleId="QuoteChar">
    <w:name w:val="Quote Char"/>
    <w:basedOn w:val="DefaultParagraphFont"/>
    <w:link w:val="Quote"/>
    <w:uiPriority w:val="29"/>
    <w:rsid w:val="00B56EEB"/>
    <w:rPr>
      <w:i/>
      <w:iCs/>
      <w:sz w:val="20"/>
      <w:szCs w:val="20"/>
    </w:rPr>
  </w:style>
  <w:style w:type="paragraph" w:styleId="IntenseQuote">
    <w:name w:val="Intense Quote"/>
    <w:basedOn w:val="Normal"/>
    <w:next w:val="Normal"/>
    <w:link w:val="IntenseQuoteChar"/>
    <w:uiPriority w:val="30"/>
    <w:qFormat/>
    <w:rsid w:val="00B56EEB"/>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B56EEB"/>
    <w:rPr>
      <w:i/>
      <w:iCs/>
      <w:color w:val="4F81BD" w:themeColor="accent1"/>
      <w:sz w:val="20"/>
      <w:szCs w:val="20"/>
    </w:rPr>
  </w:style>
  <w:style w:type="character" w:styleId="SubtleEmphasis">
    <w:name w:val="Subtle Emphasis"/>
    <w:uiPriority w:val="19"/>
    <w:qFormat/>
    <w:rsid w:val="00B56EEB"/>
    <w:rPr>
      <w:i/>
      <w:iCs/>
      <w:color w:val="243F60" w:themeColor="accent1" w:themeShade="7F"/>
    </w:rPr>
  </w:style>
  <w:style w:type="character" w:styleId="IntenseEmphasis">
    <w:name w:val="Intense Emphasis"/>
    <w:uiPriority w:val="21"/>
    <w:qFormat/>
    <w:rsid w:val="00B56EEB"/>
    <w:rPr>
      <w:b/>
      <w:bCs/>
      <w:caps/>
      <w:color w:val="243F60" w:themeColor="accent1" w:themeShade="7F"/>
      <w:spacing w:val="10"/>
    </w:rPr>
  </w:style>
  <w:style w:type="character" w:styleId="SubtleReference">
    <w:name w:val="Subtle Reference"/>
    <w:uiPriority w:val="31"/>
    <w:qFormat/>
    <w:rsid w:val="00B56EEB"/>
    <w:rPr>
      <w:b/>
      <w:bCs/>
      <w:color w:val="4F81BD" w:themeColor="accent1"/>
    </w:rPr>
  </w:style>
  <w:style w:type="character" w:styleId="IntenseReference">
    <w:name w:val="Intense Reference"/>
    <w:uiPriority w:val="32"/>
    <w:qFormat/>
    <w:rsid w:val="00B56EEB"/>
    <w:rPr>
      <w:b/>
      <w:bCs/>
      <w:i/>
      <w:iCs/>
      <w:caps/>
      <w:color w:val="4F81BD" w:themeColor="accent1"/>
    </w:rPr>
  </w:style>
  <w:style w:type="character" w:styleId="BookTitle">
    <w:name w:val="Book Title"/>
    <w:uiPriority w:val="33"/>
    <w:qFormat/>
    <w:rsid w:val="00B56EEB"/>
    <w:rPr>
      <w:b/>
      <w:bCs/>
      <w:i/>
      <w:iCs/>
      <w:spacing w:val="9"/>
    </w:rPr>
  </w:style>
  <w:style w:type="paragraph" w:styleId="TOCHeading">
    <w:name w:val="TOC Heading"/>
    <w:basedOn w:val="Heading1"/>
    <w:next w:val="Normal"/>
    <w:uiPriority w:val="39"/>
    <w:semiHidden/>
    <w:unhideWhenUsed/>
    <w:qFormat/>
    <w:rsid w:val="00B56EEB"/>
    <w:pPr>
      <w:outlineLvl w:val="9"/>
    </w:pPr>
    <w:rPr>
      <w:lang w:bidi="en-US"/>
    </w:rPr>
  </w:style>
  <w:style w:type="paragraph" w:styleId="CommentText">
    <w:name w:val="annotation text"/>
    <w:basedOn w:val="Normal"/>
    <w:link w:val="CommentTextChar"/>
    <w:unhideWhenUsed/>
    <w:rsid w:val="004A4534"/>
    <w:pPr>
      <w:spacing w:before="0" w:after="0" w:line="240" w:lineRule="auto"/>
      <w:jc w:val="both"/>
    </w:pPr>
    <w:rPr>
      <w:rFonts w:eastAsia="Times New Roman" w:cs="Times New Roman"/>
    </w:rPr>
  </w:style>
  <w:style w:type="character" w:customStyle="1" w:styleId="CommentTextChar">
    <w:name w:val="Comment Text Char"/>
    <w:basedOn w:val="DefaultParagraphFont"/>
    <w:link w:val="CommentText"/>
    <w:rsid w:val="004A4534"/>
    <w:rPr>
      <w:rFonts w:eastAsia="Times New Roman" w:cs="Times New Roman"/>
      <w:sz w:val="20"/>
      <w:szCs w:val="20"/>
    </w:rPr>
  </w:style>
  <w:style w:type="table" w:styleId="TableGrid">
    <w:name w:val="Table Grid"/>
    <w:basedOn w:val="TableNormal"/>
    <w:uiPriority w:val="59"/>
    <w:rsid w:val="002105E2"/>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B514F"/>
    <w:rPr>
      <w:sz w:val="16"/>
      <w:szCs w:val="16"/>
    </w:rPr>
  </w:style>
  <w:style w:type="paragraph" w:styleId="CommentSubject">
    <w:name w:val="annotation subject"/>
    <w:basedOn w:val="CommentText"/>
    <w:next w:val="CommentText"/>
    <w:link w:val="CommentSubjectChar"/>
    <w:uiPriority w:val="99"/>
    <w:semiHidden/>
    <w:unhideWhenUsed/>
    <w:rsid w:val="002B514F"/>
    <w:pPr>
      <w:spacing w:before="200" w:after="200"/>
      <w:jc w:val="left"/>
    </w:pPr>
    <w:rPr>
      <w:rFonts w:eastAsiaTheme="minorEastAsia" w:cstheme="minorBidi"/>
      <w:b/>
      <w:bCs/>
    </w:rPr>
  </w:style>
  <w:style w:type="character" w:customStyle="1" w:styleId="CommentSubjectChar">
    <w:name w:val="Comment Subject Char"/>
    <w:basedOn w:val="CommentTextChar"/>
    <w:link w:val="CommentSubject"/>
    <w:uiPriority w:val="99"/>
    <w:semiHidden/>
    <w:rsid w:val="002B514F"/>
    <w:rPr>
      <w:rFonts w:eastAsia="Times New Roman" w:cs="Times New Roman"/>
      <w:b/>
      <w:bCs/>
      <w:sz w:val="20"/>
      <w:szCs w:val="20"/>
    </w:rPr>
  </w:style>
  <w:style w:type="paragraph" w:styleId="BalloonText">
    <w:name w:val="Balloon Text"/>
    <w:basedOn w:val="Normal"/>
    <w:link w:val="BalloonTextChar"/>
    <w:uiPriority w:val="99"/>
    <w:semiHidden/>
    <w:unhideWhenUsed/>
    <w:rsid w:val="002B514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14F"/>
    <w:rPr>
      <w:rFonts w:ascii="Tahoma" w:hAnsi="Tahoma" w:cs="Tahoma"/>
      <w:sz w:val="16"/>
      <w:szCs w:val="16"/>
    </w:rPr>
  </w:style>
  <w:style w:type="paragraph" w:styleId="Header">
    <w:name w:val="header"/>
    <w:basedOn w:val="Normal"/>
    <w:link w:val="HeaderChar"/>
    <w:uiPriority w:val="99"/>
    <w:unhideWhenUsed/>
    <w:rsid w:val="00A2270A"/>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A2270A"/>
    <w:rPr>
      <w:sz w:val="20"/>
      <w:szCs w:val="20"/>
    </w:rPr>
  </w:style>
  <w:style w:type="paragraph" w:styleId="Footer">
    <w:name w:val="footer"/>
    <w:basedOn w:val="Normal"/>
    <w:link w:val="FooterChar"/>
    <w:uiPriority w:val="99"/>
    <w:unhideWhenUsed/>
    <w:rsid w:val="00A2270A"/>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A2270A"/>
    <w:rPr>
      <w:sz w:val="20"/>
      <w:szCs w:val="20"/>
    </w:rPr>
  </w:style>
  <w:style w:type="paragraph" w:styleId="NormalWeb">
    <w:name w:val="Normal (Web)"/>
    <w:basedOn w:val="Normal"/>
    <w:uiPriority w:val="99"/>
    <w:unhideWhenUsed/>
    <w:rsid w:val="00A96DD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39961">
      <w:bodyDiv w:val="1"/>
      <w:marLeft w:val="0"/>
      <w:marRight w:val="0"/>
      <w:marTop w:val="0"/>
      <w:marBottom w:val="0"/>
      <w:divBdr>
        <w:top w:val="none" w:sz="0" w:space="0" w:color="auto"/>
        <w:left w:val="none" w:sz="0" w:space="0" w:color="auto"/>
        <w:bottom w:val="none" w:sz="0" w:space="0" w:color="auto"/>
        <w:right w:val="none" w:sz="0" w:space="0" w:color="auto"/>
      </w:divBdr>
      <w:divsChild>
        <w:div w:id="470752294">
          <w:marLeft w:val="547"/>
          <w:marRight w:val="0"/>
          <w:marTop w:val="96"/>
          <w:marBottom w:val="0"/>
          <w:divBdr>
            <w:top w:val="none" w:sz="0" w:space="0" w:color="auto"/>
            <w:left w:val="none" w:sz="0" w:space="0" w:color="auto"/>
            <w:bottom w:val="none" w:sz="0" w:space="0" w:color="auto"/>
            <w:right w:val="none" w:sz="0" w:space="0" w:color="auto"/>
          </w:divBdr>
        </w:div>
        <w:div w:id="317733245">
          <w:marLeft w:val="547"/>
          <w:marRight w:val="0"/>
          <w:marTop w:val="96"/>
          <w:marBottom w:val="0"/>
          <w:divBdr>
            <w:top w:val="none" w:sz="0" w:space="0" w:color="auto"/>
            <w:left w:val="none" w:sz="0" w:space="0" w:color="auto"/>
            <w:bottom w:val="none" w:sz="0" w:space="0" w:color="auto"/>
            <w:right w:val="none" w:sz="0" w:space="0" w:color="auto"/>
          </w:divBdr>
        </w:div>
      </w:divsChild>
    </w:div>
    <w:div w:id="215701063">
      <w:bodyDiv w:val="1"/>
      <w:marLeft w:val="0"/>
      <w:marRight w:val="0"/>
      <w:marTop w:val="0"/>
      <w:marBottom w:val="0"/>
      <w:divBdr>
        <w:top w:val="none" w:sz="0" w:space="0" w:color="auto"/>
        <w:left w:val="none" w:sz="0" w:space="0" w:color="auto"/>
        <w:bottom w:val="none" w:sz="0" w:space="0" w:color="auto"/>
        <w:right w:val="none" w:sz="0" w:space="0" w:color="auto"/>
      </w:divBdr>
    </w:div>
    <w:div w:id="444545570">
      <w:bodyDiv w:val="1"/>
      <w:marLeft w:val="0"/>
      <w:marRight w:val="0"/>
      <w:marTop w:val="0"/>
      <w:marBottom w:val="0"/>
      <w:divBdr>
        <w:top w:val="none" w:sz="0" w:space="0" w:color="auto"/>
        <w:left w:val="none" w:sz="0" w:space="0" w:color="auto"/>
        <w:bottom w:val="none" w:sz="0" w:space="0" w:color="auto"/>
        <w:right w:val="none" w:sz="0" w:space="0" w:color="auto"/>
      </w:divBdr>
    </w:div>
    <w:div w:id="615600344">
      <w:bodyDiv w:val="1"/>
      <w:marLeft w:val="0"/>
      <w:marRight w:val="0"/>
      <w:marTop w:val="0"/>
      <w:marBottom w:val="0"/>
      <w:divBdr>
        <w:top w:val="none" w:sz="0" w:space="0" w:color="auto"/>
        <w:left w:val="none" w:sz="0" w:space="0" w:color="auto"/>
        <w:bottom w:val="none" w:sz="0" w:space="0" w:color="auto"/>
        <w:right w:val="none" w:sz="0" w:space="0" w:color="auto"/>
      </w:divBdr>
    </w:div>
    <w:div w:id="1016425874">
      <w:bodyDiv w:val="1"/>
      <w:marLeft w:val="0"/>
      <w:marRight w:val="0"/>
      <w:marTop w:val="0"/>
      <w:marBottom w:val="0"/>
      <w:divBdr>
        <w:top w:val="none" w:sz="0" w:space="0" w:color="auto"/>
        <w:left w:val="none" w:sz="0" w:space="0" w:color="auto"/>
        <w:bottom w:val="none" w:sz="0" w:space="0" w:color="auto"/>
        <w:right w:val="none" w:sz="0" w:space="0" w:color="auto"/>
      </w:divBdr>
    </w:div>
    <w:div w:id="1042292128">
      <w:bodyDiv w:val="1"/>
      <w:marLeft w:val="0"/>
      <w:marRight w:val="0"/>
      <w:marTop w:val="0"/>
      <w:marBottom w:val="0"/>
      <w:divBdr>
        <w:top w:val="none" w:sz="0" w:space="0" w:color="auto"/>
        <w:left w:val="none" w:sz="0" w:space="0" w:color="auto"/>
        <w:bottom w:val="none" w:sz="0" w:space="0" w:color="auto"/>
        <w:right w:val="none" w:sz="0" w:space="0" w:color="auto"/>
      </w:divBdr>
      <w:divsChild>
        <w:div w:id="47071922">
          <w:marLeft w:val="0"/>
          <w:marRight w:val="0"/>
          <w:marTop w:val="0"/>
          <w:marBottom w:val="0"/>
          <w:divBdr>
            <w:top w:val="none" w:sz="0" w:space="0" w:color="auto"/>
            <w:left w:val="none" w:sz="0" w:space="0" w:color="auto"/>
            <w:bottom w:val="none" w:sz="0" w:space="0" w:color="auto"/>
            <w:right w:val="none" w:sz="0" w:space="0" w:color="auto"/>
          </w:divBdr>
          <w:divsChild>
            <w:div w:id="187380503">
              <w:marLeft w:val="0"/>
              <w:marRight w:val="0"/>
              <w:marTop w:val="0"/>
              <w:marBottom w:val="0"/>
              <w:divBdr>
                <w:top w:val="none" w:sz="0" w:space="0" w:color="auto"/>
                <w:left w:val="none" w:sz="0" w:space="0" w:color="auto"/>
                <w:bottom w:val="none" w:sz="0" w:space="0" w:color="auto"/>
                <w:right w:val="none" w:sz="0" w:space="0" w:color="auto"/>
              </w:divBdr>
              <w:divsChild>
                <w:div w:id="1524244209">
                  <w:marLeft w:val="0"/>
                  <w:marRight w:val="0"/>
                  <w:marTop w:val="0"/>
                  <w:marBottom w:val="0"/>
                  <w:divBdr>
                    <w:top w:val="none" w:sz="0" w:space="0" w:color="auto"/>
                    <w:left w:val="none" w:sz="0" w:space="0" w:color="auto"/>
                    <w:bottom w:val="none" w:sz="0" w:space="0" w:color="auto"/>
                    <w:right w:val="none" w:sz="0" w:space="0" w:color="auto"/>
                  </w:divBdr>
                  <w:divsChild>
                    <w:div w:id="1790736054">
                      <w:marLeft w:val="0"/>
                      <w:marRight w:val="0"/>
                      <w:marTop w:val="0"/>
                      <w:marBottom w:val="0"/>
                      <w:divBdr>
                        <w:top w:val="none" w:sz="0" w:space="0" w:color="auto"/>
                        <w:left w:val="none" w:sz="0" w:space="0" w:color="auto"/>
                        <w:bottom w:val="none" w:sz="0" w:space="0" w:color="auto"/>
                        <w:right w:val="none" w:sz="0" w:space="0" w:color="auto"/>
                      </w:divBdr>
                      <w:divsChild>
                        <w:div w:id="1179198412">
                          <w:marLeft w:val="0"/>
                          <w:marRight w:val="0"/>
                          <w:marTop w:val="0"/>
                          <w:marBottom w:val="0"/>
                          <w:divBdr>
                            <w:top w:val="none" w:sz="0" w:space="0" w:color="auto"/>
                            <w:left w:val="none" w:sz="0" w:space="0" w:color="auto"/>
                            <w:bottom w:val="none" w:sz="0" w:space="0" w:color="auto"/>
                            <w:right w:val="none" w:sz="0" w:space="0" w:color="auto"/>
                          </w:divBdr>
                          <w:divsChild>
                            <w:div w:id="539322237">
                              <w:marLeft w:val="0"/>
                              <w:marRight w:val="0"/>
                              <w:marTop w:val="0"/>
                              <w:marBottom w:val="0"/>
                              <w:divBdr>
                                <w:top w:val="none" w:sz="0" w:space="0" w:color="auto"/>
                                <w:left w:val="none" w:sz="0" w:space="0" w:color="auto"/>
                                <w:bottom w:val="none" w:sz="0" w:space="0" w:color="auto"/>
                                <w:right w:val="none" w:sz="0" w:space="0" w:color="auto"/>
                              </w:divBdr>
                              <w:divsChild>
                                <w:div w:id="271328329">
                                  <w:marLeft w:val="0"/>
                                  <w:marRight w:val="0"/>
                                  <w:marTop w:val="0"/>
                                  <w:marBottom w:val="0"/>
                                  <w:divBdr>
                                    <w:top w:val="none" w:sz="0" w:space="0" w:color="auto"/>
                                    <w:left w:val="none" w:sz="0" w:space="0" w:color="auto"/>
                                    <w:bottom w:val="none" w:sz="0" w:space="0" w:color="auto"/>
                                    <w:right w:val="none" w:sz="0" w:space="0" w:color="auto"/>
                                  </w:divBdr>
                                  <w:divsChild>
                                    <w:div w:id="44958400">
                                      <w:marLeft w:val="0"/>
                                      <w:marRight w:val="0"/>
                                      <w:marTop w:val="0"/>
                                      <w:marBottom w:val="0"/>
                                      <w:divBdr>
                                        <w:top w:val="none" w:sz="0" w:space="0" w:color="auto"/>
                                        <w:left w:val="none" w:sz="0" w:space="0" w:color="auto"/>
                                        <w:bottom w:val="none" w:sz="0" w:space="0" w:color="auto"/>
                                        <w:right w:val="none" w:sz="0" w:space="0" w:color="auto"/>
                                      </w:divBdr>
                                      <w:divsChild>
                                        <w:div w:id="480535506">
                                          <w:marLeft w:val="0"/>
                                          <w:marRight w:val="0"/>
                                          <w:marTop w:val="0"/>
                                          <w:marBottom w:val="0"/>
                                          <w:divBdr>
                                            <w:top w:val="none" w:sz="0" w:space="0" w:color="auto"/>
                                            <w:left w:val="none" w:sz="0" w:space="0" w:color="auto"/>
                                            <w:bottom w:val="none" w:sz="0" w:space="0" w:color="auto"/>
                                            <w:right w:val="none" w:sz="0" w:space="0" w:color="auto"/>
                                          </w:divBdr>
                                          <w:divsChild>
                                            <w:div w:id="145012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3968234">
      <w:bodyDiv w:val="1"/>
      <w:marLeft w:val="0"/>
      <w:marRight w:val="0"/>
      <w:marTop w:val="0"/>
      <w:marBottom w:val="0"/>
      <w:divBdr>
        <w:top w:val="none" w:sz="0" w:space="0" w:color="auto"/>
        <w:left w:val="none" w:sz="0" w:space="0" w:color="auto"/>
        <w:bottom w:val="none" w:sz="0" w:space="0" w:color="auto"/>
        <w:right w:val="none" w:sz="0" w:space="0" w:color="auto"/>
      </w:divBdr>
      <w:divsChild>
        <w:div w:id="772750822">
          <w:marLeft w:val="1166"/>
          <w:marRight w:val="0"/>
          <w:marTop w:val="96"/>
          <w:marBottom w:val="0"/>
          <w:divBdr>
            <w:top w:val="none" w:sz="0" w:space="0" w:color="auto"/>
            <w:left w:val="none" w:sz="0" w:space="0" w:color="auto"/>
            <w:bottom w:val="none" w:sz="0" w:space="0" w:color="auto"/>
            <w:right w:val="none" w:sz="0" w:space="0" w:color="auto"/>
          </w:divBdr>
        </w:div>
        <w:div w:id="342053398">
          <w:marLeft w:val="1800"/>
          <w:marRight w:val="0"/>
          <w:marTop w:val="86"/>
          <w:marBottom w:val="0"/>
          <w:divBdr>
            <w:top w:val="none" w:sz="0" w:space="0" w:color="auto"/>
            <w:left w:val="none" w:sz="0" w:space="0" w:color="auto"/>
            <w:bottom w:val="none" w:sz="0" w:space="0" w:color="auto"/>
            <w:right w:val="none" w:sz="0" w:space="0" w:color="auto"/>
          </w:divBdr>
        </w:div>
        <w:div w:id="1897858535">
          <w:marLeft w:val="1800"/>
          <w:marRight w:val="0"/>
          <w:marTop w:val="86"/>
          <w:marBottom w:val="0"/>
          <w:divBdr>
            <w:top w:val="none" w:sz="0" w:space="0" w:color="auto"/>
            <w:left w:val="none" w:sz="0" w:space="0" w:color="auto"/>
            <w:bottom w:val="none" w:sz="0" w:space="0" w:color="auto"/>
            <w:right w:val="none" w:sz="0" w:space="0" w:color="auto"/>
          </w:divBdr>
        </w:div>
        <w:div w:id="524250891">
          <w:marLeft w:val="1166"/>
          <w:marRight w:val="0"/>
          <w:marTop w:val="96"/>
          <w:marBottom w:val="0"/>
          <w:divBdr>
            <w:top w:val="none" w:sz="0" w:space="0" w:color="auto"/>
            <w:left w:val="none" w:sz="0" w:space="0" w:color="auto"/>
            <w:bottom w:val="none" w:sz="0" w:space="0" w:color="auto"/>
            <w:right w:val="none" w:sz="0" w:space="0" w:color="auto"/>
          </w:divBdr>
        </w:div>
        <w:div w:id="1098255620">
          <w:marLeft w:val="1800"/>
          <w:marRight w:val="0"/>
          <w:marTop w:val="86"/>
          <w:marBottom w:val="0"/>
          <w:divBdr>
            <w:top w:val="none" w:sz="0" w:space="0" w:color="auto"/>
            <w:left w:val="none" w:sz="0" w:space="0" w:color="auto"/>
            <w:bottom w:val="none" w:sz="0" w:space="0" w:color="auto"/>
            <w:right w:val="none" w:sz="0" w:space="0" w:color="auto"/>
          </w:divBdr>
        </w:div>
        <w:div w:id="593249869">
          <w:marLeft w:val="1800"/>
          <w:marRight w:val="0"/>
          <w:marTop w:val="86"/>
          <w:marBottom w:val="0"/>
          <w:divBdr>
            <w:top w:val="none" w:sz="0" w:space="0" w:color="auto"/>
            <w:left w:val="none" w:sz="0" w:space="0" w:color="auto"/>
            <w:bottom w:val="none" w:sz="0" w:space="0" w:color="auto"/>
            <w:right w:val="none" w:sz="0" w:space="0" w:color="auto"/>
          </w:divBdr>
        </w:div>
        <w:div w:id="412361888">
          <w:marLeft w:val="1800"/>
          <w:marRight w:val="0"/>
          <w:marTop w:val="86"/>
          <w:marBottom w:val="0"/>
          <w:divBdr>
            <w:top w:val="none" w:sz="0" w:space="0" w:color="auto"/>
            <w:left w:val="none" w:sz="0" w:space="0" w:color="auto"/>
            <w:bottom w:val="none" w:sz="0" w:space="0" w:color="auto"/>
            <w:right w:val="none" w:sz="0" w:space="0" w:color="auto"/>
          </w:divBdr>
        </w:div>
        <w:div w:id="1943296102">
          <w:marLeft w:val="1166"/>
          <w:marRight w:val="0"/>
          <w:marTop w:val="96"/>
          <w:marBottom w:val="0"/>
          <w:divBdr>
            <w:top w:val="none" w:sz="0" w:space="0" w:color="auto"/>
            <w:left w:val="none" w:sz="0" w:space="0" w:color="auto"/>
            <w:bottom w:val="none" w:sz="0" w:space="0" w:color="auto"/>
            <w:right w:val="none" w:sz="0" w:space="0" w:color="auto"/>
          </w:divBdr>
        </w:div>
        <w:div w:id="1113481675">
          <w:marLeft w:val="1800"/>
          <w:marRight w:val="0"/>
          <w:marTop w:val="86"/>
          <w:marBottom w:val="0"/>
          <w:divBdr>
            <w:top w:val="none" w:sz="0" w:space="0" w:color="auto"/>
            <w:left w:val="none" w:sz="0" w:space="0" w:color="auto"/>
            <w:bottom w:val="none" w:sz="0" w:space="0" w:color="auto"/>
            <w:right w:val="none" w:sz="0" w:space="0" w:color="auto"/>
          </w:divBdr>
        </w:div>
      </w:divsChild>
    </w:div>
    <w:div w:id="1084498083">
      <w:bodyDiv w:val="1"/>
      <w:marLeft w:val="0"/>
      <w:marRight w:val="0"/>
      <w:marTop w:val="0"/>
      <w:marBottom w:val="0"/>
      <w:divBdr>
        <w:top w:val="none" w:sz="0" w:space="0" w:color="auto"/>
        <w:left w:val="none" w:sz="0" w:space="0" w:color="auto"/>
        <w:bottom w:val="none" w:sz="0" w:space="0" w:color="auto"/>
        <w:right w:val="none" w:sz="0" w:space="0" w:color="auto"/>
      </w:divBdr>
    </w:div>
    <w:div w:id="1130248349">
      <w:bodyDiv w:val="1"/>
      <w:marLeft w:val="0"/>
      <w:marRight w:val="0"/>
      <w:marTop w:val="0"/>
      <w:marBottom w:val="0"/>
      <w:divBdr>
        <w:top w:val="none" w:sz="0" w:space="0" w:color="auto"/>
        <w:left w:val="none" w:sz="0" w:space="0" w:color="auto"/>
        <w:bottom w:val="none" w:sz="0" w:space="0" w:color="auto"/>
        <w:right w:val="none" w:sz="0" w:space="0" w:color="auto"/>
      </w:divBdr>
      <w:divsChild>
        <w:div w:id="1023484118">
          <w:marLeft w:val="547"/>
          <w:marRight w:val="0"/>
          <w:marTop w:val="96"/>
          <w:marBottom w:val="0"/>
          <w:divBdr>
            <w:top w:val="none" w:sz="0" w:space="0" w:color="auto"/>
            <w:left w:val="none" w:sz="0" w:space="0" w:color="auto"/>
            <w:bottom w:val="none" w:sz="0" w:space="0" w:color="auto"/>
            <w:right w:val="none" w:sz="0" w:space="0" w:color="auto"/>
          </w:divBdr>
        </w:div>
        <w:div w:id="1194345741">
          <w:marLeft w:val="547"/>
          <w:marRight w:val="0"/>
          <w:marTop w:val="96"/>
          <w:marBottom w:val="0"/>
          <w:divBdr>
            <w:top w:val="none" w:sz="0" w:space="0" w:color="auto"/>
            <w:left w:val="none" w:sz="0" w:space="0" w:color="auto"/>
            <w:bottom w:val="none" w:sz="0" w:space="0" w:color="auto"/>
            <w:right w:val="none" w:sz="0" w:space="0" w:color="auto"/>
          </w:divBdr>
        </w:div>
        <w:div w:id="1512527861">
          <w:marLeft w:val="547"/>
          <w:marRight w:val="0"/>
          <w:marTop w:val="96"/>
          <w:marBottom w:val="0"/>
          <w:divBdr>
            <w:top w:val="none" w:sz="0" w:space="0" w:color="auto"/>
            <w:left w:val="none" w:sz="0" w:space="0" w:color="auto"/>
            <w:bottom w:val="none" w:sz="0" w:space="0" w:color="auto"/>
            <w:right w:val="none" w:sz="0" w:space="0" w:color="auto"/>
          </w:divBdr>
        </w:div>
        <w:div w:id="443424672">
          <w:marLeft w:val="547"/>
          <w:marRight w:val="0"/>
          <w:marTop w:val="96"/>
          <w:marBottom w:val="0"/>
          <w:divBdr>
            <w:top w:val="none" w:sz="0" w:space="0" w:color="auto"/>
            <w:left w:val="none" w:sz="0" w:space="0" w:color="auto"/>
            <w:bottom w:val="none" w:sz="0" w:space="0" w:color="auto"/>
            <w:right w:val="none" w:sz="0" w:space="0" w:color="auto"/>
          </w:divBdr>
        </w:div>
      </w:divsChild>
    </w:div>
    <w:div w:id="1162543964">
      <w:bodyDiv w:val="1"/>
      <w:marLeft w:val="0"/>
      <w:marRight w:val="0"/>
      <w:marTop w:val="0"/>
      <w:marBottom w:val="0"/>
      <w:divBdr>
        <w:top w:val="none" w:sz="0" w:space="0" w:color="auto"/>
        <w:left w:val="none" w:sz="0" w:space="0" w:color="auto"/>
        <w:bottom w:val="none" w:sz="0" w:space="0" w:color="auto"/>
        <w:right w:val="none" w:sz="0" w:space="0" w:color="auto"/>
      </w:divBdr>
    </w:div>
    <w:div w:id="1172599325">
      <w:bodyDiv w:val="1"/>
      <w:marLeft w:val="0"/>
      <w:marRight w:val="0"/>
      <w:marTop w:val="0"/>
      <w:marBottom w:val="0"/>
      <w:divBdr>
        <w:top w:val="none" w:sz="0" w:space="0" w:color="auto"/>
        <w:left w:val="none" w:sz="0" w:space="0" w:color="auto"/>
        <w:bottom w:val="none" w:sz="0" w:space="0" w:color="auto"/>
        <w:right w:val="none" w:sz="0" w:space="0" w:color="auto"/>
      </w:divBdr>
    </w:div>
    <w:div w:id="1234241825">
      <w:bodyDiv w:val="1"/>
      <w:marLeft w:val="0"/>
      <w:marRight w:val="0"/>
      <w:marTop w:val="0"/>
      <w:marBottom w:val="0"/>
      <w:divBdr>
        <w:top w:val="none" w:sz="0" w:space="0" w:color="auto"/>
        <w:left w:val="none" w:sz="0" w:space="0" w:color="auto"/>
        <w:bottom w:val="none" w:sz="0" w:space="0" w:color="auto"/>
        <w:right w:val="none" w:sz="0" w:space="0" w:color="auto"/>
      </w:divBdr>
      <w:divsChild>
        <w:div w:id="480851270">
          <w:marLeft w:val="547"/>
          <w:marRight w:val="0"/>
          <w:marTop w:val="96"/>
          <w:marBottom w:val="0"/>
          <w:divBdr>
            <w:top w:val="none" w:sz="0" w:space="0" w:color="auto"/>
            <w:left w:val="none" w:sz="0" w:space="0" w:color="auto"/>
            <w:bottom w:val="none" w:sz="0" w:space="0" w:color="auto"/>
            <w:right w:val="none" w:sz="0" w:space="0" w:color="auto"/>
          </w:divBdr>
        </w:div>
        <w:div w:id="1966345095">
          <w:marLeft w:val="547"/>
          <w:marRight w:val="0"/>
          <w:marTop w:val="96"/>
          <w:marBottom w:val="0"/>
          <w:divBdr>
            <w:top w:val="none" w:sz="0" w:space="0" w:color="auto"/>
            <w:left w:val="none" w:sz="0" w:space="0" w:color="auto"/>
            <w:bottom w:val="none" w:sz="0" w:space="0" w:color="auto"/>
            <w:right w:val="none" w:sz="0" w:space="0" w:color="auto"/>
          </w:divBdr>
        </w:div>
      </w:divsChild>
    </w:div>
    <w:div w:id="1385716223">
      <w:bodyDiv w:val="1"/>
      <w:marLeft w:val="0"/>
      <w:marRight w:val="0"/>
      <w:marTop w:val="0"/>
      <w:marBottom w:val="0"/>
      <w:divBdr>
        <w:top w:val="none" w:sz="0" w:space="0" w:color="auto"/>
        <w:left w:val="none" w:sz="0" w:space="0" w:color="auto"/>
        <w:bottom w:val="none" w:sz="0" w:space="0" w:color="auto"/>
        <w:right w:val="none" w:sz="0" w:space="0" w:color="auto"/>
      </w:divBdr>
    </w:div>
    <w:div w:id="1478375036">
      <w:bodyDiv w:val="1"/>
      <w:marLeft w:val="0"/>
      <w:marRight w:val="0"/>
      <w:marTop w:val="0"/>
      <w:marBottom w:val="0"/>
      <w:divBdr>
        <w:top w:val="none" w:sz="0" w:space="0" w:color="auto"/>
        <w:left w:val="none" w:sz="0" w:space="0" w:color="auto"/>
        <w:bottom w:val="none" w:sz="0" w:space="0" w:color="auto"/>
        <w:right w:val="none" w:sz="0" w:space="0" w:color="auto"/>
      </w:divBdr>
    </w:div>
    <w:div w:id="2103839752">
      <w:bodyDiv w:val="1"/>
      <w:marLeft w:val="0"/>
      <w:marRight w:val="0"/>
      <w:marTop w:val="0"/>
      <w:marBottom w:val="0"/>
      <w:divBdr>
        <w:top w:val="none" w:sz="0" w:space="0" w:color="auto"/>
        <w:left w:val="none" w:sz="0" w:space="0" w:color="auto"/>
        <w:bottom w:val="none" w:sz="0" w:space="0" w:color="auto"/>
        <w:right w:val="none" w:sz="0" w:space="0" w:color="auto"/>
      </w:divBdr>
    </w:div>
    <w:div w:id="212114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evaluation.org/documentdownload?doc_id=102&amp;file_id=548" TargetMode="External"/><Relationship Id="rId5" Type="http://schemas.openxmlformats.org/officeDocument/2006/relationships/settings" Target="settings.xml"/><Relationship Id="rId10" Type="http://schemas.openxmlformats.org/officeDocument/2006/relationships/hyperlink" Target="http://www.ohchr.org/en/professionalinterest/pages/ccpr.aspx" TargetMode="External"/><Relationship Id="rId4" Type="http://schemas.microsoft.com/office/2007/relationships/stylesWithEffects" Target="stylesWithEffects.xml"/><Relationship Id="rId9" Type="http://schemas.openxmlformats.org/officeDocument/2006/relationships/hyperlink" Target="http://www.malawi.gov.mw/"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undg.org/docs/12720/UNDAF%20ToR%20Guidance%20OCT%2022%20Draft.pdf" TargetMode="External"/><Relationship Id="rId1" Type="http://schemas.openxmlformats.org/officeDocument/2006/relationships/hyperlink" Target="http://www.nsomalawi.m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466DA-0884-48A7-B5AA-58B528637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5843</Words>
  <Characters>33306</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39071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Cathal Elder</dc:creator>
  <cp:lastModifiedBy>Cathal Elder</cp:lastModifiedBy>
  <cp:revision>5</cp:revision>
  <cp:lastPrinted>2015-01-12T15:26:00Z</cp:lastPrinted>
  <dcterms:created xsi:type="dcterms:W3CDTF">2014-12-30T14:48:00Z</dcterms:created>
  <dcterms:modified xsi:type="dcterms:W3CDTF">2015-01-12T15:46:00Z</dcterms:modified>
</cp:coreProperties>
</file>