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C615B0" w14:textId="77777777" w:rsidR="001F2920" w:rsidRPr="0094330A" w:rsidRDefault="00001BD9">
      <w:pPr>
        <w:rPr>
          <w:rFonts w:cs="Arial"/>
        </w:rPr>
      </w:pPr>
      <w:r w:rsidRPr="007D425D">
        <w:rPr>
          <w:rFonts w:cs="Arial"/>
          <w:noProof/>
          <w:lang w:eastAsia="da-DK"/>
        </w:rPr>
        <w:drawing>
          <wp:inline distT="0" distB="0" distL="0" distR="0" wp14:anchorId="2F3FC4F5" wp14:editId="3C73C119">
            <wp:extent cx="2974340" cy="864235"/>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74340" cy="864235"/>
                    </a:xfrm>
                    <a:prstGeom prst="rect">
                      <a:avLst/>
                    </a:prstGeom>
                    <a:noFill/>
                    <a:ln>
                      <a:noFill/>
                    </a:ln>
                  </pic:spPr>
                </pic:pic>
              </a:graphicData>
            </a:graphic>
          </wp:inline>
        </w:drawing>
      </w:r>
      <w:r w:rsidR="004C5EDA" w:rsidRPr="0094330A">
        <w:rPr>
          <w:rFonts w:cs="Arial"/>
        </w:rPr>
        <w:tab/>
      </w:r>
      <w:r w:rsidR="004C5EDA" w:rsidRPr="0094330A">
        <w:rPr>
          <w:rFonts w:cs="Arial"/>
        </w:rPr>
        <w:tab/>
      </w:r>
      <w:r w:rsidRPr="007D425D">
        <w:rPr>
          <w:rFonts w:cs="Arial"/>
          <w:noProof/>
          <w:lang w:eastAsia="da-DK"/>
        </w:rPr>
        <w:drawing>
          <wp:inline distT="0" distB="0" distL="0" distR="0" wp14:anchorId="3FC3AA9B" wp14:editId="5074E3EF">
            <wp:extent cx="1537335" cy="1205865"/>
            <wp:effectExtent l="0" t="0" r="5715"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7335" cy="1205865"/>
                    </a:xfrm>
                    <a:prstGeom prst="rect">
                      <a:avLst/>
                    </a:prstGeom>
                    <a:noFill/>
                    <a:ln>
                      <a:noFill/>
                    </a:ln>
                  </pic:spPr>
                </pic:pic>
              </a:graphicData>
            </a:graphic>
          </wp:inline>
        </w:drawing>
      </w:r>
    </w:p>
    <w:p w14:paraId="7D3AE93C" w14:textId="77777777" w:rsidR="001F2920" w:rsidRPr="0094330A" w:rsidRDefault="001F2920">
      <w:pPr>
        <w:rPr>
          <w:rFonts w:cs="Arial"/>
        </w:rPr>
      </w:pPr>
    </w:p>
    <w:p w14:paraId="58129D01" w14:textId="77777777" w:rsidR="004C5EDA" w:rsidRPr="0094330A" w:rsidRDefault="004C5EDA">
      <w:pPr>
        <w:rPr>
          <w:rFonts w:cs="Arial"/>
        </w:rPr>
      </w:pPr>
    </w:p>
    <w:p w14:paraId="5D1E1317" w14:textId="77777777" w:rsidR="001F2920" w:rsidRPr="0094330A" w:rsidRDefault="001F2920">
      <w:pPr>
        <w:rPr>
          <w:rFonts w:cs="Arial"/>
        </w:rPr>
      </w:pPr>
    </w:p>
    <w:p w14:paraId="65CF507D" w14:textId="77777777" w:rsidR="001F2920" w:rsidRPr="0094330A" w:rsidRDefault="001F2920">
      <w:pPr>
        <w:rPr>
          <w:rFonts w:cs="Arial"/>
        </w:rPr>
      </w:pPr>
    </w:p>
    <w:p w14:paraId="5D4FC445" w14:textId="77777777" w:rsidR="001F2920" w:rsidRPr="00CD56B9" w:rsidRDefault="001F2920" w:rsidP="001F2920">
      <w:pPr>
        <w:jc w:val="center"/>
        <w:rPr>
          <w:rFonts w:cs="Arial"/>
          <w:b/>
          <w:sz w:val="24"/>
          <w:lang w:val="en-US"/>
        </w:rPr>
      </w:pPr>
      <w:bookmarkStart w:id="0" w:name="_GoBack"/>
      <w:bookmarkEnd w:id="0"/>
      <w:r w:rsidRPr="00CD56B9">
        <w:rPr>
          <w:rFonts w:cs="Arial"/>
          <w:b/>
          <w:sz w:val="24"/>
          <w:lang w:val="en-US"/>
        </w:rPr>
        <w:t>Midterm Evaluation</w:t>
      </w:r>
    </w:p>
    <w:p w14:paraId="58296461" w14:textId="77777777" w:rsidR="00222C37" w:rsidRPr="00CD56B9" w:rsidRDefault="00222C37" w:rsidP="00311B35">
      <w:pPr>
        <w:rPr>
          <w:rFonts w:cs="Arial"/>
          <w:b/>
          <w:sz w:val="24"/>
          <w:lang w:val="en-US"/>
        </w:rPr>
      </w:pPr>
    </w:p>
    <w:p w14:paraId="46FCCADC" w14:textId="77777777" w:rsidR="00EA60C6" w:rsidRPr="00CD56B9" w:rsidRDefault="001F0347" w:rsidP="00EA60C6">
      <w:pPr>
        <w:jc w:val="center"/>
        <w:rPr>
          <w:rFonts w:cs="Arial"/>
          <w:b/>
          <w:sz w:val="24"/>
          <w:lang w:val="en-US"/>
        </w:rPr>
      </w:pPr>
      <w:r w:rsidRPr="00CD56B9">
        <w:rPr>
          <w:rFonts w:cs="Arial"/>
          <w:b/>
          <w:sz w:val="24"/>
          <w:lang w:val="en-US"/>
        </w:rPr>
        <w:t>UNDAF OUTCOME 4.1:</w:t>
      </w:r>
    </w:p>
    <w:p w14:paraId="6AFF29CB" w14:textId="77777777" w:rsidR="001F0347" w:rsidRPr="00CD56B9" w:rsidRDefault="001F0347" w:rsidP="00311B35">
      <w:pPr>
        <w:rPr>
          <w:rFonts w:cs="Arial"/>
          <w:b/>
          <w:sz w:val="24"/>
          <w:lang w:val="en-US"/>
        </w:rPr>
      </w:pPr>
      <w:r w:rsidRPr="00CD56B9">
        <w:rPr>
          <w:rFonts w:cs="Arial"/>
          <w:b/>
          <w:sz w:val="24"/>
          <w:lang w:val="en-US"/>
        </w:rPr>
        <w:t>National institutions foster democratic governance and human rights to promote transparency, accountability, participation and access to justice for all especially women and children by 2016</w:t>
      </w:r>
    </w:p>
    <w:p w14:paraId="59F342B6" w14:textId="77777777" w:rsidR="000450DD" w:rsidRPr="00CD56B9" w:rsidRDefault="000450DD" w:rsidP="001F2920">
      <w:pPr>
        <w:jc w:val="center"/>
        <w:rPr>
          <w:rFonts w:cs="Arial"/>
          <w:lang w:val="en-US"/>
        </w:rPr>
      </w:pPr>
    </w:p>
    <w:p w14:paraId="64532498" w14:textId="77777777" w:rsidR="000450DD" w:rsidRPr="00CD56B9" w:rsidRDefault="000450DD" w:rsidP="001F2920">
      <w:pPr>
        <w:jc w:val="center"/>
        <w:rPr>
          <w:rFonts w:cs="Arial"/>
          <w:lang w:val="en-US"/>
        </w:rPr>
      </w:pPr>
    </w:p>
    <w:p w14:paraId="64AFCB4F" w14:textId="77777777" w:rsidR="003C0BC9" w:rsidRPr="00CD56B9" w:rsidRDefault="003C0BC9" w:rsidP="001F2920">
      <w:pPr>
        <w:jc w:val="center"/>
        <w:rPr>
          <w:rFonts w:cs="Arial"/>
          <w:lang w:val="en-US"/>
        </w:rPr>
      </w:pPr>
    </w:p>
    <w:p w14:paraId="47178BB6" w14:textId="77777777" w:rsidR="003C0BC9" w:rsidRPr="00CD56B9" w:rsidRDefault="003C0BC9" w:rsidP="001F2920">
      <w:pPr>
        <w:jc w:val="center"/>
        <w:rPr>
          <w:rFonts w:cs="Arial"/>
          <w:lang w:val="en-US"/>
        </w:rPr>
      </w:pPr>
    </w:p>
    <w:p w14:paraId="6D57A22D" w14:textId="77777777" w:rsidR="000450DD" w:rsidRPr="0081048E" w:rsidRDefault="005304D8" w:rsidP="001F2920">
      <w:pPr>
        <w:jc w:val="center"/>
        <w:rPr>
          <w:rFonts w:cs="Arial"/>
          <w:b/>
          <w:sz w:val="28"/>
          <w:lang w:val="en-US"/>
        </w:rPr>
      </w:pPr>
      <w:r w:rsidRPr="0081048E">
        <w:rPr>
          <w:rFonts w:cs="Arial"/>
          <w:b/>
          <w:sz w:val="28"/>
          <w:lang w:val="en-US"/>
        </w:rPr>
        <w:t>Final</w:t>
      </w:r>
      <w:r w:rsidR="000450DD" w:rsidRPr="0081048E">
        <w:rPr>
          <w:rFonts w:cs="Arial"/>
          <w:b/>
          <w:sz w:val="28"/>
          <w:lang w:val="en-US"/>
        </w:rPr>
        <w:t xml:space="preserve"> Report</w:t>
      </w:r>
    </w:p>
    <w:p w14:paraId="55F5891D" w14:textId="77777777" w:rsidR="000450DD" w:rsidRPr="00CD56B9" w:rsidRDefault="000450DD" w:rsidP="001F2920">
      <w:pPr>
        <w:jc w:val="center"/>
        <w:rPr>
          <w:rFonts w:cs="Arial"/>
          <w:lang w:val="en-US"/>
        </w:rPr>
      </w:pPr>
    </w:p>
    <w:p w14:paraId="479A059C" w14:textId="77777777" w:rsidR="000450DD" w:rsidRPr="00CD56B9" w:rsidRDefault="000450DD" w:rsidP="001F2920">
      <w:pPr>
        <w:jc w:val="center"/>
        <w:rPr>
          <w:rFonts w:cs="Arial"/>
          <w:lang w:val="en-US"/>
        </w:rPr>
      </w:pPr>
    </w:p>
    <w:p w14:paraId="7AD616F9" w14:textId="77777777" w:rsidR="000450DD" w:rsidRPr="00CD56B9" w:rsidRDefault="000450DD" w:rsidP="001F2920">
      <w:pPr>
        <w:jc w:val="center"/>
        <w:rPr>
          <w:rFonts w:cs="Arial"/>
          <w:lang w:val="en-US"/>
        </w:rPr>
      </w:pPr>
    </w:p>
    <w:p w14:paraId="023C3E7B" w14:textId="77777777" w:rsidR="000450DD" w:rsidRPr="00CD56B9" w:rsidRDefault="000450DD" w:rsidP="001F2920">
      <w:pPr>
        <w:jc w:val="center"/>
        <w:rPr>
          <w:rFonts w:cs="Arial"/>
          <w:lang w:val="en-US"/>
        </w:rPr>
      </w:pPr>
    </w:p>
    <w:p w14:paraId="5C359713" w14:textId="77777777" w:rsidR="000450DD" w:rsidRPr="00CD56B9" w:rsidRDefault="000450DD" w:rsidP="001F2920">
      <w:pPr>
        <w:jc w:val="center"/>
        <w:rPr>
          <w:rFonts w:cs="Arial"/>
          <w:lang w:val="en-US"/>
        </w:rPr>
      </w:pPr>
    </w:p>
    <w:p w14:paraId="0EF19C0F" w14:textId="77777777" w:rsidR="000450DD" w:rsidRPr="00CD56B9" w:rsidRDefault="000450DD" w:rsidP="001F2920">
      <w:pPr>
        <w:jc w:val="center"/>
        <w:rPr>
          <w:rFonts w:cs="Arial"/>
          <w:lang w:val="en-US"/>
        </w:rPr>
      </w:pPr>
    </w:p>
    <w:p w14:paraId="50D5568B" w14:textId="77777777" w:rsidR="000450DD" w:rsidRDefault="000450DD" w:rsidP="00C34B22">
      <w:pPr>
        <w:pStyle w:val="Ingenafstand"/>
        <w:jc w:val="center"/>
      </w:pPr>
      <w:r w:rsidRPr="0094330A">
        <w:t>Jens Peter Christensen</w:t>
      </w:r>
    </w:p>
    <w:p w14:paraId="21D30F75" w14:textId="4EF24A55" w:rsidR="00A543D6" w:rsidRDefault="00A543D6" w:rsidP="00C34B22">
      <w:pPr>
        <w:pStyle w:val="Ingenafstand"/>
        <w:jc w:val="center"/>
      </w:pPr>
      <w:r>
        <w:t>KL – Local Government Denmark</w:t>
      </w:r>
    </w:p>
    <w:p w14:paraId="0E6C75AF" w14:textId="0EA79B02" w:rsidR="00A543D6" w:rsidRPr="0094330A" w:rsidRDefault="00A543D6" w:rsidP="00C34B22">
      <w:pPr>
        <w:pStyle w:val="Ingenafstand"/>
        <w:jc w:val="center"/>
      </w:pPr>
      <w:r>
        <w:t>&amp;</w:t>
      </w:r>
    </w:p>
    <w:p w14:paraId="17963A49" w14:textId="146E5C73" w:rsidR="00A543D6" w:rsidRDefault="00A543D6" w:rsidP="00A543D6">
      <w:pPr>
        <w:pStyle w:val="Ingenafstand"/>
        <w:jc w:val="center"/>
      </w:pPr>
      <w:r>
        <w:t xml:space="preserve">Dr </w:t>
      </w:r>
      <w:r w:rsidR="00C34B22">
        <w:t xml:space="preserve">Mustafa </w:t>
      </w:r>
      <w:r>
        <w:t xml:space="preserve">Kennedy </w:t>
      </w:r>
      <w:r w:rsidR="00C34B22">
        <w:t>Husse</w:t>
      </w:r>
      <w:r w:rsidR="000450DD" w:rsidRPr="0094330A">
        <w:t>in</w:t>
      </w:r>
    </w:p>
    <w:p w14:paraId="6A59DC89" w14:textId="690F6DFA" w:rsidR="00A543D6" w:rsidRDefault="00A543D6" w:rsidP="00A543D6">
      <w:pPr>
        <w:pStyle w:val="Ingenafstand"/>
        <w:jc w:val="center"/>
      </w:pPr>
      <w:r>
        <w:t>University of Malawi</w:t>
      </w:r>
    </w:p>
    <w:p w14:paraId="1DBFFB11" w14:textId="77777777" w:rsidR="00A543D6" w:rsidRDefault="00A543D6" w:rsidP="00A543D6">
      <w:pPr>
        <w:pStyle w:val="Ingenafstand"/>
        <w:jc w:val="center"/>
      </w:pPr>
    </w:p>
    <w:p w14:paraId="06D1AF75" w14:textId="77777777" w:rsidR="00A543D6" w:rsidRDefault="00A543D6" w:rsidP="00A543D6">
      <w:pPr>
        <w:pStyle w:val="Ingenafstand"/>
        <w:jc w:val="center"/>
      </w:pPr>
    </w:p>
    <w:p w14:paraId="4D5A1147" w14:textId="77777777" w:rsidR="00A543D6" w:rsidRPr="0094330A" w:rsidRDefault="00A543D6" w:rsidP="00A543D6">
      <w:pPr>
        <w:pStyle w:val="Ingenafstand"/>
        <w:jc w:val="center"/>
      </w:pPr>
    </w:p>
    <w:p w14:paraId="1767D995" w14:textId="21C2D90C" w:rsidR="00C34B22" w:rsidRPr="00CD56B9" w:rsidRDefault="001F4D4A" w:rsidP="00C34B22">
      <w:pPr>
        <w:spacing w:after="0"/>
        <w:jc w:val="center"/>
        <w:rPr>
          <w:rFonts w:cs="Arial"/>
          <w:lang w:val="en-US"/>
        </w:rPr>
      </w:pPr>
      <w:r>
        <w:rPr>
          <w:rFonts w:cs="Arial"/>
          <w:lang w:val="en-US"/>
        </w:rPr>
        <w:t>30</w:t>
      </w:r>
      <w:r w:rsidR="005304D8" w:rsidRPr="00CD56B9">
        <w:rPr>
          <w:rFonts w:cs="Arial"/>
          <w:lang w:val="en-US"/>
        </w:rPr>
        <w:t xml:space="preserve"> </w:t>
      </w:r>
      <w:r w:rsidR="00063CA6" w:rsidRPr="00CD56B9">
        <w:rPr>
          <w:rFonts w:cs="Arial"/>
          <w:lang w:val="en-US"/>
        </w:rPr>
        <w:t>December</w:t>
      </w:r>
      <w:r w:rsidR="00C34B22" w:rsidRPr="00CD56B9">
        <w:rPr>
          <w:rFonts w:cs="Arial"/>
          <w:lang w:val="en-US"/>
        </w:rPr>
        <w:t xml:space="preserve"> 2015</w:t>
      </w:r>
    </w:p>
    <w:p w14:paraId="0612E3BA" w14:textId="77777777" w:rsidR="00C34B22" w:rsidRPr="00CD56B9" w:rsidRDefault="00C34B22" w:rsidP="00D41F16">
      <w:pPr>
        <w:spacing w:after="0"/>
        <w:rPr>
          <w:rFonts w:eastAsia="Calibri" w:cs="Arial"/>
          <w:b/>
          <w:color w:val="2E74B5"/>
          <w:sz w:val="28"/>
          <w:szCs w:val="28"/>
          <w:lang w:val="en-US"/>
        </w:rPr>
        <w:sectPr w:rsidR="00C34B22" w:rsidRPr="00CD56B9" w:rsidSect="001F3DA5">
          <w:headerReference w:type="even" r:id="rId10"/>
          <w:headerReference w:type="default" r:id="rId11"/>
          <w:footerReference w:type="even" r:id="rId12"/>
          <w:footerReference w:type="default" r:id="rId13"/>
          <w:headerReference w:type="first" r:id="rId14"/>
          <w:footerReference w:type="first" r:id="rId15"/>
          <w:pgSz w:w="11906" w:h="16838"/>
          <w:pgMar w:top="1701" w:right="1134" w:bottom="1701" w:left="1701" w:header="708" w:footer="708" w:gutter="0"/>
          <w:cols w:space="708"/>
          <w:titlePg/>
          <w:docGrid w:linePitch="360"/>
        </w:sectPr>
      </w:pPr>
    </w:p>
    <w:p w14:paraId="1DB70BB2" w14:textId="77777777" w:rsidR="00311B35" w:rsidRPr="00CD56B9" w:rsidRDefault="00311B35" w:rsidP="00D41F16">
      <w:pPr>
        <w:spacing w:after="0"/>
        <w:rPr>
          <w:rFonts w:eastAsia="Calibri" w:cs="Arial"/>
          <w:b/>
          <w:color w:val="2F5496"/>
          <w:sz w:val="28"/>
          <w:szCs w:val="28"/>
          <w:lang w:val="en-US"/>
        </w:rPr>
      </w:pPr>
      <w:r w:rsidRPr="00E245D3">
        <w:rPr>
          <w:rFonts w:eastAsia="Calibri" w:cs="Arial"/>
          <w:b/>
          <w:sz w:val="28"/>
          <w:szCs w:val="28"/>
          <w:lang w:val="en-US"/>
        </w:rPr>
        <w:lastRenderedPageBreak/>
        <w:t>List of Acronyms and Abbreviations</w:t>
      </w:r>
    </w:p>
    <w:p w14:paraId="12487D30" w14:textId="77777777" w:rsidR="00D41F16" w:rsidRPr="00CD56B9" w:rsidRDefault="00D41F16" w:rsidP="00311B35">
      <w:pPr>
        <w:spacing w:after="200"/>
        <w:rPr>
          <w:rFonts w:eastAsia="Calibri" w:cs="Arial"/>
          <w:b/>
          <w:color w:val="1F4E79"/>
          <w:sz w:val="28"/>
          <w:szCs w:val="28"/>
          <w:lang w:val="en-US"/>
        </w:rPr>
      </w:pPr>
    </w:p>
    <w:p w14:paraId="01F765E5" w14:textId="77777777" w:rsidR="006246E2" w:rsidRDefault="006246E2" w:rsidP="009628AA">
      <w:pPr>
        <w:pStyle w:val="Ingenafstand"/>
        <w:rPr>
          <w:rFonts w:cs="Arial"/>
        </w:rPr>
      </w:pPr>
      <w:r>
        <w:rPr>
          <w:rFonts w:cs="Arial"/>
        </w:rPr>
        <w:t>ADC</w:t>
      </w:r>
      <w:r>
        <w:rPr>
          <w:rFonts w:cs="Arial"/>
        </w:rPr>
        <w:tab/>
        <w:t>Area Development Committee</w:t>
      </w:r>
    </w:p>
    <w:p w14:paraId="0B0CB24D" w14:textId="77777777" w:rsidR="009628AA" w:rsidRPr="00240118" w:rsidRDefault="009628AA" w:rsidP="009628AA">
      <w:pPr>
        <w:pStyle w:val="Ingenafstand"/>
        <w:rPr>
          <w:rFonts w:cs="Arial"/>
        </w:rPr>
      </w:pPr>
      <w:r w:rsidRPr="00240118">
        <w:rPr>
          <w:rFonts w:cs="Arial"/>
        </w:rPr>
        <w:t xml:space="preserve">AG </w:t>
      </w:r>
      <w:r w:rsidRPr="00240118">
        <w:rPr>
          <w:rFonts w:cs="Arial"/>
        </w:rPr>
        <w:tab/>
        <w:t>Attorney General</w:t>
      </w:r>
    </w:p>
    <w:p w14:paraId="0120D89E" w14:textId="77777777" w:rsidR="009628AA" w:rsidRPr="00240118" w:rsidRDefault="009628AA" w:rsidP="009628AA">
      <w:pPr>
        <w:pStyle w:val="Ingenafstand"/>
        <w:rPr>
          <w:rFonts w:cs="Arial"/>
        </w:rPr>
      </w:pPr>
      <w:r w:rsidRPr="00240118">
        <w:rPr>
          <w:rFonts w:cs="Arial"/>
        </w:rPr>
        <w:t xml:space="preserve">AIDS </w:t>
      </w:r>
      <w:r w:rsidRPr="00240118">
        <w:rPr>
          <w:rFonts w:cs="Arial"/>
        </w:rPr>
        <w:tab/>
        <w:t>Acquired Immune Deficiency Syndrome</w:t>
      </w:r>
    </w:p>
    <w:p w14:paraId="6422E90C" w14:textId="77777777" w:rsidR="006C49FA" w:rsidRDefault="006C49FA" w:rsidP="009628AA">
      <w:pPr>
        <w:pStyle w:val="Ingenafstand"/>
        <w:rPr>
          <w:rFonts w:cs="Arial"/>
        </w:rPr>
      </w:pPr>
      <w:r>
        <w:rPr>
          <w:rFonts w:cs="Arial"/>
        </w:rPr>
        <w:t>AU</w:t>
      </w:r>
      <w:r>
        <w:rPr>
          <w:rFonts w:cs="Arial"/>
        </w:rPr>
        <w:tab/>
        <w:t>African Union</w:t>
      </w:r>
    </w:p>
    <w:p w14:paraId="2A536322" w14:textId="77777777" w:rsidR="00977599" w:rsidRDefault="00977599" w:rsidP="009628AA">
      <w:pPr>
        <w:pStyle w:val="Ingenafstand"/>
        <w:rPr>
          <w:rFonts w:cs="Arial"/>
        </w:rPr>
      </w:pPr>
      <w:r>
        <w:rPr>
          <w:rFonts w:cs="Arial"/>
        </w:rPr>
        <w:t>AWP</w:t>
      </w:r>
      <w:r>
        <w:rPr>
          <w:rFonts w:cs="Arial"/>
        </w:rPr>
        <w:tab/>
        <w:t xml:space="preserve">Annual </w:t>
      </w:r>
      <w:r w:rsidR="00B5007D">
        <w:rPr>
          <w:rFonts w:cs="Arial"/>
        </w:rPr>
        <w:t>W</w:t>
      </w:r>
      <w:r>
        <w:rPr>
          <w:rFonts w:cs="Arial"/>
        </w:rPr>
        <w:t>ork Plan</w:t>
      </w:r>
    </w:p>
    <w:p w14:paraId="5C0ECB5E" w14:textId="77777777" w:rsidR="009628AA" w:rsidRPr="00240118" w:rsidRDefault="009628AA" w:rsidP="009628AA">
      <w:pPr>
        <w:pStyle w:val="Ingenafstand"/>
        <w:rPr>
          <w:rFonts w:cs="Arial"/>
        </w:rPr>
      </w:pPr>
      <w:r w:rsidRPr="00240118">
        <w:rPr>
          <w:rFonts w:cs="Arial"/>
        </w:rPr>
        <w:t xml:space="preserve">CD </w:t>
      </w:r>
      <w:r w:rsidRPr="00240118">
        <w:rPr>
          <w:rFonts w:cs="Arial"/>
        </w:rPr>
        <w:tab/>
        <w:t>Country Director</w:t>
      </w:r>
    </w:p>
    <w:p w14:paraId="3E9CC1F2" w14:textId="77777777" w:rsidR="009B36C6" w:rsidRDefault="009B36C6" w:rsidP="009628AA">
      <w:pPr>
        <w:pStyle w:val="Ingenafstand"/>
        <w:rPr>
          <w:rFonts w:cs="Arial"/>
        </w:rPr>
      </w:pPr>
      <w:r>
        <w:rPr>
          <w:rFonts w:cs="Arial"/>
        </w:rPr>
        <w:t>CEDAW</w:t>
      </w:r>
      <w:r>
        <w:rPr>
          <w:rFonts w:cs="Arial"/>
        </w:rPr>
        <w:tab/>
      </w:r>
      <w:r w:rsidRPr="009B36C6">
        <w:rPr>
          <w:rFonts w:cs="Arial"/>
        </w:rPr>
        <w:t>Convention on the Elimination of All Forms of Discrimination against Women</w:t>
      </w:r>
    </w:p>
    <w:p w14:paraId="1EC930DD" w14:textId="77777777" w:rsidR="009628AA" w:rsidRPr="00240118" w:rsidRDefault="009628AA" w:rsidP="009628AA">
      <w:pPr>
        <w:pStyle w:val="Ingenafstand"/>
        <w:rPr>
          <w:rFonts w:cs="Arial"/>
        </w:rPr>
      </w:pPr>
      <w:r w:rsidRPr="00240118">
        <w:rPr>
          <w:rFonts w:cs="Arial"/>
        </w:rPr>
        <w:t xml:space="preserve">CMD </w:t>
      </w:r>
      <w:r w:rsidRPr="00240118">
        <w:rPr>
          <w:rFonts w:cs="Arial"/>
        </w:rPr>
        <w:tab/>
        <w:t>Centre for Multiparty Democracy</w:t>
      </w:r>
    </w:p>
    <w:p w14:paraId="276460DC" w14:textId="77777777" w:rsidR="00EA1DF1" w:rsidRDefault="00EA1DF1" w:rsidP="009628AA">
      <w:pPr>
        <w:pStyle w:val="Ingenafstand"/>
        <w:rPr>
          <w:rFonts w:cs="Arial"/>
        </w:rPr>
      </w:pPr>
      <w:r>
        <w:rPr>
          <w:rFonts w:cs="Arial"/>
        </w:rPr>
        <w:t>CPD</w:t>
      </w:r>
      <w:r>
        <w:rPr>
          <w:rFonts w:cs="Arial"/>
        </w:rPr>
        <w:tab/>
        <w:t>Country Programme Document</w:t>
      </w:r>
    </w:p>
    <w:p w14:paraId="50E491D7" w14:textId="77777777" w:rsidR="004311E6" w:rsidRDefault="004311E6" w:rsidP="009628AA">
      <w:pPr>
        <w:pStyle w:val="Ingenafstand"/>
        <w:rPr>
          <w:rFonts w:cs="Arial"/>
        </w:rPr>
      </w:pPr>
      <w:r>
        <w:rPr>
          <w:rFonts w:cs="Arial"/>
        </w:rPr>
        <w:t>CRC</w:t>
      </w:r>
      <w:r>
        <w:rPr>
          <w:rFonts w:cs="Arial"/>
        </w:rPr>
        <w:tab/>
        <w:t>Community Rights Committee</w:t>
      </w:r>
    </w:p>
    <w:p w14:paraId="6BBBCE9A" w14:textId="77777777" w:rsidR="009628AA" w:rsidRPr="00240118" w:rsidRDefault="009628AA" w:rsidP="009628AA">
      <w:pPr>
        <w:pStyle w:val="Ingenafstand"/>
        <w:rPr>
          <w:rFonts w:cs="Arial"/>
        </w:rPr>
      </w:pPr>
      <w:r w:rsidRPr="00240118">
        <w:rPr>
          <w:rFonts w:cs="Arial"/>
        </w:rPr>
        <w:t xml:space="preserve">CSO </w:t>
      </w:r>
      <w:r w:rsidRPr="00240118">
        <w:rPr>
          <w:rFonts w:cs="Arial"/>
        </w:rPr>
        <w:tab/>
        <w:t>Civil Society Organization</w:t>
      </w:r>
    </w:p>
    <w:p w14:paraId="1EF1E08F" w14:textId="77777777" w:rsidR="00997CF5" w:rsidRDefault="00997CF5" w:rsidP="009628AA">
      <w:pPr>
        <w:pStyle w:val="Ingenafstand"/>
        <w:rPr>
          <w:rFonts w:cs="Arial"/>
        </w:rPr>
      </w:pPr>
      <w:r>
        <w:rPr>
          <w:rFonts w:cs="Arial"/>
        </w:rPr>
        <w:t>CVE</w:t>
      </w:r>
      <w:r>
        <w:rPr>
          <w:rFonts w:cs="Arial"/>
        </w:rPr>
        <w:tab/>
        <w:t xml:space="preserve">Civic and Voter Education </w:t>
      </w:r>
    </w:p>
    <w:p w14:paraId="4040961B" w14:textId="77777777" w:rsidR="00F8218E" w:rsidRDefault="00F8218E" w:rsidP="009628AA">
      <w:pPr>
        <w:pStyle w:val="Ingenafstand"/>
        <w:rPr>
          <w:rFonts w:cs="Arial"/>
        </w:rPr>
      </w:pPr>
      <w:r>
        <w:rPr>
          <w:rFonts w:cs="Arial"/>
        </w:rPr>
        <w:t>DAC</w:t>
      </w:r>
      <w:r>
        <w:rPr>
          <w:rFonts w:cs="Arial"/>
        </w:rPr>
        <w:tab/>
        <w:t>Development Assistance Committee (OECD)</w:t>
      </w:r>
    </w:p>
    <w:p w14:paraId="08CB6094" w14:textId="77777777" w:rsidR="009628AA" w:rsidRPr="00240118" w:rsidRDefault="009628AA" w:rsidP="009628AA">
      <w:pPr>
        <w:pStyle w:val="Ingenafstand"/>
        <w:rPr>
          <w:rFonts w:cs="Arial"/>
        </w:rPr>
      </w:pPr>
      <w:r w:rsidRPr="00240118">
        <w:rPr>
          <w:rFonts w:cs="Arial"/>
        </w:rPr>
        <w:t xml:space="preserve">DaO </w:t>
      </w:r>
      <w:r w:rsidRPr="00240118">
        <w:rPr>
          <w:rFonts w:cs="Arial"/>
        </w:rPr>
        <w:tab/>
        <w:t>Delivering as One</w:t>
      </w:r>
    </w:p>
    <w:p w14:paraId="7D44CE47" w14:textId="77777777" w:rsidR="009628AA" w:rsidRPr="00240118" w:rsidRDefault="009628AA" w:rsidP="009628AA">
      <w:pPr>
        <w:pStyle w:val="Ingenafstand"/>
        <w:rPr>
          <w:rFonts w:cs="Arial"/>
        </w:rPr>
      </w:pPr>
      <w:r w:rsidRPr="00240118">
        <w:rPr>
          <w:rFonts w:cs="Arial"/>
        </w:rPr>
        <w:t xml:space="preserve">DCP </w:t>
      </w:r>
      <w:r w:rsidRPr="00240118">
        <w:rPr>
          <w:rFonts w:cs="Arial"/>
        </w:rPr>
        <w:tab/>
        <w:t>Democracy Consolidation Programme</w:t>
      </w:r>
    </w:p>
    <w:p w14:paraId="53AA62B1" w14:textId="77777777" w:rsidR="00AD05BC" w:rsidRDefault="00AD05BC" w:rsidP="009628AA">
      <w:pPr>
        <w:pStyle w:val="Ingenafstand"/>
        <w:rPr>
          <w:rFonts w:cs="Arial"/>
        </w:rPr>
      </w:pPr>
      <w:r>
        <w:rPr>
          <w:rFonts w:cs="Arial"/>
        </w:rPr>
        <w:t>DEC</w:t>
      </w:r>
      <w:r>
        <w:rPr>
          <w:rFonts w:cs="Arial"/>
        </w:rPr>
        <w:tab/>
        <w:t>District Executive Committee</w:t>
      </w:r>
    </w:p>
    <w:p w14:paraId="4A990587" w14:textId="77777777" w:rsidR="00AD3D3D" w:rsidRDefault="00AD3D3D" w:rsidP="009628AA">
      <w:pPr>
        <w:pStyle w:val="Ingenafstand"/>
        <w:rPr>
          <w:rFonts w:cs="Arial"/>
        </w:rPr>
      </w:pPr>
      <w:r>
        <w:rPr>
          <w:rFonts w:cs="Arial"/>
        </w:rPr>
        <w:t>DFID</w:t>
      </w:r>
      <w:r>
        <w:rPr>
          <w:rFonts w:cs="Arial"/>
        </w:rPr>
        <w:tab/>
      </w:r>
      <w:r w:rsidRPr="00AD3D3D">
        <w:rPr>
          <w:rFonts w:cs="Arial"/>
        </w:rPr>
        <w:t>Department for International Development</w:t>
      </w:r>
      <w:r>
        <w:rPr>
          <w:rFonts w:cs="Arial"/>
        </w:rPr>
        <w:t xml:space="preserve"> (UK)</w:t>
      </w:r>
    </w:p>
    <w:p w14:paraId="6B75F517" w14:textId="77777777" w:rsidR="00EA60C6" w:rsidRDefault="00EA60C6" w:rsidP="009628AA">
      <w:pPr>
        <w:pStyle w:val="Ingenafstand"/>
        <w:rPr>
          <w:rFonts w:cs="Arial"/>
        </w:rPr>
      </w:pPr>
      <w:r w:rsidRPr="00EA60C6">
        <w:rPr>
          <w:rFonts w:cs="Arial"/>
        </w:rPr>
        <w:t>DG</w:t>
      </w:r>
      <w:r>
        <w:rPr>
          <w:rFonts w:cs="Arial"/>
        </w:rPr>
        <w:tab/>
      </w:r>
      <w:r w:rsidRPr="00EA60C6">
        <w:rPr>
          <w:rFonts w:cs="Arial"/>
        </w:rPr>
        <w:t>Democratic Governance</w:t>
      </w:r>
    </w:p>
    <w:p w14:paraId="27486686" w14:textId="77777777" w:rsidR="009628AA" w:rsidRPr="00240118" w:rsidRDefault="009628AA" w:rsidP="009628AA">
      <w:pPr>
        <w:pStyle w:val="Ingenafstand"/>
        <w:rPr>
          <w:rFonts w:cs="Arial"/>
        </w:rPr>
      </w:pPr>
      <w:r w:rsidRPr="00240118">
        <w:rPr>
          <w:rFonts w:cs="Arial"/>
        </w:rPr>
        <w:t>DGSWG</w:t>
      </w:r>
      <w:r w:rsidRPr="00240118">
        <w:rPr>
          <w:rFonts w:cs="Arial"/>
        </w:rPr>
        <w:tab/>
        <w:t>Democratic Governance Sector Working Group</w:t>
      </w:r>
    </w:p>
    <w:p w14:paraId="1F91DD33" w14:textId="77777777" w:rsidR="009628AA" w:rsidRPr="00240118" w:rsidRDefault="009628AA" w:rsidP="009628AA">
      <w:pPr>
        <w:pStyle w:val="Ingenafstand"/>
        <w:rPr>
          <w:rFonts w:cs="Arial"/>
        </w:rPr>
      </w:pPr>
      <w:r w:rsidRPr="00240118">
        <w:rPr>
          <w:rFonts w:cs="Arial"/>
        </w:rPr>
        <w:t>DGSS</w:t>
      </w:r>
      <w:r w:rsidRPr="00240118">
        <w:rPr>
          <w:rFonts w:cs="Arial"/>
        </w:rPr>
        <w:tab/>
        <w:t>Democratic Governance Sector Strategy</w:t>
      </w:r>
    </w:p>
    <w:p w14:paraId="39DFC20C" w14:textId="77777777" w:rsidR="00723F7C" w:rsidRDefault="00723F7C" w:rsidP="009628AA">
      <w:pPr>
        <w:pStyle w:val="Ingenafstand"/>
        <w:rPr>
          <w:rFonts w:cs="Arial"/>
        </w:rPr>
      </w:pPr>
      <w:r>
        <w:rPr>
          <w:lang w:val="en-US"/>
        </w:rPr>
        <w:t>DGTTF</w:t>
      </w:r>
      <w:r>
        <w:rPr>
          <w:rFonts w:cs="Arial"/>
        </w:rPr>
        <w:tab/>
        <w:t xml:space="preserve">UNDPs </w:t>
      </w:r>
      <w:r w:rsidRPr="00723F7C">
        <w:rPr>
          <w:lang w:val="en-US"/>
        </w:rPr>
        <w:t xml:space="preserve">Democratic Governance Thematic Trust Fund </w:t>
      </w:r>
    </w:p>
    <w:p w14:paraId="58241C00" w14:textId="77777777" w:rsidR="005B28C7" w:rsidRDefault="005B28C7" w:rsidP="009628AA">
      <w:pPr>
        <w:pStyle w:val="Ingenafstand"/>
        <w:rPr>
          <w:rFonts w:cs="Arial"/>
        </w:rPr>
      </w:pPr>
      <w:r>
        <w:rPr>
          <w:rFonts w:cs="Arial"/>
        </w:rPr>
        <w:t>DIPD</w:t>
      </w:r>
      <w:r>
        <w:rPr>
          <w:rFonts w:cs="Arial"/>
        </w:rPr>
        <w:tab/>
        <w:t>Danish Institute for Party Democracy</w:t>
      </w:r>
    </w:p>
    <w:p w14:paraId="7C531D70" w14:textId="77777777" w:rsidR="00EA1AE7" w:rsidRDefault="00EA1AE7" w:rsidP="009628AA">
      <w:pPr>
        <w:pStyle w:val="Ingenafstand"/>
        <w:rPr>
          <w:rFonts w:cs="Arial"/>
        </w:rPr>
      </w:pPr>
      <w:r>
        <w:rPr>
          <w:rFonts w:cs="Arial"/>
        </w:rPr>
        <w:t>DIM</w:t>
      </w:r>
      <w:r>
        <w:rPr>
          <w:rFonts w:cs="Arial"/>
        </w:rPr>
        <w:tab/>
        <w:t>Direct Implementation Modality</w:t>
      </w:r>
    </w:p>
    <w:p w14:paraId="1B9D520B" w14:textId="77777777" w:rsidR="009628AA" w:rsidRPr="00240118" w:rsidRDefault="005D1087" w:rsidP="009628AA">
      <w:pPr>
        <w:pStyle w:val="Ingenafstand"/>
        <w:rPr>
          <w:rFonts w:cs="Arial"/>
        </w:rPr>
      </w:pPr>
      <w:r>
        <w:rPr>
          <w:rFonts w:cs="Arial"/>
        </w:rPr>
        <w:t xml:space="preserve">DP </w:t>
      </w:r>
      <w:r>
        <w:rPr>
          <w:rFonts w:cs="Arial"/>
        </w:rPr>
        <w:tab/>
        <w:t>Development Partner</w:t>
      </w:r>
    </w:p>
    <w:p w14:paraId="7D612950" w14:textId="77777777" w:rsidR="00AD3D3D" w:rsidRDefault="00AD3D3D" w:rsidP="009628AA">
      <w:pPr>
        <w:pStyle w:val="Ingenafstand"/>
        <w:rPr>
          <w:rFonts w:cs="Arial"/>
        </w:rPr>
      </w:pPr>
      <w:r>
        <w:rPr>
          <w:rFonts w:cs="Arial"/>
        </w:rPr>
        <w:t>EU</w:t>
      </w:r>
      <w:r>
        <w:rPr>
          <w:rFonts w:cs="Arial"/>
        </w:rPr>
        <w:tab/>
        <w:t>European Union</w:t>
      </w:r>
    </w:p>
    <w:p w14:paraId="137AE08B" w14:textId="77777777" w:rsidR="009628AA" w:rsidRPr="00240118" w:rsidRDefault="00BB4A0C" w:rsidP="009628AA">
      <w:pPr>
        <w:pStyle w:val="Ingenafstand"/>
        <w:rPr>
          <w:rFonts w:cs="Arial"/>
        </w:rPr>
      </w:pPr>
      <w:r>
        <w:rPr>
          <w:rFonts w:cs="Arial"/>
        </w:rPr>
        <w:t xml:space="preserve">FY </w:t>
      </w:r>
      <w:r>
        <w:rPr>
          <w:rFonts w:cs="Arial"/>
        </w:rPr>
        <w:tab/>
        <w:t>Fiscal Year</w:t>
      </w:r>
    </w:p>
    <w:p w14:paraId="6C04FF59" w14:textId="77777777" w:rsidR="009628AA" w:rsidRPr="00240118" w:rsidRDefault="00A921A9" w:rsidP="009628AA">
      <w:pPr>
        <w:pStyle w:val="Ingenafstand"/>
        <w:rPr>
          <w:rFonts w:cs="Arial"/>
        </w:rPr>
      </w:pPr>
      <w:r>
        <w:rPr>
          <w:rFonts w:cs="Arial"/>
        </w:rPr>
        <w:t xml:space="preserve">GBV </w:t>
      </w:r>
      <w:r>
        <w:rPr>
          <w:rFonts w:cs="Arial"/>
        </w:rPr>
        <w:tab/>
        <w:t>Gender-</w:t>
      </w:r>
      <w:r w:rsidR="009628AA" w:rsidRPr="00240118">
        <w:rPr>
          <w:rFonts w:cs="Arial"/>
        </w:rPr>
        <w:t>Based Violence</w:t>
      </w:r>
    </w:p>
    <w:p w14:paraId="16C4E4C8" w14:textId="77777777" w:rsidR="009628AA" w:rsidRPr="00240118" w:rsidRDefault="009628AA" w:rsidP="009628AA">
      <w:pPr>
        <w:pStyle w:val="Ingenafstand"/>
        <w:rPr>
          <w:rFonts w:cs="Arial"/>
        </w:rPr>
      </w:pPr>
      <w:r w:rsidRPr="00240118">
        <w:rPr>
          <w:rFonts w:cs="Arial"/>
        </w:rPr>
        <w:t>GEWE</w:t>
      </w:r>
      <w:r w:rsidRPr="00240118">
        <w:rPr>
          <w:rFonts w:cs="Arial"/>
        </w:rPr>
        <w:tab/>
        <w:t>Gender Equality and Women’s Empowerment</w:t>
      </w:r>
    </w:p>
    <w:p w14:paraId="1A89926B" w14:textId="77777777" w:rsidR="009628AA" w:rsidRPr="00240118" w:rsidRDefault="009628AA" w:rsidP="009628AA">
      <w:pPr>
        <w:pStyle w:val="Ingenafstand"/>
        <w:rPr>
          <w:rFonts w:cs="Arial"/>
        </w:rPr>
      </w:pPr>
      <w:r w:rsidRPr="00240118">
        <w:rPr>
          <w:rFonts w:cs="Arial"/>
        </w:rPr>
        <w:t xml:space="preserve">GIZ </w:t>
      </w:r>
      <w:r w:rsidRPr="00240118">
        <w:rPr>
          <w:rFonts w:cs="Arial"/>
        </w:rPr>
        <w:tab/>
        <w:t>German International Cooperation</w:t>
      </w:r>
    </w:p>
    <w:p w14:paraId="2AC2CA78" w14:textId="77777777" w:rsidR="009628AA" w:rsidRPr="00240118" w:rsidRDefault="009628AA" w:rsidP="009628AA">
      <w:pPr>
        <w:pStyle w:val="Ingenafstand"/>
        <w:rPr>
          <w:rFonts w:cs="Arial"/>
        </w:rPr>
      </w:pPr>
      <w:r w:rsidRPr="00240118">
        <w:rPr>
          <w:rFonts w:cs="Arial"/>
        </w:rPr>
        <w:t xml:space="preserve">GoM </w:t>
      </w:r>
      <w:r w:rsidRPr="00240118">
        <w:rPr>
          <w:rFonts w:cs="Arial"/>
        </w:rPr>
        <w:tab/>
        <w:t>Government of Malawi</w:t>
      </w:r>
    </w:p>
    <w:p w14:paraId="0DDE2EE5" w14:textId="77777777" w:rsidR="009628AA" w:rsidRPr="00240118" w:rsidRDefault="009628AA" w:rsidP="009628AA">
      <w:pPr>
        <w:pStyle w:val="Ingenafstand"/>
        <w:rPr>
          <w:rFonts w:cs="Arial"/>
        </w:rPr>
      </w:pPr>
      <w:r w:rsidRPr="00240118">
        <w:rPr>
          <w:rFonts w:cs="Arial"/>
        </w:rPr>
        <w:t xml:space="preserve">HACT </w:t>
      </w:r>
      <w:r w:rsidRPr="00240118">
        <w:rPr>
          <w:rFonts w:cs="Arial"/>
        </w:rPr>
        <w:tab/>
        <w:t>Harmonised Approach to Cash Transfers</w:t>
      </w:r>
    </w:p>
    <w:p w14:paraId="1FB9BDBE" w14:textId="77777777" w:rsidR="008E5867" w:rsidRDefault="008E5867" w:rsidP="009628AA">
      <w:pPr>
        <w:pStyle w:val="Ingenafstand"/>
        <w:rPr>
          <w:rFonts w:cs="Arial"/>
        </w:rPr>
      </w:pPr>
      <w:r>
        <w:rPr>
          <w:rFonts w:cs="Arial"/>
        </w:rPr>
        <w:t>HDI</w:t>
      </w:r>
      <w:r>
        <w:rPr>
          <w:rFonts w:cs="Arial"/>
        </w:rPr>
        <w:tab/>
        <w:t>Human Development Index</w:t>
      </w:r>
    </w:p>
    <w:p w14:paraId="33B0DE7E" w14:textId="77777777" w:rsidR="009628AA" w:rsidRPr="00240118" w:rsidRDefault="009628AA" w:rsidP="009628AA">
      <w:pPr>
        <w:pStyle w:val="Ingenafstand"/>
        <w:rPr>
          <w:rFonts w:cs="Arial"/>
        </w:rPr>
      </w:pPr>
      <w:r w:rsidRPr="00240118">
        <w:rPr>
          <w:rFonts w:cs="Arial"/>
        </w:rPr>
        <w:t xml:space="preserve">HR </w:t>
      </w:r>
      <w:r w:rsidRPr="00240118">
        <w:rPr>
          <w:rFonts w:cs="Arial"/>
        </w:rPr>
        <w:tab/>
        <w:t>Human R</w:t>
      </w:r>
      <w:r w:rsidR="005D1087">
        <w:rPr>
          <w:rFonts w:cs="Arial"/>
        </w:rPr>
        <w:t xml:space="preserve">ights </w:t>
      </w:r>
      <w:r w:rsidRPr="00240118">
        <w:rPr>
          <w:rFonts w:cs="Arial"/>
        </w:rPr>
        <w:t xml:space="preserve"> </w:t>
      </w:r>
    </w:p>
    <w:p w14:paraId="235451A8" w14:textId="77777777" w:rsidR="003926CE" w:rsidRDefault="003926CE" w:rsidP="009628AA">
      <w:pPr>
        <w:pStyle w:val="Ingenafstand"/>
        <w:rPr>
          <w:rFonts w:cs="Arial"/>
        </w:rPr>
      </w:pPr>
      <w:r>
        <w:rPr>
          <w:rFonts w:cs="Arial"/>
        </w:rPr>
        <w:t>ICCPR</w:t>
      </w:r>
      <w:r>
        <w:rPr>
          <w:rFonts w:cs="Arial"/>
        </w:rPr>
        <w:tab/>
      </w:r>
      <w:r w:rsidRPr="003926CE">
        <w:rPr>
          <w:rFonts w:cs="Arial"/>
        </w:rPr>
        <w:t>International Covenant on Civil and Political Rights</w:t>
      </w:r>
    </w:p>
    <w:p w14:paraId="74CD5140" w14:textId="77777777" w:rsidR="009628AA" w:rsidRPr="00240118" w:rsidRDefault="009628AA" w:rsidP="009628AA">
      <w:pPr>
        <w:pStyle w:val="Ingenafstand"/>
        <w:rPr>
          <w:rFonts w:cs="Arial"/>
        </w:rPr>
      </w:pPr>
      <w:r w:rsidRPr="00240118">
        <w:rPr>
          <w:rFonts w:cs="Arial"/>
        </w:rPr>
        <w:t xml:space="preserve">ICT </w:t>
      </w:r>
      <w:r w:rsidRPr="00240118">
        <w:rPr>
          <w:rFonts w:cs="Arial"/>
        </w:rPr>
        <w:tab/>
        <w:t>Information Communication and Technology</w:t>
      </w:r>
    </w:p>
    <w:p w14:paraId="03B2FF70" w14:textId="77777777" w:rsidR="007515DA" w:rsidRDefault="007515DA" w:rsidP="009628AA">
      <w:pPr>
        <w:pStyle w:val="Ingenafstand"/>
        <w:rPr>
          <w:rFonts w:cs="Arial"/>
        </w:rPr>
      </w:pPr>
      <w:r>
        <w:rPr>
          <w:rFonts w:cs="Arial"/>
        </w:rPr>
        <w:t>IGA</w:t>
      </w:r>
      <w:r>
        <w:rPr>
          <w:rFonts w:cs="Arial"/>
        </w:rPr>
        <w:tab/>
        <w:t>Income Generating Activity</w:t>
      </w:r>
    </w:p>
    <w:p w14:paraId="04FE107B" w14:textId="77777777" w:rsidR="009628AA" w:rsidRPr="00240118" w:rsidRDefault="009628AA" w:rsidP="009628AA">
      <w:pPr>
        <w:pStyle w:val="Ingenafstand"/>
        <w:rPr>
          <w:rFonts w:cs="Arial"/>
        </w:rPr>
      </w:pPr>
      <w:r w:rsidRPr="00240118">
        <w:rPr>
          <w:rFonts w:cs="Arial"/>
        </w:rPr>
        <w:t xml:space="preserve">ILO </w:t>
      </w:r>
      <w:r w:rsidRPr="00240118">
        <w:rPr>
          <w:rFonts w:cs="Arial"/>
        </w:rPr>
        <w:tab/>
        <w:t>International Labour Organisation</w:t>
      </w:r>
    </w:p>
    <w:p w14:paraId="21CAF948" w14:textId="77777777" w:rsidR="001073AF" w:rsidRDefault="001073AF" w:rsidP="009628AA">
      <w:pPr>
        <w:pStyle w:val="Ingenafstand"/>
        <w:rPr>
          <w:rFonts w:cs="Arial"/>
        </w:rPr>
      </w:pPr>
      <w:r>
        <w:rPr>
          <w:rFonts w:cs="Arial"/>
        </w:rPr>
        <w:t>IP</w:t>
      </w:r>
      <w:r>
        <w:rPr>
          <w:rFonts w:cs="Arial"/>
        </w:rPr>
        <w:tab/>
        <w:t>Implementing Partner</w:t>
      </w:r>
    </w:p>
    <w:p w14:paraId="02C9F449" w14:textId="77777777" w:rsidR="009628AA" w:rsidRPr="00240118" w:rsidRDefault="009628AA" w:rsidP="009628AA">
      <w:pPr>
        <w:pStyle w:val="Ingenafstand"/>
        <w:rPr>
          <w:rFonts w:cs="Arial"/>
        </w:rPr>
      </w:pPr>
      <w:r w:rsidRPr="00240118">
        <w:rPr>
          <w:rFonts w:cs="Arial"/>
        </w:rPr>
        <w:t>IRD</w:t>
      </w:r>
      <w:r w:rsidRPr="00240118">
        <w:rPr>
          <w:rFonts w:cs="Arial"/>
        </w:rPr>
        <w:tab/>
        <w:t xml:space="preserve">Integrated Rural Development </w:t>
      </w:r>
    </w:p>
    <w:p w14:paraId="18AD3FAE" w14:textId="77777777" w:rsidR="00B31A94" w:rsidRDefault="00B31A94" w:rsidP="009628AA">
      <w:pPr>
        <w:pStyle w:val="Ingenafstand"/>
        <w:rPr>
          <w:rFonts w:cs="Arial"/>
        </w:rPr>
      </w:pPr>
      <w:r>
        <w:rPr>
          <w:rFonts w:cs="Arial"/>
        </w:rPr>
        <w:t>KP</w:t>
      </w:r>
      <w:r>
        <w:rPr>
          <w:rFonts w:cs="Arial"/>
        </w:rPr>
        <w:tab/>
        <w:t>Key Priority</w:t>
      </w:r>
    </w:p>
    <w:p w14:paraId="4970C1AA" w14:textId="77777777" w:rsidR="009950BE" w:rsidRDefault="009950BE" w:rsidP="009628AA">
      <w:pPr>
        <w:pStyle w:val="Ingenafstand"/>
        <w:rPr>
          <w:rFonts w:cs="Arial"/>
        </w:rPr>
      </w:pPr>
      <w:r>
        <w:rPr>
          <w:rFonts w:cs="Arial"/>
        </w:rPr>
        <w:t>LAC</w:t>
      </w:r>
      <w:r>
        <w:rPr>
          <w:rFonts w:cs="Arial"/>
        </w:rPr>
        <w:tab/>
        <w:t>Legal Affairs Committee</w:t>
      </w:r>
    </w:p>
    <w:p w14:paraId="05C2843B" w14:textId="77777777" w:rsidR="00F835A6" w:rsidRDefault="00F835A6" w:rsidP="009628AA">
      <w:pPr>
        <w:pStyle w:val="Ingenafstand"/>
        <w:rPr>
          <w:rFonts w:cs="Arial"/>
        </w:rPr>
      </w:pPr>
      <w:r>
        <w:rPr>
          <w:rFonts w:cs="Arial"/>
        </w:rPr>
        <w:t>LDC</w:t>
      </w:r>
      <w:r>
        <w:rPr>
          <w:rFonts w:cs="Arial"/>
        </w:rPr>
        <w:tab/>
        <w:t>Least Developed Country</w:t>
      </w:r>
    </w:p>
    <w:p w14:paraId="12578D60" w14:textId="77777777" w:rsidR="005159F2" w:rsidRDefault="005159F2" w:rsidP="009628AA">
      <w:pPr>
        <w:pStyle w:val="Ingenafstand"/>
        <w:rPr>
          <w:rFonts w:cs="Arial"/>
        </w:rPr>
      </w:pPr>
      <w:r>
        <w:rPr>
          <w:rFonts w:cs="Arial"/>
        </w:rPr>
        <w:t>LED</w:t>
      </w:r>
      <w:r>
        <w:rPr>
          <w:rFonts w:cs="Arial"/>
        </w:rPr>
        <w:tab/>
        <w:t>Local Economic Development</w:t>
      </w:r>
    </w:p>
    <w:p w14:paraId="43D7495B" w14:textId="77777777" w:rsidR="00EA60C6" w:rsidRDefault="00EA60C6" w:rsidP="009628AA">
      <w:pPr>
        <w:pStyle w:val="Ingenafstand"/>
        <w:rPr>
          <w:rFonts w:cs="Arial"/>
        </w:rPr>
      </w:pPr>
      <w:r>
        <w:rPr>
          <w:rFonts w:cs="Arial"/>
        </w:rPr>
        <w:t>LG</w:t>
      </w:r>
      <w:r>
        <w:rPr>
          <w:rFonts w:cs="Arial"/>
        </w:rPr>
        <w:tab/>
        <w:t>Local Government</w:t>
      </w:r>
    </w:p>
    <w:p w14:paraId="35260BB7" w14:textId="77777777" w:rsidR="003C4FED" w:rsidRDefault="003C4FED" w:rsidP="009628AA">
      <w:pPr>
        <w:pStyle w:val="Ingenafstand"/>
        <w:rPr>
          <w:rFonts w:cs="Arial"/>
        </w:rPr>
      </w:pPr>
      <w:r>
        <w:rPr>
          <w:rFonts w:cs="Arial"/>
        </w:rPr>
        <w:t>LGAP</w:t>
      </w:r>
      <w:r>
        <w:rPr>
          <w:rFonts w:cs="Arial"/>
        </w:rPr>
        <w:tab/>
      </w:r>
      <w:r w:rsidRPr="003C4FED">
        <w:rPr>
          <w:rFonts w:cs="Arial"/>
        </w:rPr>
        <w:t>Local Government Accountability and Performance Project</w:t>
      </w:r>
    </w:p>
    <w:p w14:paraId="0F9C354A" w14:textId="77777777" w:rsidR="00B6376F" w:rsidRDefault="00B6376F" w:rsidP="009628AA">
      <w:pPr>
        <w:pStyle w:val="Ingenafstand"/>
        <w:rPr>
          <w:rFonts w:cs="Arial"/>
        </w:rPr>
      </w:pPr>
      <w:r>
        <w:rPr>
          <w:rFonts w:cs="Arial"/>
        </w:rPr>
        <w:t>LGBT</w:t>
      </w:r>
      <w:r>
        <w:rPr>
          <w:rFonts w:cs="Arial"/>
        </w:rPr>
        <w:tab/>
        <w:t xml:space="preserve">Lesbian, Gay, Bisexual, </w:t>
      </w:r>
      <w:r w:rsidR="00CD56B9">
        <w:rPr>
          <w:rFonts w:cs="Arial"/>
        </w:rPr>
        <w:t xml:space="preserve">and </w:t>
      </w:r>
      <w:r>
        <w:rPr>
          <w:rFonts w:cs="Arial"/>
        </w:rPr>
        <w:t>Transgender</w:t>
      </w:r>
    </w:p>
    <w:p w14:paraId="76B50822" w14:textId="77777777" w:rsidR="00054F7E" w:rsidRDefault="00054F7E" w:rsidP="009628AA">
      <w:pPr>
        <w:pStyle w:val="Ingenafstand"/>
        <w:rPr>
          <w:rFonts w:cs="Arial"/>
        </w:rPr>
      </w:pPr>
      <w:r>
        <w:rPr>
          <w:rFonts w:cs="Arial"/>
        </w:rPr>
        <w:t>MALGA</w:t>
      </w:r>
      <w:r>
        <w:rPr>
          <w:rFonts w:cs="Arial"/>
        </w:rPr>
        <w:tab/>
        <w:t>Malawi Local Government</w:t>
      </w:r>
      <w:r w:rsidRPr="00054F7E">
        <w:rPr>
          <w:rFonts w:cs="Arial"/>
        </w:rPr>
        <w:t xml:space="preserve"> </w:t>
      </w:r>
      <w:r>
        <w:rPr>
          <w:rFonts w:cs="Arial"/>
        </w:rPr>
        <w:t>Association</w:t>
      </w:r>
    </w:p>
    <w:p w14:paraId="1A05FFA8" w14:textId="77777777" w:rsidR="00473BD7" w:rsidRDefault="00473BD7" w:rsidP="009628AA">
      <w:pPr>
        <w:pStyle w:val="Ingenafstand"/>
        <w:rPr>
          <w:rFonts w:cs="Arial"/>
        </w:rPr>
      </w:pPr>
      <w:r>
        <w:rPr>
          <w:rFonts w:cs="Arial"/>
        </w:rPr>
        <w:t>MDA</w:t>
      </w:r>
      <w:r>
        <w:rPr>
          <w:rFonts w:cs="Arial"/>
        </w:rPr>
        <w:tab/>
        <w:t>Ministry, Department, Agency</w:t>
      </w:r>
    </w:p>
    <w:p w14:paraId="732D9AE2" w14:textId="77777777" w:rsidR="009628AA" w:rsidRPr="00240118" w:rsidRDefault="009628AA" w:rsidP="009628AA">
      <w:pPr>
        <w:pStyle w:val="Ingenafstand"/>
        <w:rPr>
          <w:rFonts w:cs="Arial"/>
        </w:rPr>
      </w:pPr>
      <w:r w:rsidRPr="00240118">
        <w:rPr>
          <w:rFonts w:cs="Arial"/>
        </w:rPr>
        <w:t>MDG</w:t>
      </w:r>
      <w:r w:rsidRPr="00240118">
        <w:rPr>
          <w:rFonts w:cs="Arial"/>
        </w:rPr>
        <w:tab/>
        <w:t>Millennium Development Goal</w:t>
      </w:r>
    </w:p>
    <w:p w14:paraId="379BBB8D" w14:textId="77777777" w:rsidR="00526667" w:rsidRDefault="00526667" w:rsidP="009628AA">
      <w:pPr>
        <w:pStyle w:val="Ingenafstand"/>
        <w:rPr>
          <w:rFonts w:cs="Arial"/>
        </w:rPr>
      </w:pPr>
      <w:r>
        <w:rPr>
          <w:rFonts w:cs="Arial"/>
        </w:rPr>
        <w:t>MEC</w:t>
      </w:r>
      <w:r>
        <w:rPr>
          <w:rFonts w:cs="Arial"/>
        </w:rPr>
        <w:tab/>
      </w:r>
      <w:r w:rsidRPr="00526667">
        <w:rPr>
          <w:rFonts w:cs="Arial"/>
          <w:lang w:val="en-US"/>
        </w:rPr>
        <w:t>Malawi Electoral Commission</w:t>
      </w:r>
    </w:p>
    <w:p w14:paraId="6C76D5FA" w14:textId="77777777" w:rsidR="00997CF5" w:rsidRDefault="00997CF5" w:rsidP="009628AA">
      <w:pPr>
        <w:pStyle w:val="Ingenafstand"/>
        <w:rPr>
          <w:rFonts w:cs="Arial"/>
        </w:rPr>
      </w:pPr>
      <w:r>
        <w:rPr>
          <w:rFonts w:cs="Arial"/>
        </w:rPr>
        <w:t>MESN</w:t>
      </w:r>
      <w:r>
        <w:rPr>
          <w:rFonts w:cs="Arial"/>
        </w:rPr>
        <w:tab/>
        <w:t>Malawi Electoral Support Network</w:t>
      </w:r>
    </w:p>
    <w:p w14:paraId="25FBDC25" w14:textId="77777777" w:rsidR="009628AA" w:rsidRPr="00240118" w:rsidRDefault="009628AA" w:rsidP="009628AA">
      <w:pPr>
        <w:pStyle w:val="Ingenafstand"/>
        <w:rPr>
          <w:rFonts w:cs="Arial"/>
        </w:rPr>
      </w:pPr>
      <w:r w:rsidRPr="00240118">
        <w:rPr>
          <w:rFonts w:cs="Arial"/>
        </w:rPr>
        <w:lastRenderedPageBreak/>
        <w:t>MGDS</w:t>
      </w:r>
      <w:r w:rsidRPr="00240118">
        <w:rPr>
          <w:rFonts w:cs="Arial"/>
        </w:rPr>
        <w:tab/>
        <w:t>Malawi Growth and Development Strategy</w:t>
      </w:r>
    </w:p>
    <w:p w14:paraId="4A3948E3" w14:textId="77777777" w:rsidR="00E505AD" w:rsidRDefault="00E505AD" w:rsidP="009628AA">
      <w:pPr>
        <w:pStyle w:val="Ingenafstand"/>
        <w:rPr>
          <w:rFonts w:cs="Arial"/>
        </w:rPr>
      </w:pPr>
      <w:r>
        <w:rPr>
          <w:rFonts w:cs="Arial"/>
        </w:rPr>
        <w:t>MHRC</w:t>
      </w:r>
      <w:r>
        <w:rPr>
          <w:rFonts w:cs="Arial"/>
        </w:rPr>
        <w:tab/>
        <w:t xml:space="preserve">Malawi Human Rights </w:t>
      </w:r>
      <w:r w:rsidR="000E35B6">
        <w:rPr>
          <w:rFonts w:cs="Arial"/>
        </w:rPr>
        <w:t>Commission</w:t>
      </w:r>
    </w:p>
    <w:p w14:paraId="12AE1751" w14:textId="77777777" w:rsidR="00140B05" w:rsidRDefault="00140B05" w:rsidP="009628AA">
      <w:pPr>
        <w:pStyle w:val="Ingenafstand"/>
        <w:rPr>
          <w:rFonts w:cs="Arial"/>
        </w:rPr>
      </w:pPr>
      <w:r>
        <w:rPr>
          <w:rFonts w:cs="Arial"/>
        </w:rPr>
        <w:t>MPLC</w:t>
      </w:r>
      <w:r>
        <w:rPr>
          <w:rFonts w:cs="Arial"/>
        </w:rPr>
        <w:tab/>
        <w:t>Multi-</w:t>
      </w:r>
      <w:r w:rsidR="009950BE">
        <w:rPr>
          <w:rFonts w:cs="Arial"/>
        </w:rPr>
        <w:t>Party</w:t>
      </w:r>
      <w:r>
        <w:rPr>
          <w:rFonts w:cs="Arial"/>
        </w:rPr>
        <w:t xml:space="preserve"> Liaison Committees</w:t>
      </w:r>
    </w:p>
    <w:p w14:paraId="3BC132A7" w14:textId="77777777" w:rsidR="009628AA" w:rsidRDefault="00140B05" w:rsidP="009628AA">
      <w:pPr>
        <w:pStyle w:val="Ingenafstand"/>
        <w:rPr>
          <w:rFonts w:cs="Arial"/>
        </w:rPr>
      </w:pPr>
      <w:r>
        <w:rPr>
          <w:rFonts w:cs="Arial"/>
        </w:rPr>
        <w:t>M</w:t>
      </w:r>
      <w:r w:rsidR="00785DF1">
        <w:rPr>
          <w:rFonts w:cs="Arial"/>
        </w:rPr>
        <w:t>o</w:t>
      </w:r>
      <w:r w:rsidR="009628AA">
        <w:rPr>
          <w:rFonts w:cs="Arial"/>
        </w:rPr>
        <w:t>LGRD</w:t>
      </w:r>
      <w:r w:rsidR="009628AA">
        <w:rPr>
          <w:rFonts w:cs="Arial"/>
        </w:rPr>
        <w:tab/>
      </w:r>
      <w:r w:rsidR="009628AA" w:rsidRPr="00DA2C5B">
        <w:rPr>
          <w:lang w:val="en-US"/>
        </w:rPr>
        <w:t>Ministry of Local Government and Rural Development</w:t>
      </w:r>
    </w:p>
    <w:p w14:paraId="7DC0FB4B" w14:textId="77777777" w:rsidR="009628AA" w:rsidRPr="00240118" w:rsidRDefault="009628AA" w:rsidP="009628AA">
      <w:pPr>
        <w:pStyle w:val="Ingenafstand"/>
        <w:rPr>
          <w:rFonts w:cs="Arial"/>
        </w:rPr>
      </w:pPr>
      <w:r w:rsidRPr="00240118">
        <w:rPr>
          <w:rFonts w:cs="Arial"/>
        </w:rPr>
        <w:t>MoFEPD</w:t>
      </w:r>
      <w:r w:rsidRPr="00240118">
        <w:rPr>
          <w:rFonts w:cs="Arial"/>
        </w:rPr>
        <w:tab/>
        <w:t>Ministry of Finance, Economic Planning and Development</w:t>
      </w:r>
    </w:p>
    <w:p w14:paraId="6F756926" w14:textId="77777777" w:rsidR="009628AA" w:rsidRPr="00240118" w:rsidRDefault="00EA60C6" w:rsidP="009628AA">
      <w:pPr>
        <w:pStyle w:val="Ingenafstand"/>
        <w:rPr>
          <w:rFonts w:cs="Arial"/>
        </w:rPr>
      </w:pPr>
      <w:r>
        <w:rPr>
          <w:rFonts w:cs="Arial"/>
        </w:rPr>
        <w:t>MoG</w:t>
      </w:r>
      <w:r w:rsidR="009628AA" w:rsidRPr="00240118">
        <w:rPr>
          <w:rFonts w:cs="Arial"/>
        </w:rPr>
        <w:tab/>
        <w:t>Ministry of Gender, Children, Disability and Social Welfare</w:t>
      </w:r>
    </w:p>
    <w:p w14:paraId="064FCF38" w14:textId="77777777" w:rsidR="00387E8A" w:rsidRDefault="00387E8A" w:rsidP="009628AA">
      <w:pPr>
        <w:pStyle w:val="Ingenafstand"/>
        <w:rPr>
          <w:rFonts w:cs="Arial"/>
        </w:rPr>
      </w:pPr>
      <w:r>
        <w:rPr>
          <w:rFonts w:cs="Arial"/>
        </w:rPr>
        <w:t>MoJCA</w:t>
      </w:r>
      <w:r>
        <w:rPr>
          <w:rFonts w:cs="Arial"/>
        </w:rPr>
        <w:tab/>
      </w:r>
      <w:r w:rsidRPr="00387E8A">
        <w:rPr>
          <w:rFonts w:cs="Arial"/>
        </w:rPr>
        <w:t>Ministry of Justice and Constitutional Affairs</w:t>
      </w:r>
    </w:p>
    <w:p w14:paraId="3ECD46EC" w14:textId="77777777" w:rsidR="006246E2" w:rsidRDefault="006246E2" w:rsidP="009628AA">
      <w:pPr>
        <w:pStyle w:val="Ingenafstand"/>
        <w:rPr>
          <w:rFonts w:cs="Arial"/>
        </w:rPr>
      </w:pPr>
      <w:r>
        <w:rPr>
          <w:rFonts w:cs="Arial"/>
        </w:rPr>
        <w:t>MoU</w:t>
      </w:r>
      <w:r>
        <w:rPr>
          <w:rFonts w:cs="Arial"/>
        </w:rPr>
        <w:tab/>
        <w:t>Memorandum of Understanding</w:t>
      </w:r>
    </w:p>
    <w:p w14:paraId="6426B2AF" w14:textId="77777777" w:rsidR="007515DA" w:rsidRDefault="007515DA" w:rsidP="009628AA">
      <w:pPr>
        <w:pStyle w:val="Ingenafstand"/>
        <w:rPr>
          <w:rFonts w:cs="Arial"/>
        </w:rPr>
      </w:pPr>
      <w:r>
        <w:rPr>
          <w:rFonts w:cs="Arial"/>
        </w:rPr>
        <w:t>MWK</w:t>
      </w:r>
      <w:r>
        <w:rPr>
          <w:rFonts w:cs="Arial"/>
        </w:rPr>
        <w:tab/>
        <w:t>Malawi Kwacha</w:t>
      </w:r>
    </w:p>
    <w:p w14:paraId="3BA1D371" w14:textId="77777777" w:rsidR="009628AA" w:rsidRPr="00240118" w:rsidRDefault="009628AA" w:rsidP="009628AA">
      <w:pPr>
        <w:pStyle w:val="Ingenafstand"/>
        <w:rPr>
          <w:rFonts w:cs="Arial"/>
        </w:rPr>
      </w:pPr>
      <w:r w:rsidRPr="00240118">
        <w:rPr>
          <w:rFonts w:cs="Arial"/>
        </w:rPr>
        <w:t xml:space="preserve">NAO </w:t>
      </w:r>
      <w:r w:rsidRPr="00240118">
        <w:rPr>
          <w:rFonts w:cs="Arial"/>
        </w:rPr>
        <w:tab/>
        <w:t>National Audit Office</w:t>
      </w:r>
    </w:p>
    <w:p w14:paraId="4A397728" w14:textId="77777777" w:rsidR="00863307" w:rsidRDefault="00863307" w:rsidP="009628AA">
      <w:pPr>
        <w:pStyle w:val="Ingenafstand"/>
        <w:rPr>
          <w:rFonts w:cs="Arial"/>
        </w:rPr>
      </w:pPr>
      <w:r w:rsidRPr="00863307">
        <w:rPr>
          <w:rFonts w:cs="Arial"/>
        </w:rPr>
        <w:t>NDP</w:t>
      </w:r>
      <w:r>
        <w:rPr>
          <w:rFonts w:cs="Arial"/>
        </w:rPr>
        <w:tab/>
        <w:t>National Development Policy</w:t>
      </w:r>
    </w:p>
    <w:p w14:paraId="199D22F5" w14:textId="77777777" w:rsidR="00E92EE6" w:rsidRDefault="00E92EE6" w:rsidP="009628AA">
      <w:pPr>
        <w:pStyle w:val="Ingenafstand"/>
        <w:rPr>
          <w:rFonts w:cs="Arial"/>
        </w:rPr>
      </w:pPr>
      <w:r w:rsidRPr="00E92EE6">
        <w:rPr>
          <w:rFonts w:cs="Arial"/>
        </w:rPr>
        <w:t>NECOF</w:t>
      </w:r>
      <w:r>
        <w:rPr>
          <w:rFonts w:cs="Arial"/>
        </w:rPr>
        <w:tab/>
      </w:r>
      <w:r w:rsidRPr="00E92EE6">
        <w:rPr>
          <w:rFonts w:cs="Arial"/>
        </w:rPr>
        <w:t>Nation</w:t>
      </w:r>
      <w:r>
        <w:rPr>
          <w:rFonts w:cs="Arial"/>
        </w:rPr>
        <w:t>al Electoral Consultative Forum</w:t>
      </w:r>
    </w:p>
    <w:p w14:paraId="3C52DA49" w14:textId="77777777" w:rsidR="009628AA" w:rsidRPr="00240118" w:rsidRDefault="009628AA" w:rsidP="009628AA">
      <w:pPr>
        <w:pStyle w:val="Ingenafstand"/>
        <w:rPr>
          <w:rFonts w:cs="Arial"/>
        </w:rPr>
      </w:pPr>
      <w:r w:rsidRPr="00240118">
        <w:rPr>
          <w:rFonts w:cs="Arial"/>
        </w:rPr>
        <w:t xml:space="preserve">NGO </w:t>
      </w:r>
      <w:r w:rsidRPr="00240118">
        <w:rPr>
          <w:rFonts w:cs="Arial"/>
        </w:rPr>
        <w:tab/>
        <w:t xml:space="preserve">Non-Governmental Organisation </w:t>
      </w:r>
    </w:p>
    <w:p w14:paraId="518CEEB9" w14:textId="77777777" w:rsidR="00997CF5" w:rsidRDefault="00997CF5" w:rsidP="009628AA">
      <w:pPr>
        <w:pStyle w:val="Ingenafstand"/>
        <w:rPr>
          <w:rFonts w:cs="Arial"/>
        </w:rPr>
      </w:pPr>
      <w:r>
        <w:rPr>
          <w:rFonts w:cs="Arial"/>
        </w:rPr>
        <w:t>NICE</w:t>
      </w:r>
      <w:r>
        <w:rPr>
          <w:rFonts w:cs="Arial"/>
        </w:rPr>
        <w:tab/>
        <w:t>National Initiative for Civic Education</w:t>
      </w:r>
    </w:p>
    <w:p w14:paraId="26AEFEA2" w14:textId="77777777" w:rsidR="00EA1AE7" w:rsidRDefault="00EA1AE7" w:rsidP="009628AA">
      <w:pPr>
        <w:pStyle w:val="Ingenafstand"/>
        <w:rPr>
          <w:rFonts w:cs="Arial"/>
        </w:rPr>
      </w:pPr>
      <w:r>
        <w:rPr>
          <w:rFonts w:cs="Arial"/>
        </w:rPr>
        <w:t>NIM</w:t>
      </w:r>
      <w:r>
        <w:rPr>
          <w:rFonts w:cs="Arial"/>
        </w:rPr>
        <w:tab/>
        <w:t>National Implementation Modality</w:t>
      </w:r>
    </w:p>
    <w:p w14:paraId="226B5502" w14:textId="77777777" w:rsidR="005B28C7" w:rsidRDefault="005B28C7" w:rsidP="009628AA">
      <w:pPr>
        <w:pStyle w:val="Ingenafstand"/>
        <w:rPr>
          <w:rFonts w:cs="Arial"/>
        </w:rPr>
      </w:pPr>
      <w:r>
        <w:rPr>
          <w:rFonts w:cs="Arial"/>
        </w:rPr>
        <w:t>NIMD</w:t>
      </w:r>
      <w:r>
        <w:rPr>
          <w:rFonts w:cs="Arial"/>
        </w:rPr>
        <w:tab/>
        <w:t>Netherlands Institute for Multiparty Democracy</w:t>
      </w:r>
    </w:p>
    <w:p w14:paraId="0AA9047F" w14:textId="77777777" w:rsidR="006C49FA" w:rsidRDefault="006C49FA" w:rsidP="009628AA">
      <w:pPr>
        <w:pStyle w:val="Ingenafstand"/>
        <w:rPr>
          <w:rFonts w:cs="Arial"/>
        </w:rPr>
      </w:pPr>
      <w:r>
        <w:rPr>
          <w:rFonts w:cs="Arial"/>
        </w:rPr>
        <w:t>NPA</w:t>
      </w:r>
      <w:r>
        <w:rPr>
          <w:rFonts w:cs="Arial"/>
        </w:rPr>
        <w:tab/>
        <w:t>National Peace Architecture</w:t>
      </w:r>
    </w:p>
    <w:p w14:paraId="111E3CA7" w14:textId="77777777" w:rsidR="009B716C" w:rsidRDefault="009B716C" w:rsidP="009628AA">
      <w:pPr>
        <w:pStyle w:val="Ingenafstand"/>
        <w:rPr>
          <w:rFonts w:cs="Arial"/>
        </w:rPr>
      </w:pPr>
      <w:r w:rsidRPr="009B716C">
        <w:rPr>
          <w:rFonts w:cs="Arial"/>
        </w:rPr>
        <w:t>OHCHR</w:t>
      </w:r>
      <w:r>
        <w:rPr>
          <w:rFonts w:cs="Arial"/>
        </w:rPr>
        <w:tab/>
      </w:r>
      <w:r w:rsidRPr="009B716C">
        <w:rPr>
          <w:rFonts w:cs="Arial"/>
        </w:rPr>
        <w:t>Office of the United Nations High Commissioner for Human Rights</w:t>
      </w:r>
    </w:p>
    <w:p w14:paraId="50099534" w14:textId="77777777" w:rsidR="00E505AD" w:rsidRDefault="00E505AD" w:rsidP="009628AA">
      <w:pPr>
        <w:pStyle w:val="Ingenafstand"/>
        <w:rPr>
          <w:rFonts w:cs="Arial"/>
        </w:rPr>
      </w:pPr>
      <w:r>
        <w:rPr>
          <w:rFonts w:cs="Arial"/>
        </w:rPr>
        <w:t>OO</w:t>
      </w:r>
      <w:r>
        <w:rPr>
          <w:rFonts w:cs="Arial"/>
        </w:rPr>
        <w:tab/>
        <w:t>Office of the Ombudsman</w:t>
      </w:r>
    </w:p>
    <w:p w14:paraId="1AADD11F" w14:textId="77777777" w:rsidR="009628AA" w:rsidRPr="00240118" w:rsidRDefault="009628AA" w:rsidP="009628AA">
      <w:pPr>
        <w:pStyle w:val="Ingenafstand"/>
        <w:rPr>
          <w:rFonts w:cs="Arial"/>
        </w:rPr>
      </w:pPr>
      <w:r w:rsidRPr="00240118">
        <w:rPr>
          <w:rFonts w:cs="Arial"/>
        </w:rPr>
        <w:t xml:space="preserve">OPC </w:t>
      </w:r>
      <w:r w:rsidRPr="00240118">
        <w:rPr>
          <w:rFonts w:cs="Arial"/>
        </w:rPr>
        <w:tab/>
        <w:t>Office of the President and Cabinet</w:t>
      </w:r>
    </w:p>
    <w:p w14:paraId="193C54F3" w14:textId="77777777" w:rsidR="009628AA" w:rsidRPr="00240118" w:rsidRDefault="009628AA" w:rsidP="009628AA">
      <w:pPr>
        <w:pStyle w:val="Ingenafstand"/>
        <w:rPr>
          <w:rFonts w:cs="Arial"/>
        </w:rPr>
      </w:pPr>
      <w:r w:rsidRPr="00240118">
        <w:rPr>
          <w:rFonts w:cs="Arial"/>
        </w:rPr>
        <w:t>OSC</w:t>
      </w:r>
      <w:r w:rsidRPr="00240118">
        <w:rPr>
          <w:rFonts w:cs="Arial"/>
        </w:rPr>
        <w:tab/>
        <w:t>One Stop Centre</w:t>
      </w:r>
    </w:p>
    <w:p w14:paraId="3A93BB14" w14:textId="77777777" w:rsidR="00526667" w:rsidRDefault="00526667" w:rsidP="009628AA">
      <w:pPr>
        <w:pStyle w:val="Ingenafstand"/>
        <w:rPr>
          <w:rFonts w:cs="Arial"/>
        </w:rPr>
      </w:pPr>
      <w:r>
        <w:rPr>
          <w:rFonts w:cs="Arial"/>
        </w:rPr>
        <w:t>PAC</w:t>
      </w:r>
      <w:r>
        <w:rPr>
          <w:rFonts w:cs="Arial"/>
        </w:rPr>
        <w:tab/>
      </w:r>
      <w:r w:rsidRPr="00526667">
        <w:rPr>
          <w:rFonts w:cs="Arial"/>
          <w:lang w:val="en-US"/>
        </w:rPr>
        <w:t>Public Affairs Committee</w:t>
      </w:r>
    </w:p>
    <w:p w14:paraId="507CCF13" w14:textId="77777777" w:rsidR="00F83ACB" w:rsidRDefault="00F83ACB" w:rsidP="009628AA">
      <w:pPr>
        <w:pStyle w:val="Ingenafstand"/>
        <w:rPr>
          <w:rFonts w:cs="Arial"/>
        </w:rPr>
      </w:pPr>
      <w:r>
        <w:rPr>
          <w:rFonts w:cs="Arial"/>
        </w:rPr>
        <w:t>PEW</w:t>
      </w:r>
      <w:r>
        <w:rPr>
          <w:rFonts w:cs="Arial"/>
        </w:rPr>
        <w:tab/>
        <w:t>Political Empowering of Women</w:t>
      </w:r>
    </w:p>
    <w:p w14:paraId="5F20D974" w14:textId="77777777" w:rsidR="00473BD7" w:rsidRDefault="00473BD7" w:rsidP="009628AA">
      <w:pPr>
        <w:pStyle w:val="Ingenafstand"/>
        <w:rPr>
          <w:rFonts w:cs="Arial"/>
        </w:rPr>
      </w:pPr>
      <w:r>
        <w:rPr>
          <w:rFonts w:cs="Arial"/>
        </w:rPr>
        <w:t>PFP</w:t>
      </w:r>
      <w:r>
        <w:rPr>
          <w:rFonts w:cs="Arial"/>
        </w:rPr>
        <w:tab/>
        <w:t>Policy Framework Paper</w:t>
      </w:r>
    </w:p>
    <w:p w14:paraId="0A4310E9" w14:textId="77777777" w:rsidR="009628AA" w:rsidRPr="00240118" w:rsidRDefault="009628AA" w:rsidP="009628AA">
      <w:pPr>
        <w:pStyle w:val="Ingenafstand"/>
        <w:rPr>
          <w:rFonts w:cs="Arial"/>
        </w:rPr>
      </w:pPr>
      <w:r w:rsidRPr="00240118">
        <w:rPr>
          <w:rFonts w:cs="Arial"/>
        </w:rPr>
        <w:t>PM</w:t>
      </w:r>
      <w:r w:rsidR="00EA1AE7">
        <w:rPr>
          <w:rFonts w:cs="Arial"/>
        </w:rPr>
        <w:t>U</w:t>
      </w:r>
      <w:r w:rsidRPr="00240118">
        <w:rPr>
          <w:rFonts w:cs="Arial"/>
        </w:rPr>
        <w:t xml:space="preserve"> </w:t>
      </w:r>
      <w:r w:rsidRPr="00240118">
        <w:rPr>
          <w:rFonts w:cs="Arial"/>
        </w:rPr>
        <w:tab/>
        <w:t xml:space="preserve">Programme Management </w:t>
      </w:r>
      <w:r w:rsidR="00EA1AE7">
        <w:rPr>
          <w:rFonts w:cs="Arial"/>
        </w:rPr>
        <w:t>Unit</w:t>
      </w:r>
    </w:p>
    <w:p w14:paraId="49EC5EFC" w14:textId="77777777" w:rsidR="00977599" w:rsidRDefault="00977599" w:rsidP="009628AA">
      <w:pPr>
        <w:pStyle w:val="Ingenafstand"/>
        <w:rPr>
          <w:rFonts w:cs="Arial"/>
        </w:rPr>
      </w:pPr>
      <w:r>
        <w:rPr>
          <w:rFonts w:cs="Arial"/>
        </w:rPr>
        <w:t>PP</w:t>
      </w:r>
      <w:r>
        <w:rPr>
          <w:rFonts w:cs="Arial"/>
        </w:rPr>
        <w:tab/>
        <w:t>Political Party</w:t>
      </w:r>
    </w:p>
    <w:p w14:paraId="0C04C710" w14:textId="77777777" w:rsidR="008E5867" w:rsidRDefault="008E5867" w:rsidP="009628AA">
      <w:pPr>
        <w:pStyle w:val="Ingenafstand"/>
        <w:rPr>
          <w:rFonts w:cs="Arial"/>
        </w:rPr>
      </w:pPr>
      <w:r>
        <w:rPr>
          <w:rFonts w:cs="Arial"/>
        </w:rPr>
        <w:t>PPP</w:t>
      </w:r>
      <w:r>
        <w:rPr>
          <w:rFonts w:cs="Arial"/>
        </w:rPr>
        <w:tab/>
        <w:t>Purchasing Power Parity</w:t>
      </w:r>
    </w:p>
    <w:p w14:paraId="2E55584D" w14:textId="77777777" w:rsidR="009950BE" w:rsidRDefault="009950BE" w:rsidP="009628AA">
      <w:pPr>
        <w:pStyle w:val="Ingenafstand"/>
        <w:rPr>
          <w:rFonts w:cs="Arial"/>
        </w:rPr>
      </w:pPr>
      <w:r>
        <w:rPr>
          <w:rFonts w:cs="Arial"/>
        </w:rPr>
        <w:t>PPRRA</w:t>
      </w:r>
      <w:r>
        <w:rPr>
          <w:rFonts w:cs="Arial"/>
        </w:rPr>
        <w:tab/>
        <w:t>Political Parties Registration and Regulation Act</w:t>
      </w:r>
    </w:p>
    <w:p w14:paraId="1B295140" w14:textId="77777777" w:rsidR="006C49FA" w:rsidRDefault="006C49FA" w:rsidP="009628AA">
      <w:pPr>
        <w:pStyle w:val="Ingenafstand"/>
        <w:rPr>
          <w:rFonts w:cs="Arial"/>
        </w:rPr>
      </w:pPr>
      <w:r>
        <w:rPr>
          <w:rFonts w:cs="Arial"/>
        </w:rPr>
        <w:t>PSD</w:t>
      </w:r>
      <w:r>
        <w:rPr>
          <w:rFonts w:cs="Arial"/>
        </w:rPr>
        <w:tab/>
        <w:t>Project Support Document</w:t>
      </w:r>
    </w:p>
    <w:p w14:paraId="1B1EBE79" w14:textId="77777777" w:rsidR="009628AA" w:rsidRPr="00240118" w:rsidRDefault="009628AA" w:rsidP="009628AA">
      <w:pPr>
        <w:pStyle w:val="Ingenafstand"/>
        <w:rPr>
          <w:rFonts w:cs="Arial"/>
        </w:rPr>
      </w:pPr>
      <w:r w:rsidRPr="00240118">
        <w:rPr>
          <w:rFonts w:cs="Arial"/>
        </w:rPr>
        <w:t>RBM</w:t>
      </w:r>
      <w:r w:rsidRPr="00240118">
        <w:rPr>
          <w:rFonts w:cs="Arial"/>
        </w:rPr>
        <w:tab/>
        <w:t>Results-Based Management</w:t>
      </w:r>
    </w:p>
    <w:p w14:paraId="057DE09B" w14:textId="77777777" w:rsidR="00F15833" w:rsidRDefault="00F15833" w:rsidP="009628AA">
      <w:pPr>
        <w:pStyle w:val="Ingenafstand"/>
        <w:rPr>
          <w:rFonts w:cs="Arial"/>
        </w:rPr>
      </w:pPr>
      <w:r>
        <w:rPr>
          <w:rFonts w:cs="Arial"/>
        </w:rPr>
        <w:t>RLC</w:t>
      </w:r>
      <w:r>
        <w:rPr>
          <w:rFonts w:cs="Arial"/>
        </w:rPr>
        <w:tab/>
        <w:t>Radio Listening Club</w:t>
      </w:r>
    </w:p>
    <w:p w14:paraId="491E5A13" w14:textId="77777777" w:rsidR="009628AA" w:rsidRPr="00240118" w:rsidRDefault="009628AA" w:rsidP="009628AA">
      <w:pPr>
        <w:pStyle w:val="Ingenafstand"/>
        <w:rPr>
          <w:rFonts w:cs="Arial"/>
        </w:rPr>
      </w:pPr>
      <w:r w:rsidRPr="00240118">
        <w:rPr>
          <w:rFonts w:cs="Arial"/>
        </w:rPr>
        <w:t xml:space="preserve">RR </w:t>
      </w:r>
      <w:r w:rsidRPr="00240118">
        <w:rPr>
          <w:rFonts w:cs="Arial"/>
        </w:rPr>
        <w:tab/>
        <w:t>Resident Representative</w:t>
      </w:r>
    </w:p>
    <w:p w14:paraId="2C72547C" w14:textId="77777777" w:rsidR="007873C4" w:rsidRDefault="007873C4" w:rsidP="009628AA">
      <w:pPr>
        <w:pStyle w:val="Ingenafstand"/>
        <w:rPr>
          <w:rFonts w:cs="Arial"/>
        </w:rPr>
      </w:pPr>
      <w:r>
        <w:rPr>
          <w:rFonts w:cs="Arial"/>
        </w:rPr>
        <w:t>RRF</w:t>
      </w:r>
      <w:r>
        <w:rPr>
          <w:rFonts w:cs="Arial"/>
        </w:rPr>
        <w:tab/>
        <w:t>Results and Resource Framework</w:t>
      </w:r>
    </w:p>
    <w:p w14:paraId="391FDAC2" w14:textId="77777777" w:rsidR="00933E08" w:rsidRDefault="00933E08" w:rsidP="009628AA">
      <w:pPr>
        <w:pStyle w:val="Ingenafstand"/>
        <w:rPr>
          <w:rFonts w:cs="Arial"/>
        </w:rPr>
      </w:pPr>
      <w:r>
        <w:rPr>
          <w:rFonts w:cs="Arial"/>
        </w:rPr>
        <w:t>RtD</w:t>
      </w:r>
      <w:r>
        <w:rPr>
          <w:rFonts w:cs="Arial"/>
        </w:rPr>
        <w:tab/>
        <w:t>Right to Development</w:t>
      </w:r>
    </w:p>
    <w:p w14:paraId="161829C8" w14:textId="77777777" w:rsidR="00473BD7" w:rsidRDefault="00473BD7" w:rsidP="009628AA">
      <w:pPr>
        <w:pStyle w:val="Ingenafstand"/>
        <w:rPr>
          <w:rFonts w:cs="Arial"/>
        </w:rPr>
      </w:pPr>
      <w:r>
        <w:rPr>
          <w:rFonts w:cs="Arial"/>
        </w:rPr>
        <w:t>SDG</w:t>
      </w:r>
      <w:r>
        <w:rPr>
          <w:rFonts w:cs="Arial"/>
        </w:rPr>
        <w:tab/>
        <w:t>Sustainable Development Goal</w:t>
      </w:r>
    </w:p>
    <w:p w14:paraId="3807A750" w14:textId="77777777" w:rsidR="005F1B75" w:rsidRDefault="005F1B75" w:rsidP="009628AA">
      <w:pPr>
        <w:pStyle w:val="Ingenafstand"/>
        <w:rPr>
          <w:rFonts w:cs="Arial"/>
        </w:rPr>
      </w:pPr>
      <w:r>
        <w:rPr>
          <w:rFonts w:cs="Arial"/>
        </w:rPr>
        <w:t>SWAp</w:t>
      </w:r>
      <w:r>
        <w:rPr>
          <w:rFonts w:cs="Arial"/>
        </w:rPr>
        <w:tab/>
        <w:t>Sector Wide Approach</w:t>
      </w:r>
    </w:p>
    <w:p w14:paraId="18AA70BF" w14:textId="77777777" w:rsidR="009628AA" w:rsidRPr="00240118" w:rsidRDefault="009628AA" w:rsidP="009628AA">
      <w:pPr>
        <w:pStyle w:val="Ingenafstand"/>
        <w:rPr>
          <w:rFonts w:cs="Arial"/>
        </w:rPr>
      </w:pPr>
      <w:r w:rsidRPr="00240118">
        <w:rPr>
          <w:rFonts w:cs="Arial"/>
        </w:rPr>
        <w:t>T</w:t>
      </w:r>
      <w:r w:rsidR="006C49FA">
        <w:rPr>
          <w:rFonts w:cs="Arial"/>
        </w:rPr>
        <w:t>A</w:t>
      </w:r>
      <w:r w:rsidR="006C49FA">
        <w:rPr>
          <w:rFonts w:cs="Arial"/>
        </w:rPr>
        <w:tab/>
        <w:t>Technical Assistance</w:t>
      </w:r>
    </w:p>
    <w:p w14:paraId="5DB40A34" w14:textId="77777777" w:rsidR="00AD0955" w:rsidRDefault="00AD0955" w:rsidP="009628AA">
      <w:pPr>
        <w:pStyle w:val="Ingenafstand"/>
        <w:rPr>
          <w:rFonts w:cs="Arial"/>
        </w:rPr>
      </w:pPr>
      <w:r>
        <w:rPr>
          <w:rFonts w:cs="Arial"/>
        </w:rPr>
        <w:t>TRAC</w:t>
      </w:r>
      <w:r>
        <w:rPr>
          <w:rFonts w:cs="Arial"/>
        </w:rPr>
        <w:tab/>
        <w:t>Target for Resource Assignment from the C</w:t>
      </w:r>
      <w:r w:rsidRPr="00AD0955">
        <w:rPr>
          <w:rFonts w:cs="Arial"/>
        </w:rPr>
        <w:t>ore</w:t>
      </w:r>
    </w:p>
    <w:p w14:paraId="5EF85D48" w14:textId="77777777" w:rsidR="00F8218E" w:rsidRDefault="00F8218E" w:rsidP="009628AA">
      <w:pPr>
        <w:pStyle w:val="Ingenafstand"/>
        <w:rPr>
          <w:rFonts w:cs="Arial"/>
        </w:rPr>
      </w:pPr>
      <w:r>
        <w:rPr>
          <w:rFonts w:cs="Arial"/>
        </w:rPr>
        <w:t>TOT</w:t>
      </w:r>
      <w:r>
        <w:rPr>
          <w:rFonts w:cs="Arial"/>
        </w:rPr>
        <w:tab/>
        <w:t>Terms of Reference</w:t>
      </w:r>
    </w:p>
    <w:p w14:paraId="791F7EAD" w14:textId="77777777" w:rsidR="006B6A71" w:rsidRDefault="006B6A71" w:rsidP="009628AA">
      <w:pPr>
        <w:pStyle w:val="Ingenafstand"/>
        <w:rPr>
          <w:rFonts w:cs="Arial"/>
        </w:rPr>
      </w:pPr>
      <w:r>
        <w:rPr>
          <w:rFonts w:cs="Arial"/>
        </w:rPr>
        <w:t>UCLG</w:t>
      </w:r>
      <w:r>
        <w:rPr>
          <w:rFonts w:cs="Arial"/>
        </w:rPr>
        <w:tab/>
      </w:r>
      <w:r w:rsidRPr="006B6A71">
        <w:rPr>
          <w:rFonts w:cs="Arial"/>
        </w:rPr>
        <w:t>United Cities and Local Governments</w:t>
      </w:r>
    </w:p>
    <w:p w14:paraId="484BA5CA" w14:textId="77777777" w:rsidR="009628AA" w:rsidRPr="00240118" w:rsidRDefault="009628AA" w:rsidP="009628AA">
      <w:pPr>
        <w:pStyle w:val="Ingenafstand"/>
        <w:rPr>
          <w:rFonts w:cs="Arial"/>
        </w:rPr>
      </w:pPr>
      <w:r w:rsidRPr="00240118">
        <w:rPr>
          <w:rFonts w:cs="Arial"/>
        </w:rPr>
        <w:t xml:space="preserve">UN </w:t>
      </w:r>
      <w:r w:rsidRPr="00240118">
        <w:rPr>
          <w:rFonts w:cs="Arial"/>
        </w:rPr>
        <w:tab/>
        <w:t>United Nations</w:t>
      </w:r>
    </w:p>
    <w:p w14:paraId="19240270" w14:textId="77777777" w:rsidR="009628AA" w:rsidRPr="00240118" w:rsidRDefault="009628AA" w:rsidP="009628AA">
      <w:pPr>
        <w:pStyle w:val="Ingenafstand"/>
        <w:rPr>
          <w:rFonts w:cs="Arial"/>
        </w:rPr>
      </w:pPr>
      <w:r w:rsidRPr="00240118">
        <w:rPr>
          <w:rFonts w:cs="Arial"/>
        </w:rPr>
        <w:t xml:space="preserve">UNCDF </w:t>
      </w:r>
      <w:r w:rsidRPr="00240118">
        <w:rPr>
          <w:rFonts w:cs="Arial"/>
        </w:rPr>
        <w:tab/>
        <w:t>United Nations Capital Development Fund</w:t>
      </w:r>
    </w:p>
    <w:p w14:paraId="157E442E" w14:textId="77777777" w:rsidR="009628AA" w:rsidRPr="00240118" w:rsidRDefault="009628AA" w:rsidP="009628AA">
      <w:pPr>
        <w:pStyle w:val="Ingenafstand"/>
        <w:rPr>
          <w:rFonts w:cs="Arial"/>
        </w:rPr>
      </w:pPr>
      <w:r w:rsidRPr="00240118">
        <w:rPr>
          <w:rFonts w:cs="Arial"/>
        </w:rPr>
        <w:t xml:space="preserve">UNCT </w:t>
      </w:r>
      <w:r w:rsidRPr="00240118">
        <w:rPr>
          <w:rFonts w:cs="Arial"/>
        </w:rPr>
        <w:tab/>
        <w:t>United Nations Country Team</w:t>
      </w:r>
    </w:p>
    <w:p w14:paraId="280A42BF" w14:textId="77777777" w:rsidR="009628AA" w:rsidRPr="00240118" w:rsidRDefault="009628AA" w:rsidP="009628AA">
      <w:pPr>
        <w:pStyle w:val="Ingenafstand"/>
        <w:rPr>
          <w:rFonts w:cs="Arial"/>
        </w:rPr>
      </w:pPr>
      <w:r w:rsidRPr="00240118">
        <w:rPr>
          <w:rFonts w:cs="Arial"/>
        </w:rPr>
        <w:t xml:space="preserve">UNDAF </w:t>
      </w:r>
      <w:r w:rsidRPr="00240118">
        <w:rPr>
          <w:rFonts w:cs="Arial"/>
        </w:rPr>
        <w:tab/>
        <w:t xml:space="preserve">United Nations Development Assistance Framework </w:t>
      </w:r>
    </w:p>
    <w:p w14:paraId="2CAF6F68" w14:textId="77777777" w:rsidR="009628AA" w:rsidRPr="00240118" w:rsidRDefault="009628AA" w:rsidP="009628AA">
      <w:pPr>
        <w:pStyle w:val="Ingenafstand"/>
        <w:rPr>
          <w:rFonts w:cs="Arial"/>
        </w:rPr>
      </w:pPr>
      <w:r w:rsidRPr="00240118">
        <w:rPr>
          <w:rFonts w:cs="Arial"/>
        </w:rPr>
        <w:t xml:space="preserve">UNDP </w:t>
      </w:r>
      <w:r w:rsidRPr="00240118">
        <w:rPr>
          <w:rFonts w:cs="Arial"/>
        </w:rPr>
        <w:tab/>
        <w:t>United Nations Development Programme</w:t>
      </w:r>
    </w:p>
    <w:p w14:paraId="6151B056" w14:textId="77777777" w:rsidR="009628AA" w:rsidRPr="00240118" w:rsidRDefault="009628AA" w:rsidP="009628AA">
      <w:pPr>
        <w:pStyle w:val="Ingenafstand"/>
        <w:rPr>
          <w:rFonts w:cs="Arial"/>
        </w:rPr>
      </w:pPr>
      <w:r w:rsidRPr="00240118">
        <w:rPr>
          <w:rFonts w:cs="Arial"/>
        </w:rPr>
        <w:t xml:space="preserve">UNDSS </w:t>
      </w:r>
      <w:r w:rsidRPr="00240118">
        <w:rPr>
          <w:rFonts w:cs="Arial"/>
        </w:rPr>
        <w:tab/>
        <w:t xml:space="preserve">United Nations Department of Safety and Security </w:t>
      </w:r>
    </w:p>
    <w:p w14:paraId="15E6BEFE" w14:textId="77777777" w:rsidR="009628AA" w:rsidRPr="00240118" w:rsidRDefault="009628AA" w:rsidP="009628AA">
      <w:pPr>
        <w:pStyle w:val="Ingenafstand"/>
        <w:rPr>
          <w:rFonts w:cs="Arial"/>
        </w:rPr>
      </w:pPr>
      <w:r w:rsidRPr="00240118">
        <w:rPr>
          <w:rFonts w:cs="Arial"/>
        </w:rPr>
        <w:t xml:space="preserve">UNFPA </w:t>
      </w:r>
      <w:r w:rsidRPr="00240118">
        <w:rPr>
          <w:rFonts w:cs="Arial"/>
        </w:rPr>
        <w:tab/>
        <w:t>United Nations Population Fund</w:t>
      </w:r>
    </w:p>
    <w:p w14:paraId="5039D164" w14:textId="77777777" w:rsidR="009628AA" w:rsidRPr="00240118" w:rsidRDefault="009628AA" w:rsidP="009628AA">
      <w:pPr>
        <w:pStyle w:val="Ingenafstand"/>
        <w:rPr>
          <w:rFonts w:cs="Arial"/>
        </w:rPr>
      </w:pPr>
      <w:r w:rsidRPr="00240118">
        <w:rPr>
          <w:rFonts w:cs="Arial"/>
        </w:rPr>
        <w:t xml:space="preserve">UNHCR </w:t>
      </w:r>
      <w:r w:rsidRPr="00240118">
        <w:rPr>
          <w:rFonts w:cs="Arial"/>
        </w:rPr>
        <w:tab/>
        <w:t xml:space="preserve">United Nations High Commission for Refugees </w:t>
      </w:r>
    </w:p>
    <w:p w14:paraId="5522CF3B" w14:textId="77777777" w:rsidR="009628AA" w:rsidRPr="00240118" w:rsidRDefault="009628AA" w:rsidP="009628AA">
      <w:pPr>
        <w:pStyle w:val="Ingenafstand"/>
        <w:rPr>
          <w:rFonts w:cs="Arial"/>
        </w:rPr>
      </w:pPr>
      <w:r w:rsidRPr="00240118">
        <w:rPr>
          <w:rFonts w:cs="Arial"/>
        </w:rPr>
        <w:t xml:space="preserve">UNICEF </w:t>
      </w:r>
      <w:r w:rsidRPr="00240118">
        <w:rPr>
          <w:rFonts w:cs="Arial"/>
        </w:rPr>
        <w:tab/>
        <w:t xml:space="preserve">United Nations Children’s Fund </w:t>
      </w:r>
    </w:p>
    <w:p w14:paraId="3374E579" w14:textId="77777777" w:rsidR="009628AA" w:rsidRPr="00240118" w:rsidRDefault="009628AA" w:rsidP="009628AA">
      <w:pPr>
        <w:pStyle w:val="Ingenafstand"/>
        <w:rPr>
          <w:rFonts w:cs="Arial"/>
        </w:rPr>
      </w:pPr>
      <w:r w:rsidRPr="00240118">
        <w:rPr>
          <w:rFonts w:cs="Arial"/>
        </w:rPr>
        <w:t>UN Women</w:t>
      </w:r>
      <w:r w:rsidRPr="00240118">
        <w:rPr>
          <w:rFonts w:cs="Arial"/>
        </w:rPr>
        <w:tab/>
        <w:t>United Nations Entity for Gender Equality and the Empowerment of Women</w:t>
      </w:r>
    </w:p>
    <w:p w14:paraId="26942109" w14:textId="77777777" w:rsidR="009628AA" w:rsidRPr="00240118" w:rsidRDefault="009628AA" w:rsidP="009628AA">
      <w:pPr>
        <w:pStyle w:val="Ingenafstand"/>
        <w:rPr>
          <w:rFonts w:cs="Arial"/>
        </w:rPr>
      </w:pPr>
      <w:r w:rsidRPr="00240118">
        <w:rPr>
          <w:rFonts w:cs="Arial"/>
        </w:rPr>
        <w:t xml:space="preserve">UNV </w:t>
      </w:r>
      <w:r w:rsidRPr="00240118">
        <w:rPr>
          <w:rFonts w:cs="Arial"/>
        </w:rPr>
        <w:tab/>
        <w:t>United Nations Volunteers</w:t>
      </w:r>
    </w:p>
    <w:p w14:paraId="1BC41417" w14:textId="77777777" w:rsidR="00F15833" w:rsidRDefault="00F15833" w:rsidP="009628AA">
      <w:pPr>
        <w:pStyle w:val="Ingenafstand"/>
        <w:rPr>
          <w:rFonts w:cs="Arial"/>
        </w:rPr>
      </w:pPr>
      <w:r>
        <w:rPr>
          <w:rFonts w:cs="Arial"/>
        </w:rPr>
        <w:t>UPR</w:t>
      </w:r>
      <w:r>
        <w:rPr>
          <w:rFonts w:cs="Arial"/>
        </w:rPr>
        <w:tab/>
        <w:t>Universal Periodic Review</w:t>
      </w:r>
    </w:p>
    <w:p w14:paraId="4C436436" w14:textId="77777777" w:rsidR="00AC2C5C" w:rsidRDefault="00AC2C5C" w:rsidP="009628AA">
      <w:pPr>
        <w:pStyle w:val="Ingenafstand"/>
        <w:rPr>
          <w:rFonts w:cs="Arial"/>
        </w:rPr>
      </w:pPr>
      <w:r>
        <w:rPr>
          <w:rFonts w:cs="Arial"/>
        </w:rPr>
        <w:t>USD</w:t>
      </w:r>
      <w:r>
        <w:rPr>
          <w:rFonts w:cs="Arial"/>
        </w:rPr>
        <w:tab/>
        <w:t>United States Dollar</w:t>
      </w:r>
    </w:p>
    <w:p w14:paraId="50684BC0" w14:textId="77777777" w:rsidR="006246E2" w:rsidRDefault="006246E2" w:rsidP="009628AA">
      <w:pPr>
        <w:pStyle w:val="Ingenafstand"/>
        <w:rPr>
          <w:rFonts w:cs="Arial"/>
        </w:rPr>
      </w:pPr>
      <w:r>
        <w:rPr>
          <w:rFonts w:cs="Arial"/>
        </w:rPr>
        <w:t>VDC</w:t>
      </w:r>
      <w:r>
        <w:rPr>
          <w:rFonts w:cs="Arial"/>
        </w:rPr>
        <w:tab/>
        <w:t>Village Development Committee</w:t>
      </w:r>
    </w:p>
    <w:p w14:paraId="4C2EE050" w14:textId="77777777" w:rsidR="00AC2C5C" w:rsidRDefault="00AC2C5C" w:rsidP="009628AA">
      <w:pPr>
        <w:pStyle w:val="Ingenafstand"/>
        <w:rPr>
          <w:rFonts w:cs="Arial"/>
        </w:rPr>
      </w:pPr>
      <w:r>
        <w:rPr>
          <w:rFonts w:cs="Arial"/>
        </w:rPr>
        <w:t>WB</w:t>
      </w:r>
      <w:r>
        <w:rPr>
          <w:rFonts w:cs="Arial"/>
        </w:rPr>
        <w:tab/>
        <w:t>World Bank</w:t>
      </w:r>
    </w:p>
    <w:p w14:paraId="3D60358E" w14:textId="77777777" w:rsidR="00C72910" w:rsidRPr="00CD56B9" w:rsidRDefault="00C72910" w:rsidP="00311B35">
      <w:pPr>
        <w:rPr>
          <w:rFonts w:cs="Arial"/>
          <w:lang w:val="en-US"/>
        </w:rPr>
        <w:sectPr w:rsidR="00C72910" w:rsidRPr="00CD56B9" w:rsidSect="00E241A8">
          <w:pgSz w:w="11906" w:h="16838"/>
          <w:pgMar w:top="1440" w:right="1440" w:bottom="1440" w:left="1440" w:header="708" w:footer="708" w:gutter="0"/>
          <w:cols w:space="708"/>
          <w:docGrid w:linePitch="360"/>
        </w:sectPr>
      </w:pPr>
    </w:p>
    <w:p w14:paraId="2EF34FEB" w14:textId="77777777" w:rsidR="005302A9" w:rsidRPr="00CD56B9" w:rsidRDefault="00C72910" w:rsidP="00C72910">
      <w:pPr>
        <w:rPr>
          <w:b/>
          <w:color w:val="2F5496"/>
          <w:sz w:val="28"/>
          <w:lang w:val="en-US"/>
        </w:rPr>
      </w:pPr>
      <w:r w:rsidRPr="0059093E">
        <w:rPr>
          <w:b/>
          <w:color w:val="000000" w:themeColor="text1"/>
          <w:sz w:val="28"/>
          <w:lang w:val="en-US"/>
        </w:rPr>
        <w:lastRenderedPageBreak/>
        <w:t>Executive Summary</w:t>
      </w:r>
      <w:r w:rsidR="00E245D3" w:rsidRPr="0059093E">
        <w:rPr>
          <w:b/>
          <w:color w:val="000000" w:themeColor="text1"/>
          <w:sz w:val="28"/>
          <w:lang w:val="en-US"/>
        </w:rPr>
        <w:t xml:space="preserve"> </w:t>
      </w:r>
    </w:p>
    <w:p w14:paraId="474DC136" w14:textId="3A7F18E1" w:rsidR="00F3067E" w:rsidRPr="00D66B5B" w:rsidRDefault="00F3067E" w:rsidP="00F3067E">
      <w:pPr>
        <w:rPr>
          <w:lang w:val="en-GB"/>
        </w:rPr>
      </w:pPr>
      <w:r w:rsidRPr="00D66B5B">
        <w:rPr>
          <w:lang w:val="en-GB"/>
        </w:rPr>
        <w:t xml:space="preserve">This report is the outcome of the mid-term evaluation (MTE) of the UNDAF Outcome 4.1 2012-2016 that took place during October-December 2015. The MTE was jointly commissioned by the UNCT and the Government of Malawi in order to assess the contributions of the UNCT and individual UN agencies to Outcome 4.1 and </w:t>
      </w:r>
      <w:r w:rsidR="00785755">
        <w:rPr>
          <w:lang w:val="en-GB"/>
        </w:rPr>
        <w:t xml:space="preserve">to </w:t>
      </w:r>
      <w:r w:rsidRPr="00D66B5B">
        <w:rPr>
          <w:lang w:val="en-GB"/>
        </w:rPr>
        <w:t>identify lessons learnt.</w:t>
      </w:r>
    </w:p>
    <w:p w14:paraId="0CFA2277" w14:textId="77777777" w:rsidR="00F3067E" w:rsidRPr="00D66B5B" w:rsidRDefault="00F3067E" w:rsidP="00F3067E">
      <w:pPr>
        <w:spacing w:after="0" w:line="256" w:lineRule="auto"/>
        <w:rPr>
          <w:lang w:val="en-GB"/>
        </w:rPr>
      </w:pPr>
      <w:r w:rsidRPr="00D66B5B">
        <w:rPr>
          <w:lang w:val="en-GB"/>
        </w:rPr>
        <w:t xml:space="preserve">Outcome 4.1 supports democratic governance and human rights in Malawi with the following objective: </w:t>
      </w:r>
    </w:p>
    <w:p w14:paraId="7308EDA5" w14:textId="77777777" w:rsidR="00F3067E" w:rsidRPr="00D66B5B" w:rsidRDefault="00F3067E" w:rsidP="00F3067E">
      <w:pPr>
        <w:spacing w:after="0"/>
        <w:rPr>
          <w:b/>
          <w:i/>
          <w:lang w:val="en-GB"/>
        </w:rPr>
      </w:pPr>
    </w:p>
    <w:p w14:paraId="3891B88C" w14:textId="77777777" w:rsidR="00F3067E" w:rsidRPr="00D66B5B" w:rsidRDefault="00F3067E" w:rsidP="00F3067E">
      <w:pPr>
        <w:spacing w:after="0"/>
        <w:rPr>
          <w:b/>
          <w:i/>
          <w:lang w:val="en-GB"/>
        </w:rPr>
      </w:pPr>
      <w:r w:rsidRPr="00D66B5B">
        <w:rPr>
          <w:b/>
          <w:i/>
          <w:lang w:val="en-GB"/>
        </w:rPr>
        <w:t xml:space="preserve">National institutions foster democratic governance and human rights to promote transparency, accountability, participation and access to justice for all especially women and children by 2016. </w:t>
      </w:r>
    </w:p>
    <w:p w14:paraId="49619206" w14:textId="77777777" w:rsidR="00F3067E" w:rsidRPr="00D66B5B" w:rsidRDefault="00F3067E" w:rsidP="00F3067E">
      <w:pPr>
        <w:spacing w:after="0" w:line="256" w:lineRule="auto"/>
        <w:rPr>
          <w:lang w:val="en-GB"/>
        </w:rPr>
      </w:pPr>
    </w:p>
    <w:p w14:paraId="3F2BCEBD" w14:textId="3608B7A3" w:rsidR="00F3067E" w:rsidRPr="00D66B5B" w:rsidRDefault="00F3067E" w:rsidP="00F3067E">
      <w:pPr>
        <w:rPr>
          <w:lang w:val="en-GB"/>
        </w:rPr>
      </w:pPr>
      <w:r w:rsidRPr="00D66B5B">
        <w:rPr>
          <w:lang w:val="en-GB"/>
        </w:rPr>
        <w:t xml:space="preserve">The Outcome is aligned to the </w:t>
      </w:r>
      <w:r w:rsidRPr="00D66B5B">
        <w:rPr>
          <w:rFonts w:cs="Arial"/>
          <w:lang w:val="en-GB"/>
        </w:rPr>
        <w:t>Malawi Growth and Development Strategy</w:t>
      </w:r>
      <w:r w:rsidRPr="00CC4987">
        <w:rPr>
          <w:lang w:val="it-IT"/>
        </w:rPr>
        <w:t xml:space="preserve"> (MGDS) II. After </w:t>
      </w:r>
      <w:r w:rsidR="002D70EF">
        <w:rPr>
          <w:lang w:val="it-IT"/>
        </w:rPr>
        <w:t xml:space="preserve">being </w:t>
      </w:r>
      <w:r w:rsidRPr="00CC4987">
        <w:rPr>
          <w:lang w:val="it-IT"/>
        </w:rPr>
        <w:t>redesign</w:t>
      </w:r>
      <w:r w:rsidR="002D70EF">
        <w:rPr>
          <w:lang w:val="it-IT"/>
        </w:rPr>
        <w:t>ed</w:t>
      </w:r>
      <w:r w:rsidRPr="00CC4987">
        <w:rPr>
          <w:lang w:val="it-IT"/>
        </w:rPr>
        <w:t xml:space="preserve"> in 2013, it comprises of </w:t>
      </w:r>
      <w:r w:rsidRPr="00D66B5B">
        <w:rPr>
          <w:lang w:val="en-GB"/>
        </w:rPr>
        <w:t xml:space="preserve">three outputs: </w:t>
      </w:r>
    </w:p>
    <w:p w14:paraId="0EA70B58" w14:textId="77777777" w:rsidR="00F3067E" w:rsidRPr="00D66B5B" w:rsidRDefault="00F3067E" w:rsidP="00F3067E">
      <w:pPr>
        <w:rPr>
          <w:lang w:val="en-GB"/>
        </w:rPr>
      </w:pPr>
      <w:r w:rsidRPr="00D66B5B">
        <w:rPr>
          <w:b/>
          <w:bCs/>
          <w:lang w:val="en-GB"/>
        </w:rPr>
        <w:t>Output 4.1.1:</w:t>
      </w:r>
      <w:r w:rsidRPr="00D66B5B">
        <w:rPr>
          <w:lang w:val="en-GB"/>
        </w:rPr>
        <w:t xml:space="preserve"> Democratic Governance sector strategy operationalized</w:t>
      </w:r>
    </w:p>
    <w:p w14:paraId="396AEAEA" w14:textId="77777777" w:rsidR="00F3067E" w:rsidRPr="00D66B5B" w:rsidRDefault="00F3067E" w:rsidP="00F3067E">
      <w:pPr>
        <w:rPr>
          <w:lang w:val="en-GB"/>
        </w:rPr>
      </w:pPr>
      <w:r w:rsidRPr="00D66B5B">
        <w:rPr>
          <w:b/>
          <w:bCs/>
          <w:lang w:val="en-GB"/>
        </w:rPr>
        <w:t>Output 4.1.2:</w:t>
      </w:r>
      <w:r w:rsidRPr="00D66B5B">
        <w:rPr>
          <w:lang w:val="en-GB"/>
        </w:rPr>
        <w:t xml:space="preserve"> Capacity of national institutions strengthened for collaborative dialogue to support the establishment and operationalization of the national peace architecture</w:t>
      </w:r>
    </w:p>
    <w:p w14:paraId="55C2D279" w14:textId="77777777" w:rsidR="00F3067E" w:rsidRPr="00D66B5B" w:rsidRDefault="00F3067E" w:rsidP="00F3067E">
      <w:pPr>
        <w:spacing w:after="0" w:line="256" w:lineRule="auto"/>
        <w:rPr>
          <w:lang w:val="en-GB"/>
        </w:rPr>
      </w:pPr>
      <w:r w:rsidRPr="00D66B5B">
        <w:rPr>
          <w:b/>
          <w:bCs/>
          <w:lang w:val="en-GB"/>
        </w:rPr>
        <w:t>Output 4.1.3:</w:t>
      </w:r>
      <w:r w:rsidRPr="00D66B5B">
        <w:rPr>
          <w:lang w:val="en-GB"/>
        </w:rPr>
        <w:t xml:space="preserve"> Local governance structures strengthened in participatory planning, budgeting and managing integrated rural development</w:t>
      </w:r>
    </w:p>
    <w:p w14:paraId="2E114007" w14:textId="77777777" w:rsidR="00F3067E" w:rsidRPr="00D66B5B" w:rsidRDefault="00F3067E" w:rsidP="00F3067E">
      <w:pPr>
        <w:spacing w:after="0" w:line="256" w:lineRule="auto"/>
        <w:rPr>
          <w:lang w:val="en-GB"/>
        </w:rPr>
      </w:pPr>
    </w:p>
    <w:p w14:paraId="66D21EBD" w14:textId="4CC28777" w:rsidR="00F3067E" w:rsidRPr="00D66B5B" w:rsidRDefault="00F3067E" w:rsidP="00F3067E">
      <w:pPr>
        <w:spacing w:after="0"/>
        <w:rPr>
          <w:lang w:val="en-GB"/>
        </w:rPr>
      </w:pPr>
      <w:r w:rsidRPr="00D66B5B">
        <w:rPr>
          <w:lang w:val="en-GB"/>
        </w:rPr>
        <w:t xml:space="preserve">The following is a summary of the main findings in terms of achievements and challenges </w:t>
      </w:r>
      <w:r w:rsidR="00785755">
        <w:rPr>
          <w:lang w:val="en-GB"/>
        </w:rPr>
        <w:t>in</w:t>
      </w:r>
      <w:r w:rsidR="002D70EF">
        <w:rPr>
          <w:lang w:val="en-GB"/>
        </w:rPr>
        <w:t xml:space="preserve"> </w:t>
      </w:r>
      <w:r w:rsidRPr="00D66B5B">
        <w:rPr>
          <w:lang w:val="en-GB"/>
        </w:rPr>
        <w:t xml:space="preserve">meeting the outcome </w:t>
      </w:r>
      <w:r w:rsidR="00785755">
        <w:rPr>
          <w:lang w:val="en-GB"/>
        </w:rPr>
        <w:t>targets</w:t>
      </w:r>
      <w:r w:rsidRPr="00D66B5B">
        <w:rPr>
          <w:lang w:val="en-GB"/>
        </w:rPr>
        <w:t xml:space="preserve"> and the lessons learned. It is concluded by the list of recommendations made by the MTE team:</w:t>
      </w:r>
    </w:p>
    <w:p w14:paraId="25F21C77" w14:textId="77777777" w:rsidR="00F3067E" w:rsidRPr="00D66B5B" w:rsidRDefault="00F3067E" w:rsidP="00F3067E">
      <w:pPr>
        <w:spacing w:after="0"/>
        <w:rPr>
          <w:lang w:val="en-GB"/>
        </w:rPr>
      </w:pPr>
    </w:p>
    <w:p w14:paraId="543AD8F8" w14:textId="77777777" w:rsidR="00F3067E" w:rsidRPr="00D66B5B" w:rsidRDefault="00F3067E" w:rsidP="00F3067E">
      <w:pPr>
        <w:spacing w:after="0" w:line="256" w:lineRule="auto"/>
        <w:rPr>
          <w:b/>
          <w:lang w:val="en-GB"/>
        </w:rPr>
      </w:pPr>
      <w:r w:rsidRPr="00D66B5B">
        <w:rPr>
          <w:b/>
          <w:lang w:val="en-GB"/>
        </w:rPr>
        <w:t>Achievements</w:t>
      </w:r>
    </w:p>
    <w:p w14:paraId="70A296D4" w14:textId="3A8E9536" w:rsidR="00F3067E" w:rsidRPr="00D66B5B" w:rsidRDefault="00F3067E" w:rsidP="00F3067E">
      <w:pPr>
        <w:rPr>
          <w:lang w:val="en-GB"/>
        </w:rPr>
      </w:pPr>
      <w:r w:rsidRPr="00D66B5B">
        <w:rPr>
          <w:lang w:val="en-GB"/>
        </w:rPr>
        <w:t xml:space="preserve">The MTE </w:t>
      </w:r>
      <w:r w:rsidR="00C629C8">
        <w:rPr>
          <w:lang w:val="en-GB"/>
        </w:rPr>
        <w:t>established</w:t>
      </w:r>
      <w:r w:rsidRPr="00D66B5B">
        <w:rPr>
          <w:lang w:val="en-GB"/>
        </w:rPr>
        <w:t xml:space="preserve"> that the UNCT under the leadership of UNDP is well positioned to support democratic governance and human rights in Malawi. This was confirmed by the general positive feedback from all stakeholders on the role and responsiveness of the UNCT. Particular praise went to the support rendered during the 2014 tripartite elections. </w:t>
      </w:r>
    </w:p>
    <w:p w14:paraId="28814312" w14:textId="47CAC792" w:rsidR="00F3067E" w:rsidRPr="00D66B5B" w:rsidRDefault="00F3067E" w:rsidP="00F3067E">
      <w:pPr>
        <w:rPr>
          <w:lang w:val="en-GB"/>
        </w:rPr>
      </w:pPr>
      <w:r w:rsidRPr="00D66B5B">
        <w:rPr>
          <w:lang w:val="en-GB"/>
        </w:rPr>
        <w:t>The support rendered remains relevant and firmly anchored within government policies, strategies and priorities. The efforts to refocus the UNDAF in 2013 and include the National Peace Architecture increased the relevance of the support rendered. The SWAp</w:t>
      </w:r>
      <w:r w:rsidR="00456E03">
        <w:rPr>
          <w:lang w:val="en-GB"/>
        </w:rPr>
        <w:t xml:space="preserve"> </w:t>
      </w:r>
      <w:r w:rsidRPr="00D66B5B">
        <w:rPr>
          <w:lang w:val="en-GB"/>
        </w:rPr>
        <w:t xml:space="preserve">is well justified as transformation and change in democratic governance and public trust in democratic institutions can only be achieved though broad interventions targeting political parties, constitutional bodies, government and CSOs. </w:t>
      </w:r>
    </w:p>
    <w:p w14:paraId="01F6CD5A" w14:textId="65C3DFAD" w:rsidR="00F3067E" w:rsidRPr="00D66B5B" w:rsidRDefault="00F3067E" w:rsidP="00F3067E">
      <w:pPr>
        <w:spacing w:after="0"/>
        <w:rPr>
          <w:lang w:val="en-GB"/>
        </w:rPr>
      </w:pPr>
      <w:r w:rsidRPr="00D66B5B">
        <w:rPr>
          <w:lang w:val="en-GB"/>
        </w:rPr>
        <w:t xml:space="preserve">Most support projects under Outcome 4.1 are showing fair progress </w:t>
      </w:r>
      <w:r w:rsidR="00456E03">
        <w:rPr>
          <w:lang w:val="en-GB"/>
        </w:rPr>
        <w:t>towards</w:t>
      </w:r>
      <w:r w:rsidRPr="00D66B5B">
        <w:rPr>
          <w:lang w:val="en-GB"/>
        </w:rPr>
        <w:t xml:space="preserve"> the outputs they </w:t>
      </w:r>
      <w:r w:rsidR="000B7DEA">
        <w:rPr>
          <w:lang w:val="en-GB"/>
        </w:rPr>
        <w:t>were</w:t>
      </w:r>
      <w:r w:rsidRPr="00D66B5B">
        <w:rPr>
          <w:lang w:val="en-GB"/>
        </w:rPr>
        <w:t xml:space="preserve"> designed to achieve, although the transformation of the project achievement</w:t>
      </w:r>
      <w:r w:rsidR="00456E03">
        <w:rPr>
          <w:lang w:val="en-GB"/>
        </w:rPr>
        <w:t>s</w:t>
      </w:r>
      <w:r w:rsidRPr="00D66B5B">
        <w:rPr>
          <w:lang w:val="en-GB"/>
        </w:rPr>
        <w:t xml:space="preserve"> </w:t>
      </w:r>
      <w:r w:rsidR="00456E03">
        <w:rPr>
          <w:lang w:val="en-GB"/>
        </w:rPr>
        <w:t xml:space="preserve">into </w:t>
      </w:r>
      <w:r w:rsidRPr="00D66B5B">
        <w:rPr>
          <w:lang w:val="en-GB"/>
        </w:rPr>
        <w:t xml:space="preserve">outcome target </w:t>
      </w:r>
      <w:r w:rsidR="00456E03">
        <w:rPr>
          <w:lang w:val="en-GB"/>
        </w:rPr>
        <w:t xml:space="preserve">achievements </w:t>
      </w:r>
      <w:r w:rsidRPr="00D66B5B">
        <w:rPr>
          <w:lang w:val="en-GB"/>
        </w:rPr>
        <w:t xml:space="preserve">is more mixed. This is partly because some of the intervention areas in democratic governance, human rights and devolution </w:t>
      </w:r>
      <w:r w:rsidR="00891A02">
        <w:rPr>
          <w:lang w:val="en-GB"/>
        </w:rPr>
        <w:t xml:space="preserve">involves </w:t>
      </w:r>
      <w:r w:rsidRPr="00D66B5B">
        <w:rPr>
          <w:lang w:val="en-GB"/>
        </w:rPr>
        <w:t xml:space="preserve">long-term </w:t>
      </w:r>
      <w:r w:rsidR="001301BB" w:rsidRPr="00D66B5B">
        <w:rPr>
          <w:lang w:val="en-GB"/>
        </w:rPr>
        <w:t>endeavours</w:t>
      </w:r>
      <w:r w:rsidRPr="00D66B5B">
        <w:rPr>
          <w:lang w:val="en-GB"/>
        </w:rPr>
        <w:t>; and some ha</w:t>
      </w:r>
      <w:r w:rsidR="005629D1">
        <w:rPr>
          <w:lang w:val="en-GB"/>
        </w:rPr>
        <w:t>ve</w:t>
      </w:r>
      <w:r w:rsidRPr="00D66B5B">
        <w:rPr>
          <w:lang w:val="en-GB"/>
        </w:rPr>
        <w:t xml:space="preserve"> a difficult political economy and are highly contes</w:t>
      </w:r>
      <w:r w:rsidR="00891A02">
        <w:rPr>
          <w:lang w:val="en-GB"/>
        </w:rPr>
        <w:t>ted, causing some uncertainty of</w:t>
      </w:r>
      <w:r w:rsidRPr="00D66B5B">
        <w:rPr>
          <w:lang w:val="en-GB"/>
        </w:rPr>
        <w:t xml:space="preserve"> policy outcomes. Any breakthroughs, however, can have huge positive impact and UNDAF Outcome 4.1 provides support to a number of reforms, which potentially could bring democratic transformation and change.</w:t>
      </w:r>
    </w:p>
    <w:p w14:paraId="7430B7EE" w14:textId="77777777" w:rsidR="00F3067E" w:rsidRPr="00D66B5B" w:rsidRDefault="00F3067E" w:rsidP="00F3067E">
      <w:pPr>
        <w:spacing w:after="0"/>
        <w:rPr>
          <w:lang w:val="en-GB"/>
        </w:rPr>
      </w:pPr>
    </w:p>
    <w:p w14:paraId="0C0D152F" w14:textId="32578A4B" w:rsidR="00F3067E" w:rsidRPr="00D66B5B" w:rsidRDefault="00F3067E" w:rsidP="00F3067E">
      <w:pPr>
        <w:spacing w:after="0"/>
        <w:rPr>
          <w:lang w:val="en-GB"/>
        </w:rPr>
      </w:pPr>
      <w:r w:rsidRPr="00D66B5B">
        <w:rPr>
          <w:lang w:val="en-GB"/>
        </w:rPr>
        <w:t xml:space="preserve">The support to democratic governance under UNDAF Outcome 4.1 targets three reform areas, which in particular have potential to bring democratic transformation to Malawi: 1) Support to a more proportional and fair election system, which takes into account the outdated constituency demarcations and the high urban migration patterns in Malawi, 2) the introduction of a National Peace Architecture, with the aim to establish local dialogue platforms, which can defuse and prevent local conflicts and 3) the support to decentralization and IRD, which may </w:t>
      </w:r>
      <w:r w:rsidRPr="00D66B5B">
        <w:rPr>
          <w:lang w:val="en-GB"/>
        </w:rPr>
        <w:lastRenderedPageBreak/>
        <w:t xml:space="preserve">expand democratic space and become a catalyst for more equitable and pro-poor development in the rural areas. These reform areas are key elements of democratic governance and successful reform achievements can also address some of the discontent, which is </w:t>
      </w:r>
      <w:r w:rsidR="001A751C">
        <w:rPr>
          <w:lang w:val="en-GB"/>
        </w:rPr>
        <w:t>fue</w:t>
      </w:r>
      <w:r w:rsidR="001A751C" w:rsidRPr="00D66B5B">
        <w:rPr>
          <w:lang w:val="en-GB"/>
        </w:rPr>
        <w:t>lling</w:t>
      </w:r>
      <w:r w:rsidRPr="00D66B5B">
        <w:rPr>
          <w:lang w:val="en-GB"/>
        </w:rPr>
        <w:t xml:space="preserve"> federalism and local conflicts.</w:t>
      </w:r>
    </w:p>
    <w:p w14:paraId="6CF26FE2" w14:textId="77777777" w:rsidR="00F3067E" w:rsidRPr="00D66B5B" w:rsidRDefault="00F3067E" w:rsidP="00F3067E">
      <w:pPr>
        <w:spacing w:after="0"/>
        <w:rPr>
          <w:lang w:val="en-GB"/>
        </w:rPr>
      </w:pPr>
    </w:p>
    <w:p w14:paraId="2BBB19B4" w14:textId="2D2E1D18" w:rsidR="00F3067E" w:rsidRPr="00D66B5B" w:rsidRDefault="00F3067E" w:rsidP="00F3067E">
      <w:pPr>
        <w:spacing w:after="0"/>
        <w:rPr>
          <w:lang w:val="en-GB"/>
        </w:rPr>
      </w:pPr>
      <w:r w:rsidRPr="00D66B5B">
        <w:rPr>
          <w:lang w:val="en-GB"/>
        </w:rPr>
        <w:t xml:space="preserve">The support to the NPA is most likely to achieve good results in the short term, as it introduces a new system, which does not replace or compete with existing dialogue platforms or challenge vested interests. </w:t>
      </w:r>
      <w:r w:rsidR="005629D1">
        <w:rPr>
          <w:lang w:val="en-GB"/>
        </w:rPr>
        <w:t>I</w:t>
      </w:r>
      <w:r w:rsidRPr="00D66B5B">
        <w:rPr>
          <w:lang w:val="en-GB"/>
        </w:rPr>
        <w:t xml:space="preserve">t builds on and includes relevant stakeholders and local </w:t>
      </w:r>
      <w:r w:rsidR="001A751C">
        <w:rPr>
          <w:lang w:val="en-GB"/>
        </w:rPr>
        <w:t>and regional best practices, but c</w:t>
      </w:r>
      <w:r w:rsidRPr="00D66B5B">
        <w:rPr>
          <w:lang w:val="en-GB"/>
        </w:rPr>
        <w:t xml:space="preserve">are needs to be taken, that funding of a permanent NPA structure does not compete </w:t>
      </w:r>
      <w:r w:rsidR="001A751C">
        <w:rPr>
          <w:lang w:val="en-GB"/>
        </w:rPr>
        <w:t xml:space="preserve">negatively </w:t>
      </w:r>
      <w:r w:rsidRPr="00D66B5B">
        <w:rPr>
          <w:lang w:val="en-GB"/>
        </w:rPr>
        <w:t xml:space="preserve">with funding for devolution. </w:t>
      </w:r>
    </w:p>
    <w:p w14:paraId="43D5D7BF" w14:textId="77777777" w:rsidR="00F3067E" w:rsidRPr="00D66B5B" w:rsidRDefault="00F3067E" w:rsidP="00F3067E">
      <w:pPr>
        <w:spacing w:after="0"/>
        <w:rPr>
          <w:lang w:val="en-GB"/>
        </w:rPr>
      </w:pPr>
    </w:p>
    <w:p w14:paraId="7DC28D8E" w14:textId="743A49B1" w:rsidR="00F3067E" w:rsidRPr="00D66B5B" w:rsidRDefault="00F3067E" w:rsidP="00F3067E">
      <w:pPr>
        <w:spacing w:after="0"/>
        <w:rPr>
          <w:lang w:val="en-GB"/>
        </w:rPr>
      </w:pPr>
      <w:r w:rsidRPr="00D66B5B">
        <w:rPr>
          <w:lang w:val="en-GB"/>
        </w:rPr>
        <w:t xml:space="preserve">The project portfolio as a whole is </w:t>
      </w:r>
      <w:r w:rsidR="00C6437A" w:rsidRPr="00D66B5B">
        <w:rPr>
          <w:lang w:val="en-GB"/>
        </w:rPr>
        <w:t>well composed</w:t>
      </w:r>
      <w:r w:rsidRPr="00D66B5B">
        <w:rPr>
          <w:lang w:val="en-GB"/>
        </w:rPr>
        <w:t>. It might be diverse, but this more a reflection of the broad outcome it is targeting</w:t>
      </w:r>
      <w:r w:rsidR="004A6ED8">
        <w:rPr>
          <w:lang w:val="en-GB"/>
        </w:rPr>
        <w:t>; it</w:t>
      </w:r>
      <w:r w:rsidRPr="00D66B5B">
        <w:rPr>
          <w:lang w:val="en-GB"/>
        </w:rPr>
        <w:t xml:space="preserve"> does not necessarily signal a need for a reduction in the number of projects. It is crucial, however that support to decentralization/IRD is not delinked from the overall public sector reform, as fundamental changes in public administration and central-local govern relationships needs to addressed before the IRD strategy can achieve its objectives.</w:t>
      </w:r>
    </w:p>
    <w:p w14:paraId="2BBD7241" w14:textId="77777777" w:rsidR="00F3067E" w:rsidRPr="00D66B5B" w:rsidRDefault="00F3067E" w:rsidP="00F3067E">
      <w:pPr>
        <w:spacing w:after="0"/>
        <w:rPr>
          <w:lang w:val="en-GB"/>
        </w:rPr>
      </w:pPr>
    </w:p>
    <w:p w14:paraId="1DD4F039" w14:textId="1F181663" w:rsidR="00F3067E" w:rsidRPr="00D66B5B" w:rsidRDefault="00F3067E" w:rsidP="00F3067E">
      <w:pPr>
        <w:spacing w:after="0"/>
        <w:rPr>
          <w:lang w:val="en-GB"/>
        </w:rPr>
      </w:pPr>
      <w:r w:rsidRPr="00D66B5B">
        <w:rPr>
          <w:lang w:val="en-GB"/>
        </w:rPr>
        <w:t xml:space="preserve">The portfolio has demonstrated good synergies, in particular during the 2014 elections, where most projects contributed to the successful execution of the election process. It </w:t>
      </w:r>
      <w:r w:rsidR="00C6437A">
        <w:rPr>
          <w:lang w:val="en-GB"/>
        </w:rPr>
        <w:t xml:space="preserve">also </w:t>
      </w:r>
      <w:r w:rsidRPr="00D66B5B">
        <w:rPr>
          <w:lang w:val="en-GB"/>
        </w:rPr>
        <w:t>includes a number of remarkable innovations such</w:t>
      </w:r>
      <w:r w:rsidR="00C6437A">
        <w:rPr>
          <w:lang w:val="en-GB"/>
        </w:rPr>
        <w:t xml:space="preserve"> as the presidential elections Peace D</w:t>
      </w:r>
      <w:r w:rsidRPr="00D66B5B">
        <w:rPr>
          <w:lang w:val="en-GB"/>
        </w:rPr>
        <w:t xml:space="preserve">eclaration, the Child Courts, the Youth Parliament, the governance one-stop shop pilot in Kasungu and the achievements in Right to Development, which are scalable and sustainable. The project portfolio </w:t>
      </w:r>
      <w:r w:rsidR="007B729B">
        <w:rPr>
          <w:lang w:val="en-GB"/>
        </w:rPr>
        <w:t xml:space="preserve">has also seen </w:t>
      </w:r>
      <w:r w:rsidRPr="00D66B5B">
        <w:rPr>
          <w:lang w:val="en-GB"/>
        </w:rPr>
        <w:t xml:space="preserve">good progress in gender mainstreaming and with the arrival of UN Women in Malawi and in partnership with UNDP, UNFPA and </w:t>
      </w:r>
      <w:r w:rsidR="006D5EBE" w:rsidRPr="00D66B5B">
        <w:rPr>
          <w:lang w:val="en-GB"/>
        </w:rPr>
        <w:t>UNICEF;</w:t>
      </w:r>
      <w:r w:rsidRPr="00D66B5B">
        <w:rPr>
          <w:lang w:val="en-GB"/>
        </w:rPr>
        <w:t xml:space="preserve"> there is a good basis to further strengthen the support to gender aspects of the DG reforms and in the next-cycle support projects.</w:t>
      </w:r>
    </w:p>
    <w:p w14:paraId="0D106E90" w14:textId="77777777" w:rsidR="00F3067E" w:rsidRPr="00D66B5B" w:rsidRDefault="00F3067E" w:rsidP="00F3067E">
      <w:pPr>
        <w:spacing w:after="0"/>
        <w:rPr>
          <w:lang w:val="en-GB"/>
        </w:rPr>
      </w:pPr>
    </w:p>
    <w:p w14:paraId="4A6E3219" w14:textId="38D285EC" w:rsidR="00F3067E" w:rsidRPr="00D66B5B" w:rsidRDefault="00F3067E" w:rsidP="00F3067E">
      <w:pPr>
        <w:spacing w:after="0"/>
        <w:rPr>
          <w:lang w:val="en-GB"/>
        </w:rPr>
      </w:pPr>
      <w:r w:rsidRPr="00D66B5B">
        <w:rPr>
          <w:lang w:val="en-GB"/>
        </w:rPr>
        <w:t xml:space="preserve">The cooperation of the UNCT under the DaO approach is improving </w:t>
      </w:r>
      <w:r w:rsidR="007B729B">
        <w:rPr>
          <w:lang w:val="en-GB"/>
        </w:rPr>
        <w:t xml:space="preserve">and </w:t>
      </w:r>
      <w:r w:rsidRPr="00D66B5B">
        <w:rPr>
          <w:lang w:val="en-GB"/>
        </w:rPr>
        <w:t xml:space="preserve">there is good progress towards joint planning and implementation in support projects where multiple UN agencies are supporting the same institution. Some of the bottlenecks still restraining UNCT cooperation owe more to the multiple funding sources </w:t>
      </w:r>
      <w:r w:rsidR="0002451B" w:rsidRPr="00D66B5B">
        <w:rPr>
          <w:lang w:val="en-GB"/>
        </w:rPr>
        <w:t>channelled</w:t>
      </w:r>
      <w:r w:rsidRPr="00D66B5B">
        <w:rPr>
          <w:lang w:val="en-GB"/>
        </w:rPr>
        <w:t xml:space="preserve"> through individual agencies and </w:t>
      </w:r>
      <w:r w:rsidR="007B729B">
        <w:rPr>
          <w:lang w:val="en-GB"/>
        </w:rPr>
        <w:t xml:space="preserve">to </w:t>
      </w:r>
      <w:r w:rsidRPr="00D66B5B">
        <w:rPr>
          <w:lang w:val="en-GB"/>
        </w:rPr>
        <w:t xml:space="preserve">global agency reporting requirements, which </w:t>
      </w:r>
      <w:r w:rsidR="007135E1">
        <w:rPr>
          <w:lang w:val="en-GB"/>
        </w:rPr>
        <w:t xml:space="preserve">again </w:t>
      </w:r>
      <w:r w:rsidRPr="00D66B5B">
        <w:rPr>
          <w:lang w:val="en-GB"/>
        </w:rPr>
        <w:t xml:space="preserve">creates multiple reporting </w:t>
      </w:r>
      <w:r w:rsidR="007135E1">
        <w:rPr>
          <w:lang w:val="en-GB"/>
        </w:rPr>
        <w:t>need</w:t>
      </w:r>
      <w:r w:rsidRPr="00D66B5B">
        <w:rPr>
          <w:lang w:val="en-GB"/>
        </w:rPr>
        <w:t xml:space="preserve">s. However, these bottlenecks seem to be lesser issues, and do not affect the overall impression of </w:t>
      </w:r>
      <w:r w:rsidR="00DA40FD">
        <w:rPr>
          <w:lang w:val="en-GB"/>
        </w:rPr>
        <w:t>a</w:t>
      </w:r>
      <w:r w:rsidRPr="00D66B5B">
        <w:rPr>
          <w:lang w:val="en-GB"/>
        </w:rPr>
        <w:t xml:space="preserve"> positive trend in UNCT cooperation. If the devolution process moves forward, more synergies could be explored, fusing UN support to area-based activities in the districts with support to decentralization and local governance. The ongoing work of UNDP, UN-HABITAT and UCLG on a toolkit for implementation of the SDGs at local level may provide further inspiration for such synergies.</w:t>
      </w:r>
    </w:p>
    <w:p w14:paraId="0084D43C" w14:textId="77777777" w:rsidR="00F3067E" w:rsidRPr="00D66B5B" w:rsidRDefault="00F3067E" w:rsidP="00F3067E">
      <w:pPr>
        <w:spacing w:after="0"/>
        <w:rPr>
          <w:lang w:val="en-GB"/>
        </w:rPr>
      </w:pPr>
    </w:p>
    <w:p w14:paraId="02CEAB89" w14:textId="77777777" w:rsidR="00F3067E" w:rsidRPr="00D66B5B" w:rsidRDefault="00F3067E" w:rsidP="00F3067E">
      <w:pPr>
        <w:spacing w:after="0"/>
        <w:rPr>
          <w:b/>
          <w:lang w:val="en-GB"/>
        </w:rPr>
      </w:pPr>
      <w:r w:rsidRPr="00D66B5B">
        <w:rPr>
          <w:b/>
          <w:lang w:val="en-GB"/>
        </w:rPr>
        <w:t>Challenges</w:t>
      </w:r>
    </w:p>
    <w:p w14:paraId="4D9760EA" w14:textId="5071D856" w:rsidR="00F3067E" w:rsidRPr="00D66B5B" w:rsidRDefault="00F3067E" w:rsidP="00F3067E">
      <w:pPr>
        <w:spacing w:after="0"/>
        <w:rPr>
          <w:lang w:val="en-GB"/>
        </w:rPr>
      </w:pPr>
      <w:r w:rsidRPr="00D66B5B">
        <w:rPr>
          <w:lang w:val="en-GB"/>
        </w:rPr>
        <w:t xml:space="preserve">While achieving good progress at project output level, there are intervention areas, which may not contribute significantly to the achievement of the outcome 4.1 targets in 2016. The elections reform and the local government reform will be significantly more difficult to succeed with in the short term as they challenge established power bases and privileges, and continuous support </w:t>
      </w:r>
      <w:r w:rsidR="0006630C">
        <w:rPr>
          <w:lang w:val="en-GB"/>
        </w:rPr>
        <w:t>is needed a</w:t>
      </w:r>
      <w:r w:rsidRPr="00D66B5B">
        <w:rPr>
          <w:lang w:val="en-GB"/>
        </w:rPr>
        <w:t xml:space="preserve">s both areas are key to democratic change and equitable development. The local government reform in particular is a long-term </w:t>
      </w:r>
      <w:r w:rsidR="00CA2E5D" w:rsidRPr="00D66B5B">
        <w:rPr>
          <w:lang w:val="en-GB"/>
        </w:rPr>
        <w:t>endeavour</w:t>
      </w:r>
      <w:r w:rsidRPr="00D66B5B">
        <w:rPr>
          <w:lang w:val="en-GB"/>
        </w:rPr>
        <w:t xml:space="preserve"> in need of sustained political backing from consecutive governments and parliaments and failure to mobilize such consensus has stalled reform efforts in the past. The verdict is still out whether the reinstatement of elected district councils </w:t>
      </w:r>
      <w:r w:rsidR="0006630C">
        <w:rPr>
          <w:lang w:val="en-GB"/>
        </w:rPr>
        <w:t>will</w:t>
      </w:r>
      <w:r w:rsidRPr="00D66B5B">
        <w:rPr>
          <w:lang w:val="en-GB"/>
        </w:rPr>
        <w:t xml:space="preserve"> trigger sufficient support for a local government reform.</w:t>
      </w:r>
    </w:p>
    <w:p w14:paraId="436DD48C" w14:textId="77777777" w:rsidR="00F3067E" w:rsidRPr="00D66B5B" w:rsidRDefault="00F3067E" w:rsidP="00F3067E">
      <w:pPr>
        <w:spacing w:after="0"/>
        <w:rPr>
          <w:lang w:val="en-GB"/>
        </w:rPr>
      </w:pPr>
    </w:p>
    <w:p w14:paraId="677FE0CA" w14:textId="59204672" w:rsidR="00F3067E" w:rsidRPr="00D66B5B" w:rsidRDefault="00F3067E" w:rsidP="00F3067E">
      <w:pPr>
        <w:spacing w:after="0"/>
        <w:rPr>
          <w:lang w:val="en-GB"/>
        </w:rPr>
      </w:pPr>
      <w:r w:rsidRPr="00D66B5B">
        <w:rPr>
          <w:lang w:val="en-GB"/>
        </w:rPr>
        <w:t xml:space="preserve">There are some doubts about the government ownership to the DG SWAp and the ability to coordinate among the many institutions involved. The basket fund is not likely to play a significant role in funds mobilization either </w:t>
      </w:r>
      <w:r w:rsidR="0006630C">
        <w:rPr>
          <w:lang w:val="en-GB"/>
        </w:rPr>
        <w:t>as</w:t>
      </w:r>
      <w:r w:rsidRPr="00D66B5B">
        <w:rPr>
          <w:lang w:val="en-GB"/>
        </w:rPr>
        <w:t xml:space="preserve"> budget support is not a viable option at present. </w:t>
      </w:r>
      <w:r w:rsidRPr="00D66B5B">
        <w:rPr>
          <w:lang w:val="en-GB"/>
        </w:rPr>
        <w:lastRenderedPageBreak/>
        <w:t>Despite these shortcomings, the SWAp does provide a minimum of harmonization and coordinati</w:t>
      </w:r>
      <w:r w:rsidR="0012513C">
        <w:rPr>
          <w:lang w:val="en-GB"/>
        </w:rPr>
        <w:t>on within the sector and t</w:t>
      </w:r>
      <w:r w:rsidRPr="00D66B5B">
        <w:rPr>
          <w:lang w:val="en-GB"/>
        </w:rPr>
        <w:t xml:space="preserve">ere is now a need for more focus on policy implementation, addressing inter-jurisdictional coordination and cooperation. </w:t>
      </w:r>
    </w:p>
    <w:p w14:paraId="2FDF8EBC" w14:textId="77777777" w:rsidR="00F3067E" w:rsidRPr="00D66B5B" w:rsidRDefault="00F3067E" w:rsidP="00F3067E">
      <w:pPr>
        <w:spacing w:after="0"/>
        <w:rPr>
          <w:lang w:val="en-GB"/>
        </w:rPr>
      </w:pPr>
    </w:p>
    <w:p w14:paraId="2E73849C" w14:textId="77777777" w:rsidR="00F3067E" w:rsidRPr="00D66B5B" w:rsidRDefault="00F3067E" w:rsidP="00F3067E">
      <w:pPr>
        <w:spacing w:after="0"/>
        <w:rPr>
          <w:lang w:val="en-GB"/>
        </w:rPr>
      </w:pPr>
      <w:r w:rsidRPr="00D66B5B">
        <w:rPr>
          <w:lang w:val="en-GB"/>
        </w:rPr>
        <w:t xml:space="preserve">There is also concern that the MHRC is not sufficiently independent from government and that it needs to be more transformative in its work and actively address emerging human rights issues such as LGBT rights. In the end, such transformational work may only be achieved through broader alliances with parliament, the Law Commission, the MoJCA and civil society. </w:t>
      </w:r>
    </w:p>
    <w:p w14:paraId="20B324FF" w14:textId="77777777" w:rsidR="00F3067E" w:rsidRPr="00D66B5B" w:rsidRDefault="00F3067E" w:rsidP="00F3067E">
      <w:pPr>
        <w:spacing w:after="0"/>
        <w:rPr>
          <w:lang w:val="en-GB"/>
        </w:rPr>
      </w:pPr>
    </w:p>
    <w:p w14:paraId="139F19B0" w14:textId="506C3A71" w:rsidR="00F3067E" w:rsidRPr="00D66B5B" w:rsidRDefault="00F3067E" w:rsidP="00F3067E">
      <w:pPr>
        <w:spacing w:after="0"/>
        <w:rPr>
          <w:lang w:val="en-GB"/>
        </w:rPr>
      </w:pPr>
      <w:r w:rsidRPr="00D66B5B">
        <w:rPr>
          <w:lang w:val="en-GB"/>
        </w:rPr>
        <w:t xml:space="preserve">The MTE team is also not convinced </w:t>
      </w:r>
      <w:r w:rsidR="0012513C" w:rsidRPr="00D66B5B">
        <w:rPr>
          <w:lang w:val="en-GB"/>
        </w:rPr>
        <w:t>simultaneous</w:t>
      </w:r>
      <w:r w:rsidRPr="00D66B5B">
        <w:rPr>
          <w:lang w:val="en-GB"/>
        </w:rPr>
        <w:t xml:space="preserve"> implementation of the IRD strategy and the overall devolution strategy is the best way forward. The IRD concept is highly dependent on a conducive local government framework, which Malawi does not yet have. It might </w:t>
      </w:r>
      <w:r w:rsidR="0002451B" w:rsidRPr="00D66B5B">
        <w:rPr>
          <w:lang w:val="en-GB"/>
        </w:rPr>
        <w:t>therefore</w:t>
      </w:r>
      <w:r w:rsidRPr="00D66B5B">
        <w:rPr>
          <w:lang w:val="en-GB"/>
        </w:rPr>
        <w:t xml:space="preserve"> be argued that support to devolution should focus more on core elements of the local government framework, and creation of a conducive working environment for the newly elected councils, before the IRD approach is </w:t>
      </w:r>
      <w:r w:rsidR="0002451B" w:rsidRPr="00D66B5B">
        <w:rPr>
          <w:lang w:val="en-GB"/>
        </w:rPr>
        <w:t>channelled</w:t>
      </w:r>
      <w:r w:rsidRPr="00D66B5B">
        <w:rPr>
          <w:lang w:val="en-GB"/>
        </w:rPr>
        <w:t xml:space="preserve"> through the districts. </w:t>
      </w:r>
    </w:p>
    <w:p w14:paraId="59A9409D" w14:textId="77777777" w:rsidR="00F3067E" w:rsidRPr="00D66B5B" w:rsidRDefault="00F3067E" w:rsidP="00F3067E">
      <w:pPr>
        <w:spacing w:after="0"/>
        <w:rPr>
          <w:lang w:val="en-GB"/>
        </w:rPr>
      </w:pPr>
    </w:p>
    <w:p w14:paraId="4D20B268" w14:textId="6140862C" w:rsidR="00F3067E" w:rsidRPr="00D66B5B" w:rsidRDefault="00F3067E" w:rsidP="00F3067E">
      <w:pPr>
        <w:spacing w:after="0" w:line="256" w:lineRule="auto"/>
        <w:rPr>
          <w:lang w:val="en-GB"/>
        </w:rPr>
      </w:pPr>
      <w:r w:rsidRPr="00D66B5B">
        <w:rPr>
          <w:lang w:val="en-GB"/>
        </w:rPr>
        <w:t xml:space="preserve">The Political Parties Registration and Regulation Bill was tabled in the Parliament prior to the 2014 elections and but it now seems to be </w:t>
      </w:r>
      <w:r w:rsidR="004D051F" w:rsidRPr="00D66B5B">
        <w:rPr>
          <w:lang w:val="en-GB"/>
        </w:rPr>
        <w:t>sidelined</w:t>
      </w:r>
      <w:r w:rsidRPr="00D66B5B">
        <w:rPr>
          <w:lang w:val="en-GB"/>
        </w:rPr>
        <w:t xml:space="preserve"> for the time being. This may signal a more widespread challenge that the elections and with it the change of leadership at various levels of both the executive and legislative arms of government has slowed reform progress as there has been considerable loss of institutional memory and also uncertainty on the part of the bureaucracy to move on certain commitments.</w:t>
      </w:r>
    </w:p>
    <w:p w14:paraId="7A6924C8" w14:textId="77777777" w:rsidR="00F3067E" w:rsidRPr="00D66B5B" w:rsidRDefault="00F3067E" w:rsidP="00F3067E">
      <w:pPr>
        <w:spacing w:after="0" w:line="256" w:lineRule="auto"/>
        <w:rPr>
          <w:lang w:val="en-GB"/>
        </w:rPr>
      </w:pPr>
    </w:p>
    <w:p w14:paraId="2EB5072A" w14:textId="6784C7A5" w:rsidR="00F3067E" w:rsidRPr="00D66B5B" w:rsidRDefault="00F3067E" w:rsidP="00F3067E">
      <w:pPr>
        <w:spacing w:after="0"/>
        <w:rPr>
          <w:lang w:val="en-GB"/>
        </w:rPr>
      </w:pPr>
      <w:r w:rsidRPr="00D66B5B">
        <w:rPr>
          <w:lang w:val="en-GB"/>
        </w:rPr>
        <w:t xml:space="preserve">Finally, UNDAF is underperforming according to its gender target on increase in the percentage of female MPs after the 2014 general elections. Attempts to mobilize and increase the number of female MP candidates and subsequently increase the number of elected female MPs, </w:t>
      </w:r>
      <w:r w:rsidR="00866BC9">
        <w:rPr>
          <w:lang w:val="en-GB"/>
        </w:rPr>
        <w:t xml:space="preserve">did not succeed </w:t>
      </w:r>
      <w:r w:rsidRPr="00D66B5B">
        <w:rPr>
          <w:lang w:val="en-GB"/>
        </w:rPr>
        <w:t>and there was in fact a decrease in the percentage of female MPs after the 2014. This is an illustration of the challenges facing political empowerment of women and stronger efforts and more consistent project designs are needed to overcome the culturally rooted resistance against gender equality and political empowerment of women.</w:t>
      </w:r>
    </w:p>
    <w:p w14:paraId="71E0AF7F" w14:textId="77777777" w:rsidR="00F3067E" w:rsidRPr="00D66B5B" w:rsidRDefault="00F3067E" w:rsidP="00F3067E">
      <w:pPr>
        <w:spacing w:after="0" w:line="256" w:lineRule="auto"/>
        <w:rPr>
          <w:lang w:val="en-GB"/>
        </w:rPr>
      </w:pPr>
    </w:p>
    <w:p w14:paraId="53B981CA" w14:textId="77777777" w:rsidR="00F3067E" w:rsidRPr="00D66B5B" w:rsidRDefault="00F3067E" w:rsidP="00F3067E">
      <w:pPr>
        <w:spacing w:after="0" w:line="256" w:lineRule="auto"/>
        <w:rPr>
          <w:b/>
          <w:lang w:val="en-GB"/>
        </w:rPr>
      </w:pPr>
      <w:r w:rsidRPr="00D66B5B">
        <w:rPr>
          <w:b/>
          <w:lang w:val="en-GB"/>
        </w:rPr>
        <w:t>Lessons Learned</w:t>
      </w:r>
    </w:p>
    <w:p w14:paraId="0EB4F688" w14:textId="05DD2AAC" w:rsidR="00F3067E" w:rsidRPr="00D66B5B" w:rsidRDefault="00F3067E" w:rsidP="00F3067E">
      <w:pPr>
        <w:spacing w:after="0" w:line="256" w:lineRule="auto"/>
        <w:rPr>
          <w:lang w:val="en-GB"/>
        </w:rPr>
      </w:pPr>
      <w:r w:rsidRPr="00D66B5B">
        <w:rPr>
          <w:lang w:val="en-GB"/>
        </w:rPr>
        <w:t xml:space="preserve">The support to elections reforms, NPA and decentralization has transformational potential. Successful achievements is these areas may answer the frustrations </w:t>
      </w:r>
      <w:r w:rsidR="006D5EBE" w:rsidRPr="00D66B5B">
        <w:rPr>
          <w:lang w:val="en-GB"/>
        </w:rPr>
        <w:t>fuelling</w:t>
      </w:r>
      <w:r w:rsidRPr="00D66B5B">
        <w:rPr>
          <w:lang w:val="en-GB"/>
        </w:rPr>
        <w:t xml:space="preserve"> federalism and calls for more equitable development</w:t>
      </w:r>
      <w:r w:rsidR="00CA2E5D">
        <w:rPr>
          <w:lang w:val="en-GB"/>
        </w:rPr>
        <w:t>.</w:t>
      </w:r>
      <w:r w:rsidRPr="00D66B5B">
        <w:rPr>
          <w:lang w:val="en-GB"/>
        </w:rPr>
        <w:t xml:space="preserve"> None of these reforms are substitutes for the others,</w:t>
      </w:r>
      <w:r w:rsidR="00866BC9">
        <w:rPr>
          <w:lang w:val="en-GB"/>
        </w:rPr>
        <w:t xml:space="preserve"> however,</w:t>
      </w:r>
      <w:r w:rsidRPr="00D66B5B">
        <w:rPr>
          <w:lang w:val="en-GB"/>
        </w:rPr>
        <w:t xml:space="preserve"> but should be seen as complement</w:t>
      </w:r>
      <w:r w:rsidR="00866BC9">
        <w:rPr>
          <w:lang w:val="en-GB"/>
        </w:rPr>
        <w:t>arily interventions, which need</w:t>
      </w:r>
      <w:r w:rsidRPr="00D66B5B">
        <w:rPr>
          <w:lang w:val="en-GB"/>
        </w:rPr>
        <w:t xml:space="preserve"> to be </w:t>
      </w:r>
      <w:r w:rsidR="00866BC9" w:rsidRPr="00D66B5B">
        <w:rPr>
          <w:lang w:val="en-GB"/>
        </w:rPr>
        <w:t>jointly</w:t>
      </w:r>
      <w:r w:rsidR="00866BC9" w:rsidRPr="00D66B5B">
        <w:rPr>
          <w:lang w:val="en-GB"/>
        </w:rPr>
        <w:t xml:space="preserve"> </w:t>
      </w:r>
      <w:r w:rsidRPr="00D66B5B">
        <w:rPr>
          <w:lang w:val="en-GB"/>
        </w:rPr>
        <w:t xml:space="preserve">pursued.    </w:t>
      </w:r>
    </w:p>
    <w:p w14:paraId="4F627235" w14:textId="77777777" w:rsidR="00F3067E" w:rsidRPr="00D66B5B" w:rsidRDefault="00F3067E" w:rsidP="00F3067E">
      <w:pPr>
        <w:spacing w:after="0" w:line="256" w:lineRule="auto"/>
        <w:rPr>
          <w:lang w:val="en-GB"/>
        </w:rPr>
      </w:pPr>
    </w:p>
    <w:p w14:paraId="0EC43AF1" w14:textId="56742D9E" w:rsidR="00F3067E" w:rsidRPr="00D66B5B" w:rsidRDefault="00F3067E" w:rsidP="00F3067E">
      <w:pPr>
        <w:spacing w:after="0" w:line="256" w:lineRule="auto"/>
        <w:rPr>
          <w:lang w:val="en-GB"/>
        </w:rPr>
      </w:pPr>
      <w:r w:rsidRPr="00D66B5B">
        <w:rPr>
          <w:lang w:val="en-GB"/>
        </w:rPr>
        <w:t xml:space="preserve">The sector-wide approach to </w:t>
      </w:r>
      <w:r w:rsidRPr="00010A7F">
        <w:rPr>
          <w:lang w:val="en-US"/>
        </w:rPr>
        <w:t xml:space="preserve">democratic governance is indispensable for </w:t>
      </w:r>
      <w:r w:rsidRPr="00D66B5B">
        <w:rPr>
          <w:lang w:val="en-GB"/>
        </w:rPr>
        <w:t xml:space="preserve">achieving sustainable results in democratic </w:t>
      </w:r>
      <w:r w:rsidRPr="00010A7F">
        <w:rPr>
          <w:lang w:val="en-US"/>
        </w:rPr>
        <w:t xml:space="preserve">governance and human rights and for building public trust in </w:t>
      </w:r>
      <w:r w:rsidRPr="00D66B5B">
        <w:rPr>
          <w:lang w:val="en-GB"/>
        </w:rPr>
        <w:t xml:space="preserve">democratic institutions. However, </w:t>
      </w:r>
      <w:r w:rsidRPr="00010A7F">
        <w:rPr>
          <w:lang w:val="en-US"/>
        </w:rPr>
        <w:t xml:space="preserve">the DG SWAp is operating below its original objectives and </w:t>
      </w:r>
      <w:r w:rsidR="00E636BD">
        <w:rPr>
          <w:lang w:val="en-US"/>
        </w:rPr>
        <w:t xml:space="preserve">currently </w:t>
      </w:r>
      <w:r w:rsidRPr="00010A7F">
        <w:rPr>
          <w:lang w:val="en-US"/>
        </w:rPr>
        <w:t xml:space="preserve">only contributes to basic coordination, while it has yet to significantly impact on policy implementation and synergies </w:t>
      </w:r>
      <w:r w:rsidR="00E636BD">
        <w:rPr>
          <w:lang w:val="en-US"/>
        </w:rPr>
        <w:t>between</w:t>
      </w:r>
      <w:r w:rsidRPr="00010A7F">
        <w:rPr>
          <w:lang w:val="en-US"/>
        </w:rPr>
        <w:t xml:space="preserve"> DG institutions. The SWAp is also </w:t>
      </w:r>
      <w:r w:rsidR="00223721">
        <w:rPr>
          <w:lang w:val="en-US"/>
        </w:rPr>
        <w:t>constrained</w:t>
      </w:r>
      <w:r w:rsidRPr="00010A7F">
        <w:rPr>
          <w:lang w:val="en-US"/>
        </w:rPr>
        <w:t xml:space="preserve"> by </w:t>
      </w:r>
      <w:r w:rsidR="00E636BD">
        <w:rPr>
          <w:lang w:val="en-US"/>
        </w:rPr>
        <w:t xml:space="preserve">the </w:t>
      </w:r>
      <w:r w:rsidR="00617D3F">
        <w:rPr>
          <w:lang w:val="en-US"/>
        </w:rPr>
        <w:t>DPs reluctance to render</w:t>
      </w:r>
      <w:r w:rsidRPr="00010A7F">
        <w:rPr>
          <w:lang w:val="en-US"/>
        </w:rPr>
        <w:t xml:space="preserve"> budget support and </w:t>
      </w:r>
      <w:r w:rsidRPr="00D66B5B">
        <w:rPr>
          <w:lang w:val="en-GB"/>
        </w:rPr>
        <w:t xml:space="preserve">by </w:t>
      </w:r>
      <w:r w:rsidRPr="00010A7F">
        <w:rPr>
          <w:lang w:val="en-US"/>
        </w:rPr>
        <w:t xml:space="preserve">the overall decline in development funds, </w:t>
      </w:r>
      <w:r w:rsidRPr="00D66B5B">
        <w:rPr>
          <w:lang w:val="en-GB"/>
        </w:rPr>
        <w:t xml:space="preserve">which again </w:t>
      </w:r>
      <w:r w:rsidRPr="00010A7F">
        <w:rPr>
          <w:lang w:val="en-US"/>
        </w:rPr>
        <w:t>is constraining the government’s ability to deliver on its commitments</w:t>
      </w:r>
      <w:r w:rsidRPr="00D66B5B">
        <w:rPr>
          <w:lang w:val="en-GB"/>
        </w:rPr>
        <w:t xml:space="preserve">. </w:t>
      </w:r>
    </w:p>
    <w:p w14:paraId="1915E14E" w14:textId="77777777" w:rsidR="00F3067E" w:rsidRPr="00D66B5B" w:rsidRDefault="00F3067E" w:rsidP="00F3067E">
      <w:pPr>
        <w:spacing w:after="0" w:line="256" w:lineRule="auto"/>
        <w:rPr>
          <w:lang w:val="en-GB"/>
        </w:rPr>
      </w:pPr>
    </w:p>
    <w:p w14:paraId="77713830" w14:textId="40DA4CEF" w:rsidR="00F3067E" w:rsidRPr="00D66B5B" w:rsidRDefault="00F3067E" w:rsidP="00F3067E">
      <w:pPr>
        <w:spacing w:after="0" w:line="256" w:lineRule="auto"/>
        <w:rPr>
          <w:lang w:val="en-GB"/>
        </w:rPr>
      </w:pPr>
      <w:r w:rsidRPr="00D66B5B">
        <w:rPr>
          <w:lang w:val="en-GB"/>
        </w:rPr>
        <w:t xml:space="preserve">The constitutional bodies supported under this outcome are constrained by the inability of the government to sufficiently sustaining their operational capacities. This ultimately has adverse </w:t>
      </w:r>
      <w:r w:rsidR="00617D3F">
        <w:rPr>
          <w:lang w:val="en-GB"/>
        </w:rPr>
        <w:t xml:space="preserve">consequences </w:t>
      </w:r>
      <w:r w:rsidRPr="00D66B5B">
        <w:rPr>
          <w:lang w:val="en-GB"/>
        </w:rPr>
        <w:t>on the</w:t>
      </w:r>
      <w:r w:rsidR="00617D3F">
        <w:rPr>
          <w:lang w:val="en-GB"/>
        </w:rPr>
        <w:t>ir</w:t>
      </w:r>
      <w:r w:rsidRPr="00D66B5B">
        <w:rPr>
          <w:lang w:val="en-GB"/>
        </w:rPr>
        <w:t xml:space="preserve"> role</w:t>
      </w:r>
      <w:r w:rsidR="00617D3F">
        <w:rPr>
          <w:lang w:val="en-GB"/>
        </w:rPr>
        <w:t>s</w:t>
      </w:r>
      <w:r w:rsidRPr="00D66B5B">
        <w:rPr>
          <w:lang w:val="en-GB"/>
        </w:rPr>
        <w:t>, functioning and outreach, which to some degree diminish their independence and erode public trust in them. It also affects the absorption capacity of the bodies vis-à-vis the specialized TA rendered by the DPs.</w:t>
      </w:r>
    </w:p>
    <w:p w14:paraId="4D8574E2" w14:textId="77777777" w:rsidR="00F3067E" w:rsidRPr="00D66B5B" w:rsidRDefault="00F3067E" w:rsidP="00F3067E">
      <w:pPr>
        <w:spacing w:after="0" w:line="256" w:lineRule="auto"/>
        <w:rPr>
          <w:lang w:val="en-GB"/>
        </w:rPr>
      </w:pPr>
    </w:p>
    <w:p w14:paraId="13E1EE3A" w14:textId="1800F9B5" w:rsidR="00F3067E" w:rsidRPr="00D66B5B" w:rsidRDefault="00D630CF" w:rsidP="00F3067E">
      <w:pPr>
        <w:spacing w:after="0" w:line="256" w:lineRule="auto"/>
        <w:rPr>
          <w:lang w:val="en-GB"/>
        </w:rPr>
      </w:pPr>
      <w:r w:rsidRPr="00D630CF">
        <w:rPr>
          <w:lang w:val="en-GB"/>
        </w:rPr>
        <w:lastRenderedPageBreak/>
        <w:t xml:space="preserve">The teething issues persisting in human rights may call for the establishment of a broader alliance with the Law Commission, the Human Rights Committee of the Parliament and MoJCA to address the issue of MHRC independence and to move the minority rights agenda. Supplementing supply side support with demand side support through CSOs in human rights is </w:t>
      </w:r>
      <w:r w:rsidR="00C37CEC">
        <w:rPr>
          <w:lang w:val="en-GB"/>
        </w:rPr>
        <w:t xml:space="preserve">also </w:t>
      </w:r>
      <w:r w:rsidRPr="00D630CF">
        <w:rPr>
          <w:lang w:val="en-GB"/>
        </w:rPr>
        <w:t>a valid approach to enforce established human rights, identify gaps and strengthen human rights advocacy, and should be maintained</w:t>
      </w:r>
      <w:r w:rsidR="00F3067E" w:rsidRPr="00D66B5B">
        <w:rPr>
          <w:lang w:val="en-GB"/>
        </w:rPr>
        <w:t>.</w:t>
      </w:r>
    </w:p>
    <w:p w14:paraId="5D7CDEAA" w14:textId="77777777" w:rsidR="00F3067E" w:rsidRPr="00D66B5B" w:rsidRDefault="00F3067E" w:rsidP="00F3067E">
      <w:pPr>
        <w:spacing w:after="0" w:line="256" w:lineRule="auto"/>
        <w:rPr>
          <w:lang w:val="en-GB"/>
        </w:rPr>
      </w:pPr>
    </w:p>
    <w:p w14:paraId="1A77176C" w14:textId="6C7406A9" w:rsidR="00F3067E" w:rsidRPr="00D66B5B" w:rsidRDefault="00F3067E" w:rsidP="00F3067E">
      <w:pPr>
        <w:spacing w:after="0" w:line="256" w:lineRule="auto"/>
        <w:rPr>
          <w:lang w:val="en-GB"/>
        </w:rPr>
      </w:pPr>
      <w:r w:rsidRPr="00D66B5B">
        <w:rPr>
          <w:lang w:val="en-GB"/>
        </w:rPr>
        <w:t xml:space="preserve">The IRD strategy depends on a fundamental devolution </w:t>
      </w:r>
      <w:r w:rsidR="00C37CEC" w:rsidRPr="00D66B5B">
        <w:rPr>
          <w:lang w:val="en-GB"/>
        </w:rPr>
        <w:t>reform, which</w:t>
      </w:r>
      <w:r w:rsidRPr="00D66B5B">
        <w:rPr>
          <w:lang w:val="en-GB"/>
        </w:rPr>
        <w:t xml:space="preserve"> will address root causes of non-conduciveness in the local government system. Training and equipment are not enough to change cur</w:t>
      </w:r>
      <w:r w:rsidR="00976AE2">
        <w:rPr>
          <w:lang w:val="en-GB"/>
        </w:rPr>
        <w:t>rent practices and malpractices;</w:t>
      </w:r>
      <w:r w:rsidRPr="00D66B5B">
        <w:rPr>
          <w:lang w:val="en-GB"/>
        </w:rPr>
        <w:t xml:space="preserve"> substantial reforms of the system and central-local working relationships also </w:t>
      </w:r>
      <w:r w:rsidR="00C37CEC">
        <w:rPr>
          <w:lang w:val="en-GB"/>
        </w:rPr>
        <w:t>need</w:t>
      </w:r>
      <w:r w:rsidRPr="00D66B5B">
        <w:rPr>
          <w:lang w:val="en-GB"/>
        </w:rPr>
        <w:t xml:space="preserve"> to be addressed. The current IRD strategy and the devolution programme do not yet engage sufficiently with the underlying political economy and constraints, which create gaps and weaknesses in local government.</w:t>
      </w:r>
    </w:p>
    <w:p w14:paraId="65CA40C8" w14:textId="77777777" w:rsidR="00F3067E" w:rsidRPr="00D66B5B" w:rsidRDefault="00F3067E" w:rsidP="00F3067E">
      <w:pPr>
        <w:spacing w:after="0" w:line="256" w:lineRule="auto"/>
        <w:rPr>
          <w:lang w:val="en-GB"/>
        </w:rPr>
      </w:pPr>
    </w:p>
    <w:p w14:paraId="1B241B7D" w14:textId="3270A185" w:rsidR="00F3067E" w:rsidRPr="00D66B5B" w:rsidRDefault="00F3067E" w:rsidP="00F3067E">
      <w:pPr>
        <w:spacing w:after="0" w:line="256" w:lineRule="auto"/>
        <w:rPr>
          <w:lang w:val="en-GB"/>
        </w:rPr>
      </w:pPr>
      <w:r w:rsidRPr="00D66B5B">
        <w:rPr>
          <w:lang w:val="en-GB"/>
        </w:rPr>
        <w:t xml:space="preserve">The 4.1 outcome is broadly formulated and not very coherent. The targeting of democratic governance, human rights and decentralization/integrated rural development, within one outcome is mixing many different </w:t>
      </w:r>
      <w:r w:rsidR="005F035E">
        <w:rPr>
          <w:lang w:val="en-GB"/>
        </w:rPr>
        <w:t xml:space="preserve">thematic </w:t>
      </w:r>
      <w:r w:rsidRPr="00D66B5B">
        <w:rPr>
          <w:lang w:val="en-GB"/>
        </w:rPr>
        <w:t xml:space="preserve">areas and the value-addition of including decentralization/IRD in the outcome is not obvious. The IRD strategy depends on fundamental improvements in the local government system, which again </w:t>
      </w:r>
      <w:r w:rsidR="00ED09E5">
        <w:rPr>
          <w:lang w:val="en-GB"/>
        </w:rPr>
        <w:t>have to</w:t>
      </w:r>
      <w:r w:rsidRPr="00D66B5B">
        <w:rPr>
          <w:lang w:val="en-GB"/>
        </w:rPr>
        <w:t xml:space="preserve"> be addressed as part of the overall public sector reforms.</w:t>
      </w:r>
    </w:p>
    <w:p w14:paraId="533F544A" w14:textId="77777777" w:rsidR="00F3067E" w:rsidRPr="00D66B5B" w:rsidRDefault="00F3067E" w:rsidP="00F3067E">
      <w:pPr>
        <w:spacing w:after="0" w:line="256" w:lineRule="auto"/>
        <w:rPr>
          <w:lang w:val="en-GB"/>
        </w:rPr>
      </w:pPr>
    </w:p>
    <w:p w14:paraId="3F917878" w14:textId="77777777" w:rsidR="00F3067E" w:rsidRPr="00D66B5B" w:rsidRDefault="00F3067E" w:rsidP="00F3067E">
      <w:pPr>
        <w:spacing w:after="0" w:line="256" w:lineRule="auto"/>
        <w:rPr>
          <w:b/>
          <w:lang w:val="en-GB"/>
        </w:rPr>
      </w:pPr>
      <w:r w:rsidRPr="00D66B5B">
        <w:rPr>
          <w:b/>
          <w:lang w:val="en-GB"/>
        </w:rPr>
        <w:t>Recommendations</w:t>
      </w:r>
    </w:p>
    <w:p w14:paraId="4AC7686A" w14:textId="77777777" w:rsidR="00F3067E" w:rsidRPr="00D66B5B" w:rsidRDefault="00F3067E" w:rsidP="00F3067E">
      <w:pPr>
        <w:spacing w:after="0" w:line="256" w:lineRule="auto"/>
        <w:rPr>
          <w:lang w:val="en-GB"/>
        </w:rPr>
      </w:pPr>
      <w:r w:rsidRPr="00D66B5B">
        <w:rPr>
          <w:lang w:val="en-GB"/>
        </w:rPr>
        <w:t>Based on the analyses in this report, the MTE team proposes the following recommendations, which may further improve effectiveness, efficiency and sustainability of the UNDAF Outcome 4.1 interventions:</w:t>
      </w:r>
    </w:p>
    <w:p w14:paraId="5EFD75A9" w14:textId="77777777" w:rsidR="00C24A81" w:rsidRPr="00CD56B9" w:rsidRDefault="00C24A81" w:rsidP="00C24A81">
      <w:pPr>
        <w:spacing w:after="0"/>
        <w:rPr>
          <w:rFonts w:eastAsia="Calibri" w:cs="Arial"/>
          <w:b/>
          <w:bCs/>
          <w:i/>
          <w:iCs/>
          <w:lang w:val="en-US"/>
        </w:rPr>
      </w:pPr>
    </w:p>
    <w:p w14:paraId="3C97B55A" w14:textId="5F5A2291" w:rsidR="00C24A81" w:rsidRPr="00D66B5B" w:rsidRDefault="005F035E" w:rsidP="00C24A81">
      <w:pPr>
        <w:pBdr>
          <w:top w:val="single" w:sz="4" w:space="1" w:color="auto"/>
          <w:left w:val="single" w:sz="4" w:space="4" w:color="auto"/>
          <w:bottom w:val="single" w:sz="4" w:space="1" w:color="auto"/>
          <w:right w:val="single" w:sz="4" w:space="4" w:color="auto"/>
        </w:pBdr>
        <w:rPr>
          <w:rFonts w:eastAsia="Calibri" w:cs="Arial"/>
          <w:bCs/>
          <w:i/>
          <w:iCs/>
          <w:lang w:val="en-GB"/>
        </w:rPr>
      </w:pPr>
      <w:r>
        <w:rPr>
          <w:rFonts w:eastAsia="Calibri" w:cs="Arial"/>
          <w:bCs/>
          <w:i/>
          <w:iCs/>
          <w:lang w:val="en-GB"/>
        </w:rPr>
        <w:t>DG SWAp</w:t>
      </w:r>
    </w:p>
    <w:p w14:paraId="2315192F" w14:textId="0A9C3751" w:rsidR="00C24A81" w:rsidRPr="005B4669" w:rsidRDefault="00C24A81" w:rsidP="00C24A81">
      <w:pPr>
        <w:spacing w:after="0"/>
        <w:rPr>
          <w:rFonts w:eastAsia="Calibri" w:cs="Arial"/>
          <w:bCs/>
          <w:iCs/>
          <w:lang w:val="en-GB"/>
        </w:rPr>
      </w:pPr>
      <w:r w:rsidRPr="00CD56B9">
        <w:rPr>
          <w:rFonts w:eastAsia="Calibri" w:cs="Arial"/>
          <w:b/>
          <w:bCs/>
          <w:iCs/>
          <w:lang w:val="en-US"/>
        </w:rPr>
        <w:t>Recommendation # 1:</w:t>
      </w:r>
      <w:r>
        <w:rPr>
          <w:rFonts w:eastAsia="Calibri" w:cs="Arial"/>
          <w:b/>
          <w:bCs/>
          <w:iCs/>
          <w:lang w:val="en-US"/>
        </w:rPr>
        <w:t xml:space="preserve"> </w:t>
      </w:r>
      <w:r w:rsidRPr="00D66B5B">
        <w:rPr>
          <w:rFonts w:eastAsia="Calibri" w:cs="Arial"/>
          <w:bCs/>
          <w:iCs/>
          <w:lang w:val="en-GB"/>
        </w:rPr>
        <w:t>UNDP should continue pursuing the SWAp in democratic governance and strengthen its support to MoJCA on implementation of policies, laws and regulations and cooperation across institutional jurisdictions</w:t>
      </w:r>
      <w:r w:rsidRPr="00D66B5B">
        <w:rPr>
          <w:lang w:val="en-GB"/>
        </w:rPr>
        <w:t xml:space="preserve"> </w:t>
      </w:r>
      <w:r w:rsidRPr="00D66B5B">
        <w:rPr>
          <w:rFonts w:eastAsia="Calibri" w:cs="Arial"/>
          <w:bCs/>
          <w:iCs/>
          <w:lang w:val="en-GB"/>
        </w:rPr>
        <w:t xml:space="preserve">such as the police-court-prison cooperation or the institutional gaps in addressing child marriages and GBV. </w:t>
      </w:r>
      <w:r w:rsidRPr="005B4669">
        <w:rPr>
          <w:rFonts w:eastAsia="Calibri" w:cs="Arial"/>
          <w:bCs/>
          <w:iCs/>
          <w:lang w:val="en-GB"/>
        </w:rPr>
        <w:t xml:space="preserve">Policy implementation and inter-jurisdictional cooperation </w:t>
      </w:r>
      <w:r w:rsidR="005F035E">
        <w:rPr>
          <w:rFonts w:eastAsia="Calibri" w:cs="Arial"/>
          <w:bCs/>
          <w:iCs/>
          <w:lang w:val="en-GB"/>
        </w:rPr>
        <w:t>c</w:t>
      </w:r>
      <w:r w:rsidR="004A6ED8">
        <w:rPr>
          <w:rFonts w:eastAsia="Calibri" w:cs="Arial"/>
          <w:bCs/>
          <w:iCs/>
          <w:lang w:val="en-GB"/>
        </w:rPr>
        <w:t>ould</w:t>
      </w:r>
      <w:r w:rsidRPr="005B4669">
        <w:rPr>
          <w:rFonts w:eastAsia="Calibri" w:cs="Arial"/>
          <w:bCs/>
          <w:iCs/>
          <w:lang w:val="en-GB"/>
        </w:rPr>
        <w:t xml:space="preserve"> be furthered by the introduc</w:t>
      </w:r>
      <w:r w:rsidR="005F035E">
        <w:rPr>
          <w:rFonts w:eastAsia="Calibri" w:cs="Arial"/>
          <w:bCs/>
          <w:iCs/>
          <w:lang w:val="en-GB"/>
        </w:rPr>
        <w:t xml:space="preserve">tion </w:t>
      </w:r>
      <w:r w:rsidRPr="005B4669">
        <w:rPr>
          <w:rFonts w:eastAsia="Calibri" w:cs="Arial"/>
          <w:bCs/>
          <w:iCs/>
          <w:lang w:val="en-GB"/>
        </w:rPr>
        <w:t>of joint thematic M&amp;E exercises with DP participation.</w:t>
      </w:r>
    </w:p>
    <w:p w14:paraId="7B73F198" w14:textId="77777777" w:rsidR="00C24A81" w:rsidRPr="005B4669" w:rsidRDefault="00C24A81" w:rsidP="00C24A81">
      <w:pPr>
        <w:spacing w:after="0"/>
        <w:rPr>
          <w:rFonts w:eastAsia="Calibri" w:cs="Arial"/>
          <w:b/>
          <w:bCs/>
          <w:iCs/>
          <w:lang w:val="en-GB"/>
        </w:rPr>
      </w:pPr>
    </w:p>
    <w:p w14:paraId="2A084609" w14:textId="77777777" w:rsidR="00C24A81" w:rsidRPr="005B4669" w:rsidRDefault="00C24A81" w:rsidP="00C24A81">
      <w:pPr>
        <w:pBdr>
          <w:top w:val="single" w:sz="4" w:space="1" w:color="auto"/>
          <w:left w:val="single" w:sz="4" w:space="4" w:color="auto"/>
          <w:bottom w:val="single" w:sz="4" w:space="1" w:color="auto"/>
          <w:right w:val="single" w:sz="4" w:space="4" w:color="auto"/>
        </w:pBdr>
        <w:spacing w:after="0"/>
        <w:rPr>
          <w:rFonts w:eastAsia="Calibri" w:cs="Arial"/>
          <w:bCs/>
          <w:i/>
          <w:iCs/>
          <w:lang w:val="en-GB"/>
        </w:rPr>
      </w:pPr>
      <w:r w:rsidRPr="005B4669">
        <w:rPr>
          <w:rFonts w:eastAsia="Calibri" w:cs="Arial"/>
          <w:bCs/>
          <w:i/>
          <w:iCs/>
          <w:lang w:val="en-GB"/>
        </w:rPr>
        <w:t xml:space="preserve">Democratic Elections </w:t>
      </w:r>
    </w:p>
    <w:p w14:paraId="1A739DD0" w14:textId="77777777" w:rsidR="00C24A81" w:rsidRPr="005B4669" w:rsidRDefault="00C24A81" w:rsidP="00C24A81">
      <w:pPr>
        <w:spacing w:after="0"/>
        <w:rPr>
          <w:rFonts w:eastAsia="Calibri" w:cs="Arial"/>
          <w:bCs/>
          <w:iCs/>
          <w:lang w:val="en-GB"/>
        </w:rPr>
      </w:pPr>
    </w:p>
    <w:p w14:paraId="607A0688" w14:textId="2D749F9F" w:rsidR="00C24A81" w:rsidRPr="005B4669" w:rsidRDefault="00C24A81" w:rsidP="00C24A81">
      <w:pPr>
        <w:rPr>
          <w:rFonts w:eastAsia="Calibri" w:cs="Arial"/>
          <w:bCs/>
          <w:iCs/>
          <w:lang w:val="en-GB"/>
        </w:rPr>
      </w:pPr>
      <w:r w:rsidRPr="005B4669">
        <w:rPr>
          <w:rFonts w:eastAsia="Calibri" w:cs="Arial"/>
          <w:b/>
          <w:bCs/>
          <w:iCs/>
          <w:lang w:val="en-GB"/>
        </w:rPr>
        <w:t xml:space="preserve">Recommendation # 2: </w:t>
      </w:r>
      <w:r w:rsidRPr="005B4669">
        <w:rPr>
          <w:rFonts w:eastAsia="Calibri" w:cs="Arial"/>
          <w:bCs/>
          <w:iCs/>
          <w:lang w:val="en-GB"/>
        </w:rPr>
        <w:t>UNDP should rigorously continue its support to the reform of election rules, including the introduction of a more proportional elections system and realignment of constituency demarcations, taking into account the high urb</w:t>
      </w:r>
      <w:r w:rsidR="001E1307">
        <w:rPr>
          <w:rFonts w:eastAsia="Calibri" w:cs="Arial"/>
          <w:bCs/>
          <w:iCs/>
          <w:lang w:val="en-GB"/>
        </w:rPr>
        <w:t>an migration patterns in Malawi.</w:t>
      </w:r>
      <w:r w:rsidRPr="005B4669">
        <w:rPr>
          <w:rFonts w:eastAsia="Calibri" w:cs="Arial"/>
          <w:bCs/>
          <w:iCs/>
          <w:lang w:val="en-GB"/>
        </w:rPr>
        <w:t xml:space="preserve"> </w:t>
      </w:r>
    </w:p>
    <w:p w14:paraId="445984AB" w14:textId="78D1F6E3" w:rsidR="00C24A81" w:rsidRPr="005B4669" w:rsidRDefault="00C24A81" w:rsidP="00C24A81">
      <w:pPr>
        <w:rPr>
          <w:rFonts w:eastAsia="Calibri" w:cs="Arial"/>
          <w:bCs/>
          <w:iCs/>
          <w:lang w:val="en-GB"/>
        </w:rPr>
      </w:pPr>
      <w:r w:rsidRPr="005B4669">
        <w:rPr>
          <w:rFonts w:eastAsia="Calibri" w:cs="Arial"/>
          <w:b/>
          <w:bCs/>
          <w:iCs/>
          <w:lang w:val="en-GB"/>
        </w:rPr>
        <w:t xml:space="preserve">Recommendation # 3: </w:t>
      </w:r>
      <w:r w:rsidRPr="005B4669">
        <w:rPr>
          <w:rFonts w:eastAsia="Calibri" w:cs="Arial"/>
          <w:bCs/>
          <w:iCs/>
          <w:lang w:val="en-GB"/>
        </w:rPr>
        <w:t xml:space="preserve">UNDP should advocate for a more </w:t>
      </w:r>
      <w:r w:rsidR="001301BB" w:rsidRPr="00F62234">
        <w:rPr>
          <w:rFonts w:eastAsia="Calibri" w:cs="Arial"/>
          <w:bCs/>
          <w:iCs/>
          <w:lang w:val="en-GB"/>
        </w:rPr>
        <w:t xml:space="preserve">transparent, accountable and </w:t>
      </w:r>
      <w:r w:rsidRPr="005B4669">
        <w:rPr>
          <w:rFonts w:eastAsia="Calibri" w:cs="Arial"/>
          <w:bCs/>
          <w:iCs/>
          <w:lang w:val="en-GB"/>
        </w:rPr>
        <w:t>sustainable government funding of MEC, which meets the operational costs of managing the electoral process and the costs of applying the full continuous election management approach.</w:t>
      </w:r>
    </w:p>
    <w:p w14:paraId="3943783A" w14:textId="674BFC5C" w:rsidR="00C24A81" w:rsidRPr="005B4669" w:rsidRDefault="00C24A81" w:rsidP="00C24A81">
      <w:pPr>
        <w:rPr>
          <w:rFonts w:eastAsia="Calibri" w:cs="Arial"/>
          <w:bCs/>
          <w:iCs/>
          <w:lang w:val="en-GB"/>
        </w:rPr>
      </w:pPr>
      <w:r w:rsidRPr="005B4669">
        <w:rPr>
          <w:rFonts w:eastAsia="Calibri" w:cs="Arial"/>
          <w:b/>
          <w:bCs/>
          <w:iCs/>
          <w:lang w:val="en-GB"/>
        </w:rPr>
        <w:t xml:space="preserve">Recommendation # 4: </w:t>
      </w:r>
      <w:r w:rsidRPr="005B4669">
        <w:rPr>
          <w:rFonts w:eastAsia="Calibri" w:cs="Arial"/>
          <w:bCs/>
          <w:iCs/>
          <w:lang w:val="en-GB"/>
        </w:rPr>
        <w:t xml:space="preserve">UNDP and UN Women should integrate the gender aspect more consistently in the design of support projects for democratic elections and ensure continuous support to </w:t>
      </w:r>
      <w:r w:rsidR="00FC61EE">
        <w:rPr>
          <w:rFonts w:eastAsia="Calibri" w:cs="Arial"/>
          <w:bCs/>
          <w:iCs/>
          <w:lang w:val="en-GB"/>
        </w:rPr>
        <w:t xml:space="preserve">the political empowerment of women </w:t>
      </w:r>
      <w:r w:rsidRPr="005B4669">
        <w:rPr>
          <w:rFonts w:eastAsia="Calibri" w:cs="Arial"/>
          <w:bCs/>
          <w:iCs/>
          <w:lang w:val="en-GB"/>
        </w:rPr>
        <w:t>throughout the election cycle.</w:t>
      </w:r>
    </w:p>
    <w:p w14:paraId="6C681652" w14:textId="77777777" w:rsidR="00C24A81" w:rsidRPr="005B4669" w:rsidRDefault="00C24A81" w:rsidP="00C24A81">
      <w:pPr>
        <w:pBdr>
          <w:top w:val="single" w:sz="4" w:space="1" w:color="auto"/>
          <w:left w:val="single" w:sz="4" w:space="4" w:color="auto"/>
          <w:bottom w:val="single" w:sz="4" w:space="1" w:color="auto"/>
          <w:right w:val="single" w:sz="4" w:space="4" w:color="auto"/>
        </w:pBdr>
        <w:spacing w:after="0"/>
        <w:rPr>
          <w:rFonts w:eastAsia="Calibri" w:cs="Arial"/>
          <w:bCs/>
          <w:i/>
          <w:iCs/>
          <w:lang w:val="en-GB"/>
        </w:rPr>
      </w:pPr>
      <w:r w:rsidRPr="005B4669">
        <w:rPr>
          <w:rFonts w:eastAsia="Calibri" w:cs="Arial"/>
          <w:bCs/>
          <w:i/>
          <w:iCs/>
          <w:lang w:val="en-GB"/>
        </w:rPr>
        <w:t>Political Parties</w:t>
      </w:r>
    </w:p>
    <w:p w14:paraId="702D2C0A" w14:textId="77777777" w:rsidR="00C24A81" w:rsidRPr="005B4669" w:rsidRDefault="00C24A81" w:rsidP="00C24A81">
      <w:pPr>
        <w:spacing w:after="0"/>
        <w:rPr>
          <w:rFonts w:eastAsia="Calibri" w:cs="Arial"/>
          <w:b/>
          <w:bCs/>
          <w:iCs/>
          <w:lang w:val="en-GB"/>
        </w:rPr>
      </w:pPr>
    </w:p>
    <w:p w14:paraId="0FFF7D56" w14:textId="2F99F016" w:rsidR="00C24A81" w:rsidRPr="005B4669" w:rsidRDefault="00C24A81" w:rsidP="00C24A81">
      <w:pPr>
        <w:rPr>
          <w:lang w:val="en-GB"/>
        </w:rPr>
      </w:pPr>
      <w:r w:rsidRPr="005B4669">
        <w:rPr>
          <w:rFonts w:eastAsia="Calibri" w:cs="Arial"/>
          <w:b/>
          <w:bCs/>
          <w:iCs/>
          <w:lang w:val="en-GB"/>
        </w:rPr>
        <w:t xml:space="preserve">Recommendation # 5: </w:t>
      </w:r>
      <w:r w:rsidRPr="005B4669">
        <w:rPr>
          <w:lang w:val="en-GB"/>
        </w:rPr>
        <w:t xml:space="preserve">In addition to a continuous lobbying for the PPRR Bill, UNDP in collaboration with CMD and similar stakeholders should facilitate public awareness campaigns on the need for 1) a legal framework on party-internal democratic functioning and management </w:t>
      </w:r>
      <w:r w:rsidRPr="005B4669">
        <w:rPr>
          <w:lang w:val="en-GB"/>
        </w:rPr>
        <w:lastRenderedPageBreak/>
        <w:t xml:space="preserve">practices, 2) a reduction on the constitutional threshold (of ten percent of the national vote) to qualify for public funding to ensure that a majority of political parties that have secured representation in Parliament can also access public funding, and 3) introduction of a legal framework that will regulate private and campaign financing of political parties.  </w:t>
      </w:r>
    </w:p>
    <w:p w14:paraId="57780FE7" w14:textId="77777777" w:rsidR="00C24A81" w:rsidRPr="005B4669" w:rsidRDefault="00C24A81" w:rsidP="00C24A81">
      <w:pPr>
        <w:rPr>
          <w:lang w:val="en-GB"/>
        </w:rPr>
      </w:pPr>
      <w:r w:rsidRPr="005B4669">
        <w:rPr>
          <w:rFonts w:eastAsia="Calibri" w:cs="Arial"/>
          <w:b/>
          <w:bCs/>
          <w:iCs/>
          <w:lang w:val="en-GB"/>
        </w:rPr>
        <w:t xml:space="preserve">Recommendation # 6: </w:t>
      </w:r>
      <w:r w:rsidRPr="005B4669">
        <w:rPr>
          <w:lang w:val="en-GB"/>
        </w:rPr>
        <w:t xml:space="preserve">The support to CMD remains relevant, despite the delay in the new PPRR Bill and UNDP and UN Women should continue supporting CMD. There is a need for long-term support to the collaborative efforts of the political parties as a whole to help parties and factions to work together by offering a supplementary neutral platform where politicians can get together to discuss issues away from public arenas such as the Parliament and the media. </w:t>
      </w:r>
    </w:p>
    <w:p w14:paraId="3406EB95" w14:textId="7309D164" w:rsidR="00C24A81" w:rsidRPr="005B4669" w:rsidRDefault="00C24A81" w:rsidP="00C24A81">
      <w:pPr>
        <w:spacing w:after="0"/>
        <w:rPr>
          <w:lang w:val="en-GB"/>
        </w:rPr>
      </w:pPr>
      <w:r w:rsidRPr="005B4669">
        <w:rPr>
          <w:rFonts w:eastAsia="Calibri" w:cs="Arial"/>
          <w:b/>
          <w:bCs/>
          <w:iCs/>
          <w:lang w:val="en-GB"/>
        </w:rPr>
        <w:t xml:space="preserve">Recommendation # 7: </w:t>
      </w:r>
      <w:r w:rsidRPr="005B4669">
        <w:rPr>
          <w:lang w:val="en-GB"/>
        </w:rPr>
        <w:t xml:space="preserve">The elections of new District and City Councils create a need for support to local party politicians. Similar to national MPs, council members need to be able to work collaboratively with each other, and to facilitate such </w:t>
      </w:r>
      <w:r w:rsidR="006D5EBE" w:rsidRPr="005B4669">
        <w:rPr>
          <w:lang w:val="en-GB"/>
        </w:rPr>
        <w:t>collaborations</w:t>
      </w:r>
      <w:r w:rsidRPr="005B4669">
        <w:rPr>
          <w:lang w:val="en-GB"/>
        </w:rPr>
        <w:t xml:space="preserve">, they need a neutral space for productive discussions outside of pubic council meetings. UNDP should discuss with CMD, if CMD is in a position to deliver such assistance at the local level or if other institutions with a sound understanding of local conditions and with adequate skills to broker political relationships could do this, </w:t>
      </w:r>
      <w:r w:rsidR="00E72B35">
        <w:rPr>
          <w:lang w:val="en-GB"/>
        </w:rPr>
        <w:t xml:space="preserve">if possible </w:t>
      </w:r>
      <w:r w:rsidRPr="005B4669">
        <w:rPr>
          <w:lang w:val="en-GB"/>
        </w:rPr>
        <w:t>in partnership</w:t>
      </w:r>
      <w:r w:rsidR="00E72B35">
        <w:rPr>
          <w:lang w:val="en-GB"/>
        </w:rPr>
        <w:t>s</w:t>
      </w:r>
      <w:r w:rsidRPr="005B4669">
        <w:rPr>
          <w:lang w:val="en-GB"/>
        </w:rPr>
        <w:t xml:space="preserve"> with NIMD </w:t>
      </w:r>
      <w:r w:rsidR="00E72B35">
        <w:rPr>
          <w:lang w:val="en-GB"/>
        </w:rPr>
        <w:t>and/</w:t>
      </w:r>
      <w:r w:rsidRPr="005B4669">
        <w:rPr>
          <w:lang w:val="en-GB"/>
        </w:rPr>
        <w:t xml:space="preserve">or DIPD. </w:t>
      </w:r>
    </w:p>
    <w:p w14:paraId="088884BB" w14:textId="77777777" w:rsidR="00C24A81" w:rsidRPr="005B4669" w:rsidRDefault="00C24A81" w:rsidP="00C24A81">
      <w:pPr>
        <w:spacing w:after="0"/>
        <w:rPr>
          <w:rFonts w:eastAsia="Calibri" w:cs="Arial"/>
          <w:bCs/>
          <w:iCs/>
          <w:lang w:val="en-GB"/>
        </w:rPr>
      </w:pPr>
    </w:p>
    <w:p w14:paraId="7858A5FD" w14:textId="77777777" w:rsidR="00C24A81" w:rsidRPr="005B4669" w:rsidRDefault="00C24A81" w:rsidP="00C24A81">
      <w:pPr>
        <w:pBdr>
          <w:top w:val="single" w:sz="4" w:space="1" w:color="auto"/>
          <w:left w:val="single" w:sz="4" w:space="4" w:color="auto"/>
          <w:bottom w:val="single" w:sz="4" w:space="1" w:color="auto"/>
          <w:right w:val="single" w:sz="4" w:space="4" w:color="auto"/>
        </w:pBdr>
        <w:spacing w:after="0"/>
        <w:rPr>
          <w:rFonts w:eastAsia="Calibri" w:cs="Arial"/>
          <w:bCs/>
          <w:i/>
          <w:iCs/>
          <w:lang w:val="en-GB"/>
        </w:rPr>
      </w:pPr>
      <w:r w:rsidRPr="005B4669">
        <w:rPr>
          <w:rFonts w:eastAsia="Calibri" w:cs="Arial"/>
          <w:bCs/>
          <w:i/>
          <w:iCs/>
          <w:lang w:val="en-GB"/>
        </w:rPr>
        <w:t>Human Rights</w:t>
      </w:r>
    </w:p>
    <w:p w14:paraId="7BE4D39E" w14:textId="77777777" w:rsidR="00C24A81" w:rsidRPr="005B4669" w:rsidRDefault="00C24A81" w:rsidP="00C24A81">
      <w:pPr>
        <w:spacing w:after="0"/>
        <w:jc w:val="left"/>
        <w:rPr>
          <w:rFonts w:eastAsia="Calibri" w:cs="Arial"/>
          <w:b/>
          <w:bCs/>
          <w:iCs/>
          <w:lang w:val="en-GB"/>
        </w:rPr>
      </w:pPr>
    </w:p>
    <w:p w14:paraId="14974638" w14:textId="575BF387" w:rsidR="00C24A81" w:rsidRPr="005B4669" w:rsidRDefault="00C24A81" w:rsidP="00C24A81">
      <w:pPr>
        <w:rPr>
          <w:rFonts w:eastAsia="Calibri" w:cs="Arial"/>
          <w:bCs/>
          <w:iCs/>
          <w:lang w:val="en-GB"/>
        </w:rPr>
      </w:pPr>
      <w:r w:rsidRPr="005B4669">
        <w:rPr>
          <w:rFonts w:eastAsia="Calibri" w:cs="Arial"/>
          <w:b/>
          <w:bCs/>
          <w:iCs/>
          <w:lang w:val="en-GB"/>
        </w:rPr>
        <w:t xml:space="preserve">Recommendation # 8: </w:t>
      </w:r>
      <w:r w:rsidRPr="005B4669">
        <w:rPr>
          <w:rFonts w:eastAsia="Calibri" w:cs="Arial"/>
          <w:bCs/>
          <w:iCs/>
          <w:lang w:val="en-GB"/>
        </w:rPr>
        <w:t xml:space="preserve">UNDP should continue advocating for the implementation of the recommendations </w:t>
      </w:r>
      <w:r w:rsidR="003C484B">
        <w:rPr>
          <w:rFonts w:eastAsia="Calibri" w:cs="Arial"/>
          <w:bCs/>
          <w:iCs/>
          <w:lang w:val="en-GB"/>
        </w:rPr>
        <w:t xml:space="preserve">made </w:t>
      </w:r>
      <w:r w:rsidRPr="005B4669">
        <w:rPr>
          <w:rFonts w:eastAsia="Calibri" w:cs="Arial"/>
          <w:bCs/>
          <w:iCs/>
          <w:lang w:val="en-GB"/>
        </w:rPr>
        <w:t>by the United Nations Human Rights Committee, including the amendment of the HRC Act to ensure full independ</w:t>
      </w:r>
      <w:r w:rsidR="003C484B">
        <w:rPr>
          <w:rFonts w:eastAsia="Calibri" w:cs="Arial"/>
          <w:bCs/>
          <w:iCs/>
          <w:lang w:val="en-GB"/>
        </w:rPr>
        <w:t xml:space="preserve">ence of the committee and </w:t>
      </w:r>
      <w:r w:rsidR="00E72B35">
        <w:rPr>
          <w:rFonts w:eastAsia="Calibri" w:cs="Arial"/>
          <w:bCs/>
          <w:iCs/>
          <w:lang w:val="en-GB"/>
        </w:rPr>
        <w:t xml:space="preserve">to </w:t>
      </w:r>
      <w:r w:rsidR="003C484B">
        <w:rPr>
          <w:rFonts w:eastAsia="Calibri" w:cs="Arial"/>
          <w:bCs/>
          <w:iCs/>
          <w:lang w:val="en-GB"/>
        </w:rPr>
        <w:t xml:space="preserve">remedy </w:t>
      </w:r>
      <w:r w:rsidR="003C484B" w:rsidRPr="005B4669">
        <w:rPr>
          <w:rFonts w:eastAsia="Calibri" w:cs="Arial"/>
          <w:bCs/>
          <w:iCs/>
          <w:lang w:val="en-GB"/>
        </w:rPr>
        <w:t>the</w:t>
      </w:r>
      <w:r w:rsidRPr="005B4669">
        <w:rPr>
          <w:rFonts w:eastAsia="Calibri" w:cs="Arial"/>
          <w:bCs/>
          <w:iCs/>
          <w:lang w:val="en-GB"/>
        </w:rPr>
        <w:t xml:space="preserve"> capacity constraints pertaining to the </w:t>
      </w:r>
      <w:r w:rsidR="00E72B35" w:rsidRPr="005B4669">
        <w:rPr>
          <w:rFonts w:eastAsia="Calibri" w:cs="Arial"/>
          <w:bCs/>
          <w:iCs/>
          <w:lang w:val="en-GB"/>
        </w:rPr>
        <w:t>Commission</w:t>
      </w:r>
      <w:r w:rsidR="00E72B35">
        <w:rPr>
          <w:rFonts w:eastAsia="Calibri" w:cs="Arial"/>
          <w:bCs/>
          <w:iCs/>
          <w:lang w:val="en-GB"/>
        </w:rPr>
        <w:t>’</w:t>
      </w:r>
      <w:r w:rsidR="00E72B35" w:rsidRPr="005B4669">
        <w:rPr>
          <w:rFonts w:eastAsia="Calibri" w:cs="Arial"/>
          <w:bCs/>
          <w:iCs/>
          <w:lang w:val="en-GB"/>
        </w:rPr>
        <w:t>s</w:t>
      </w:r>
      <w:r w:rsidR="00E72B35" w:rsidRPr="005B4669">
        <w:rPr>
          <w:rFonts w:eastAsia="Calibri" w:cs="Arial"/>
          <w:bCs/>
          <w:iCs/>
          <w:lang w:val="en-GB"/>
        </w:rPr>
        <w:t xml:space="preserve"> </w:t>
      </w:r>
      <w:r w:rsidRPr="005B4669">
        <w:rPr>
          <w:rFonts w:eastAsia="Calibri" w:cs="Arial"/>
          <w:bCs/>
          <w:iCs/>
          <w:lang w:val="en-GB"/>
        </w:rPr>
        <w:t xml:space="preserve">resource envelope and </w:t>
      </w:r>
      <w:r w:rsidR="00E72B35">
        <w:rPr>
          <w:rFonts w:eastAsia="Calibri" w:cs="Arial"/>
          <w:bCs/>
          <w:iCs/>
          <w:lang w:val="en-GB"/>
        </w:rPr>
        <w:t xml:space="preserve">its </w:t>
      </w:r>
      <w:r w:rsidRPr="005B4669">
        <w:rPr>
          <w:rFonts w:eastAsia="Calibri" w:cs="Arial"/>
          <w:bCs/>
          <w:iCs/>
          <w:lang w:val="en-GB"/>
        </w:rPr>
        <w:t>ability to attract and retain the right quantity and quality of personnel.</w:t>
      </w:r>
      <w:r w:rsidR="003935A6">
        <w:rPr>
          <w:rFonts w:eastAsia="Calibri" w:cs="Arial"/>
          <w:bCs/>
          <w:iCs/>
          <w:lang w:val="en-GB"/>
        </w:rPr>
        <w:t xml:space="preserve"> UNDP should liaise with </w:t>
      </w:r>
      <w:r w:rsidR="003935A6" w:rsidRPr="005B4669">
        <w:rPr>
          <w:rFonts w:eastAsia="Calibri" w:cs="Arial"/>
          <w:bCs/>
          <w:iCs/>
          <w:lang w:val="en-GB"/>
        </w:rPr>
        <w:t xml:space="preserve">the Law Commission, the HR Committee of the Parliament and MoJCA to rally support for the </w:t>
      </w:r>
      <w:r w:rsidR="003935A6">
        <w:rPr>
          <w:rFonts w:eastAsia="Calibri" w:cs="Arial"/>
          <w:bCs/>
          <w:iCs/>
          <w:lang w:val="en-GB"/>
        </w:rPr>
        <w:t xml:space="preserve">independence of the </w:t>
      </w:r>
      <w:r w:rsidR="003935A6" w:rsidRPr="005B4669">
        <w:rPr>
          <w:rFonts w:eastAsia="Calibri" w:cs="Arial"/>
          <w:bCs/>
          <w:iCs/>
          <w:lang w:val="en-GB"/>
        </w:rPr>
        <w:t>MHRC</w:t>
      </w:r>
      <w:r w:rsidR="003935A6">
        <w:rPr>
          <w:rFonts w:eastAsia="Calibri" w:cs="Arial"/>
          <w:bCs/>
          <w:iCs/>
          <w:lang w:val="en-GB"/>
        </w:rPr>
        <w:t>.</w:t>
      </w:r>
      <w:r w:rsidR="003935A6" w:rsidRPr="005B4669">
        <w:rPr>
          <w:rFonts w:eastAsia="Calibri" w:cs="Arial"/>
          <w:bCs/>
          <w:iCs/>
          <w:lang w:val="en-GB"/>
        </w:rPr>
        <w:t xml:space="preserve"> </w:t>
      </w:r>
    </w:p>
    <w:p w14:paraId="0A6D8287" w14:textId="196FBAA1" w:rsidR="00C24A81" w:rsidRPr="005B4669" w:rsidRDefault="00C24A81" w:rsidP="00C24A81">
      <w:pPr>
        <w:spacing w:after="0"/>
        <w:rPr>
          <w:rFonts w:eastAsia="Calibri" w:cs="Arial"/>
          <w:bCs/>
          <w:iCs/>
          <w:lang w:val="en-GB"/>
        </w:rPr>
      </w:pPr>
      <w:r w:rsidRPr="005B4669">
        <w:rPr>
          <w:rFonts w:eastAsia="Calibri" w:cs="Arial"/>
          <w:b/>
          <w:bCs/>
          <w:iCs/>
          <w:lang w:val="en-GB"/>
        </w:rPr>
        <w:t xml:space="preserve">Recommendation # 9: </w:t>
      </w:r>
      <w:r w:rsidRPr="005B4669">
        <w:rPr>
          <w:rFonts w:eastAsia="Calibri" w:cs="Arial"/>
          <w:bCs/>
          <w:iCs/>
          <w:lang w:val="en-GB"/>
        </w:rPr>
        <w:t xml:space="preserve">UNDP should continue </w:t>
      </w:r>
      <w:r w:rsidR="003935A6">
        <w:rPr>
          <w:rFonts w:eastAsia="Calibri" w:cs="Arial"/>
          <w:bCs/>
          <w:iCs/>
          <w:lang w:val="en-GB"/>
        </w:rPr>
        <w:t>its dialogue with</w:t>
      </w:r>
      <w:r w:rsidRPr="005B4669">
        <w:rPr>
          <w:rFonts w:eastAsia="Calibri" w:cs="Arial"/>
          <w:bCs/>
          <w:iCs/>
          <w:lang w:val="en-GB"/>
        </w:rPr>
        <w:t xml:space="preserve"> the MHRC to</w:t>
      </w:r>
      <w:r w:rsidR="003935A6">
        <w:rPr>
          <w:rFonts w:eastAsia="Calibri" w:cs="Arial"/>
          <w:bCs/>
          <w:iCs/>
          <w:lang w:val="en-GB"/>
        </w:rPr>
        <w:t xml:space="preserve"> actively engage in LGBT rights. </w:t>
      </w:r>
      <w:r w:rsidRPr="005B4669">
        <w:rPr>
          <w:rFonts w:eastAsia="Calibri" w:cs="Arial"/>
          <w:bCs/>
          <w:iCs/>
          <w:lang w:val="en-GB"/>
        </w:rPr>
        <w:t>Technical support in this area should be offered</w:t>
      </w:r>
      <w:r w:rsidRPr="005B4669">
        <w:rPr>
          <w:lang w:val="en-GB"/>
        </w:rPr>
        <w:t xml:space="preserve"> by </w:t>
      </w:r>
      <w:r w:rsidRPr="005B4669">
        <w:rPr>
          <w:rFonts w:eastAsia="Calibri" w:cs="Arial"/>
          <w:bCs/>
          <w:iCs/>
          <w:lang w:val="en-GB"/>
        </w:rPr>
        <w:t xml:space="preserve">OHCHR, If MHRC considers this could improve its capacity and impact. </w:t>
      </w:r>
    </w:p>
    <w:p w14:paraId="263520A7" w14:textId="77777777" w:rsidR="00C24A81" w:rsidRPr="005B4669" w:rsidRDefault="00C24A81" w:rsidP="00C24A81">
      <w:pPr>
        <w:spacing w:after="0"/>
        <w:jc w:val="left"/>
        <w:rPr>
          <w:rFonts w:eastAsia="Calibri" w:cs="Arial"/>
          <w:bCs/>
          <w:iCs/>
          <w:lang w:val="en-GB"/>
        </w:rPr>
      </w:pPr>
    </w:p>
    <w:p w14:paraId="5F327591" w14:textId="77777777" w:rsidR="00C24A81" w:rsidRPr="005B4669" w:rsidRDefault="00C24A81" w:rsidP="00C24A81">
      <w:pPr>
        <w:pBdr>
          <w:top w:val="single" w:sz="4" w:space="1" w:color="auto"/>
          <w:left w:val="single" w:sz="4" w:space="4" w:color="auto"/>
          <w:bottom w:val="single" w:sz="4" w:space="1" w:color="auto"/>
          <w:right w:val="single" w:sz="4" w:space="4" w:color="auto"/>
        </w:pBdr>
        <w:spacing w:after="0"/>
        <w:rPr>
          <w:rFonts w:eastAsia="Calibri" w:cs="Arial"/>
          <w:bCs/>
          <w:i/>
          <w:iCs/>
          <w:lang w:val="en-GB"/>
        </w:rPr>
      </w:pPr>
      <w:r w:rsidRPr="005B4669">
        <w:rPr>
          <w:rFonts w:cs="Arial"/>
          <w:i/>
          <w:lang w:val="en-GB"/>
        </w:rPr>
        <w:t>The Ombudsman</w:t>
      </w:r>
      <w:r w:rsidRPr="005B4669">
        <w:rPr>
          <w:rFonts w:eastAsia="Calibri" w:cs="Arial"/>
          <w:bCs/>
          <w:i/>
          <w:iCs/>
          <w:lang w:val="en-GB"/>
        </w:rPr>
        <w:t xml:space="preserve"> Institution</w:t>
      </w:r>
    </w:p>
    <w:p w14:paraId="2DD51FC8" w14:textId="77777777" w:rsidR="00C24A81" w:rsidRPr="005B4669" w:rsidRDefault="00C24A81" w:rsidP="00C24A81">
      <w:pPr>
        <w:spacing w:after="0"/>
        <w:rPr>
          <w:rFonts w:eastAsia="Calibri" w:cs="Arial"/>
          <w:bCs/>
          <w:iCs/>
          <w:lang w:val="en-GB"/>
        </w:rPr>
      </w:pPr>
    </w:p>
    <w:p w14:paraId="643108E8" w14:textId="1D0E8531" w:rsidR="00C24A81" w:rsidRPr="005B4669" w:rsidRDefault="00C24A81" w:rsidP="00C24A81">
      <w:pPr>
        <w:spacing w:after="0"/>
        <w:rPr>
          <w:rFonts w:eastAsia="Calibri" w:cs="Arial"/>
          <w:bCs/>
          <w:iCs/>
          <w:lang w:val="en-GB"/>
        </w:rPr>
      </w:pPr>
      <w:r w:rsidRPr="005B4669">
        <w:rPr>
          <w:rFonts w:eastAsia="Calibri" w:cs="Arial"/>
          <w:b/>
          <w:bCs/>
          <w:iCs/>
          <w:lang w:val="en-GB"/>
        </w:rPr>
        <w:t xml:space="preserve">Recommendation # 10: </w:t>
      </w:r>
      <w:r w:rsidRPr="005B4669">
        <w:rPr>
          <w:rFonts w:eastAsia="Calibri" w:cs="Arial"/>
          <w:bCs/>
          <w:iCs/>
          <w:lang w:val="en-GB"/>
        </w:rPr>
        <w:t xml:space="preserve">UNDP should initiate discussions with the incoming Ombudsman on future needs for institutional development of the Office of the Ombudsman. This should include the need for improving parliamentary oversight of the OO, </w:t>
      </w:r>
      <w:r w:rsidR="00C429A4">
        <w:rPr>
          <w:rFonts w:eastAsia="Calibri" w:cs="Arial"/>
          <w:bCs/>
          <w:iCs/>
          <w:lang w:val="en-GB"/>
        </w:rPr>
        <w:t xml:space="preserve">improving </w:t>
      </w:r>
      <w:r w:rsidRPr="005B4669">
        <w:rPr>
          <w:rFonts w:eastAsia="Calibri" w:cs="Arial"/>
          <w:bCs/>
          <w:iCs/>
          <w:lang w:val="en-GB"/>
        </w:rPr>
        <w:t xml:space="preserve">the legal framework of the institution as well as </w:t>
      </w:r>
      <w:r w:rsidR="00C429A4">
        <w:rPr>
          <w:rFonts w:eastAsia="Calibri" w:cs="Arial"/>
          <w:bCs/>
          <w:iCs/>
          <w:lang w:val="en-GB"/>
        </w:rPr>
        <w:t xml:space="preserve">enhancing </w:t>
      </w:r>
      <w:r w:rsidRPr="005B4669">
        <w:rPr>
          <w:rFonts w:eastAsia="Calibri" w:cs="Arial"/>
          <w:bCs/>
          <w:iCs/>
          <w:lang w:val="en-GB"/>
        </w:rPr>
        <w:t>the resource envelope, skills development and outreach activities. The dialogue should form the basis for a broader discussion with the government</w:t>
      </w:r>
      <w:r w:rsidR="0041228D">
        <w:rPr>
          <w:rFonts w:eastAsia="Calibri" w:cs="Arial"/>
          <w:bCs/>
          <w:iCs/>
          <w:lang w:val="en-GB"/>
        </w:rPr>
        <w:t xml:space="preserve"> (executive)</w:t>
      </w:r>
      <w:r w:rsidRPr="005B4669">
        <w:rPr>
          <w:rFonts w:eastAsia="Calibri" w:cs="Arial"/>
          <w:bCs/>
          <w:iCs/>
          <w:lang w:val="en-GB"/>
        </w:rPr>
        <w:t>, parliament and the DPs on how the independence and operational capacity of the institution can be improved and supported.</w:t>
      </w:r>
    </w:p>
    <w:p w14:paraId="482F9089" w14:textId="77777777" w:rsidR="00C24A81" w:rsidRPr="005B4669" w:rsidRDefault="00C24A81" w:rsidP="00C24A81">
      <w:pPr>
        <w:spacing w:after="0"/>
        <w:rPr>
          <w:rFonts w:eastAsia="Calibri" w:cs="Arial"/>
          <w:bCs/>
          <w:iCs/>
          <w:lang w:val="en-GB"/>
        </w:rPr>
      </w:pPr>
    </w:p>
    <w:p w14:paraId="63C8B2F5" w14:textId="77777777" w:rsidR="00C24A81" w:rsidRPr="005B4669" w:rsidRDefault="00C24A81" w:rsidP="00C24A81">
      <w:pPr>
        <w:pBdr>
          <w:top w:val="single" w:sz="4" w:space="1" w:color="auto"/>
          <w:left w:val="single" w:sz="4" w:space="4" w:color="auto"/>
          <w:bottom w:val="single" w:sz="4" w:space="1" w:color="auto"/>
          <w:right w:val="single" w:sz="4" w:space="4" w:color="auto"/>
        </w:pBdr>
        <w:spacing w:after="0"/>
        <w:jc w:val="left"/>
        <w:rPr>
          <w:rFonts w:eastAsia="Calibri" w:cs="Arial"/>
          <w:bCs/>
          <w:i/>
          <w:iCs/>
          <w:lang w:val="en-GB"/>
        </w:rPr>
      </w:pPr>
      <w:r w:rsidRPr="005B4669">
        <w:rPr>
          <w:rFonts w:eastAsia="Calibri" w:cs="Arial"/>
          <w:bCs/>
          <w:i/>
          <w:iCs/>
          <w:lang w:val="en-GB"/>
        </w:rPr>
        <w:t>The National Peace Architecture</w:t>
      </w:r>
    </w:p>
    <w:p w14:paraId="25863D05" w14:textId="77777777" w:rsidR="00C24A81" w:rsidRPr="005B4669" w:rsidRDefault="00C24A81" w:rsidP="00C24A81">
      <w:pPr>
        <w:spacing w:after="0"/>
        <w:jc w:val="left"/>
        <w:rPr>
          <w:rFonts w:eastAsia="Calibri" w:cs="Arial"/>
          <w:bCs/>
          <w:i/>
          <w:iCs/>
          <w:lang w:val="en-GB"/>
        </w:rPr>
      </w:pPr>
      <w:r w:rsidRPr="005B4669">
        <w:rPr>
          <w:rFonts w:eastAsia="Calibri" w:cs="Arial"/>
          <w:bCs/>
          <w:i/>
          <w:iCs/>
          <w:lang w:val="en-GB"/>
        </w:rPr>
        <w:t xml:space="preserve"> </w:t>
      </w:r>
    </w:p>
    <w:p w14:paraId="29DF9E64" w14:textId="6AC60ED7" w:rsidR="00C24A81" w:rsidRDefault="00C24A81" w:rsidP="00C24A81">
      <w:pPr>
        <w:spacing w:after="0"/>
        <w:rPr>
          <w:rFonts w:eastAsia="Calibri" w:cs="Arial"/>
          <w:bCs/>
          <w:iCs/>
          <w:lang w:val="en-GB"/>
        </w:rPr>
      </w:pPr>
      <w:r w:rsidRPr="005B4669">
        <w:rPr>
          <w:rFonts w:eastAsia="Calibri" w:cs="Arial"/>
          <w:b/>
          <w:bCs/>
          <w:iCs/>
          <w:lang w:val="en-GB"/>
        </w:rPr>
        <w:t xml:space="preserve">Recommendation # 11: </w:t>
      </w:r>
      <w:r w:rsidRPr="005B4669">
        <w:rPr>
          <w:rFonts w:eastAsia="Calibri" w:cs="Arial"/>
          <w:bCs/>
          <w:iCs/>
          <w:lang w:val="en-GB"/>
        </w:rPr>
        <w:t xml:space="preserve">UNDP should encourage OPC to include costing as a key criterion for the design of the NPA. The NPA is an important supplement to the broader devolution process, </w:t>
      </w:r>
      <w:r w:rsidR="003C484B">
        <w:rPr>
          <w:rFonts w:eastAsia="Calibri" w:cs="Arial"/>
          <w:bCs/>
          <w:iCs/>
          <w:lang w:val="en-GB"/>
        </w:rPr>
        <w:t xml:space="preserve">but </w:t>
      </w:r>
      <w:r w:rsidRPr="005B4669">
        <w:rPr>
          <w:rFonts w:eastAsia="Calibri" w:cs="Arial"/>
          <w:bCs/>
          <w:iCs/>
          <w:lang w:val="en-GB"/>
        </w:rPr>
        <w:t>not a substitute for it and funding of a permanent NPA structure must not make adverse inroads into overall funding of the devolution process. Instead, alternative sources of funding should be pursued, such as fuel levies, own contributions through income generation activities and donor funding.</w:t>
      </w:r>
    </w:p>
    <w:p w14:paraId="7C8D3755" w14:textId="2FE40FD2" w:rsidR="00A1695E" w:rsidRDefault="00A1695E" w:rsidP="00C24A81">
      <w:pPr>
        <w:spacing w:after="0"/>
        <w:rPr>
          <w:rFonts w:eastAsia="Calibri" w:cs="Arial"/>
          <w:bCs/>
          <w:iCs/>
          <w:lang w:val="en-GB"/>
        </w:rPr>
      </w:pPr>
    </w:p>
    <w:p w14:paraId="1DB7D145" w14:textId="77777777" w:rsidR="00A1695E" w:rsidRPr="005B4669" w:rsidRDefault="00A1695E" w:rsidP="00C24A81">
      <w:pPr>
        <w:spacing w:after="0"/>
        <w:rPr>
          <w:rFonts w:eastAsia="Calibri" w:cs="Arial"/>
          <w:bCs/>
          <w:iCs/>
          <w:lang w:val="en-GB"/>
        </w:rPr>
      </w:pPr>
    </w:p>
    <w:p w14:paraId="02CC374D" w14:textId="77777777" w:rsidR="00C24A81" w:rsidRPr="005B4669" w:rsidRDefault="00C24A81" w:rsidP="00C24A81">
      <w:pPr>
        <w:spacing w:after="0"/>
        <w:jc w:val="left"/>
        <w:rPr>
          <w:rFonts w:eastAsia="Calibri" w:cs="Arial"/>
          <w:bCs/>
          <w:iCs/>
          <w:lang w:val="en-GB"/>
        </w:rPr>
      </w:pPr>
    </w:p>
    <w:p w14:paraId="6F7237B2" w14:textId="77777777" w:rsidR="00C24A81" w:rsidRPr="005B4669" w:rsidRDefault="00C24A81" w:rsidP="00C24A81">
      <w:pPr>
        <w:pBdr>
          <w:top w:val="single" w:sz="4" w:space="1" w:color="auto"/>
          <w:left w:val="single" w:sz="4" w:space="4" w:color="auto"/>
          <w:bottom w:val="single" w:sz="4" w:space="1" w:color="auto"/>
          <w:right w:val="single" w:sz="4" w:space="4" w:color="auto"/>
        </w:pBdr>
        <w:spacing w:after="0"/>
        <w:rPr>
          <w:rFonts w:eastAsia="Calibri" w:cs="Arial"/>
          <w:b/>
          <w:bCs/>
          <w:iCs/>
          <w:lang w:val="en-GB"/>
        </w:rPr>
      </w:pPr>
      <w:r w:rsidRPr="005B4669">
        <w:rPr>
          <w:i/>
          <w:lang w:val="en-GB"/>
        </w:rPr>
        <w:lastRenderedPageBreak/>
        <w:t>IRD</w:t>
      </w:r>
      <w:r w:rsidRPr="005B4669">
        <w:rPr>
          <w:rFonts w:eastAsia="Calibri" w:cs="Arial"/>
          <w:bCs/>
          <w:i/>
          <w:iCs/>
          <w:lang w:val="en-GB"/>
        </w:rPr>
        <w:t xml:space="preserve"> and decentralization</w:t>
      </w:r>
    </w:p>
    <w:p w14:paraId="0BCFA6C0" w14:textId="77777777" w:rsidR="00C24A81" w:rsidRPr="005B4669" w:rsidRDefault="00C24A81" w:rsidP="00C24A81">
      <w:pPr>
        <w:spacing w:after="0"/>
        <w:rPr>
          <w:rFonts w:eastAsia="Calibri" w:cs="Arial"/>
          <w:b/>
          <w:bCs/>
          <w:iCs/>
          <w:lang w:val="en-GB"/>
        </w:rPr>
      </w:pPr>
      <w:r w:rsidRPr="005B4669">
        <w:rPr>
          <w:rFonts w:eastAsia="Calibri" w:cs="Arial"/>
          <w:b/>
          <w:bCs/>
          <w:iCs/>
          <w:lang w:val="en-GB"/>
        </w:rPr>
        <w:t xml:space="preserve"> </w:t>
      </w:r>
    </w:p>
    <w:p w14:paraId="383CBA57" w14:textId="5639C6B4" w:rsidR="00C24A81" w:rsidRPr="005B4669" w:rsidRDefault="00C24A81" w:rsidP="00C24A81">
      <w:pPr>
        <w:rPr>
          <w:rFonts w:eastAsia="Calibri" w:cs="Arial"/>
          <w:bCs/>
          <w:iCs/>
          <w:lang w:val="en-GB"/>
        </w:rPr>
      </w:pPr>
      <w:r w:rsidRPr="005B4669">
        <w:rPr>
          <w:rFonts w:eastAsia="Calibri" w:cs="Arial"/>
          <w:b/>
          <w:bCs/>
          <w:iCs/>
          <w:lang w:val="en-GB"/>
        </w:rPr>
        <w:t xml:space="preserve">Recommendation # 12: </w:t>
      </w:r>
      <w:r w:rsidRPr="005B4669">
        <w:rPr>
          <w:rFonts w:eastAsia="Calibri" w:cs="Arial"/>
          <w:bCs/>
          <w:iCs/>
          <w:lang w:val="en-GB"/>
        </w:rPr>
        <w:t xml:space="preserve">UNDP should discuss with MoLRD and relevant DPs how reform oversight can be improved. Coordination of </w:t>
      </w:r>
      <w:r w:rsidR="00D41D99">
        <w:rPr>
          <w:rFonts w:eastAsia="Calibri" w:cs="Arial"/>
          <w:bCs/>
          <w:iCs/>
          <w:lang w:val="en-GB"/>
        </w:rPr>
        <w:t xml:space="preserve">the </w:t>
      </w:r>
      <w:r w:rsidR="0084384F">
        <w:rPr>
          <w:rFonts w:eastAsia="Calibri" w:cs="Arial"/>
          <w:bCs/>
          <w:iCs/>
          <w:lang w:val="en-GB"/>
        </w:rPr>
        <w:t xml:space="preserve">dual </w:t>
      </w:r>
      <w:r w:rsidRPr="005B4669">
        <w:rPr>
          <w:rFonts w:eastAsia="Calibri" w:cs="Arial"/>
          <w:bCs/>
          <w:iCs/>
          <w:lang w:val="en-GB"/>
        </w:rPr>
        <w:t xml:space="preserve">local government reform and IRD </w:t>
      </w:r>
      <w:r w:rsidR="0084384F">
        <w:rPr>
          <w:rFonts w:eastAsia="Calibri" w:cs="Arial"/>
          <w:bCs/>
          <w:iCs/>
          <w:lang w:val="en-GB"/>
        </w:rPr>
        <w:t xml:space="preserve">approach </w:t>
      </w:r>
      <w:r w:rsidRPr="005B4669">
        <w:rPr>
          <w:rFonts w:eastAsia="Calibri" w:cs="Arial"/>
          <w:bCs/>
          <w:iCs/>
          <w:lang w:val="en-GB"/>
        </w:rPr>
        <w:t>need</w:t>
      </w:r>
      <w:r w:rsidR="00D41D99">
        <w:rPr>
          <w:rFonts w:eastAsia="Calibri" w:cs="Arial"/>
          <w:bCs/>
          <w:iCs/>
          <w:lang w:val="en-GB"/>
        </w:rPr>
        <w:t>s</w:t>
      </w:r>
      <w:r w:rsidRPr="005B4669">
        <w:rPr>
          <w:rFonts w:eastAsia="Calibri" w:cs="Arial"/>
          <w:bCs/>
          <w:iCs/>
          <w:lang w:val="en-GB"/>
        </w:rPr>
        <w:t xml:space="preserve"> strong oversight and coordination which can build linkages to more fundamental reforms in fiscal assignments and transfers, in </w:t>
      </w:r>
      <w:r w:rsidR="0084384F">
        <w:rPr>
          <w:rFonts w:eastAsia="Calibri" w:cs="Arial"/>
          <w:bCs/>
          <w:iCs/>
          <w:lang w:val="en-GB"/>
        </w:rPr>
        <w:t>civil service</w:t>
      </w:r>
      <w:r w:rsidRPr="005B4669">
        <w:rPr>
          <w:rFonts w:eastAsia="Calibri" w:cs="Arial"/>
          <w:bCs/>
          <w:iCs/>
          <w:lang w:val="en-GB"/>
        </w:rPr>
        <w:t>, IFMIS, sector planning, etc.</w:t>
      </w:r>
      <w:r w:rsidRPr="005B4669">
        <w:rPr>
          <w:lang w:val="en-GB"/>
        </w:rPr>
        <w:t xml:space="preserve"> As a minimum, t</w:t>
      </w:r>
      <w:r w:rsidRPr="005B4669">
        <w:rPr>
          <w:rFonts w:eastAsia="Calibri" w:cs="Arial"/>
          <w:bCs/>
          <w:iCs/>
          <w:lang w:val="en-GB"/>
        </w:rPr>
        <w:t xml:space="preserve">he SWG on Decentralization and IRD should include elected </w:t>
      </w:r>
      <w:r w:rsidR="003C484B" w:rsidRPr="005B4669">
        <w:rPr>
          <w:rFonts w:eastAsia="Calibri" w:cs="Arial"/>
          <w:bCs/>
          <w:iCs/>
          <w:lang w:val="en-GB"/>
        </w:rPr>
        <w:t>councillors</w:t>
      </w:r>
      <w:r w:rsidRPr="005B4669">
        <w:rPr>
          <w:rFonts w:eastAsia="Calibri" w:cs="Arial"/>
          <w:bCs/>
          <w:iCs/>
          <w:lang w:val="en-GB"/>
        </w:rPr>
        <w:t xml:space="preserve"> in their meetings, preferably the Chair of MALGA and participants from the key line ministries (agriculture, education, health) as foreseen by the TOR for the SWG.</w:t>
      </w:r>
      <w:r w:rsidRPr="005B4669">
        <w:rPr>
          <w:lang w:val="en-GB"/>
        </w:rPr>
        <w:t xml:space="preserve"> Ultimately, strong OPC support might be needed </w:t>
      </w:r>
      <w:r w:rsidRPr="005B4669">
        <w:rPr>
          <w:rFonts w:eastAsia="Calibri" w:cs="Arial"/>
          <w:bCs/>
          <w:iCs/>
          <w:lang w:val="en-GB"/>
        </w:rPr>
        <w:t>in order to sanction any resistance to inter-ministry coordination and to ensure a very close integration with the public sector reform efforts.</w:t>
      </w:r>
    </w:p>
    <w:p w14:paraId="0CC563FD" w14:textId="41B77913" w:rsidR="00C24A81" w:rsidRPr="005B4669" w:rsidRDefault="00C24A81" w:rsidP="00C24A81">
      <w:pPr>
        <w:rPr>
          <w:rFonts w:eastAsia="Calibri" w:cs="Arial"/>
          <w:bCs/>
          <w:iCs/>
          <w:lang w:val="en-GB"/>
        </w:rPr>
      </w:pPr>
      <w:r w:rsidRPr="005B4669">
        <w:rPr>
          <w:rFonts w:eastAsia="Calibri" w:cs="Arial"/>
          <w:b/>
          <w:bCs/>
          <w:iCs/>
          <w:lang w:val="en-GB"/>
        </w:rPr>
        <w:t xml:space="preserve">Recommendation # 13: </w:t>
      </w:r>
      <w:r w:rsidRPr="005B4669">
        <w:rPr>
          <w:rFonts w:eastAsia="Calibri" w:cs="Arial"/>
          <w:bCs/>
          <w:iCs/>
          <w:lang w:val="en-GB"/>
        </w:rPr>
        <w:t xml:space="preserve">UNDP should support the SWG decision </w:t>
      </w:r>
      <w:r w:rsidR="00D41D99">
        <w:rPr>
          <w:rFonts w:eastAsia="Calibri" w:cs="Arial"/>
          <w:bCs/>
          <w:iCs/>
          <w:lang w:val="en-GB"/>
        </w:rPr>
        <w:t>on designing</w:t>
      </w:r>
      <w:r w:rsidRPr="005B4669">
        <w:rPr>
          <w:rFonts w:eastAsia="Calibri" w:cs="Arial"/>
          <w:bCs/>
          <w:iCs/>
          <w:lang w:val="en-GB"/>
        </w:rPr>
        <w:t xml:space="preserve"> a joint decent</w:t>
      </w:r>
      <w:r w:rsidR="00D41D99">
        <w:rPr>
          <w:rFonts w:eastAsia="Calibri" w:cs="Arial"/>
          <w:bCs/>
          <w:iCs/>
          <w:lang w:val="en-GB"/>
        </w:rPr>
        <w:t>ralization monitoring framework</w:t>
      </w:r>
      <w:r w:rsidRPr="005B4669">
        <w:rPr>
          <w:rFonts w:eastAsia="Calibri" w:cs="Arial"/>
          <w:bCs/>
          <w:iCs/>
          <w:lang w:val="en-GB"/>
        </w:rPr>
        <w:t>. Lessons learnt from countries in the region such as Tanzania, Rwanda, Uganda and Ghana should be studied carefully as they can provide valuable inputs to a monitoring framework for Malawi. Particular attention should be paid to</w:t>
      </w:r>
      <w:r w:rsidR="00AF49BB">
        <w:rPr>
          <w:rFonts w:eastAsia="Calibri" w:cs="Arial"/>
          <w:bCs/>
          <w:iCs/>
          <w:lang w:val="en-GB"/>
        </w:rPr>
        <w:t xml:space="preserve"> the application of performance-based </w:t>
      </w:r>
      <w:r w:rsidRPr="005B4669">
        <w:rPr>
          <w:rFonts w:eastAsia="Calibri" w:cs="Arial"/>
          <w:bCs/>
          <w:iCs/>
          <w:lang w:val="en-GB"/>
        </w:rPr>
        <w:t>grants and performance incentives in these reforms, which could serve as inspiration for similar approaches in Malawi.</w:t>
      </w:r>
    </w:p>
    <w:p w14:paraId="0B99A639" w14:textId="763F609D" w:rsidR="00C24A81" w:rsidRPr="005B4669" w:rsidRDefault="00C24A81" w:rsidP="00C24A81">
      <w:pPr>
        <w:rPr>
          <w:rFonts w:eastAsia="Calibri" w:cs="Arial"/>
          <w:bCs/>
          <w:iCs/>
          <w:lang w:val="en-GB"/>
        </w:rPr>
      </w:pPr>
      <w:r w:rsidRPr="005B4669">
        <w:rPr>
          <w:rFonts w:eastAsia="Calibri" w:cs="Arial"/>
          <w:b/>
          <w:bCs/>
          <w:iCs/>
          <w:lang w:val="en-GB"/>
        </w:rPr>
        <w:t xml:space="preserve">Recommendation # 14: </w:t>
      </w:r>
      <w:r w:rsidRPr="005B4669">
        <w:rPr>
          <w:rFonts w:eastAsia="Calibri" w:cs="Arial"/>
          <w:bCs/>
          <w:iCs/>
          <w:lang w:val="en-GB"/>
        </w:rPr>
        <w:t xml:space="preserve">UNDP should ensure that the remaining consultancy on the IRD strategy takes into account the conduciveness of the current local government framework towards successful implementation of the strategy. The consultancy should revisit a) the lessons learnt from the Millennium Village Project in Mwandama and Gumulira, b) international research on support to local government’s role in local economic development, and c) the conducive elements in the local government framework, which makes the IRD approach implementable in Tanzania. Based on these analyses, the strategy should establish minimum conditions within the LG framework, which are key for the IRD success in Malawi and whether these minimum conditions are sufficiently addressed in the present devolution process. Minimum conditions should include the fiscal aspects and links to the district development plan, the role of district councils, </w:t>
      </w:r>
      <w:r w:rsidR="00DF7449" w:rsidRPr="005B4669">
        <w:rPr>
          <w:rFonts w:eastAsia="Calibri" w:cs="Arial"/>
          <w:bCs/>
          <w:iCs/>
          <w:lang w:val="en-GB"/>
        </w:rPr>
        <w:t>the</w:t>
      </w:r>
      <w:r w:rsidRPr="005B4669">
        <w:rPr>
          <w:rFonts w:eastAsia="Calibri" w:cs="Arial"/>
          <w:bCs/>
          <w:iCs/>
          <w:lang w:val="en-GB"/>
        </w:rPr>
        <w:t xml:space="preserve"> conduciveness of sector approaches in area based planning, staff requirements and their accountability links to the district council as well as the need for performance incentives and oversight. These minimum conditions and the feasibility of the IRD strategy should be discussed in the SWG prior to the implementation of the strategy.  </w:t>
      </w:r>
    </w:p>
    <w:p w14:paraId="208A8CDC" w14:textId="500E3348" w:rsidR="00C24A81" w:rsidRPr="005B4669" w:rsidRDefault="00C24A81" w:rsidP="00C24A81">
      <w:pPr>
        <w:spacing w:after="0"/>
        <w:rPr>
          <w:rFonts w:eastAsia="Calibri" w:cs="Arial"/>
          <w:bCs/>
          <w:iCs/>
          <w:lang w:val="en-GB"/>
        </w:rPr>
      </w:pPr>
      <w:r w:rsidRPr="005B4669">
        <w:rPr>
          <w:rFonts w:eastAsia="Calibri" w:cs="Arial"/>
          <w:b/>
          <w:bCs/>
          <w:iCs/>
          <w:lang w:val="en-GB"/>
        </w:rPr>
        <w:t xml:space="preserve">Recommendation # 15: </w:t>
      </w:r>
      <w:r w:rsidRPr="005B4669">
        <w:rPr>
          <w:rFonts w:eastAsia="Calibri" w:cs="Arial"/>
          <w:bCs/>
          <w:iCs/>
          <w:lang w:val="en-GB"/>
        </w:rPr>
        <w:t xml:space="preserve">If the IRD strategy moves forward, UNDP and MoLRD should enter into discussions with MoLRD, LUNANAR, Malawi Institute of Management and the University of Malawi on the establishment of a national IRD knowledge base, which is firmly linked to </w:t>
      </w:r>
      <w:r w:rsidR="00AD63BD">
        <w:rPr>
          <w:rFonts w:eastAsia="Calibri" w:cs="Arial"/>
          <w:bCs/>
          <w:iCs/>
          <w:lang w:val="en-GB"/>
        </w:rPr>
        <w:t xml:space="preserve">the </w:t>
      </w:r>
      <w:r w:rsidRPr="005B4669">
        <w:rPr>
          <w:rFonts w:eastAsia="Calibri" w:cs="Arial"/>
          <w:bCs/>
          <w:iCs/>
          <w:lang w:val="en-GB"/>
        </w:rPr>
        <w:t xml:space="preserve">devolution process and can </w:t>
      </w:r>
      <w:r w:rsidR="006D5EBE" w:rsidRPr="005B4669">
        <w:rPr>
          <w:rFonts w:eastAsia="Calibri" w:cs="Arial"/>
          <w:bCs/>
          <w:iCs/>
          <w:lang w:val="en-GB"/>
        </w:rPr>
        <w:t>provide</w:t>
      </w:r>
      <w:r w:rsidRPr="005B4669">
        <w:rPr>
          <w:rFonts w:eastAsia="Calibri" w:cs="Arial"/>
          <w:bCs/>
          <w:iCs/>
          <w:lang w:val="en-GB"/>
        </w:rPr>
        <w:t xml:space="preserve"> policy support to, and </w:t>
      </w:r>
      <w:r w:rsidR="0088628B">
        <w:rPr>
          <w:rFonts w:eastAsia="Calibri" w:cs="Arial"/>
          <w:bCs/>
          <w:iCs/>
          <w:lang w:val="en-GB"/>
        </w:rPr>
        <w:t xml:space="preserve">practice-based </w:t>
      </w:r>
      <w:r w:rsidR="0049043E">
        <w:rPr>
          <w:rFonts w:eastAsia="Calibri" w:cs="Arial"/>
          <w:bCs/>
          <w:iCs/>
          <w:lang w:val="en-GB"/>
        </w:rPr>
        <w:t>in-service</w:t>
      </w:r>
      <w:r w:rsidRPr="005B4669">
        <w:rPr>
          <w:rFonts w:eastAsia="Calibri" w:cs="Arial"/>
          <w:bCs/>
          <w:iCs/>
          <w:lang w:val="en-GB"/>
        </w:rPr>
        <w:t xml:space="preserve"> training in, IRD.</w:t>
      </w:r>
    </w:p>
    <w:p w14:paraId="7E4A9794" w14:textId="77777777" w:rsidR="00C24A81" w:rsidRPr="005B4669" w:rsidRDefault="00C24A81" w:rsidP="00C24A81">
      <w:pPr>
        <w:spacing w:after="0"/>
        <w:rPr>
          <w:rFonts w:eastAsia="Calibri" w:cs="Arial"/>
          <w:bCs/>
          <w:iCs/>
          <w:lang w:val="en-GB"/>
        </w:rPr>
      </w:pPr>
    </w:p>
    <w:p w14:paraId="0EA609CC" w14:textId="77777777" w:rsidR="00C24A81" w:rsidRPr="005B4669" w:rsidRDefault="00C24A81" w:rsidP="00C24A81">
      <w:pPr>
        <w:pBdr>
          <w:top w:val="single" w:sz="4" w:space="1" w:color="auto"/>
          <w:left w:val="single" w:sz="4" w:space="4" w:color="auto"/>
          <w:bottom w:val="single" w:sz="4" w:space="1" w:color="auto"/>
          <w:right w:val="single" w:sz="4" w:space="4" w:color="auto"/>
        </w:pBdr>
        <w:spacing w:after="0"/>
        <w:rPr>
          <w:i/>
          <w:lang w:val="en-GB"/>
        </w:rPr>
      </w:pPr>
      <w:r w:rsidRPr="005B4669">
        <w:rPr>
          <w:i/>
          <w:lang w:val="en-GB"/>
        </w:rPr>
        <w:t xml:space="preserve">Funds disbursement </w:t>
      </w:r>
    </w:p>
    <w:p w14:paraId="12D2827F" w14:textId="77777777" w:rsidR="00C24A81" w:rsidRPr="005B4669" w:rsidRDefault="00C24A81" w:rsidP="00C24A81">
      <w:pPr>
        <w:spacing w:after="0"/>
        <w:rPr>
          <w:lang w:val="en-GB"/>
        </w:rPr>
      </w:pPr>
    </w:p>
    <w:p w14:paraId="30E4FC22" w14:textId="77777777" w:rsidR="00C24A81" w:rsidRDefault="00C24A81" w:rsidP="00C24A81">
      <w:pPr>
        <w:spacing w:after="0"/>
        <w:rPr>
          <w:lang w:val="en-GB"/>
        </w:rPr>
      </w:pPr>
      <w:r w:rsidRPr="005B4669">
        <w:rPr>
          <w:rFonts w:eastAsia="Calibri" w:cs="Arial"/>
          <w:b/>
          <w:bCs/>
          <w:iCs/>
          <w:lang w:val="en-GB"/>
        </w:rPr>
        <w:t xml:space="preserve">Recommendation # 16: </w:t>
      </w:r>
      <w:r w:rsidRPr="005B4669">
        <w:rPr>
          <w:rFonts w:eastAsia="Calibri" w:cs="Arial"/>
          <w:bCs/>
          <w:iCs/>
          <w:lang w:val="en-GB"/>
        </w:rPr>
        <w:t xml:space="preserve">The </w:t>
      </w:r>
      <w:r w:rsidRPr="005B4669">
        <w:rPr>
          <w:lang w:val="en-GB"/>
        </w:rPr>
        <w:t>UNCT should expedite timely funds disbursement to support projects, when reporting and accounting otherwise comply with UN procedures and guidelines.</w:t>
      </w:r>
    </w:p>
    <w:p w14:paraId="662C418A" w14:textId="77777777" w:rsidR="00F72B0D" w:rsidRPr="005B4669" w:rsidRDefault="00F72B0D" w:rsidP="00C24A81">
      <w:pPr>
        <w:spacing w:after="0"/>
        <w:rPr>
          <w:lang w:val="en-GB"/>
        </w:rPr>
      </w:pPr>
    </w:p>
    <w:p w14:paraId="045CE205" w14:textId="77777777" w:rsidR="00C24A81" w:rsidRPr="005B4669" w:rsidRDefault="00C24A81" w:rsidP="00C24A81">
      <w:pPr>
        <w:pBdr>
          <w:top w:val="single" w:sz="4" w:space="1" w:color="auto"/>
          <w:left w:val="single" w:sz="4" w:space="4" w:color="auto"/>
          <w:bottom w:val="single" w:sz="4" w:space="1" w:color="auto"/>
          <w:right w:val="single" w:sz="4" w:space="4" w:color="auto"/>
        </w:pBdr>
        <w:spacing w:after="0"/>
        <w:rPr>
          <w:rFonts w:eastAsia="Calibri" w:cs="Arial"/>
          <w:bCs/>
          <w:i/>
          <w:iCs/>
          <w:lang w:val="en-GB"/>
        </w:rPr>
      </w:pPr>
      <w:r w:rsidRPr="005B4669">
        <w:rPr>
          <w:rFonts w:eastAsia="Calibri" w:cs="Arial"/>
          <w:bCs/>
          <w:i/>
          <w:iCs/>
          <w:lang w:val="en-GB"/>
        </w:rPr>
        <w:t>Resource Mobilisation</w:t>
      </w:r>
    </w:p>
    <w:p w14:paraId="7A578A97" w14:textId="77777777" w:rsidR="00C24A81" w:rsidRPr="005B4669" w:rsidRDefault="00C24A81" w:rsidP="00C24A81">
      <w:pPr>
        <w:spacing w:after="0"/>
        <w:rPr>
          <w:rFonts w:eastAsia="Calibri" w:cs="Arial"/>
          <w:bCs/>
          <w:i/>
          <w:iCs/>
          <w:lang w:val="en-GB"/>
        </w:rPr>
      </w:pPr>
    </w:p>
    <w:p w14:paraId="0B6CCC94" w14:textId="50893CA6" w:rsidR="00EE0F39" w:rsidRDefault="00C24A81" w:rsidP="005B4669">
      <w:pPr>
        <w:rPr>
          <w:rFonts w:eastAsia="Calibri" w:cs="Arial"/>
          <w:bCs/>
          <w:iCs/>
          <w:lang w:val="en-GB"/>
        </w:rPr>
      </w:pPr>
      <w:r w:rsidRPr="005B4669">
        <w:rPr>
          <w:rFonts w:eastAsia="Calibri" w:cs="Arial"/>
          <w:b/>
          <w:bCs/>
          <w:iCs/>
          <w:lang w:val="en-GB"/>
        </w:rPr>
        <w:t>Recommendation # 1</w:t>
      </w:r>
      <w:r w:rsidR="00F72B0D">
        <w:rPr>
          <w:rFonts w:eastAsia="Calibri" w:cs="Arial"/>
          <w:b/>
          <w:bCs/>
          <w:iCs/>
          <w:lang w:val="en-GB"/>
        </w:rPr>
        <w:t>7</w:t>
      </w:r>
      <w:r w:rsidRPr="005B4669">
        <w:rPr>
          <w:rFonts w:eastAsia="Calibri" w:cs="Arial"/>
          <w:b/>
          <w:bCs/>
          <w:iCs/>
          <w:lang w:val="en-GB"/>
        </w:rPr>
        <w:t xml:space="preserve">: </w:t>
      </w:r>
      <w:r w:rsidRPr="005B4669">
        <w:rPr>
          <w:rFonts w:eastAsia="Calibri" w:cs="Arial"/>
          <w:bCs/>
          <w:iCs/>
          <w:lang w:val="en-GB"/>
        </w:rPr>
        <w:t xml:space="preserve">Funding from UNDPs global Democratic Governance Trust Fund could be an </w:t>
      </w:r>
      <w:r w:rsidR="000A3CF2" w:rsidRPr="005B4669">
        <w:rPr>
          <w:rFonts w:eastAsia="Calibri" w:cs="Arial"/>
          <w:bCs/>
          <w:iCs/>
          <w:lang w:val="en-GB"/>
        </w:rPr>
        <w:t>additional</w:t>
      </w:r>
      <w:r w:rsidRPr="005B4669">
        <w:rPr>
          <w:rFonts w:eastAsia="Calibri" w:cs="Arial"/>
          <w:bCs/>
          <w:iCs/>
          <w:lang w:val="en-GB"/>
        </w:rPr>
        <w:t xml:space="preserve"> funding source for piloting of new gover</w:t>
      </w:r>
      <w:r w:rsidR="00D41D99">
        <w:rPr>
          <w:rFonts w:eastAsia="Calibri" w:cs="Arial"/>
          <w:bCs/>
          <w:iCs/>
          <w:lang w:val="en-GB"/>
        </w:rPr>
        <w:t xml:space="preserve">nance innovations and </w:t>
      </w:r>
      <w:r w:rsidRPr="005B4669">
        <w:rPr>
          <w:rFonts w:eastAsia="Calibri" w:cs="Arial"/>
          <w:bCs/>
          <w:iCs/>
          <w:lang w:val="en-GB"/>
        </w:rPr>
        <w:t>UNDP should investigate the feasibility of mobilizing additional funding from this source.</w:t>
      </w:r>
    </w:p>
    <w:p w14:paraId="2B4DD918" w14:textId="23B95965" w:rsidR="002B6B61" w:rsidRDefault="002B6B61" w:rsidP="005B4669">
      <w:pPr>
        <w:rPr>
          <w:b/>
          <w:lang w:val="en-US"/>
        </w:rPr>
      </w:pPr>
    </w:p>
    <w:p w14:paraId="03104F28" w14:textId="77777777" w:rsidR="002B6B61" w:rsidRPr="00CD56B9" w:rsidRDefault="002B6B61" w:rsidP="005B4669">
      <w:pPr>
        <w:rPr>
          <w:b/>
          <w:lang w:val="en-US"/>
        </w:rPr>
      </w:pPr>
    </w:p>
    <w:p w14:paraId="711C19D9" w14:textId="043BCE83" w:rsidR="00F72B0D" w:rsidRPr="005B4669" w:rsidRDefault="00F72B0D" w:rsidP="00F72B0D">
      <w:pPr>
        <w:pBdr>
          <w:top w:val="single" w:sz="4" w:space="1" w:color="auto"/>
          <w:left w:val="single" w:sz="4" w:space="4" w:color="auto"/>
          <w:bottom w:val="single" w:sz="4" w:space="1" w:color="auto"/>
          <w:right w:val="single" w:sz="4" w:space="4" w:color="auto"/>
        </w:pBdr>
        <w:spacing w:after="0"/>
        <w:rPr>
          <w:i/>
          <w:lang w:val="en-GB"/>
        </w:rPr>
      </w:pPr>
      <w:r w:rsidRPr="005B4669">
        <w:rPr>
          <w:i/>
          <w:lang w:val="en-GB"/>
        </w:rPr>
        <w:lastRenderedPageBreak/>
        <w:t>CSO Partnerships</w:t>
      </w:r>
    </w:p>
    <w:p w14:paraId="5E189563" w14:textId="77777777" w:rsidR="00F72B0D" w:rsidRPr="005B4669" w:rsidRDefault="00F72B0D" w:rsidP="00F72B0D">
      <w:pPr>
        <w:spacing w:after="0"/>
        <w:rPr>
          <w:b/>
          <w:i/>
          <w:lang w:val="en-GB"/>
        </w:rPr>
      </w:pPr>
    </w:p>
    <w:p w14:paraId="7027E508" w14:textId="35568F3F" w:rsidR="00F72B0D" w:rsidRPr="005B4669" w:rsidRDefault="00F72B0D" w:rsidP="00F72B0D">
      <w:pPr>
        <w:spacing w:after="0"/>
        <w:rPr>
          <w:lang w:val="en-GB"/>
        </w:rPr>
      </w:pPr>
      <w:r>
        <w:rPr>
          <w:rFonts w:eastAsia="Calibri" w:cs="Arial"/>
          <w:b/>
          <w:bCs/>
          <w:iCs/>
          <w:lang w:val="en-GB"/>
        </w:rPr>
        <w:t>Recommendation # 18</w:t>
      </w:r>
      <w:r w:rsidRPr="005B4669">
        <w:rPr>
          <w:rFonts w:eastAsia="Calibri" w:cs="Arial"/>
          <w:b/>
          <w:bCs/>
          <w:iCs/>
          <w:lang w:val="en-GB"/>
        </w:rPr>
        <w:t xml:space="preserve">: </w:t>
      </w:r>
      <w:r w:rsidR="007F0F39">
        <w:rPr>
          <w:lang w:val="en-GB"/>
        </w:rPr>
        <w:t xml:space="preserve">CSOs play </w:t>
      </w:r>
      <w:r w:rsidRPr="005B4669">
        <w:rPr>
          <w:lang w:val="en-GB"/>
        </w:rPr>
        <w:t xml:space="preserve">important </w:t>
      </w:r>
      <w:r w:rsidR="007D5B02">
        <w:rPr>
          <w:lang w:val="en-GB"/>
        </w:rPr>
        <w:t xml:space="preserve">advocacy and facilitation </w:t>
      </w:r>
      <w:r w:rsidRPr="005B4669">
        <w:rPr>
          <w:lang w:val="en-GB"/>
        </w:rPr>
        <w:t>role</w:t>
      </w:r>
      <w:r w:rsidR="007F0F39">
        <w:rPr>
          <w:lang w:val="en-GB"/>
        </w:rPr>
        <w:t xml:space="preserve">s in </w:t>
      </w:r>
      <w:r w:rsidR="007D5B02">
        <w:rPr>
          <w:lang w:val="en-GB"/>
        </w:rPr>
        <w:t xml:space="preserve">the </w:t>
      </w:r>
      <w:r w:rsidRPr="005B4669">
        <w:rPr>
          <w:lang w:val="en-GB"/>
        </w:rPr>
        <w:t>project</w:t>
      </w:r>
      <w:r w:rsidR="00AD63BD">
        <w:rPr>
          <w:lang w:val="en-GB"/>
        </w:rPr>
        <w:t xml:space="preserve"> portfolio</w:t>
      </w:r>
      <w:r w:rsidRPr="005B4669">
        <w:rPr>
          <w:lang w:val="en-GB"/>
        </w:rPr>
        <w:t xml:space="preserve">, </w:t>
      </w:r>
      <w:r>
        <w:rPr>
          <w:lang w:val="en-GB"/>
        </w:rPr>
        <w:t>but</w:t>
      </w:r>
      <w:r w:rsidRPr="005B4669">
        <w:rPr>
          <w:lang w:val="en-GB"/>
        </w:rPr>
        <w:t xml:space="preserve"> the UNCT should </w:t>
      </w:r>
      <w:r>
        <w:rPr>
          <w:lang w:val="en-GB"/>
        </w:rPr>
        <w:t xml:space="preserve">also </w:t>
      </w:r>
      <w:r w:rsidRPr="005B4669">
        <w:rPr>
          <w:lang w:val="en-GB"/>
        </w:rPr>
        <w:t xml:space="preserve">engage more openly with CSOs in planning and evaluations of UN support in order to improve programming, implementation and common learning. </w:t>
      </w:r>
      <w:r w:rsidR="007D5B02">
        <w:rPr>
          <w:lang w:val="en-GB"/>
        </w:rPr>
        <w:t>G</w:t>
      </w:r>
      <w:r w:rsidR="007D5B02">
        <w:rPr>
          <w:lang w:val="en-GB"/>
        </w:rPr>
        <w:t xml:space="preserve">iven </w:t>
      </w:r>
      <w:r w:rsidR="007D5B02" w:rsidRPr="005B4669">
        <w:rPr>
          <w:lang w:val="en-GB"/>
        </w:rPr>
        <w:t>the DCP management</w:t>
      </w:r>
      <w:r w:rsidR="007D5B02">
        <w:rPr>
          <w:lang w:val="en-GB"/>
        </w:rPr>
        <w:t xml:space="preserve">s </w:t>
      </w:r>
      <w:r w:rsidR="007D5B02" w:rsidRPr="005B4669">
        <w:rPr>
          <w:lang w:val="en-GB"/>
        </w:rPr>
        <w:t xml:space="preserve">considerable experience </w:t>
      </w:r>
      <w:r w:rsidR="007D5B02">
        <w:rPr>
          <w:lang w:val="en-GB"/>
        </w:rPr>
        <w:t>and</w:t>
      </w:r>
      <w:r w:rsidR="007D5B02" w:rsidRPr="005B4669">
        <w:rPr>
          <w:lang w:val="en-GB"/>
        </w:rPr>
        <w:t xml:space="preserve"> valuable insights into present capacity gaps in government and practical solutions applied by the communities in their in</w:t>
      </w:r>
      <w:r w:rsidR="007D5B02">
        <w:rPr>
          <w:lang w:val="en-GB"/>
        </w:rPr>
        <w:t>teraction with the authorities</w:t>
      </w:r>
      <w:r w:rsidR="00A83F86">
        <w:rPr>
          <w:lang w:val="en-GB"/>
        </w:rPr>
        <w:t>, e</w:t>
      </w:r>
      <w:r w:rsidRPr="005B4669">
        <w:rPr>
          <w:lang w:val="en-GB"/>
        </w:rPr>
        <w:t>nhanced CSO engagement should include discussions on how to further Rights to Development</w:t>
      </w:r>
      <w:r w:rsidR="00A83F86">
        <w:rPr>
          <w:lang w:val="en-GB"/>
        </w:rPr>
        <w:t xml:space="preserve">, both </w:t>
      </w:r>
      <w:r w:rsidRPr="005B4669">
        <w:rPr>
          <w:lang w:val="en-GB"/>
        </w:rPr>
        <w:t>th</w:t>
      </w:r>
      <w:r>
        <w:rPr>
          <w:lang w:val="en-GB"/>
        </w:rPr>
        <w:t>r</w:t>
      </w:r>
      <w:r w:rsidRPr="005B4669">
        <w:rPr>
          <w:lang w:val="en-GB"/>
        </w:rPr>
        <w:t>ough s</w:t>
      </w:r>
      <w:r>
        <w:rPr>
          <w:lang w:val="en-GB"/>
        </w:rPr>
        <w:t>upply and demand side support,</w:t>
      </w:r>
      <w:r>
        <w:rPr>
          <w:lang w:val="en-GB"/>
        </w:rPr>
        <w:t>.</w:t>
      </w:r>
    </w:p>
    <w:p w14:paraId="458A5D97" w14:textId="77777777" w:rsidR="00F72B0D" w:rsidRPr="005B4669" w:rsidRDefault="00F72B0D" w:rsidP="00F72B0D">
      <w:pPr>
        <w:spacing w:after="0"/>
        <w:rPr>
          <w:lang w:val="en-GB"/>
        </w:rPr>
      </w:pPr>
    </w:p>
    <w:p w14:paraId="67F0F7D8" w14:textId="77777777" w:rsidR="00EB026D" w:rsidRPr="00CD56B9" w:rsidRDefault="00EB026D" w:rsidP="007C4F42">
      <w:pPr>
        <w:spacing w:after="200"/>
        <w:ind w:right="-46"/>
        <w:rPr>
          <w:rFonts w:eastAsia="Calibri" w:cs="Arial"/>
          <w:b/>
          <w:color w:val="2F5496"/>
          <w:sz w:val="28"/>
          <w:szCs w:val="24"/>
          <w:lang w:val="en-US"/>
        </w:rPr>
        <w:sectPr w:rsidR="00EB026D" w:rsidRPr="00CD56B9" w:rsidSect="00EE0F39">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pPr>
    </w:p>
    <w:p w14:paraId="22610E82" w14:textId="77777777" w:rsidR="00B6512B" w:rsidRPr="009905E7" w:rsidRDefault="00B6512B" w:rsidP="007C4F42">
      <w:pPr>
        <w:spacing w:after="200"/>
        <w:ind w:right="-46"/>
        <w:rPr>
          <w:rFonts w:eastAsia="Calibri" w:cs="Arial"/>
          <w:b/>
          <w:sz w:val="28"/>
          <w:szCs w:val="24"/>
        </w:rPr>
      </w:pPr>
      <w:r w:rsidRPr="009905E7">
        <w:rPr>
          <w:rFonts w:eastAsia="Calibri" w:cs="Arial"/>
          <w:b/>
          <w:sz w:val="28"/>
          <w:szCs w:val="24"/>
        </w:rPr>
        <w:lastRenderedPageBreak/>
        <w:t>List of Contents</w:t>
      </w:r>
    </w:p>
    <w:p w14:paraId="0076606E" w14:textId="77777777" w:rsidR="007B2993" w:rsidRPr="00752399" w:rsidRDefault="007B2993" w:rsidP="007C4F42">
      <w:pPr>
        <w:spacing w:after="200"/>
        <w:ind w:right="-46"/>
        <w:rPr>
          <w:rFonts w:eastAsia="Calibri" w:cs="Arial"/>
          <w:b/>
          <w:color w:val="2F5496"/>
          <w:sz w:val="28"/>
          <w:szCs w:val="24"/>
        </w:rPr>
      </w:pPr>
    </w:p>
    <w:p w14:paraId="7752623A" w14:textId="77777777" w:rsidR="00AE1D51" w:rsidRDefault="001B426E">
      <w:pPr>
        <w:pStyle w:val="Indholdsfortegnelse1"/>
        <w:tabs>
          <w:tab w:val="right" w:leader="dot" w:pos="9736"/>
        </w:tabs>
        <w:rPr>
          <w:rFonts w:asciiTheme="minorHAnsi" w:eastAsiaTheme="minorEastAsia" w:hAnsiTheme="minorHAnsi" w:cstheme="minorBidi"/>
          <w:b w:val="0"/>
          <w:bCs w:val="0"/>
          <w:caps w:val="0"/>
          <w:noProof/>
          <w:sz w:val="22"/>
          <w:szCs w:val="22"/>
          <w:lang w:eastAsia="da-DK"/>
        </w:rPr>
      </w:pPr>
      <w:r>
        <w:rPr>
          <w:b w:val="0"/>
          <w:bCs w:val="0"/>
          <w:caps w:val="0"/>
        </w:rPr>
        <w:fldChar w:fldCharType="begin"/>
      </w:r>
      <w:r w:rsidR="00DC35A2">
        <w:rPr>
          <w:b w:val="0"/>
          <w:bCs w:val="0"/>
          <w:caps w:val="0"/>
        </w:rPr>
        <w:instrText xml:space="preserve"> TOC \o "1-3" \h \z \u </w:instrText>
      </w:r>
      <w:r>
        <w:rPr>
          <w:b w:val="0"/>
          <w:bCs w:val="0"/>
          <w:caps w:val="0"/>
        </w:rPr>
        <w:fldChar w:fldCharType="separate"/>
      </w:r>
      <w:hyperlink w:anchor="_Toc439245570" w:history="1">
        <w:r w:rsidR="00AE1D51" w:rsidRPr="00CB0F2E">
          <w:rPr>
            <w:rStyle w:val="Hyperlink"/>
            <w:noProof/>
            <w:lang w:val="en-US"/>
          </w:rPr>
          <w:t>Acknowledgements</w:t>
        </w:r>
        <w:r w:rsidR="00AE1D51">
          <w:rPr>
            <w:noProof/>
            <w:webHidden/>
          </w:rPr>
          <w:tab/>
        </w:r>
        <w:r w:rsidR="00AE1D51">
          <w:rPr>
            <w:noProof/>
            <w:webHidden/>
          </w:rPr>
          <w:fldChar w:fldCharType="begin"/>
        </w:r>
        <w:r w:rsidR="00AE1D51">
          <w:rPr>
            <w:noProof/>
            <w:webHidden/>
          </w:rPr>
          <w:instrText xml:space="preserve"> PAGEREF _Toc439245570 \h </w:instrText>
        </w:r>
        <w:r w:rsidR="00AE1D51">
          <w:rPr>
            <w:noProof/>
            <w:webHidden/>
          </w:rPr>
        </w:r>
        <w:r w:rsidR="00AE1D51">
          <w:rPr>
            <w:noProof/>
            <w:webHidden/>
          </w:rPr>
          <w:fldChar w:fldCharType="separate"/>
        </w:r>
        <w:r w:rsidR="00AE1D51">
          <w:rPr>
            <w:noProof/>
            <w:webHidden/>
          </w:rPr>
          <w:t>12</w:t>
        </w:r>
        <w:r w:rsidR="00AE1D51">
          <w:rPr>
            <w:noProof/>
            <w:webHidden/>
          </w:rPr>
          <w:fldChar w:fldCharType="end"/>
        </w:r>
      </w:hyperlink>
    </w:p>
    <w:p w14:paraId="2E8F377E" w14:textId="77777777" w:rsidR="00AE1D51" w:rsidRDefault="00AE1D51">
      <w:pPr>
        <w:pStyle w:val="Indholdsfortegnelse1"/>
        <w:tabs>
          <w:tab w:val="right" w:leader="dot" w:pos="9736"/>
        </w:tabs>
        <w:rPr>
          <w:rFonts w:asciiTheme="minorHAnsi" w:eastAsiaTheme="minorEastAsia" w:hAnsiTheme="minorHAnsi" w:cstheme="minorBidi"/>
          <w:b w:val="0"/>
          <w:bCs w:val="0"/>
          <w:caps w:val="0"/>
          <w:noProof/>
          <w:sz w:val="22"/>
          <w:szCs w:val="22"/>
          <w:lang w:eastAsia="da-DK"/>
        </w:rPr>
      </w:pPr>
      <w:hyperlink w:anchor="_Toc439245571" w:history="1">
        <w:r w:rsidRPr="00CB0F2E">
          <w:rPr>
            <w:rStyle w:val="Hyperlink"/>
            <w:noProof/>
            <w:lang w:val="en-US"/>
          </w:rPr>
          <w:t>1. Evaluation Objectives and Scope</w:t>
        </w:r>
        <w:r>
          <w:rPr>
            <w:noProof/>
            <w:webHidden/>
          </w:rPr>
          <w:tab/>
        </w:r>
        <w:r>
          <w:rPr>
            <w:noProof/>
            <w:webHidden/>
          </w:rPr>
          <w:fldChar w:fldCharType="begin"/>
        </w:r>
        <w:r>
          <w:rPr>
            <w:noProof/>
            <w:webHidden/>
          </w:rPr>
          <w:instrText xml:space="preserve"> PAGEREF _Toc439245571 \h </w:instrText>
        </w:r>
        <w:r>
          <w:rPr>
            <w:noProof/>
            <w:webHidden/>
          </w:rPr>
        </w:r>
        <w:r>
          <w:rPr>
            <w:noProof/>
            <w:webHidden/>
          </w:rPr>
          <w:fldChar w:fldCharType="separate"/>
        </w:r>
        <w:r>
          <w:rPr>
            <w:noProof/>
            <w:webHidden/>
          </w:rPr>
          <w:t>13</w:t>
        </w:r>
        <w:r>
          <w:rPr>
            <w:noProof/>
            <w:webHidden/>
          </w:rPr>
          <w:fldChar w:fldCharType="end"/>
        </w:r>
      </w:hyperlink>
    </w:p>
    <w:p w14:paraId="4750B052" w14:textId="77777777" w:rsidR="00AE1D51" w:rsidRDefault="00AE1D51">
      <w:pPr>
        <w:pStyle w:val="Indholdsfortegnelse2"/>
        <w:tabs>
          <w:tab w:val="right" w:leader="dot" w:pos="9736"/>
        </w:tabs>
        <w:rPr>
          <w:rFonts w:asciiTheme="minorHAnsi" w:eastAsiaTheme="minorEastAsia" w:hAnsiTheme="minorHAnsi" w:cstheme="minorBidi"/>
          <w:smallCaps w:val="0"/>
          <w:noProof/>
          <w:sz w:val="22"/>
          <w:szCs w:val="22"/>
          <w:lang w:eastAsia="da-DK"/>
        </w:rPr>
      </w:pPr>
      <w:hyperlink w:anchor="_Toc439245572" w:history="1">
        <w:r w:rsidRPr="00CB0F2E">
          <w:rPr>
            <w:rStyle w:val="Hyperlink"/>
            <w:noProof/>
            <w:lang w:val="en-US"/>
          </w:rPr>
          <w:t>1.1 A Results-based Approach</w:t>
        </w:r>
        <w:r>
          <w:rPr>
            <w:noProof/>
            <w:webHidden/>
          </w:rPr>
          <w:tab/>
        </w:r>
        <w:r>
          <w:rPr>
            <w:noProof/>
            <w:webHidden/>
          </w:rPr>
          <w:fldChar w:fldCharType="begin"/>
        </w:r>
        <w:r>
          <w:rPr>
            <w:noProof/>
            <w:webHidden/>
          </w:rPr>
          <w:instrText xml:space="preserve"> PAGEREF _Toc439245572 \h </w:instrText>
        </w:r>
        <w:r>
          <w:rPr>
            <w:noProof/>
            <w:webHidden/>
          </w:rPr>
        </w:r>
        <w:r>
          <w:rPr>
            <w:noProof/>
            <w:webHidden/>
          </w:rPr>
          <w:fldChar w:fldCharType="separate"/>
        </w:r>
        <w:r>
          <w:rPr>
            <w:noProof/>
            <w:webHidden/>
          </w:rPr>
          <w:t>13</w:t>
        </w:r>
        <w:r>
          <w:rPr>
            <w:noProof/>
            <w:webHidden/>
          </w:rPr>
          <w:fldChar w:fldCharType="end"/>
        </w:r>
      </w:hyperlink>
    </w:p>
    <w:p w14:paraId="7D890191" w14:textId="77777777" w:rsidR="00AE1D51" w:rsidRDefault="00AE1D51">
      <w:pPr>
        <w:pStyle w:val="Indholdsfortegnelse2"/>
        <w:tabs>
          <w:tab w:val="right" w:leader="dot" w:pos="9736"/>
        </w:tabs>
        <w:rPr>
          <w:rFonts w:asciiTheme="minorHAnsi" w:eastAsiaTheme="minorEastAsia" w:hAnsiTheme="minorHAnsi" w:cstheme="minorBidi"/>
          <w:smallCaps w:val="0"/>
          <w:noProof/>
          <w:sz w:val="22"/>
          <w:szCs w:val="22"/>
          <w:lang w:eastAsia="da-DK"/>
        </w:rPr>
      </w:pPr>
      <w:hyperlink w:anchor="_Toc439245573" w:history="1">
        <w:r w:rsidRPr="00CB0F2E">
          <w:rPr>
            <w:rStyle w:val="Hyperlink"/>
            <w:noProof/>
            <w:lang w:val="en-US"/>
          </w:rPr>
          <w:t>1.2 Limitations of the Methodology</w:t>
        </w:r>
        <w:r>
          <w:rPr>
            <w:noProof/>
            <w:webHidden/>
          </w:rPr>
          <w:tab/>
        </w:r>
        <w:r>
          <w:rPr>
            <w:noProof/>
            <w:webHidden/>
          </w:rPr>
          <w:fldChar w:fldCharType="begin"/>
        </w:r>
        <w:r>
          <w:rPr>
            <w:noProof/>
            <w:webHidden/>
          </w:rPr>
          <w:instrText xml:space="preserve"> PAGEREF _Toc439245573 \h </w:instrText>
        </w:r>
        <w:r>
          <w:rPr>
            <w:noProof/>
            <w:webHidden/>
          </w:rPr>
        </w:r>
        <w:r>
          <w:rPr>
            <w:noProof/>
            <w:webHidden/>
          </w:rPr>
          <w:fldChar w:fldCharType="separate"/>
        </w:r>
        <w:r>
          <w:rPr>
            <w:noProof/>
            <w:webHidden/>
          </w:rPr>
          <w:t>14</w:t>
        </w:r>
        <w:r>
          <w:rPr>
            <w:noProof/>
            <w:webHidden/>
          </w:rPr>
          <w:fldChar w:fldCharType="end"/>
        </w:r>
      </w:hyperlink>
    </w:p>
    <w:p w14:paraId="0C0E1855" w14:textId="77777777" w:rsidR="00AE1D51" w:rsidRDefault="00AE1D51">
      <w:pPr>
        <w:pStyle w:val="Indholdsfortegnelse2"/>
        <w:tabs>
          <w:tab w:val="right" w:leader="dot" w:pos="9736"/>
        </w:tabs>
        <w:rPr>
          <w:rFonts w:asciiTheme="minorHAnsi" w:eastAsiaTheme="minorEastAsia" w:hAnsiTheme="minorHAnsi" w:cstheme="minorBidi"/>
          <w:smallCaps w:val="0"/>
          <w:noProof/>
          <w:sz w:val="22"/>
          <w:szCs w:val="22"/>
          <w:lang w:eastAsia="da-DK"/>
        </w:rPr>
      </w:pPr>
      <w:hyperlink w:anchor="_Toc439245574" w:history="1">
        <w:r w:rsidRPr="00CB0F2E">
          <w:rPr>
            <w:rStyle w:val="Hyperlink"/>
            <w:noProof/>
            <w:lang w:val="en-US"/>
          </w:rPr>
          <w:t>1.3 Outline of the Report</w:t>
        </w:r>
        <w:r>
          <w:rPr>
            <w:noProof/>
            <w:webHidden/>
          </w:rPr>
          <w:tab/>
        </w:r>
        <w:r>
          <w:rPr>
            <w:noProof/>
            <w:webHidden/>
          </w:rPr>
          <w:fldChar w:fldCharType="begin"/>
        </w:r>
        <w:r>
          <w:rPr>
            <w:noProof/>
            <w:webHidden/>
          </w:rPr>
          <w:instrText xml:space="preserve"> PAGEREF _Toc439245574 \h </w:instrText>
        </w:r>
        <w:r>
          <w:rPr>
            <w:noProof/>
            <w:webHidden/>
          </w:rPr>
        </w:r>
        <w:r>
          <w:rPr>
            <w:noProof/>
            <w:webHidden/>
          </w:rPr>
          <w:fldChar w:fldCharType="separate"/>
        </w:r>
        <w:r>
          <w:rPr>
            <w:noProof/>
            <w:webHidden/>
          </w:rPr>
          <w:t>14</w:t>
        </w:r>
        <w:r>
          <w:rPr>
            <w:noProof/>
            <w:webHidden/>
          </w:rPr>
          <w:fldChar w:fldCharType="end"/>
        </w:r>
      </w:hyperlink>
    </w:p>
    <w:p w14:paraId="13C823B6" w14:textId="77777777" w:rsidR="00AE1D51" w:rsidRDefault="00AE1D51">
      <w:pPr>
        <w:pStyle w:val="Indholdsfortegnelse1"/>
        <w:tabs>
          <w:tab w:val="right" w:leader="dot" w:pos="9736"/>
        </w:tabs>
        <w:rPr>
          <w:rFonts w:asciiTheme="minorHAnsi" w:eastAsiaTheme="minorEastAsia" w:hAnsiTheme="minorHAnsi" w:cstheme="minorBidi"/>
          <w:b w:val="0"/>
          <w:bCs w:val="0"/>
          <w:caps w:val="0"/>
          <w:noProof/>
          <w:sz w:val="22"/>
          <w:szCs w:val="22"/>
          <w:lang w:eastAsia="da-DK"/>
        </w:rPr>
      </w:pPr>
      <w:hyperlink w:anchor="_Toc439245575" w:history="1">
        <w:r w:rsidRPr="00CB0F2E">
          <w:rPr>
            <w:rStyle w:val="Hyperlink"/>
            <w:noProof/>
            <w:lang w:val="en-US"/>
          </w:rPr>
          <w:t>2. Democratic Governance in Malawi</w:t>
        </w:r>
        <w:r>
          <w:rPr>
            <w:noProof/>
            <w:webHidden/>
          </w:rPr>
          <w:tab/>
        </w:r>
        <w:r>
          <w:rPr>
            <w:noProof/>
            <w:webHidden/>
          </w:rPr>
          <w:fldChar w:fldCharType="begin"/>
        </w:r>
        <w:r>
          <w:rPr>
            <w:noProof/>
            <w:webHidden/>
          </w:rPr>
          <w:instrText xml:space="preserve"> PAGEREF _Toc439245575 \h </w:instrText>
        </w:r>
        <w:r>
          <w:rPr>
            <w:noProof/>
            <w:webHidden/>
          </w:rPr>
        </w:r>
        <w:r>
          <w:rPr>
            <w:noProof/>
            <w:webHidden/>
          </w:rPr>
          <w:fldChar w:fldCharType="separate"/>
        </w:r>
        <w:r>
          <w:rPr>
            <w:noProof/>
            <w:webHidden/>
          </w:rPr>
          <w:t>16</w:t>
        </w:r>
        <w:r>
          <w:rPr>
            <w:noProof/>
            <w:webHidden/>
          </w:rPr>
          <w:fldChar w:fldCharType="end"/>
        </w:r>
      </w:hyperlink>
    </w:p>
    <w:p w14:paraId="000EC4C1" w14:textId="77777777" w:rsidR="00AE1D51" w:rsidRDefault="00AE1D51">
      <w:pPr>
        <w:pStyle w:val="Indholdsfortegnelse1"/>
        <w:tabs>
          <w:tab w:val="right" w:leader="dot" w:pos="9736"/>
        </w:tabs>
        <w:rPr>
          <w:rFonts w:asciiTheme="minorHAnsi" w:eastAsiaTheme="minorEastAsia" w:hAnsiTheme="minorHAnsi" w:cstheme="minorBidi"/>
          <w:b w:val="0"/>
          <w:bCs w:val="0"/>
          <w:caps w:val="0"/>
          <w:noProof/>
          <w:sz w:val="22"/>
          <w:szCs w:val="22"/>
          <w:lang w:eastAsia="da-DK"/>
        </w:rPr>
      </w:pPr>
      <w:hyperlink w:anchor="_Toc439245576" w:history="1">
        <w:r w:rsidRPr="00CB0F2E">
          <w:rPr>
            <w:rStyle w:val="Hyperlink"/>
            <w:noProof/>
            <w:lang w:val="en-US"/>
          </w:rPr>
          <w:t>3. UNDAF Outcome 4.1 - Design and Progress of Support Projects</w:t>
        </w:r>
        <w:r>
          <w:rPr>
            <w:noProof/>
            <w:webHidden/>
          </w:rPr>
          <w:tab/>
        </w:r>
        <w:r>
          <w:rPr>
            <w:noProof/>
            <w:webHidden/>
          </w:rPr>
          <w:fldChar w:fldCharType="begin"/>
        </w:r>
        <w:r>
          <w:rPr>
            <w:noProof/>
            <w:webHidden/>
          </w:rPr>
          <w:instrText xml:space="preserve"> PAGEREF _Toc439245576 \h </w:instrText>
        </w:r>
        <w:r>
          <w:rPr>
            <w:noProof/>
            <w:webHidden/>
          </w:rPr>
        </w:r>
        <w:r>
          <w:rPr>
            <w:noProof/>
            <w:webHidden/>
          </w:rPr>
          <w:fldChar w:fldCharType="separate"/>
        </w:r>
        <w:r>
          <w:rPr>
            <w:noProof/>
            <w:webHidden/>
          </w:rPr>
          <w:t>22</w:t>
        </w:r>
        <w:r>
          <w:rPr>
            <w:noProof/>
            <w:webHidden/>
          </w:rPr>
          <w:fldChar w:fldCharType="end"/>
        </w:r>
      </w:hyperlink>
    </w:p>
    <w:p w14:paraId="519EC61A" w14:textId="77777777" w:rsidR="00AE1D51" w:rsidRDefault="00AE1D51">
      <w:pPr>
        <w:pStyle w:val="Indholdsfortegnelse2"/>
        <w:tabs>
          <w:tab w:val="right" w:leader="dot" w:pos="9736"/>
        </w:tabs>
        <w:rPr>
          <w:rFonts w:asciiTheme="minorHAnsi" w:eastAsiaTheme="minorEastAsia" w:hAnsiTheme="minorHAnsi" w:cstheme="minorBidi"/>
          <w:smallCaps w:val="0"/>
          <w:noProof/>
          <w:sz w:val="22"/>
          <w:szCs w:val="22"/>
          <w:lang w:eastAsia="da-DK"/>
        </w:rPr>
      </w:pPr>
      <w:hyperlink w:anchor="_Toc439245577" w:history="1">
        <w:r w:rsidRPr="00CB0F2E">
          <w:rPr>
            <w:rStyle w:val="Hyperlink"/>
            <w:noProof/>
            <w:lang w:val="en-US"/>
          </w:rPr>
          <w:t>3.1 Democratic Governance Sector Support Program</w:t>
        </w:r>
        <w:r>
          <w:rPr>
            <w:noProof/>
            <w:webHidden/>
          </w:rPr>
          <w:tab/>
        </w:r>
        <w:r>
          <w:rPr>
            <w:noProof/>
            <w:webHidden/>
          </w:rPr>
          <w:fldChar w:fldCharType="begin"/>
        </w:r>
        <w:r>
          <w:rPr>
            <w:noProof/>
            <w:webHidden/>
          </w:rPr>
          <w:instrText xml:space="preserve"> PAGEREF _Toc439245577 \h </w:instrText>
        </w:r>
        <w:r>
          <w:rPr>
            <w:noProof/>
            <w:webHidden/>
          </w:rPr>
        </w:r>
        <w:r>
          <w:rPr>
            <w:noProof/>
            <w:webHidden/>
          </w:rPr>
          <w:fldChar w:fldCharType="separate"/>
        </w:r>
        <w:r>
          <w:rPr>
            <w:noProof/>
            <w:webHidden/>
          </w:rPr>
          <w:t>26</w:t>
        </w:r>
        <w:r>
          <w:rPr>
            <w:noProof/>
            <w:webHidden/>
          </w:rPr>
          <w:fldChar w:fldCharType="end"/>
        </w:r>
      </w:hyperlink>
    </w:p>
    <w:p w14:paraId="5322B0CE" w14:textId="77777777" w:rsidR="00AE1D51" w:rsidRDefault="00AE1D51">
      <w:pPr>
        <w:pStyle w:val="Indholdsfortegnelse2"/>
        <w:tabs>
          <w:tab w:val="right" w:leader="dot" w:pos="9736"/>
        </w:tabs>
        <w:rPr>
          <w:rFonts w:asciiTheme="minorHAnsi" w:eastAsiaTheme="minorEastAsia" w:hAnsiTheme="minorHAnsi" w:cstheme="minorBidi"/>
          <w:smallCaps w:val="0"/>
          <w:noProof/>
          <w:sz w:val="22"/>
          <w:szCs w:val="22"/>
          <w:lang w:eastAsia="da-DK"/>
        </w:rPr>
      </w:pPr>
      <w:hyperlink w:anchor="_Toc439245578" w:history="1">
        <w:r w:rsidRPr="00CB0F2E">
          <w:rPr>
            <w:rStyle w:val="Hyperlink"/>
            <w:noProof/>
            <w:lang w:val="en-US"/>
          </w:rPr>
          <w:t>3.2 Malawi Electoral Cycle Support Project 2013-2016</w:t>
        </w:r>
        <w:r>
          <w:rPr>
            <w:noProof/>
            <w:webHidden/>
          </w:rPr>
          <w:tab/>
        </w:r>
        <w:r>
          <w:rPr>
            <w:noProof/>
            <w:webHidden/>
          </w:rPr>
          <w:fldChar w:fldCharType="begin"/>
        </w:r>
        <w:r>
          <w:rPr>
            <w:noProof/>
            <w:webHidden/>
          </w:rPr>
          <w:instrText xml:space="preserve"> PAGEREF _Toc439245578 \h </w:instrText>
        </w:r>
        <w:r>
          <w:rPr>
            <w:noProof/>
            <w:webHidden/>
          </w:rPr>
        </w:r>
        <w:r>
          <w:rPr>
            <w:noProof/>
            <w:webHidden/>
          </w:rPr>
          <w:fldChar w:fldCharType="separate"/>
        </w:r>
        <w:r>
          <w:rPr>
            <w:noProof/>
            <w:webHidden/>
          </w:rPr>
          <w:t>29</w:t>
        </w:r>
        <w:r>
          <w:rPr>
            <w:noProof/>
            <w:webHidden/>
          </w:rPr>
          <w:fldChar w:fldCharType="end"/>
        </w:r>
      </w:hyperlink>
    </w:p>
    <w:p w14:paraId="74E5C2BF" w14:textId="77777777" w:rsidR="00AE1D51" w:rsidRDefault="00AE1D51">
      <w:pPr>
        <w:pStyle w:val="Indholdsfortegnelse2"/>
        <w:tabs>
          <w:tab w:val="right" w:leader="dot" w:pos="9736"/>
        </w:tabs>
        <w:rPr>
          <w:rFonts w:asciiTheme="minorHAnsi" w:eastAsiaTheme="minorEastAsia" w:hAnsiTheme="minorHAnsi" w:cstheme="minorBidi"/>
          <w:smallCaps w:val="0"/>
          <w:noProof/>
          <w:sz w:val="22"/>
          <w:szCs w:val="22"/>
          <w:lang w:eastAsia="da-DK"/>
        </w:rPr>
      </w:pPr>
      <w:hyperlink w:anchor="_Toc439245579" w:history="1">
        <w:r w:rsidRPr="00CB0F2E">
          <w:rPr>
            <w:rStyle w:val="Hyperlink"/>
            <w:noProof/>
            <w:lang w:val="en-US"/>
          </w:rPr>
          <w:t>3.3 Strengthening Political Parties Project 2013-2016</w:t>
        </w:r>
        <w:r>
          <w:rPr>
            <w:noProof/>
            <w:webHidden/>
          </w:rPr>
          <w:tab/>
        </w:r>
        <w:r>
          <w:rPr>
            <w:noProof/>
            <w:webHidden/>
          </w:rPr>
          <w:fldChar w:fldCharType="begin"/>
        </w:r>
        <w:r>
          <w:rPr>
            <w:noProof/>
            <w:webHidden/>
          </w:rPr>
          <w:instrText xml:space="preserve"> PAGEREF _Toc439245579 \h </w:instrText>
        </w:r>
        <w:r>
          <w:rPr>
            <w:noProof/>
            <w:webHidden/>
          </w:rPr>
        </w:r>
        <w:r>
          <w:rPr>
            <w:noProof/>
            <w:webHidden/>
          </w:rPr>
          <w:fldChar w:fldCharType="separate"/>
        </w:r>
        <w:r>
          <w:rPr>
            <w:noProof/>
            <w:webHidden/>
          </w:rPr>
          <w:t>34</w:t>
        </w:r>
        <w:r>
          <w:rPr>
            <w:noProof/>
            <w:webHidden/>
          </w:rPr>
          <w:fldChar w:fldCharType="end"/>
        </w:r>
      </w:hyperlink>
    </w:p>
    <w:p w14:paraId="2D6D1984" w14:textId="77777777" w:rsidR="00AE1D51" w:rsidRDefault="00AE1D51">
      <w:pPr>
        <w:pStyle w:val="Indholdsfortegnelse2"/>
        <w:tabs>
          <w:tab w:val="right" w:leader="dot" w:pos="9736"/>
        </w:tabs>
        <w:rPr>
          <w:rFonts w:asciiTheme="minorHAnsi" w:eastAsiaTheme="minorEastAsia" w:hAnsiTheme="minorHAnsi" w:cstheme="minorBidi"/>
          <w:smallCaps w:val="0"/>
          <w:noProof/>
          <w:sz w:val="22"/>
          <w:szCs w:val="22"/>
          <w:lang w:eastAsia="da-DK"/>
        </w:rPr>
      </w:pPr>
      <w:hyperlink w:anchor="_Toc439245580" w:history="1">
        <w:r w:rsidRPr="00CB0F2E">
          <w:rPr>
            <w:rStyle w:val="Hyperlink"/>
            <w:noProof/>
            <w:lang w:val="en-US"/>
          </w:rPr>
          <w:t>3.4 Strengthening Parliament Programme</w:t>
        </w:r>
        <w:r>
          <w:rPr>
            <w:noProof/>
            <w:webHidden/>
          </w:rPr>
          <w:tab/>
        </w:r>
        <w:r>
          <w:rPr>
            <w:noProof/>
            <w:webHidden/>
          </w:rPr>
          <w:fldChar w:fldCharType="begin"/>
        </w:r>
        <w:r>
          <w:rPr>
            <w:noProof/>
            <w:webHidden/>
          </w:rPr>
          <w:instrText xml:space="preserve"> PAGEREF _Toc439245580 \h </w:instrText>
        </w:r>
        <w:r>
          <w:rPr>
            <w:noProof/>
            <w:webHidden/>
          </w:rPr>
        </w:r>
        <w:r>
          <w:rPr>
            <w:noProof/>
            <w:webHidden/>
          </w:rPr>
          <w:fldChar w:fldCharType="separate"/>
        </w:r>
        <w:r>
          <w:rPr>
            <w:noProof/>
            <w:webHidden/>
          </w:rPr>
          <w:t>38</w:t>
        </w:r>
        <w:r>
          <w:rPr>
            <w:noProof/>
            <w:webHidden/>
          </w:rPr>
          <w:fldChar w:fldCharType="end"/>
        </w:r>
      </w:hyperlink>
    </w:p>
    <w:p w14:paraId="4D78A7CE" w14:textId="77777777" w:rsidR="00AE1D51" w:rsidRDefault="00AE1D51">
      <w:pPr>
        <w:pStyle w:val="Indholdsfortegnelse2"/>
        <w:tabs>
          <w:tab w:val="right" w:leader="dot" w:pos="9736"/>
        </w:tabs>
        <w:rPr>
          <w:rFonts w:asciiTheme="minorHAnsi" w:eastAsiaTheme="minorEastAsia" w:hAnsiTheme="minorHAnsi" w:cstheme="minorBidi"/>
          <w:smallCaps w:val="0"/>
          <w:noProof/>
          <w:sz w:val="22"/>
          <w:szCs w:val="22"/>
          <w:lang w:eastAsia="da-DK"/>
        </w:rPr>
      </w:pPr>
      <w:hyperlink w:anchor="_Toc439245581" w:history="1">
        <w:r w:rsidRPr="00CB0F2E">
          <w:rPr>
            <w:rStyle w:val="Hyperlink"/>
            <w:noProof/>
            <w:lang w:val="en-US"/>
          </w:rPr>
          <w:t>3.5 Malawi Human Rights Support Project (MHRSP) 2012-2014</w:t>
        </w:r>
        <w:r>
          <w:rPr>
            <w:noProof/>
            <w:webHidden/>
          </w:rPr>
          <w:tab/>
        </w:r>
        <w:r>
          <w:rPr>
            <w:noProof/>
            <w:webHidden/>
          </w:rPr>
          <w:fldChar w:fldCharType="begin"/>
        </w:r>
        <w:r>
          <w:rPr>
            <w:noProof/>
            <w:webHidden/>
          </w:rPr>
          <w:instrText xml:space="preserve"> PAGEREF _Toc439245581 \h </w:instrText>
        </w:r>
        <w:r>
          <w:rPr>
            <w:noProof/>
            <w:webHidden/>
          </w:rPr>
        </w:r>
        <w:r>
          <w:rPr>
            <w:noProof/>
            <w:webHidden/>
          </w:rPr>
          <w:fldChar w:fldCharType="separate"/>
        </w:r>
        <w:r>
          <w:rPr>
            <w:noProof/>
            <w:webHidden/>
          </w:rPr>
          <w:t>41</w:t>
        </w:r>
        <w:r>
          <w:rPr>
            <w:noProof/>
            <w:webHidden/>
          </w:rPr>
          <w:fldChar w:fldCharType="end"/>
        </w:r>
      </w:hyperlink>
    </w:p>
    <w:p w14:paraId="28CA7549" w14:textId="77777777" w:rsidR="00AE1D51" w:rsidRDefault="00AE1D51">
      <w:pPr>
        <w:pStyle w:val="Indholdsfortegnelse2"/>
        <w:tabs>
          <w:tab w:val="right" w:leader="dot" w:pos="9736"/>
        </w:tabs>
        <w:rPr>
          <w:rFonts w:asciiTheme="minorHAnsi" w:eastAsiaTheme="minorEastAsia" w:hAnsiTheme="minorHAnsi" w:cstheme="minorBidi"/>
          <w:smallCaps w:val="0"/>
          <w:noProof/>
          <w:sz w:val="22"/>
          <w:szCs w:val="22"/>
          <w:lang w:eastAsia="da-DK"/>
        </w:rPr>
      </w:pPr>
      <w:hyperlink w:anchor="_Toc439245582" w:history="1">
        <w:r w:rsidRPr="00CB0F2E">
          <w:rPr>
            <w:rStyle w:val="Hyperlink"/>
            <w:noProof/>
            <w:lang w:val="en-US"/>
          </w:rPr>
          <w:t>3.6 Social Cohesion Support Project</w:t>
        </w:r>
        <w:r>
          <w:rPr>
            <w:noProof/>
            <w:webHidden/>
          </w:rPr>
          <w:tab/>
        </w:r>
        <w:r>
          <w:rPr>
            <w:noProof/>
            <w:webHidden/>
          </w:rPr>
          <w:fldChar w:fldCharType="begin"/>
        </w:r>
        <w:r>
          <w:rPr>
            <w:noProof/>
            <w:webHidden/>
          </w:rPr>
          <w:instrText xml:space="preserve"> PAGEREF _Toc439245582 \h </w:instrText>
        </w:r>
        <w:r>
          <w:rPr>
            <w:noProof/>
            <w:webHidden/>
          </w:rPr>
        </w:r>
        <w:r>
          <w:rPr>
            <w:noProof/>
            <w:webHidden/>
          </w:rPr>
          <w:fldChar w:fldCharType="separate"/>
        </w:r>
        <w:r>
          <w:rPr>
            <w:noProof/>
            <w:webHidden/>
          </w:rPr>
          <w:t>46</w:t>
        </w:r>
        <w:r>
          <w:rPr>
            <w:noProof/>
            <w:webHidden/>
          </w:rPr>
          <w:fldChar w:fldCharType="end"/>
        </w:r>
      </w:hyperlink>
    </w:p>
    <w:p w14:paraId="7A023720" w14:textId="77777777" w:rsidR="00AE1D51" w:rsidRDefault="00AE1D51">
      <w:pPr>
        <w:pStyle w:val="Indholdsfortegnelse2"/>
        <w:tabs>
          <w:tab w:val="right" w:leader="dot" w:pos="9736"/>
        </w:tabs>
        <w:rPr>
          <w:rFonts w:asciiTheme="minorHAnsi" w:eastAsiaTheme="minorEastAsia" w:hAnsiTheme="minorHAnsi" w:cstheme="minorBidi"/>
          <w:smallCaps w:val="0"/>
          <w:noProof/>
          <w:sz w:val="22"/>
          <w:szCs w:val="22"/>
          <w:lang w:eastAsia="da-DK"/>
        </w:rPr>
      </w:pPr>
      <w:hyperlink w:anchor="_Toc439245583" w:history="1">
        <w:r w:rsidRPr="00CB0F2E">
          <w:rPr>
            <w:rStyle w:val="Hyperlink"/>
            <w:noProof/>
            <w:lang w:val="en-US"/>
          </w:rPr>
          <w:t>3.7 The Democracy Consolidation Programme (DCP IV) 2012-2016</w:t>
        </w:r>
        <w:r>
          <w:rPr>
            <w:noProof/>
            <w:webHidden/>
          </w:rPr>
          <w:tab/>
        </w:r>
        <w:r>
          <w:rPr>
            <w:noProof/>
            <w:webHidden/>
          </w:rPr>
          <w:fldChar w:fldCharType="begin"/>
        </w:r>
        <w:r>
          <w:rPr>
            <w:noProof/>
            <w:webHidden/>
          </w:rPr>
          <w:instrText xml:space="preserve"> PAGEREF _Toc439245583 \h </w:instrText>
        </w:r>
        <w:r>
          <w:rPr>
            <w:noProof/>
            <w:webHidden/>
          </w:rPr>
        </w:r>
        <w:r>
          <w:rPr>
            <w:noProof/>
            <w:webHidden/>
          </w:rPr>
          <w:fldChar w:fldCharType="separate"/>
        </w:r>
        <w:r>
          <w:rPr>
            <w:noProof/>
            <w:webHidden/>
          </w:rPr>
          <w:t>51</w:t>
        </w:r>
        <w:r>
          <w:rPr>
            <w:noProof/>
            <w:webHidden/>
          </w:rPr>
          <w:fldChar w:fldCharType="end"/>
        </w:r>
      </w:hyperlink>
    </w:p>
    <w:p w14:paraId="4209BD03" w14:textId="77777777" w:rsidR="00AE1D51" w:rsidRDefault="00AE1D51">
      <w:pPr>
        <w:pStyle w:val="Indholdsfortegnelse2"/>
        <w:tabs>
          <w:tab w:val="right" w:leader="dot" w:pos="9736"/>
        </w:tabs>
        <w:rPr>
          <w:rFonts w:asciiTheme="minorHAnsi" w:eastAsiaTheme="minorEastAsia" w:hAnsiTheme="minorHAnsi" w:cstheme="minorBidi"/>
          <w:smallCaps w:val="0"/>
          <w:noProof/>
          <w:sz w:val="22"/>
          <w:szCs w:val="22"/>
          <w:lang w:eastAsia="da-DK"/>
        </w:rPr>
      </w:pPr>
      <w:hyperlink w:anchor="_Toc439245584" w:history="1">
        <w:r w:rsidRPr="00CB0F2E">
          <w:rPr>
            <w:rStyle w:val="Hyperlink"/>
            <w:noProof/>
            <w:lang w:val="en-US"/>
          </w:rPr>
          <w:t>3.8 Integrated Rural Development (IRD) Project</w:t>
        </w:r>
        <w:r>
          <w:rPr>
            <w:noProof/>
            <w:webHidden/>
          </w:rPr>
          <w:tab/>
        </w:r>
        <w:r>
          <w:rPr>
            <w:noProof/>
            <w:webHidden/>
          </w:rPr>
          <w:fldChar w:fldCharType="begin"/>
        </w:r>
        <w:r>
          <w:rPr>
            <w:noProof/>
            <w:webHidden/>
          </w:rPr>
          <w:instrText xml:space="preserve"> PAGEREF _Toc439245584 \h </w:instrText>
        </w:r>
        <w:r>
          <w:rPr>
            <w:noProof/>
            <w:webHidden/>
          </w:rPr>
        </w:r>
        <w:r>
          <w:rPr>
            <w:noProof/>
            <w:webHidden/>
          </w:rPr>
          <w:fldChar w:fldCharType="separate"/>
        </w:r>
        <w:r>
          <w:rPr>
            <w:noProof/>
            <w:webHidden/>
          </w:rPr>
          <w:t>56</w:t>
        </w:r>
        <w:r>
          <w:rPr>
            <w:noProof/>
            <w:webHidden/>
          </w:rPr>
          <w:fldChar w:fldCharType="end"/>
        </w:r>
      </w:hyperlink>
    </w:p>
    <w:p w14:paraId="0AA4F5A2" w14:textId="77777777" w:rsidR="00AE1D51" w:rsidRDefault="00AE1D51">
      <w:pPr>
        <w:pStyle w:val="Indholdsfortegnelse1"/>
        <w:tabs>
          <w:tab w:val="right" w:leader="dot" w:pos="9736"/>
        </w:tabs>
        <w:rPr>
          <w:rFonts w:asciiTheme="minorHAnsi" w:eastAsiaTheme="minorEastAsia" w:hAnsiTheme="minorHAnsi" w:cstheme="minorBidi"/>
          <w:b w:val="0"/>
          <w:bCs w:val="0"/>
          <w:caps w:val="0"/>
          <w:noProof/>
          <w:sz w:val="22"/>
          <w:szCs w:val="22"/>
          <w:lang w:eastAsia="da-DK"/>
        </w:rPr>
      </w:pPr>
      <w:hyperlink w:anchor="_Toc439245585" w:history="1">
        <w:r w:rsidRPr="00CB0F2E">
          <w:rPr>
            <w:rStyle w:val="Hyperlink"/>
            <w:noProof/>
            <w:lang w:val="en-US"/>
          </w:rPr>
          <w:t>4. Assessment of UNDAF Outcome 4.1</w:t>
        </w:r>
        <w:r>
          <w:rPr>
            <w:noProof/>
            <w:webHidden/>
          </w:rPr>
          <w:tab/>
        </w:r>
        <w:r>
          <w:rPr>
            <w:noProof/>
            <w:webHidden/>
          </w:rPr>
          <w:fldChar w:fldCharType="begin"/>
        </w:r>
        <w:r>
          <w:rPr>
            <w:noProof/>
            <w:webHidden/>
          </w:rPr>
          <w:instrText xml:space="preserve"> PAGEREF _Toc439245585 \h </w:instrText>
        </w:r>
        <w:r>
          <w:rPr>
            <w:noProof/>
            <w:webHidden/>
          </w:rPr>
        </w:r>
        <w:r>
          <w:rPr>
            <w:noProof/>
            <w:webHidden/>
          </w:rPr>
          <w:fldChar w:fldCharType="separate"/>
        </w:r>
        <w:r>
          <w:rPr>
            <w:noProof/>
            <w:webHidden/>
          </w:rPr>
          <w:t>60</w:t>
        </w:r>
        <w:r>
          <w:rPr>
            <w:noProof/>
            <w:webHidden/>
          </w:rPr>
          <w:fldChar w:fldCharType="end"/>
        </w:r>
      </w:hyperlink>
    </w:p>
    <w:p w14:paraId="756FFDA6" w14:textId="77777777" w:rsidR="00AE1D51" w:rsidRDefault="00AE1D51">
      <w:pPr>
        <w:pStyle w:val="Indholdsfortegnelse2"/>
        <w:tabs>
          <w:tab w:val="right" w:leader="dot" w:pos="9736"/>
        </w:tabs>
        <w:rPr>
          <w:rFonts w:asciiTheme="minorHAnsi" w:eastAsiaTheme="minorEastAsia" w:hAnsiTheme="minorHAnsi" w:cstheme="minorBidi"/>
          <w:smallCaps w:val="0"/>
          <w:noProof/>
          <w:sz w:val="22"/>
          <w:szCs w:val="22"/>
          <w:lang w:eastAsia="da-DK"/>
        </w:rPr>
      </w:pPr>
      <w:hyperlink w:anchor="_Toc439245586" w:history="1">
        <w:r w:rsidRPr="00CB0F2E">
          <w:rPr>
            <w:rStyle w:val="Hyperlink"/>
            <w:noProof/>
            <w:lang w:val="en-US"/>
          </w:rPr>
          <w:t>4.1 Output 4.1.1 - Democratic Governance Sector Strategy Operationalized</w:t>
        </w:r>
        <w:r>
          <w:rPr>
            <w:noProof/>
            <w:webHidden/>
          </w:rPr>
          <w:tab/>
        </w:r>
        <w:r>
          <w:rPr>
            <w:noProof/>
            <w:webHidden/>
          </w:rPr>
          <w:fldChar w:fldCharType="begin"/>
        </w:r>
        <w:r>
          <w:rPr>
            <w:noProof/>
            <w:webHidden/>
          </w:rPr>
          <w:instrText xml:space="preserve"> PAGEREF _Toc439245586 \h </w:instrText>
        </w:r>
        <w:r>
          <w:rPr>
            <w:noProof/>
            <w:webHidden/>
          </w:rPr>
        </w:r>
        <w:r>
          <w:rPr>
            <w:noProof/>
            <w:webHidden/>
          </w:rPr>
          <w:fldChar w:fldCharType="separate"/>
        </w:r>
        <w:r>
          <w:rPr>
            <w:noProof/>
            <w:webHidden/>
          </w:rPr>
          <w:t>61</w:t>
        </w:r>
        <w:r>
          <w:rPr>
            <w:noProof/>
            <w:webHidden/>
          </w:rPr>
          <w:fldChar w:fldCharType="end"/>
        </w:r>
      </w:hyperlink>
    </w:p>
    <w:p w14:paraId="6462B32D" w14:textId="77777777" w:rsidR="00AE1D51" w:rsidRDefault="00AE1D51">
      <w:pPr>
        <w:pStyle w:val="Indholdsfortegnelse3"/>
        <w:tabs>
          <w:tab w:val="right" w:leader="dot" w:pos="9736"/>
        </w:tabs>
        <w:rPr>
          <w:rFonts w:asciiTheme="minorHAnsi" w:eastAsiaTheme="minorEastAsia" w:hAnsiTheme="minorHAnsi" w:cstheme="minorBidi"/>
          <w:i w:val="0"/>
          <w:iCs w:val="0"/>
          <w:noProof/>
          <w:sz w:val="22"/>
          <w:szCs w:val="22"/>
          <w:lang w:eastAsia="da-DK"/>
        </w:rPr>
      </w:pPr>
      <w:hyperlink w:anchor="_Toc439245587" w:history="1">
        <w:r w:rsidRPr="00CB0F2E">
          <w:rPr>
            <w:rStyle w:val="Hyperlink"/>
            <w:noProof/>
            <w:lang w:val="en-US"/>
          </w:rPr>
          <w:t>4.1.1 DG SWAp</w:t>
        </w:r>
        <w:r>
          <w:rPr>
            <w:noProof/>
            <w:webHidden/>
          </w:rPr>
          <w:tab/>
        </w:r>
        <w:r>
          <w:rPr>
            <w:noProof/>
            <w:webHidden/>
          </w:rPr>
          <w:fldChar w:fldCharType="begin"/>
        </w:r>
        <w:r>
          <w:rPr>
            <w:noProof/>
            <w:webHidden/>
          </w:rPr>
          <w:instrText xml:space="preserve"> PAGEREF _Toc439245587 \h </w:instrText>
        </w:r>
        <w:r>
          <w:rPr>
            <w:noProof/>
            <w:webHidden/>
          </w:rPr>
        </w:r>
        <w:r>
          <w:rPr>
            <w:noProof/>
            <w:webHidden/>
          </w:rPr>
          <w:fldChar w:fldCharType="separate"/>
        </w:r>
        <w:r>
          <w:rPr>
            <w:noProof/>
            <w:webHidden/>
          </w:rPr>
          <w:t>61</w:t>
        </w:r>
        <w:r>
          <w:rPr>
            <w:noProof/>
            <w:webHidden/>
          </w:rPr>
          <w:fldChar w:fldCharType="end"/>
        </w:r>
      </w:hyperlink>
    </w:p>
    <w:p w14:paraId="3980B883" w14:textId="77777777" w:rsidR="00AE1D51" w:rsidRDefault="00AE1D51">
      <w:pPr>
        <w:pStyle w:val="Indholdsfortegnelse3"/>
        <w:tabs>
          <w:tab w:val="right" w:leader="dot" w:pos="9736"/>
        </w:tabs>
        <w:rPr>
          <w:rFonts w:asciiTheme="minorHAnsi" w:eastAsiaTheme="minorEastAsia" w:hAnsiTheme="minorHAnsi" w:cstheme="minorBidi"/>
          <w:i w:val="0"/>
          <w:iCs w:val="0"/>
          <w:noProof/>
          <w:sz w:val="22"/>
          <w:szCs w:val="22"/>
          <w:lang w:eastAsia="da-DK"/>
        </w:rPr>
      </w:pPr>
      <w:hyperlink w:anchor="_Toc439245588" w:history="1">
        <w:r w:rsidRPr="00CB0F2E">
          <w:rPr>
            <w:rStyle w:val="Hyperlink"/>
            <w:noProof/>
            <w:lang w:val="en-US"/>
          </w:rPr>
          <w:t>4.1.2 Democratic Elections</w:t>
        </w:r>
        <w:r>
          <w:rPr>
            <w:noProof/>
            <w:webHidden/>
          </w:rPr>
          <w:tab/>
        </w:r>
        <w:r>
          <w:rPr>
            <w:noProof/>
            <w:webHidden/>
          </w:rPr>
          <w:fldChar w:fldCharType="begin"/>
        </w:r>
        <w:r>
          <w:rPr>
            <w:noProof/>
            <w:webHidden/>
          </w:rPr>
          <w:instrText xml:space="preserve"> PAGEREF _Toc439245588 \h </w:instrText>
        </w:r>
        <w:r>
          <w:rPr>
            <w:noProof/>
            <w:webHidden/>
          </w:rPr>
        </w:r>
        <w:r>
          <w:rPr>
            <w:noProof/>
            <w:webHidden/>
          </w:rPr>
          <w:fldChar w:fldCharType="separate"/>
        </w:r>
        <w:r>
          <w:rPr>
            <w:noProof/>
            <w:webHidden/>
          </w:rPr>
          <w:t>62</w:t>
        </w:r>
        <w:r>
          <w:rPr>
            <w:noProof/>
            <w:webHidden/>
          </w:rPr>
          <w:fldChar w:fldCharType="end"/>
        </w:r>
      </w:hyperlink>
    </w:p>
    <w:p w14:paraId="1A335A66" w14:textId="77777777" w:rsidR="00AE1D51" w:rsidRDefault="00AE1D51">
      <w:pPr>
        <w:pStyle w:val="Indholdsfortegnelse3"/>
        <w:tabs>
          <w:tab w:val="right" w:leader="dot" w:pos="9736"/>
        </w:tabs>
        <w:rPr>
          <w:rFonts w:asciiTheme="minorHAnsi" w:eastAsiaTheme="minorEastAsia" w:hAnsiTheme="minorHAnsi" w:cstheme="minorBidi"/>
          <w:i w:val="0"/>
          <w:iCs w:val="0"/>
          <w:noProof/>
          <w:sz w:val="22"/>
          <w:szCs w:val="22"/>
          <w:lang w:eastAsia="da-DK"/>
        </w:rPr>
      </w:pPr>
      <w:hyperlink w:anchor="_Toc439245589" w:history="1">
        <w:r w:rsidRPr="00CB0F2E">
          <w:rPr>
            <w:rStyle w:val="Hyperlink"/>
            <w:noProof/>
            <w:lang w:val="en-US"/>
          </w:rPr>
          <w:t>4.1.3 Political Parties</w:t>
        </w:r>
        <w:r>
          <w:rPr>
            <w:noProof/>
            <w:webHidden/>
          </w:rPr>
          <w:tab/>
        </w:r>
        <w:r>
          <w:rPr>
            <w:noProof/>
            <w:webHidden/>
          </w:rPr>
          <w:fldChar w:fldCharType="begin"/>
        </w:r>
        <w:r>
          <w:rPr>
            <w:noProof/>
            <w:webHidden/>
          </w:rPr>
          <w:instrText xml:space="preserve"> PAGEREF _Toc439245589 \h </w:instrText>
        </w:r>
        <w:r>
          <w:rPr>
            <w:noProof/>
            <w:webHidden/>
          </w:rPr>
        </w:r>
        <w:r>
          <w:rPr>
            <w:noProof/>
            <w:webHidden/>
          </w:rPr>
          <w:fldChar w:fldCharType="separate"/>
        </w:r>
        <w:r>
          <w:rPr>
            <w:noProof/>
            <w:webHidden/>
          </w:rPr>
          <w:t>64</w:t>
        </w:r>
        <w:r>
          <w:rPr>
            <w:noProof/>
            <w:webHidden/>
          </w:rPr>
          <w:fldChar w:fldCharType="end"/>
        </w:r>
      </w:hyperlink>
    </w:p>
    <w:p w14:paraId="3F1FC89B" w14:textId="77777777" w:rsidR="00AE1D51" w:rsidRDefault="00AE1D51">
      <w:pPr>
        <w:pStyle w:val="Indholdsfortegnelse3"/>
        <w:tabs>
          <w:tab w:val="right" w:leader="dot" w:pos="9736"/>
        </w:tabs>
        <w:rPr>
          <w:rFonts w:asciiTheme="minorHAnsi" w:eastAsiaTheme="minorEastAsia" w:hAnsiTheme="minorHAnsi" w:cstheme="minorBidi"/>
          <w:i w:val="0"/>
          <w:iCs w:val="0"/>
          <w:noProof/>
          <w:sz w:val="22"/>
          <w:szCs w:val="22"/>
          <w:lang w:eastAsia="da-DK"/>
        </w:rPr>
      </w:pPr>
      <w:hyperlink w:anchor="_Toc439245590" w:history="1">
        <w:r w:rsidRPr="00CB0F2E">
          <w:rPr>
            <w:rStyle w:val="Hyperlink"/>
            <w:noProof/>
            <w:lang w:val="en-US"/>
          </w:rPr>
          <w:t>4.1.4 Human Rights</w:t>
        </w:r>
        <w:r>
          <w:rPr>
            <w:noProof/>
            <w:webHidden/>
          </w:rPr>
          <w:tab/>
        </w:r>
        <w:r>
          <w:rPr>
            <w:noProof/>
            <w:webHidden/>
          </w:rPr>
          <w:fldChar w:fldCharType="begin"/>
        </w:r>
        <w:r>
          <w:rPr>
            <w:noProof/>
            <w:webHidden/>
          </w:rPr>
          <w:instrText xml:space="preserve"> PAGEREF _Toc439245590 \h </w:instrText>
        </w:r>
        <w:r>
          <w:rPr>
            <w:noProof/>
            <w:webHidden/>
          </w:rPr>
        </w:r>
        <w:r>
          <w:rPr>
            <w:noProof/>
            <w:webHidden/>
          </w:rPr>
          <w:fldChar w:fldCharType="separate"/>
        </w:r>
        <w:r>
          <w:rPr>
            <w:noProof/>
            <w:webHidden/>
          </w:rPr>
          <w:t>68</w:t>
        </w:r>
        <w:r>
          <w:rPr>
            <w:noProof/>
            <w:webHidden/>
          </w:rPr>
          <w:fldChar w:fldCharType="end"/>
        </w:r>
      </w:hyperlink>
    </w:p>
    <w:p w14:paraId="415FBC13" w14:textId="77777777" w:rsidR="00AE1D51" w:rsidRDefault="00AE1D51">
      <w:pPr>
        <w:pStyle w:val="Indholdsfortegnelse3"/>
        <w:tabs>
          <w:tab w:val="right" w:leader="dot" w:pos="9736"/>
        </w:tabs>
        <w:rPr>
          <w:rFonts w:asciiTheme="minorHAnsi" w:eastAsiaTheme="minorEastAsia" w:hAnsiTheme="minorHAnsi" w:cstheme="minorBidi"/>
          <w:i w:val="0"/>
          <w:iCs w:val="0"/>
          <w:noProof/>
          <w:sz w:val="22"/>
          <w:szCs w:val="22"/>
          <w:lang w:eastAsia="da-DK"/>
        </w:rPr>
      </w:pPr>
      <w:hyperlink w:anchor="_Toc439245591" w:history="1">
        <w:r w:rsidRPr="00CB0F2E">
          <w:rPr>
            <w:rStyle w:val="Hyperlink"/>
            <w:noProof/>
            <w:lang w:val="en-GB"/>
          </w:rPr>
          <w:t xml:space="preserve">4.1.5 </w:t>
        </w:r>
        <w:r w:rsidRPr="00CB0F2E">
          <w:rPr>
            <w:rStyle w:val="Hyperlink"/>
            <w:noProof/>
            <w:lang w:val="en-US"/>
          </w:rPr>
          <w:t>The Ombudsman Institution</w:t>
        </w:r>
        <w:r>
          <w:rPr>
            <w:noProof/>
            <w:webHidden/>
          </w:rPr>
          <w:tab/>
        </w:r>
        <w:r>
          <w:rPr>
            <w:noProof/>
            <w:webHidden/>
          </w:rPr>
          <w:fldChar w:fldCharType="begin"/>
        </w:r>
        <w:r>
          <w:rPr>
            <w:noProof/>
            <w:webHidden/>
          </w:rPr>
          <w:instrText xml:space="preserve"> PAGEREF _Toc439245591 \h </w:instrText>
        </w:r>
        <w:r>
          <w:rPr>
            <w:noProof/>
            <w:webHidden/>
          </w:rPr>
        </w:r>
        <w:r>
          <w:rPr>
            <w:noProof/>
            <w:webHidden/>
          </w:rPr>
          <w:fldChar w:fldCharType="separate"/>
        </w:r>
        <w:r>
          <w:rPr>
            <w:noProof/>
            <w:webHidden/>
          </w:rPr>
          <w:t>70</w:t>
        </w:r>
        <w:r>
          <w:rPr>
            <w:noProof/>
            <w:webHidden/>
          </w:rPr>
          <w:fldChar w:fldCharType="end"/>
        </w:r>
      </w:hyperlink>
    </w:p>
    <w:p w14:paraId="10BEEF9C" w14:textId="77777777" w:rsidR="00AE1D51" w:rsidRDefault="00AE1D51">
      <w:pPr>
        <w:pStyle w:val="Indholdsfortegnelse2"/>
        <w:tabs>
          <w:tab w:val="right" w:leader="dot" w:pos="9736"/>
        </w:tabs>
        <w:rPr>
          <w:rFonts w:asciiTheme="minorHAnsi" w:eastAsiaTheme="minorEastAsia" w:hAnsiTheme="minorHAnsi" w:cstheme="minorBidi"/>
          <w:smallCaps w:val="0"/>
          <w:noProof/>
          <w:sz w:val="22"/>
          <w:szCs w:val="22"/>
          <w:lang w:eastAsia="da-DK"/>
        </w:rPr>
      </w:pPr>
      <w:hyperlink w:anchor="_Toc439245592" w:history="1">
        <w:r w:rsidRPr="00CB0F2E">
          <w:rPr>
            <w:rStyle w:val="Hyperlink"/>
            <w:noProof/>
            <w:lang w:val="en-US"/>
          </w:rPr>
          <w:t>4.2 Output 4.1.2 - Capacity of national institutions strengthened for collaborative dialogue to support the establishment and operationalization of the national peace architecture</w:t>
        </w:r>
        <w:r>
          <w:rPr>
            <w:noProof/>
            <w:webHidden/>
          </w:rPr>
          <w:tab/>
        </w:r>
        <w:r>
          <w:rPr>
            <w:noProof/>
            <w:webHidden/>
          </w:rPr>
          <w:fldChar w:fldCharType="begin"/>
        </w:r>
        <w:r>
          <w:rPr>
            <w:noProof/>
            <w:webHidden/>
          </w:rPr>
          <w:instrText xml:space="preserve"> PAGEREF _Toc439245592 \h </w:instrText>
        </w:r>
        <w:r>
          <w:rPr>
            <w:noProof/>
            <w:webHidden/>
          </w:rPr>
        </w:r>
        <w:r>
          <w:rPr>
            <w:noProof/>
            <w:webHidden/>
          </w:rPr>
          <w:fldChar w:fldCharType="separate"/>
        </w:r>
        <w:r>
          <w:rPr>
            <w:noProof/>
            <w:webHidden/>
          </w:rPr>
          <w:t>73</w:t>
        </w:r>
        <w:r>
          <w:rPr>
            <w:noProof/>
            <w:webHidden/>
          </w:rPr>
          <w:fldChar w:fldCharType="end"/>
        </w:r>
      </w:hyperlink>
    </w:p>
    <w:p w14:paraId="07FAEAD3" w14:textId="77777777" w:rsidR="00AE1D51" w:rsidRDefault="00AE1D51">
      <w:pPr>
        <w:pStyle w:val="Indholdsfortegnelse2"/>
        <w:tabs>
          <w:tab w:val="right" w:leader="dot" w:pos="9736"/>
        </w:tabs>
        <w:rPr>
          <w:rFonts w:asciiTheme="minorHAnsi" w:eastAsiaTheme="minorEastAsia" w:hAnsiTheme="minorHAnsi" w:cstheme="minorBidi"/>
          <w:smallCaps w:val="0"/>
          <w:noProof/>
          <w:sz w:val="22"/>
          <w:szCs w:val="22"/>
          <w:lang w:eastAsia="da-DK"/>
        </w:rPr>
      </w:pPr>
      <w:hyperlink w:anchor="_Toc439245593" w:history="1">
        <w:r w:rsidRPr="00CB0F2E">
          <w:rPr>
            <w:rStyle w:val="Hyperlink"/>
            <w:noProof/>
            <w:lang w:val="en-US"/>
          </w:rPr>
          <w:t>4.3 Output 4.1.3 - Local governance structures strengthened in participatory planning, budgeting and managing integrated rural development</w:t>
        </w:r>
        <w:r>
          <w:rPr>
            <w:noProof/>
            <w:webHidden/>
          </w:rPr>
          <w:tab/>
        </w:r>
        <w:r>
          <w:rPr>
            <w:noProof/>
            <w:webHidden/>
          </w:rPr>
          <w:fldChar w:fldCharType="begin"/>
        </w:r>
        <w:r>
          <w:rPr>
            <w:noProof/>
            <w:webHidden/>
          </w:rPr>
          <w:instrText xml:space="preserve"> PAGEREF _Toc439245593 \h </w:instrText>
        </w:r>
        <w:r>
          <w:rPr>
            <w:noProof/>
            <w:webHidden/>
          </w:rPr>
        </w:r>
        <w:r>
          <w:rPr>
            <w:noProof/>
            <w:webHidden/>
          </w:rPr>
          <w:fldChar w:fldCharType="separate"/>
        </w:r>
        <w:r>
          <w:rPr>
            <w:noProof/>
            <w:webHidden/>
          </w:rPr>
          <w:t>74</w:t>
        </w:r>
        <w:r>
          <w:rPr>
            <w:noProof/>
            <w:webHidden/>
          </w:rPr>
          <w:fldChar w:fldCharType="end"/>
        </w:r>
      </w:hyperlink>
    </w:p>
    <w:p w14:paraId="400F4824" w14:textId="77777777" w:rsidR="00AE1D51" w:rsidRDefault="00AE1D51">
      <w:pPr>
        <w:pStyle w:val="Indholdsfortegnelse2"/>
        <w:tabs>
          <w:tab w:val="right" w:leader="dot" w:pos="9736"/>
        </w:tabs>
        <w:rPr>
          <w:rFonts w:asciiTheme="minorHAnsi" w:eastAsiaTheme="minorEastAsia" w:hAnsiTheme="minorHAnsi" w:cstheme="minorBidi"/>
          <w:smallCaps w:val="0"/>
          <w:noProof/>
          <w:sz w:val="22"/>
          <w:szCs w:val="22"/>
          <w:lang w:eastAsia="da-DK"/>
        </w:rPr>
      </w:pPr>
      <w:hyperlink w:anchor="_Toc439245594" w:history="1">
        <w:r w:rsidRPr="00CB0F2E">
          <w:rPr>
            <w:rStyle w:val="Hyperlink"/>
            <w:noProof/>
            <w:lang w:val="en-US"/>
          </w:rPr>
          <w:t>4.4 Concluding Remarks</w:t>
        </w:r>
        <w:r>
          <w:rPr>
            <w:noProof/>
            <w:webHidden/>
          </w:rPr>
          <w:tab/>
        </w:r>
        <w:r>
          <w:rPr>
            <w:noProof/>
            <w:webHidden/>
          </w:rPr>
          <w:fldChar w:fldCharType="begin"/>
        </w:r>
        <w:r>
          <w:rPr>
            <w:noProof/>
            <w:webHidden/>
          </w:rPr>
          <w:instrText xml:space="preserve"> PAGEREF _Toc439245594 \h </w:instrText>
        </w:r>
        <w:r>
          <w:rPr>
            <w:noProof/>
            <w:webHidden/>
          </w:rPr>
        </w:r>
        <w:r>
          <w:rPr>
            <w:noProof/>
            <w:webHidden/>
          </w:rPr>
          <w:fldChar w:fldCharType="separate"/>
        </w:r>
        <w:r>
          <w:rPr>
            <w:noProof/>
            <w:webHidden/>
          </w:rPr>
          <w:t>76</w:t>
        </w:r>
        <w:r>
          <w:rPr>
            <w:noProof/>
            <w:webHidden/>
          </w:rPr>
          <w:fldChar w:fldCharType="end"/>
        </w:r>
      </w:hyperlink>
    </w:p>
    <w:p w14:paraId="254F5C5B" w14:textId="77777777" w:rsidR="00AE1D51" w:rsidRDefault="00AE1D51">
      <w:pPr>
        <w:pStyle w:val="Indholdsfortegnelse1"/>
        <w:tabs>
          <w:tab w:val="right" w:leader="dot" w:pos="9736"/>
        </w:tabs>
        <w:rPr>
          <w:rFonts w:asciiTheme="minorHAnsi" w:eastAsiaTheme="minorEastAsia" w:hAnsiTheme="minorHAnsi" w:cstheme="minorBidi"/>
          <w:b w:val="0"/>
          <w:bCs w:val="0"/>
          <w:caps w:val="0"/>
          <w:noProof/>
          <w:sz w:val="22"/>
          <w:szCs w:val="22"/>
          <w:lang w:eastAsia="da-DK"/>
        </w:rPr>
      </w:pPr>
      <w:hyperlink w:anchor="_Toc439245595" w:history="1">
        <w:r w:rsidRPr="00CB0F2E">
          <w:rPr>
            <w:rStyle w:val="Hyperlink"/>
            <w:noProof/>
            <w:lang w:val="en-US"/>
          </w:rPr>
          <w:t>5. External Factors impeding Implementation and Results Achievements</w:t>
        </w:r>
        <w:r>
          <w:rPr>
            <w:noProof/>
            <w:webHidden/>
          </w:rPr>
          <w:tab/>
        </w:r>
        <w:r>
          <w:rPr>
            <w:noProof/>
            <w:webHidden/>
          </w:rPr>
          <w:fldChar w:fldCharType="begin"/>
        </w:r>
        <w:r>
          <w:rPr>
            <w:noProof/>
            <w:webHidden/>
          </w:rPr>
          <w:instrText xml:space="preserve"> PAGEREF _Toc439245595 \h </w:instrText>
        </w:r>
        <w:r>
          <w:rPr>
            <w:noProof/>
            <w:webHidden/>
          </w:rPr>
        </w:r>
        <w:r>
          <w:rPr>
            <w:noProof/>
            <w:webHidden/>
          </w:rPr>
          <w:fldChar w:fldCharType="separate"/>
        </w:r>
        <w:r>
          <w:rPr>
            <w:noProof/>
            <w:webHidden/>
          </w:rPr>
          <w:t>79</w:t>
        </w:r>
        <w:r>
          <w:rPr>
            <w:noProof/>
            <w:webHidden/>
          </w:rPr>
          <w:fldChar w:fldCharType="end"/>
        </w:r>
      </w:hyperlink>
    </w:p>
    <w:p w14:paraId="7096C946" w14:textId="77777777" w:rsidR="00AE1D51" w:rsidRDefault="00AE1D51">
      <w:pPr>
        <w:pStyle w:val="Indholdsfortegnelse1"/>
        <w:tabs>
          <w:tab w:val="right" w:leader="dot" w:pos="9736"/>
        </w:tabs>
        <w:rPr>
          <w:rFonts w:asciiTheme="minorHAnsi" w:eastAsiaTheme="minorEastAsia" w:hAnsiTheme="minorHAnsi" w:cstheme="minorBidi"/>
          <w:b w:val="0"/>
          <w:bCs w:val="0"/>
          <w:caps w:val="0"/>
          <w:noProof/>
          <w:sz w:val="22"/>
          <w:szCs w:val="22"/>
          <w:lang w:eastAsia="da-DK"/>
        </w:rPr>
      </w:pPr>
      <w:hyperlink w:anchor="_Toc439245596" w:history="1">
        <w:r w:rsidRPr="00CB0F2E">
          <w:rPr>
            <w:rStyle w:val="Hyperlink"/>
            <w:noProof/>
            <w:lang w:val="en-US"/>
          </w:rPr>
          <w:t>6. UNDP Leadership and Coordination</w:t>
        </w:r>
        <w:r>
          <w:rPr>
            <w:noProof/>
            <w:webHidden/>
          </w:rPr>
          <w:tab/>
        </w:r>
        <w:r>
          <w:rPr>
            <w:noProof/>
            <w:webHidden/>
          </w:rPr>
          <w:fldChar w:fldCharType="begin"/>
        </w:r>
        <w:r>
          <w:rPr>
            <w:noProof/>
            <w:webHidden/>
          </w:rPr>
          <w:instrText xml:space="preserve"> PAGEREF _Toc439245596 \h </w:instrText>
        </w:r>
        <w:r>
          <w:rPr>
            <w:noProof/>
            <w:webHidden/>
          </w:rPr>
        </w:r>
        <w:r>
          <w:rPr>
            <w:noProof/>
            <w:webHidden/>
          </w:rPr>
          <w:fldChar w:fldCharType="separate"/>
        </w:r>
        <w:r>
          <w:rPr>
            <w:noProof/>
            <w:webHidden/>
          </w:rPr>
          <w:t>81</w:t>
        </w:r>
        <w:r>
          <w:rPr>
            <w:noProof/>
            <w:webHidden/>
          </w:rPr>
          <w:fldChar w:fldCharType="end"/>
        </w:r>
      </w:hyperlink>
    </w:p>
    <w:p w14:paraId="63B487CD" w14:textId="77777777" w:rsidR="00AE1D51" w:rsidRDefault="00AE1D51">
      <w:pPr>
        <w:pStyle w:val="Indholdsfortegnelse2"/>
        <w:tabs>
          <w:tab w:val="right" w:leader="dot" w:pos="9736"/>
        </w:tabs>
        <w:rPr>
          <w:rFonts w:asciiTheme="minorHAnsi" w:eastAsiaTheme="minorEastAsia" w:hAnsiTheme="minorHAnsi" w:cstheme="minorBidi"/>
          <w:smallCaps w:val="0"/>
          <w:noProof/>
          <w:sz w:val="22"/>
          <w:szCs w:val="22"/>
          <w:lang w:eastAsia="da-DK"/>
        </w:rPr>
      </w:pPr>
      <w:hyperlink w:anchor="_Toc439245597" w:history="1">
        <w:r w:rsidRPr="00CB0F2E">
          <w:rPr>
            <w:rStyle w:val="Hyperlink"/>
            <w:noProof/>
            <w:lang w:val="en-US"/>
          </w:rPr>
          <w:t>6.1 Partnerships and Coordination</w:t>
        </w:r>
        <w:r>
          <w:rPr>
            <w:noProof/>
            <w:webHidden/>
          </w:rPr>
          <w:tab/>
        </w:r>
        <w:r>
          <w:rPr>
            <w:noProof/>
            <w:webHidden/>
          </w:rPr>
          <w:fldChar w:fldCharType="begin"/>
        </w:r>
        <w:r>
          <w:rPr>
            <w:noProof/>
            <w:webHidden/>
          </w:rPr>
          <w:instrText xml:space="preserve"> PAGEREF _Toc439245597 \h </w:instrText>
        </w:r>
        <w:r>
          <w:rPr>
            <w:noProof/>
            <w:webHidden/>
          </w:rPr>
        </w:r>
        <w:r>
          <w:rPr>
            <w:noProof/>
            <w:webHidden/>
          </w:rPr>
          <w:fldChar w:fldCharType="separate"/>
        </w:r>
        <w:r>
          <w:rPr>
            <w:noProof/>
            <w:webHidden/>
          </w:rPr>
          <w:t>81</w:t>
        </w:r>
        <w:r>
          <w:rPr>
            <w:noProof/>
            <w:webHidden/>
          </w:rPr>
          <w:fldChar w:fldCharType="end"/>
        </w:r>
      </w:hyperlink>
    </w:p>
    <w:p w14:paraId="1FCAA99A" w14:textId="77777777" w:rsidR="00AE1D51" w:rsidRDefault="00AE1D51">
      <w:pPr>
        <w:pStyle w:val="Indholdsfortegnelse2"/>
        <w:tabs>
          <w:tab w:val="right" w:leader="dot" w:pos="9736"/>
        </w:tabs>
        <w:rPr>
          <w:rFonts w:asciiTheme="minorHAnsi" w:eastAsiaTheme="minorEastAsia" w:hAnsiTheme="minorHAnsi" w:cstheme="minorBidi"/>
          <w:smallCaps w:val="0"/>
          <w:noProof/>
          <w:sz w:val="22"/>
          <w:szCs w:val="22"/>
          <w:lang w:eastAsia="da-DK"/>
        </w:rPr>
      </w:pPr>
      <w:hyperlink w:anchor="_Toc439245598" w:history="1">
        <w:r w:rsidRPr="00CB0F2E">
          <w:rPr>
            <w:rStyle w:val="Hyperlink"/>
            <w:noProof/>
            <w:lang w:val="en-US"/>
          </w:rPr>
          <w:t>6.1 Portfolio Management</w:t>
        </w:r>
        <w:r>
          <w:rPr>
            <w:noProof/>
            <w:webHidden/>
          </w:rPr>
          <w:tab/>
        </w:r>
        <w:r>
          <w:rPr>
            <w:noProof/>
            <w:webHidden/>
          </w:rPr>
          <w:fldChar w:fldCharType="begin"/>
        </w:r>
        <w:r>
          <w:rPr>
            <w:noProof/>
            <w:webHidden/>
          </w:rPr>
          <w:instrText xml:space="preserve"> PAGEREF _Toc439245598 \h </w:instrText>
        </w:r>
        <w:r>
          <w:rPr>
            <w:noProof/>
            <w:webHidden/>
          </w:rPr>
        </w:r>
        <w:r>
          <w:rPr>
            <w:noProof/>
            <w:webHidden/>
          </w:rPr>
          <w:fldChar w:fldCharType="separate"/>
        </w:r>
        <w:r>
          <w:rPr>
            <w:noProof/>
            <w:webHidden/>
          </w:rPr>
          <w:t>83</w:t>
        </w:r>
        <w:r>
          <w:rPr>
            <w:noProof/>
            <w:webHidden/>
          </w:rPr>
          <w:fldChar w:fldCharType="end"/>
        </w:r>
      </w:hyperlink>
    </w:p>
    <w:p w14:paraId="3CD94287" w14:textId="77777777" w:rsidR="00AE1D51" w:rsidRDefault="00AE1D51">
      <w:pPr>
        <w:pStyle w:val="Indholdsfortegnelse1"/>
        <w:tabs>
          <w:tab w:val="right" w:leader="dot" w:pos="9736"/>
        </w:tabs>
        <w:rPr>
          <w:rFonts w:asciiTheme="minorHAnsi" w:eastAsiaTheme="minorEastAsia" w:hAnsiTheme="minorHAnsi" w:cstheme="minorBidi"/>
          <w:b w:val="0"/>
          <w:bCs w:val="0"/>
          <w:caps w:val="0"/>
          <w:noProof/>
          <w:sz w:val="22"/>
          <w:szCs w:val="22"/>
          <w:lang w:eastAsia="da-DK"/>
        </w:rPr>
      </w:pPr>
      <w:hyperlink w:anchor="_Toc439245599" w:history="1">
        <w:r w:rsidRPr="00CB0F2E">
          <w:rPr>
            <w:rStyle w:val="Hyperlink"/>
            <w:rFonts w:eastAsia="Times New Roman"/>
            <w:noProof/>
            <w:lang w:val="en-US"/>
          </w:rPr>
          <w:t>7. Lessons Learned</w:t>
        </w:r>
        <w:r>
          <w:rPr>
            <w:noProof/>
            <w:webHidden/>
          </w:rPr>
          <w:tab/>
        </w:r>
        <w:r>
          <w:rPr>
            <w:noProof/>
            <w:webHidden/>
          </w:rPr>
          <w:fldChar w:fldCharType="begin"/>
        </w:r>
        <w:r>
          <w:rPr>
            <w:noProof/>
            <w:webHidden/>
          </w:rPr>
          <w:instrText xml:space="preserve"> PAGEREF _Toc439245599 \h </w:instrText>
        </w:r>
        <w:r>
          <w:rPr>
            <w:noProof/>
            <w:webHidden/>
          </w:rPr>
        </w:r>
        <w:r>
          <w:rPr>
            <w:noProof/>
            <w:webHidden/>
          </w:rPr>
          <w:fldChar w:fldCharType="separate"/>
        </w:r>
        <w:r>
          <w:rPr>
            <w:noProof/>
            <w:webHidden/>
          </w:rPr>
          <w:t>86</w:t>
        </w:r>
        <w:r>
          <w:rPr>
            <w:noProof/>
            <w:webHidden/>
          </w:rPr>
          <w:fldChar w:fldCharType="end"/>
        </w:r>
      </w:hyperlink>
    </w:p>
    <w:p w14:paraId="75D9F6C1" w14:textId="77777777" w:rsidR="00AE1D51" w:rsidRDefault="00AE1D51">
      <w:pPr>
        <w:pStyle w:val="Indholdsfortegnelse1"/>
        <w:tabs>
          <w:tab w:val="right" w:leader="dot" w:pos="9736"/>
        </w:tabs>
        <w:rPr>
          <w:rFonts w:asciiTheme="minorHAnsi" w:eastAsiaTheme="minorEastAsia" w:hAnsiTheme="minorHAnsi" w:cstheme="minorBidi"/>
          <w:b w:val="0"/>
          <w:bCs w:val="0"/>
          <w:caps w:val="0"/>
          <w:noProof/>
          <w:sz w:val="22"/>
          <w:szCs w:val="22"/>
          <w:lang w:eastAsia="da-DK"/>
        </w:rPr>
      </w:pPr>
      <w:hyperlink w:anchor="_Toc439245600" w:history="1">
        <w:r w:rsidRPr="00CB0F2E">
          <w:rPr>
            <w:rStyle w:val="Hyperlink"/>
            <w:noProof/>
            <w:lang w:val="en-GB"/>
          </w:rPr>
          <w:t>8. Overall Conclusion and Recommendations</w:t>
        </w:r>
        <w:r>
          <w:rPr>
            <w:noProof/>
            <w:webHidden/>
          </w:rPr>
          <w:tab/>
        </w:r>
        <w:r>
          <w:rPr>
            <w:noProof/>
            <w:webHidden/>
          </w:rPr>
          <w:fldChar w:fldCharType="begin"/>
        </w:r>
        <w:r>
          <w:rPr>
            <w:noProof/>
            <w:webHidden/>
          </w:rPr>
          <w:instrText xml:space="preserve"> PAGEREF _Toc439245600 \h </w:instrText>
        </w:r>
        <w:r>
          <w:rPr>
            <w:noProof/>
            <w:webHidden/>
          </w:rPr>
        </w:r>
        <w:r>
          <w:rPr>
            <w:noProof/>
            <w:webHidden/>
          </w:rPr>
          <w:fldChar w:fldCharType="separate"/>
        </w:r>
        <w:r>
          <w:rPr>
            <w:noProof/>
            <w:webHidden/>
          </w:rPr>
          <w:t>88</w:t>
        </w:r>
        <w:r>
          <w:rPr>
            <w:noProof/>
            <w:webHidden/>
          </w:rPr>
          <w:fldChar w:fldCharType="end"/>
        </w:r>
      </w:hyperlink>
    </w:p>
    <w:p w14:paraId="45DC2F6B" w14:textId="77777777" w:rsidR="00AE1D51" w:rsidRDefault="00AE1D51">
      <w:pPr>
        <w:pStyle w:val="Indholdsfortegnelse1"/>
        <w:tabs>
          <w:tab w:val="right" w:leader="dot" w:pos="9736"/>
        </w:tabs>
        <w:rPr>
          <w:rFonts w:asciiTheme="minorHAnsi" w:eastAsiaTheme="minorEastAsia" w:hAnsiTheme="minorHAnsi" w:cstheme="minorBidi"/>
          <w:b w:val="0"/>
          <w:bCs w:val="0"/>
          <w:caps w:val="0"/>
          <w:noProof/>
          <w:sz w:val="22"/>
          <w:szCs w:val="22"/>
          <w:lang w:eastAsia="da-DK"/>
        </w:rPr>
      </w:pPr>
      <w:hyperlink w:anchor="_Toc439245601" w:history="1">
        <w:r w:rsidRPr="00CB0F2E">
          <w:rPr>
            <w:rStyle w:val="Hyperlink"/>
            <w:rFonts w:eastAsia="Calibri"/>
            <w:noProof/>
          </w:rPr>
          <w:t>Annex 1. Terms of Reference</w:t>
        </w:r>
        <w:r>
          <w:rPr>
            <w:noProof/>
            <w:webHidden/>
          </w:rPr>
          <w:tab/>
        </w:r>
        <w:r>
          <w:rPr>
            <w:noProof/>
            <w:webHidden/>
          </w:rPr>
          <w:fldChar w:fldCharType="begin"/>
        </w:r>
        <w:r>
          <w:rPr>
            <w:noProof/>
            <w:webHidden/>
          </w:rPr>
          <w:instrText xml:space="preserve"> PAGEREF _Toc439245601 \h </w:instrText>
        </w:r>
        <w:r>
          <w:rPr>
            <w:noProof/>
            <w:webHidden/>
          </w:rPr>
        </w:r>
        <w:r>
          <w:rPr>
            <w:noProof/>
            <w:webHidden/>
          </w:rPr>
          <w:fldChar w:fldCharType="separate"/>
        </w:r>
        <w:r>
          <w:rPr>
            <w:noProof/>
            <w:webHidden/>
          </w:rPr>
          <w:t>93</w:t>
        </w:r>
        <w:r>
          <w:rPr>
            <w:noProof/>
            <w:webHidden/>
          </w:rPr>
          <w:fldChar w:fldCharType="end"/>
        </w:r>
      </w:hyperlink>
    </w:p>
    <w:p w14:paraId="2B13E587" w14:textId="77777777" w:rsidR="00AE1D51" w:rsidRDefault="00AE1D51">
      <w:pPr>
        <w:pStyle w:val="Indholdsfortegnelse1"/>
        <w:tabs>
          <w:tab w:val="right" w:leader="dot" w:pos="9736"/>
        </w:tabs>
        <w:rPr>
          <w:rFonts w:asciiTheme="minorHAnsi" w:eastAsiaTheme="minorEastAsia" w:hAnsiTheme="minorHAnsi" w:cstheme="minorBidi"/>
          <w:b w:val="0"/>
          <w:bCs w:val="0"/>
          <w:caps w:val="0"/>
          <w:noProof/>
          <w:sz w:val="22"/>
          <w:szCs w:val="22"/>
          <w:lang w:eastAsia="da-DK"/>
        </w:rPr>
      </w:pPr>
      <w:hyperlink w:anchor="_Toc439245602" w:history="1">
        <w:r w:rsidRPr="00CB0F2E">
          <w:rPr>
            <w:rStyle w:val="Hyperlink"/>
            <w:rFonts w:eastAsia="Calibri"/>
            <w:noProof/>
            <w:lang w:val="en-US"/>
          </w:rPr>
          <w:t xml:space="preserve">Annex 2. </w:t>
        </w:r>
        <w:r w:rsidRPr="00CB0F2E">
          <w:rPr>
            <w:rStyle w:val="Hyperlink"/>
            <w:noProof/>
            <w:lang w:val="en-US"/>
          </w:rPr>
          <w:t>List of Documents</w:t>
        </w:r>
        <w:r>
          <w:rPr>
            <w:noProof/>
            <w:webHidden/>
          </w:rPr>
          <w:tab/>
        </w:r>
        <w:r>
          <w:rPr>
            <w:noProof/>
            <w:webHidden/>
          </w:rPr>
          <w:fldChar w:fldCharType="begin"/>
        </w:r>
        <w:r>
          <w:rPr>
            <w:noProof/>
            <w:webHidden/>
          </w:rPr>
          <w:instrText xml:space="preserve"> PAGEREF _Toc439245602 \h </w:instrText>
        </w:r>
        <w:r>
          <w:rPr>
            <w:noProof/>
            <w:webHidden/>
          </w:rPr>
        </w:r>
        <w:r>
          <w:rPr>
            <w:noProof/>
            <w:webHidden/>
          </w:rPr>
          <w:fldChar w:fldCharType="separate"/>
        </w:r>
        <w:r>
          <w:rPr>
            <w:noProof/>
            <w:webHidden/>
          </w:rPr>
          <w:t>101</w:t>
        </w:r>
        <w:r>
          <w:rPr>
            <w:noProof/>
            <w:webHidden/>
          </w:rPr>
          <w:fldChar w:fldCharType="end"/>
        </w:r>
      </w:hyperlink>
    </w:p>
    <w:p w14:paraId="355934B9" w14:textId="77777777" w:rsidR="00AE1D51" w:rsidRDefault="00AE1D51">
      <w:pPr>
        <w:pStyle w:val="Indholdsfortegnelse1"/>
        <w:tabs>
          <w:tab w:val="right" w:leader="dot" w:pos="9736"/>
        </w:tabs>
        <w:rPr>
          <w:rFonts w:asciiTheme="minorHAnsi" w:eastAsiaTheme="minorEastAsia" w:hAnsiTheme="minorHAnsi" w:cstheme="minorBidi"/>
          <w:b w:val="0"/>
          <w:bCs w:val="0"/>
          <w:caps w:val="0"/>
          <w:noProof/>
          <w:sz w:val="22"/>
          <w:szCs w:val="22"/>
          <w:lang w:eastAsia="da-DK"/>
        </w:rPr>
      </w:pPr>
      <w:hyperlink w:anchor="_Toc439245603" w:history="1">
        <w:r w:rsidRPr="00CB0F2E">
          <w:rPr>
            <w:rStyle w:val="Hyperlink"/>
            <w:noProof/>
          </w:rPr>
          <w:t xml:space="preserve">Annex 3. </w:t>
        </w:r>
        <w:r w:rsidRPr="00CB0F2E">
          <w:rPr>
            <w:rStyle w:val="Hyperlink"/>
            <w:rFonts w:eastAsia="Calibri"/>
            <w:noProof/>
          </w:rPr>
          <w:t>Schedule of Meetings</w:t>
        </w:r>
        <w:r>
          <w:rPr>
            <w:noProof/>
            <w:webHidden/>
          </w:rPr>
          <w:tab/>
        </w:r>
        <w:r>
          <w:rPr>
            <w:noProof/>
            <w:webHidden/>
          </w:rPr>
          <w:fldChar w:fldCharType="begin"/>
        </w:r>
        <w:r>
          <w:rPr>
            <w:noProof/>
            <w:webHidden/>
          </w:rPr>
          <w:instrText xml:space="preserve"> PAGEREF _Toc439245603 \h </w:instrText>
        </w:r>
        <w:r>
          <w:rPr>
            <w:noProof/>
            <w:webHidden/>
          </w:rPr>
        </w:r>
        <w:r>
          <w:rPr>
            <w:noProof/>
            <w:webHidden/>
          </w:rPr>
          <w:fldChar w:fldCharType="separate"/>
        </w:r>
        <w:r>
          <w:rPr>
            <w:noProof/>
            <w:webHidden/>
          </w:rPr>
          <w:t>104</w:t>
        </w:r>
        <w:r>
          <w:rPr>
            <w:noProof/>
            <w:webHidden/>
          </w:rPr>
          <w:fldChar w:fldCharType="end"/>
        </w:r>
      </w:hyperlink>
    </w:p>
    <w:p w14:paraId="3A487E64" w14:textId="77777777" w:rsidR="00AE1D51" w:rsidRDefault="00AE1D51">
      <w:pPr>
        <w:pStyle w:val="Indholdsfortegnelse1"/>
        <w:tabs>
          <w:tab w:val="right" w:leader="dot" w:pos="9736"/>
        </w:tabs>
        <w:rPr>
          <w:rFonts w:asciiTheme="minorHAnsi" w:eastAsiaTheme="minorEastAsia" w:hAnsiTheme="minorHAnsi" w:cstheme="minorBidi"/>
          <w:b w:val="0"/>
          <w:bCs w:val="0"/>
          <w:caps w:val="0"/>
          <w:noProof/>
          <w:sz w:val="22"/>
          <w:szCs w:val="22"/>
          <w:lang w:eastAsia="da-DK"/>
        </w:rPr>
      </w:pPr>
      <w:hyperlink w:anchor="_Toc439245604" w:history="1">
        <w:r w:rsidRPr="00CB0F2E">
          <w:rPr>
            <w:rStyle w:val="Hyperlink"/>
            <w:noProof/>
          </w:rPr>
          <w:t>Annex 4. List of Persons Met</w:t>
        </w:r>
        <w:r>
          <w:rPr>
            <w:noProof/>
            <w:webHidden/>
          </w:rPr>
          <w:tab/>
        </w:r>
        <w:r>
          <w:rPr>
            <w:noProof/>
            <w:webHidden/>
          </w:rPr>
          <w:fldChar w:fldCharType="begin"/>
        </w:r>
        <w:r>
          <w:rPr>
            <w:noProof/>
            <w:webHidden/>
          </w:rPr>
          <w:instrText xml:space="preserve"> PAGEREF _Toc439245604 \h </w:instrText>
        </w:r>
        <w:r>
          <w:rPr>
            <w:noProof/>
            <w:webHidden/>
          </w:rPr>
        </w:r>
        <w:r>
          <w:rPr>
            <w:noProof/>
            <w:webHidden/>
          </w:rPr>
          <w:fldChar w:fldCharType="separate"/>
        </w:r>
        <w:r>
          <w:rPr>
            <w:noProof/>
            <w:webHidden/>
          </w:rPr>
          <w:t>107</w:t>
        </w:r>
        <w:r>
          <w:rPr>
            <w:noProof/>
            <w:webHidden/>
          </w:rPr>
          <w:fldChar w:fldCharType="end"/>
        </w:r>
      </w:hyperlink>
    </w:p>
    <w:p w14:paraId="0A258C5C" w14:textId="77777777" w:rsidR="00AE1D51" w:rsidRDefault="00AE1D51">
      <w:pPr>
        <w:pStyle w:val="Indholdsfortegnelse1"/>
        <w:tabs>
          <w:tab w:val="right" w:leader="dot" w:pos="9736"/>
        </w:tabs>
        <w:rPr>
          <w:rFonts w:asciiTheme="minorHAnsi" w:eastAsiaTheme="minorEastAsia" w:hAnsiTheme="minorHAnsi" w:cstheme="minorBidi"/>
          <w:b w:val="0"/>
          <w:bCs w:val="0"/>
          <w:caps w:val="0"/>
          <w:noProof/>
          <w:sz w:val="22"/>
          <w:szCs w:val="22"/>
          <w:lang w:eastAsia="da-DK"/>
        </w:rPr>
      </w:pPr>
      <w:hyperlink w:anchor="_Toc439245605" w:history="1">
        <w:r w:rsidRPr="00CB0F2E">
          <w:rPr>
            <w:rStyle w:val="Hyperlink"/>
            <w:rFonts w:eastAsia="Calibri"/>
            <w:noProof/>
          </w:rPr>
          <w:t xml:space="preserve">Annex 5. </w:t>
        </w:r>
        <w:r w:rsidRPr="00CB0F2E">
          <w:rPr>
            <w:rStyle w:val="Hyperlink"/>
            <w:noProof/>
          </w:rPr>
          <w:t>Evaluation Criteria Matrix</w:t>
        </w:r>
        <w:r>
          <w:rPr>
            <w:noProof/>
            <w:webHidden/>
          </w:rPr>
          <w:tab/>
        </w:r>
        <w:r>
          <w:rPr>
            <w:noProof/>
            <w:webHidden/>
          </w:rPr>
          <w:fldChar w:fldCharType="begin"/>
        </w:r>
        <w:r>
          <w:rPr>
            <w:noProof/>
            <w:webHidden/>
          </w:rPr>
          <w:instrText xml:space="preserve"> PAGEREF _Toc439245605 \h </w:instrText>
        </w:r>
        <w:r>
          <w:rPr>
            <w:noProof/>
            <w:webHidden/>
          </w:rPr>
        </w:r>
        <w:r>
          <w:rPr>
            <w:noProof/>
            <w:webHidden/>
          </w:rPr>
          <w:fldChar w:fldCharType="separate"/>
        </w:r>
        <w:r>
          <w:rPr>
            <w:noProof/>
            <w:webHidden/>
          </w:rPr>
          <w:t>109</w:t>
        </w:r>
        <w:r>
          <w:rPr>
            <w:noProof/>
            <w:webHidden/>
          </w:rPr>
          <w:fldChar w:fldCharType="end"/>
        </w:r>
      </w:hyperlink>
    </w:p>
    <w:p w14:paraId="5D866A94" w14:textId="77777777" w:rsidR="00AE1D51" w:rsidRDefault="00AE1D51">
      <w:pPr>
        <w:pStyle w:val="Indholdsfortegnelse1"/>
        <w:tabs>
          <w:tab w:val="right" w:leader="dot" w:pos="9736"/>
        </w:tabs>
        <w:rPr>
          <w:rFonts w:asciiTheme="minorHAnsi" w:eastAsiaTheme="minorEastAsia" w:hAnsiTheme="minorHAnsi" w:cstheme="minorBidi"/>
          <w:b w:val="0"/>
          <w:bCs w:val="0"/>
          <w:caps w:val="0"/>
          <w:noProof/>
          <w:sz w:val="22"/>
          <w:szCs w:val="22"/>
          <w:lang w:eastAsia="da-DK"/>
        </w:rPr>
      </w:pPr>
      <w:hyperlink w:anchor="_Toc439245606" w:history="1">
        <w:r w:rsidRPr="00CB0F2E">
          <w:rPr>
            <w:rStyle w:val="Hyperlink"/>
            <w:rFonts w:eastAsia="Calibri"/>
            <w:noProof/>
            <w:lang w:val="en-US"/>
          </w:rPr>
          <w:t>Annex 6. UNDAF Outcome 4.1 - Action Plan 2012-2016</w:t>
        </w:r>
        <w:r>
          <w:rPr>
            <w:noProof/>
            <w:webHidden/>
          </w:rPr>
          <w:tab/>
        </w:r>
        <w:r>
          <w:rPr>
            <w:noProof/>
            <w:webHidden/>
          </w:rPr>
          <w:fldChar w:fldCharType="begin"/>
        </w:r>
        <w:r>
          <w:rPr>
            <w:noProof/>
            <w:webHidden/>
          </w:rPr>
          <w:instrText xml:space="preserve"> PAGEREF _Toc439245606 \h </w:instrText>
        </w:r>
        <w:r>
          <w:rPr>
            <w:noProof/>
            <w:webHidden/>
          </w:rPr>
        </w:r>
        <w:r>
          <w:rPr>
            <w:noProof/>
            <w:webHidden/>
          </w:rPr>
          <w:fldChar w:fldCharType="separate"/>
        </w:r>
        <w:r>
          <w:rPr>
            <w:noProof/>
            <w:webHidden/>
          </w:rPr>
          <w:t>116</w:t>
        </w:r>
        <w:r>
          <w:rPr>
            <w:noProof/>
            <w:webHidden/>
          </w:rPr>
          <w:fldChar w:fldCharType="end"/>
        </w:r>
      </w:hyperlink>
    </w:p>
    <w:p w14:paraId="08B3A2B6" w14:textId="77777777" w:rsidR="00AE1D51" w:rsidRDefault="00AE1D51">
      <w:pPr>
        <w:pStyle w:val="Indholdsfortegnelse1"/>
        <w:tabs>
          <w:tab w:val="right" w:leader="dot" w:pos="9736"/>
        </w:tabs>
        <w:rPr>
          <w:rFonts w:asciiTheme="minorHAnsi" w:eastAsiaTheme="minorEastAsia" w:hAnsiTheme="minorHAnsi" w:cstheme="minorBidi"/>
          <w:b w:val="0"/>
          <w:bCs w:val="0"/>
          <w:caps w:val="0"/>
          <w:noProof/>
          <w:sz w:val="22"/>
          <w:szCs w:val="22"/>
          <w:lang w:eastAsia="da-DK"/>
        </w:rPr>
      </w:pPr>
      <w:hyperlink w:anchor="_Toc439245607" w:history="1">
        <w:r w:rsidRPr="00CB0F2E">
          <w:rPr>
            <w:rStyle w:val="Hyperlink"/>
            <w:noProof/>
            <w:lang w:val="en-US"/>
          </w:rPr>
          <w:t xml:space="preserve">Annex 7. </w:t>
        </w:r>
        <w:r w:rsidRPr="00CB0F2E">
          <w:rPr>
            <w:rStyle w:val="Hyperlink"/>
            <w:rFonts w:eastAsia="Calibri"/>
            <w:noProof/>
            <w:lang w:val="en-US"/>
          </w:rPr>
          <w:t>UNDAF Outcome 4.1 - Results Matrix (2013 Revision)</w:t>
        </w:r>
        <w:r>
          <w:rPr>
            <w:noProof/>
            <w:webHidden/>
          </w:rPr>
          <w:tab/>
        </w:r>
        <w:r>
          <w:rPr>
            <w:noProof/>
            <w:webHidden/>
          </w:rPr>
          <w:fldChar w:fldCharType="begin"/>
        </w:r>
        <w:r>
          <w:rPr>
            <w:noProof/>
            <w:webHidden/>
          </w:rPr>
          <w:instrText xml:space="preserve"> PAGEREF _Toc439245607 \h </w:instrText>
        </w:r>
        <w:r>
          <w:rPr>
            <w:noProof/>
            <w:webHidden/>
          </w:rPr>
        </w:r>
        <w:r>
          <w:rPr>
            <w:noProof/>
            <w:webHidden/>
          </w:rPr>
          <w:fldChar w:fldCharType="separate"/>
        </w:r>
        <w:r>
          <w:rPr>
            <w:noProof/>
            <w:webHidden/>
          </w:rPr>
          <w:t>127</w:t>
        </w:r>
        <w:r>
          <w:rPr>
            <w:noProof/>
            <w:webHidden/>
          </w:rPr>
          <w:fldChar w:fldCharType="end"/>
        </w:r>
      </w:hyperlink>
    </w:p>
    <w:p w14:paraId="6E75C5A7" w14:textId="77777777" w:rsidR="00AE1D51" w:rsidRDefault="00AE1D51">
      <w:pPr>
        <w:pStyle w:val="Indholdsfortegnelse1"/>
        <w:tabs>
          <w:tab w:val="right" w:leader="dot" w:pos="9736"/>
        </w:tabs>
        <w:rPr>
          <w:rFonts w:asciiTheme="minorHAnsi" w:eastAsiaTheme="minorEastAsia" w:hAnsiTheme="minorHAnsi" w:cstheme="minorBidi"/>
          <w:b w:val="0"/>
          <w:bCs w:val="0"/>
          <w:caps w:val="0"/>
          <w:noProof/>
          <w:sz w:val="22"/>
          <w:szCs w:val="22"/>
          <w:lang w:eastAsia="da-DK"/>
        </w:rPr>
      </w:pPr>
      <w:hyperlink w:anchor="_Toc439245608" w:history="1">
        <w:r w:rsidRPr="00CB0F2E">
          <w:rPr>
            <w:rStyle w:val="Hyperlink"/>
            <w:noProof/>
            <w:lang w:val="en-US"/>
          </w:rPr>
          <w:t xml:space="preserve">Annex 8. </w:t>
        </w:r>
        <w:r w:rsidRPr="00CB0F2E">
          <w:rPr>
            <w:rStyle w:val="Hyperlink"/>
            <w:rFonts w:eastAsia="Calibri"/>
            <w:noProof/>
            <w:lang w:val="en-US"/>
          </w:rPr>
          <w:t>UNDAF Outcome 4.1 - Results Chain, Project Linkages and Output Achievements</w:t>
        </w:r>
        <w:r>
          <w:rPr>
            <w:noProof/>
            <w:webHidden/>
          </w:rPr>
          <w:tab/>
        </w:r>
        <w:r>
          <w:rPr>
            <w:noProof/>
            <w:webHidden/>
          </w:rPr>
          <w:fldChar w:fldCharType="begin"/>
        </w:r>
        <w:r>
          <w:rPr>
            <w:noProof/>
            <w:webHidden/>
          </w:rPr>
          <w:instrText xml:space="preserve"> PAGEREF _Toc439245608 \h </w:instrText>
        </w:r>
        <w:r>
          <w:rPr>
            <w:noProof/>
            <w:webHidden/>
          </w:rPr>
        </w:r>
        <w:r>
          <w:rPr>
            <w:noProof/>
            <w:webHidden/>
          </w:rPr>
          <w:fldChar w:fldCharType="separate"/>
        </w:r>
        <w:r>
          <w:rPr>
            <w:noProof/>
            <w:webHidden/>
          </w:rPr>
          <w:t>128</w:t>
        </w:r>
        <w:r>
          <w:rPr>
            <w:noProof/>
            <w:webHidden/>
          </w:rPr>
          <w:fldChar w:fldCharType="end"/>
        </w:r>
      </w:hyperlink>
    </w:p>
    <w:p w14:paraId="4999525B" w14:textId="77777777" w:rsidR="00082A54" w:rsidRDefault="001B426E" w:rsidP="00311B35">
      <w:pPr>
        <w:rPr>
          <w:rFonts w:cs="Arial"/>
        </w:rPr>
      </w:pPr>
      <w:r>
        <w:rPr>
          <w:rFonts w:cs="Arial"/>
          <w:b/>
          <w:bCs/>
          <w:caps/>
          <w:sz w:val="20"/>
          <w:szCs w:val="20"/>
        </w:rPr>
        <w:fldChar w:fldCharType="end"/>
      </w:r>
    </w:p>
    <w:p w14:paraId="19F95357" w14:textId="77777777" w:rsidR="00082A54" w:rsidRPr="0094330A" w:rsidRDefault="00082A54" w:rsidP="00311B35">
      <w:pPr>
        <w:rPr>
          <w:rFonts w:cs="Arial"/>
        </w:rPr>
        <w:sectPr w:rsidR="00082A54" w:rsidRPr="0094330A" w:rsidSect="007D7A7E">
          <w:pgSz w:w="11906" w:h="16838"/>
          <w:pgMar w:top="1440" w:right="1080" w:bottom="1440" w:left="1080" w:header="708" w:footer="708" w:gutter="0"/>
          <w:cols w:space="708"/>
          <w:docGrid w:linePitch="360"/>
        </w:sectPr>
      </w:pPr>
    </w:p>
    <w:p w14:paraId="0CFEE1C3" w14:textId="77777777" w:rsidR="00C72910" w:rsidRPr="00CD56B9" w:rsidRDefault="00C72910" w:rsidP="00C72910">
      <w:pPr>
        <w:pStyle w:val="Overskrift1"/>
        <w:rPr>
          <w:lang w:val="en-US"/>
        </w:rPr>
      </w:pPr>
      <w:bookmarkStart w:id="1" w:name="_Toc439245570"/>
      <w:r w:rsidRPr="00CD56B9">
        <w:rPr>
          <w:lang w:val="en-US"/>
        </w:rPr>
        <w:lastRenderedPageBreak/>
        <w:t>Acknowledgements</w:t>
      </w:r>
      <w:bookmarkEnd w:id="1"/>
    </w:p>
    <w:p w14:paraId="2927AF50" w14:textId="77777777" w:rsidR="00740CDA" w:rsidRPr="00CD56B9" w:rsidRDefault="00740CDA" w:rsidP="00740CDA">
      <w:pPr>
        <w:rPr>
          <w:lang w:val="en-US"/>
        </w:rPr>
      </w:pPr>
    </w:p>
    <w:p w14:paraId="727D4FC0" w14:textId="77777777" w:rsidR="00740CDA" w:rsidRPr="00CD56B9" w:rsidRDefault="00740CDA" w:rsidP="00740CDA">
      <w:pPr>
        <w:rPr>
          <w:lang w:val="en-US"/>
        </w:rPr>
      </w:pPr>
      <w:r w:rsidRPr="00CD56B9">
        <w:rPr>
          <w:lang w:val="en-US"/>
        </w:rPr>
        <w:t>The mid-term evaluation (MTE) of the UNDAF Outcome 4.1</w:t>
      </w:r>
      <w:r w:rsidR="0056261B" w:rsidRPr="00CD56B9">
        <w:rPr>
          <w:lang w:val="en-US"/>
        </w:rPr>
        <w:t xml:space="preserve"> (</w:t>
      </w:r>
      <w:r w:rsidRPr="00CD56B9">
        <w:rPr>
          <w:lang w:val="en-US"/>
        </w:rPr>
        <w:t>2012-2016</w:t>
      </w:r>
      <w:r w:rsidR="0056261B" w:rsidRPr="00CD56B9">
        <w:rPr>
          <w:lang w:val="en-US"/>
        </w:rPr>
        <w:t>)</w:t>
      </w:r>
      <w:r w:rsidRPr="00CD56B9">
        <w:rPr>
          <w:lang w:val="en-US"/>
        </w:rPr>
        <w:t xml:space="preserve"> </w:t>
      </w:r>
      <w:r w:rsidR="0018440B" w:rsidRPr="00CD56B9">
        <w:rPr>
          <w:lang w:val="en-US"/>
        </w:rPr>
        <w:t xml:space="preserve">was jointly commissioned by the UNCT </w:t>
      </w:r>
      <w:r w:rsidR="00B85228">
        <w:rPr>
          <w:lang w:val="en-US"/>
        </w:rPr>
        <w:t xml:space="preserve">and the Government of Malawi. It </w:t>
      </w:r>
      <w:r w:rsidRPr="00CD56B9">
        <w:rPr>
          <w:lang w:val="en-US"/>
        </w:rPr>
        <w:t>included an in-country mission from 2</w:t>
      </w:r>
      <w:r w:rsidR="0018440B" w:rsidRPr="00CD56B9">
        <w:rPr>
          <w:lang w:val="en-US"/>
        </w:rPr>
        <w:t>6</w:t>
      </w:r>
      <w:r w:rsidR="00C177D8" w:rsidRPr="00CD56B9">
        <w:rPr>
          <w:vertAlign w:val="superscript"/>
          <w:lang w:val="en-US"/>
        </w:rPr>
        <w:t>th</w:t>
      </w:r>
      <w:r w:rsidR="00C177D8" w:rsidRPr="00CD56B9">
        <w:rPr>
          <w:lang w:val="en-US"/>
        </w:rPr>
        <w:t xml:space="preserve"> </w:t>
      </w:r>
      <w:r w:rsidRPr="00CD56B9">
        <w:rPr>
          <w:lang w:val="en-US"/>
        </w:rPr>
        <w:t>October to 19</w:t>
      </w:r>
      <w:r w:rsidR="00C177D8" w:rsidRPr="00CD56B9">
        <w:rPr>
          <w:vertAlign w:val="superscript"/>
          <w:lang w:val="en-US"/>
        </w:rPr>
        <w:t>th</w:t>
      </w:r>
      <w:r w:rsidR="00C177D8" w:rsidRPr="00CD56B9">
        <w:rPr>
          <w:lang w:val="en-US"/>
        </w:rPr>
        <w:t xml:space="preserve"> </w:t>
      </w:r>
      <w:r w:rsidRPr="00CD56B9">
        <w:rPr>
          <w:lang w:val="en-US"/>
        </w:rPr>
        <w:t xml:space="preserve">November 2015, where the team </w:t>
      </w:r>
      <w:r w:rsidR="0018440B" w:rsidRPr="00CD56B9">
        <w:rPr>
          <w:lang w:val="en-US"/>
        </w:rPr>
        <w:t xml:space="preserve">engaged </w:t>
      </w:r>
      <w:r w:rsidRPr="00CD56B9">
        <w:rPr>
          <w:lang w:val="en-US"/>
        </w:rPr>
        <w:t xml:space="preserve">with </w:t>
      </w:r>
      <w:r w:rsidR="0056261B" w:rsidRPr="00CD56B9">
        <w:rPr>
          <w:lang w:val="en-US"/>
        </w:rPr>
        <w:t xml:space="preserve">key stakeholders in Government and </w:t>
      </w:r>
      <w:r w:rsidRPr="00CD56B9">
        <w:rPr>
          <w:lang w:val="en-US"/>
        </w:rPr>
        <w:t xml:space="preserve">civil society, and </w:t>
      </w:r>
      <w:r w:rsidR="0056261B" w:rsidRPr="00CD56B9">
        <w:rPr>
          <w:lang w:val="en-US"/>
        </w:rPr>
        <w:t xml:space="preserve">with </w:t>
      </w:r>
      <w:r w:rsidRPr="00CD56B9">
        <w:rPr>
          <w:lang w:val="en-US"/>
        </w:rPr>
        <w:t>international development partners.</w:t>
      </w:r>
    </w:p>
    <w:p w14:paraId="4C6961B9" w14:textId="77777777" w:rsidR="00E3029F" w:rsidRPr="00CD56B9" w:rsidRDefault="00E3029F" w:rsidP="00740CDA">
      <w:pPr>
        <w:rPr>
          <w:lang w:val="en-US"/>
        </w:rPr>
      </w:pPr>
      <w:r w:rsidRPr="00CD56B9">
        <w:rPr>
          <w:lang w:val="en-US"/>
        </w:rPr>
        <w:t>The MTE</w:t>
      </w:r>
      <w:r w:rsidR="00740CDA" w:rsidRPr="00CD56B9">
        <w:rPr>
          <w:lang w:val="en-US"/>
        </w:rPr>
        <w:t xml:space="preserve"> team would like to thank all stakeholders for the warm hospitality and </w:t>
      </w:r>
      <w:r w:rsidRPr="00CD56B9">
        <w:rPr>
          <w:lang w:val="en-US"/>
        </w:rPr>
        <w:t xml:space="preserve">the </w:t>
      </w:r>
      <w:r w:rsidR="00740CDA" w:rsidRPr="00CD56B9">
        <w:rPr>
          <w:lang w:val="en-US"/>
        </w:rPr>
        <w:t xml:space="preserve">open discussions with us and for sharing of valuable lessons learned. </w:t>
      </w:r>
      <w:r w:rsidRPr="00CD56B9">
        <w:rPr>
          <w:lang w:val="en-US"/>
        </w:rPr>
        <w:t xml:space="preserve">A thank you is also extended to the MoLGRD for inviting the team as observers during the SWG </w:t>
      </w:r>
      <w:r w:rsidR="004371F7" w:rsidRPr="00CD56B9">
        <w:rPr>
          <w:lang w:val="en-US"/>
        </w:rPr>
        <w:t xml:space="preserve">meeting on </w:t>
      </w:r>
      <w:r w:rsidR="00B238A9" w:rsidRPr="00CD56B9">
        <w:rPr>
          <w:lang w:val="en-US"/>
        </w:rPr>
        <w:t>decentralization</w:t>
      </w:r>
      <w:r w:rsidRPr="00CD56B9">
        <w:rPr>
          <w:lang w:val="en-US"/>
        </w:rPr>
        <w:t xml:space="preserve"> and IRD, which gave us additional inputs to this report. Some meetings could only be </w:t>
      </w:r>
      <w:r w:rsidR="0056261B" w:rsidRPr="00CD56B9">
        <w:rPr>
          <w:lang w:val="en-US"/>
        </w:rPr>
        <w:t>scheduled</w:t>
      </w:r>
      <w:r w:rsidRPr="00CD56B9">
        <w:rPr>
          <w:lang w:val="en-US"/>
        </w:rPr>
        <w:t xml:space="preserve"> with short notice, including the final debriefing meeting at UNDP, and the team highly appreciates the efforts of project stakeholders to </w:t>
      </w:r>
      <w:r w:rsidR="00784170" w:rsidRPr="00CD56B9">
        <w:rPr>
          <w:lang w:val="en-US"/>
        </w:rPr>
        <w:t xml:space="preserve">give priority to these </w:t>
      </w:r>
      <w:r w:rsidRPr="00CD56B9">
        <w:rPr>
          <w:lang w:val="en-US"/>
        </w:rPr>
        <w:t>meetings</w:t>
      </w:r>
      <w:r w:rsidR="007047D1" w:rsidRPr="00CD56B9">
        <w:rPr>
          <w:lang w:val="en-US"/>
        </w:rPr>
        <w:t xml:space="preserve"> nonetheless</w:t>
      </w:r>
      <w:r w:rsidRPr="00CD56B9">
        <w:rPr>
          <w:lang w:val="en-US"/>
        </w:rPr>
        <w:t xml:space="preserve">, </w:t>
      </w:r>
      <w:r w:rsidR="00784170" w:rsidRPr="00CD56B9">
        <w:rPr>
          <w:lang w:val="en-US"/>
        </w:rPr>
        <w:t xml:space="preserve">which has greatly </w:t>
      </w:r>
      <w:r w:rsidRPr="00CD56B9">
        <w:rPr>
          <w:lang w:val="en-US"/>
        </w:rPr>
        <w:t>facilit</w:t>
      </w:r>
      <w:r w:rsidR="00784170" w:rsidRPr="00CD56B9">
        <w:rPr>
          <w:lang w:val="en-US"/>
        </w:rPr>
        <w:t>ated</w:t>
      </w:r>
      <w:r w:rsidRPr="00CD56B9">
        <w:rPr>
          <w:lang w:val="en-US"/>
        </w:rPr>
        <w:t xml:space="preserve"> the drafting of this report. </w:t>
      </w:r>
    </w:p>
    <w:p w14:paraId="01D6E27C" w14:textId="1F800DB7" w:rsidR="00740CDA" w:rsidRPr="00CD56B9" w:rsidRDefault="00740CDA" w:rsidP="00740CDA">
      <w:pPr>
        <w:rPr>
          <w:lang w:val="en-US"/>
        </w:rPr>
      </w:pPr>
      <w:r w:rsidRPr="00CD56B9">
        <w:rPr>
          <w:lang w:val="en-US"/>
        </w:rPr>
        <w:t xml:space="preserve">The assignment could not have been accomplished without </w:t>
      </w:r>
      <w:r w:rsidR="00AF5778" w:rsidRPr="00CD56B9">
        <w:rPr>
          <w:lang w:val="en-US"/>
        </w:rPr>
        <w:t xml:space="preserve">the backing and </w:t>
      </w:r>
      <w:r w:rsidRPr="00CD56B9">
        <w:rPr>
          <w:lang w:val="en-US"/>
        </w:rPr>
        <w:t>logistical support from UNDP staff</w:t>
      </w:r>
      <w:r w:rsidR="000A3CF2">
        <w:rPr>
          <w:lang w:val="en-US"/>
        </w:rPr>
        <w:t>. Therefore,</w:t>
      </w:r>
      <w:r w:rsidRPr="00CD56B9">
        <w:rPr>
          <w:lang w:val="en-US"/>
        </w:rPr>
        <w:t xml:space="preserve"> the team would like to extend </w:t>
      </w:r>
      <w:r w:rsidR="00A71B5C" w:rsidRPr="00CD56B9">
        <w:rPr>
          <w:lang w:val="en-US"/>
        </w:rPr>
        <w:t>its appreciation</w:t>
      </w:r>
      <w:r w:rsidRPr="00CD56B9">
        <w:rPr>
          <w:lang w:val="en-US"/>
        </w:rPr>
        <w:t xml:space="preserve"> to the UNDP CO for all arrangements made, above </w:t>
      </w:r>
      <w:r w:rsidR="00AF5778" w:rsidRPr="00CD56B9">
        <w:rPr>
          <w:lang w:val="en-US"/>
        </w:rPr>
        <w:t xml:space="preserve">all those relating to meetings </w:t>
      </w:r>
      <w:r w:rsidRPr="00CD56B9">
        <w:rPr>
          <w:lang w:val="en-US"/>
        </w:rPr>
        <w:t>and accommodation.</w:t>
      </w:r>
    </w:p>
    <w:p w14:paraId="2BBB4E38" w14:textId="77777777" w:rsidR="007917A3" w:rsidRPr="00CD56B9" w:rsidRDefault="007917A3" w:rsidP="007917A3">
      <w:pPr>
        <w:rPr>
          <w:lang w:val="en-US"/>
        </w:rPr>
      </w:pPr>
      <w:r w:rsidRPr="00CD56B9">
        <w:rPr>
          <w:lang w:val="en-US"/>
        </w:rPr>
        <w:t>The team has done its best to reflect all views expressed during the mission, but ultimately the findings and recommendations in this report represent the assessments of the team and are subject to further review and discussions between the UNCT and the Government of Malawi.</w:t>
      </w:r>
    </w:p>
    <w:p w14:paraId="4BB48367" w14:textId="77777777" w:rsidR="00740CDA" w:rsidRPr="00CD56B9" w:rsidRDefault="00740CDA" w:rsidP="00740CDA">
      <w:pPr>
        <w:spacing w:after="0"/>
        <w:rPr>
          <w:lang w:val="en-US"/>
        </w:rPr>
      </w:pPr>
    </w:p>
    <w:p w14:paraId="6721D4B7" w14:textId="77777777" w:rsidR="00740CDA" w:rsidRPr="00CD56B9" w:rsidRDefault="00740CDA" w:rsidP="00740CDA">
      <w:pPr>
        <w:spacing w:after="0"/>
        <w:rPr>
          <w:lang w:val="en-US"/>
        </w:rPr>
      </w:pPr>
    </w:p>
    <w:p w14:paraId="17EA6991" w14:textId="1E77F28A" w:rsidR="00740CDA" w:rsidRPr="00CD56B9" w:rsidRDefault="001F4D4A" w:rsidP="00740CDA">
      <w:pPr>
        <w:spacing w:after="0"/>
        <w:jc w:val="left"/>
        <w:rPr>
          <w:lang w:val="en-US"/>
        </w:rPr>
      </w:pPr>
      <w:r>
        <w:rPr>
          <w:lang w:val="en-US"/>
        </w:rPr>
        <w:t>30</w:t>
      </w:r>
      <w:r w:rsidR="009D7378" w:rsidRPr="00CD56B9">
        <w:rPr>
          <w:lang w:val="en-US"/>
        </w:rPr>
        <w:t xml:space="preserve"> </w:t>
      </w:r>
      <w:r w:rsidR="00FE23FC" w:rsidRPr="00CD56B9">
        <w:rPr>
          <w:lang w:val="en-US"/>
        </w:rPr>
        <w:t>Decem</w:t>
      </w:r>
      <w:r w:rsidR="00740CDA" w:rsidRPr="00CD56B9">
        <w:rPr>
          <w:lang w:val="en-US"/>
        </w:rPr>
        <w:t>ber 2015,</w:t>
      </w:r>
    </w:p>
    <w:p w14:paraId="16E0A789" w14:textId="77777777" w:rsidR="00740CDA" w:rsidRPr="00CD56B9" w:rsidRDefault="00740CDA" w:rsidP="00740CDA">
      <w:pPr>
        <w:spacing w:after="0"/>
        <w:jc w:val="left"/>
        <w:rPr>
          <w:lang w:val="en-US"/>
        </w:rPr>
      </w:pPr>
    </w:p>
    <w:p w14:paraId="4387EDAA" w14:textId="317B5D82" w:rsidR="00740CDA" w:rsidRPr="00CD56B9" w:rsidRDefault="00740CDA" w:rsidP="00740CDA">
      <w:pPr>
        <w:spacing w:after="0"/>
        <w:jc w:val="left"/>
        <w:rPr>
          <w:lang w:val="en-US"/>
        </w:rPr>
      </w:pPr>
      <w:r w:rsidRPr="00CD56B9">
        <w:rPr>
          <w:lang w:val="en-US"/>
        </w:rPr>
        <w:t>Jens Peter Christensen</w:t>
      </w:r>
      <w:r w:rsidR="002B6B61">
        <w:rPr>
          <w:lang w:val="en-US"/>
        </w:rPr>
        <w:t>, Team Leader</w:t>
      </w:r>
    </w:p>
    <w:p w14:paraId="59C0CA83" w14:textId="0D3815D2" w:rsidR="008A36BE" w:rsidRPr="00CD56B9" w:rsidRDefault="00740CDA" w:rsidP="00C72910">
      <w:pPr>
        <w:rPr>
          <w:lang w:val="en-US"/>
        </w:rPr>
        <w:sectPr w:rsidR="008A36BE" w:rsidRPr="00CD56B9" w:rsidSect="00E241A8">
          <w:pgSz w:w="11906" w:h="16838"/>
          <w:pgMar w:top="1440" w:right="1440" w:bottom="1440" w:left="1440" w:header="708" w:footer="708" w:gutter="0"/>
          <w:cols w:space="708"/>
          <w:docGrid w:linePitch="360"/>
        </w:sectPr>
      </w:pPr>
      <w:r w:rsidRPr="00CD56B9">
        <w:rPr>
          <w:lang w:val="en-US"/>
        </w:rPr>
        <w:t>Mustafa Hussein</w:t>
      </w:r>
      <w:r w:rsidR="002B6B61">
        <w:rPr>
          <w:lang w:val="en-US"/>
        </w:rPr>
        <w:t>, National Assessor</w:t>
      </w:r>
    </w:p>
    <w:p w14:paraId="5425F6E7" w14:textId="77777777" w:rsidR="00C72910" w:rsidRPr="00CD56B9" w:rsidRDefault="00B81A03" w:rsidP="00B81A03">
      <w:pPr>
        <w:pStyle w:val="Overskrift1"/>
        <w:spacing w:before="0" w:after="240"/>
        <w:rPr>
          <w:lang w:val="en-US"/>
        </w:rPr>
      </w:pPr>
      <w:bookmarkStart w:id="2" w:name="_Toc439245571"/>
      <w:r w:rsidRPr="00CD56B9">
        <w:rPr>
          <w:lang w:val="en-US"/>
        </w:rPr>
        <w:lastRenderedPageBreak/>
        <w:t>1. Evaluation Objective</w:t>
      </w:r>
      <w:r w:rsidR="00DA0AF9" w:rsidRPr="00CD56B9">
        <w:rPr>
          <w:lang w:val="en-US"/>
        </w:rPr>
        <w:t>s</w:t>
      </w:r>
      <w:r w:rsidRPr="00CD56B9">
        <w:rPr>
          <w:lang w:val="en-US"/>
        </w:rPr>
        <w:t xml:space="preserve"> and Scope</w:t>
      </w:r>
      <w:bookmarkEnd w:id="2"/>
    </w:p>
    <w:p w14:paraId="4F7DEAA9" w14:textId="7AA060BC" w:rsidR="00B81A03" w:rsidRDefault="00B81A03" w:rsidP="00E77178">
      <w:pPr>
        <w:rPr>
          <w:lang w:val="en-US"/>
        </w:rPr>
      </w:pPr>
      <w:r w:rsidRPr="00CD56B9">
        <w:rPr>
          <w:lang w:val="en-US"/>
        </w:rPr>
        <w:t>T</w:t>
      </w:r>
      <w:r w:rsidR="004C39A4" w:rsidRPr="00CD56B9">
        <w:rPr>
          <w:lang w:val="en-US"/>
        </w:rPr>
        <w:t>he purpose of this evaluation was</w:t>
      </w:r>
      <w:r w:rsidRPr="00CD56B9">
        <w:rPr>
          <w:lang w:val="en-US"/>
        </w:rPr>
        <w:t xml:space="preserve"> to assess the UNCT contributions to democratic governance </w:t>
      </w:r>
      <w:r w:rsidR="001F7E07" w:rsidRPr="00CD56B9">
        <w:rPr>
          <w:lang w:val="en-US"/>
        </w:rPr>
        <w:t xml:space="preserve">(DG) </w:t>
      </w:r>
      <w:r w:rsidRPr="00CD56B9">
        <w:rPr>
          <w:lang w:val="en-US"/>
        </w:rPr>
        <w:t xml:space="preserve">and human rights </w:t>
      </w:r>
      <w:r w:rsidR="001F7E07" w:rsidRPr="00CD56B9">
        <w:rPr>
          <w:lang w:val="en-US"/>
        </w:rPr>
        <w:t xml:space="preserve">(HR) </w:t>
      </w:r>
      <w:r w:rsidRPr="00CD56B9">
        <w:rPr>
          <w:lang w:val="en-US"/>
        </w:rPr>
        <w:t>in Malawi</w:t>
      </w:r>
      <w:r w:rsidR="004A6DE0" w:rsidRPr="00CD56B9">
        <w:rPr>
          <w:lang w:val="en-US"/>
        </w:rPr>
        <w:t>.</w:t>
      </w:r>
      <w:r w:rsidRPr="00CD56B9">
        <w:rPr>
          <w:lang w:val="en-US"/>
        </w:rPr>
        <w:t xml:space="preserve"> </w:t>
      </w:r>
      <w:r w:rsidR="000D55FA">
        <w:rPr>
          <w:lang w:val="en-US"/>
        </w:rPr>
        <w:t>The Terms of Reference (TOR</w:t>
      </w:r>
      <w:r w:rsidR="006D5EBE">
        <w:rPr>
          <w:lang w:val="en-US"/>
        </w:rPr>
        <w:t>)</w:t>
      </w:r>
      <w:r w:rsidR="000D55FA">
        <w:rPr>
          <w:lang w:val="en-US"/>
        </w:rPr>
        <w:t xml:space="preserve"> </w:t>
      </w:r>
      <w:r w:rsidR="000D55FA" w:rsidRPr="00E77178">
        <w:rPr>
          <w:lang w:val="en-US"/>
        </w:rPr>
        <w:t xml:space="preserve">see </w:t>
      </w:r>
      <w:r w:rsidR="000D55FA" w:rsidRPr="000D55FA">
        <w:rPr>
          <w:b/>
          <w:lang w:val="en-US"/>
        </w:rPr>
        <w:t>Annex 1</w:t>
      </w:r>
      <w:r w:rsidR="000D55FA">
        <w:rPr>
          <w:lang w:val="en-US"/>
        </w:rPr>
        <w:t xml:space="preserve">, outline </w:t>
      </w:r>
      <w:r w:rsidR="00E77178">
        <w:rPr>
          <w:lang w:val="en-US"/>
        </w:rPr>
        <w:t>two</w:t>
      </w:r>
      <w:r w:rsidR="000D55FA">
        <w:rPr>
          <w:lang w:val="en-US"/>
        </w:rPr>
        <w:t xml:space="preserve"> main objectives of the midterm evaluation (MTE): </w:t>
      </w:r>
    </w:p>
    <w:p w14:paraId="2CA04111" w14:textId="77777777" w:rsidR="00281FFD" w:rsidRDefault="00E77178" w:rsidP="00F769B0">
      <w:pPr>
        <w:pStyle w:val="Listeafsnit"/>
        <w:numPr>
          <w:ilvl w:val="0"/>
          <w:numId w:val="17"/>
        </w:numPr>
        <w:spacing w:after="0"/>
        <w:rPr>
          <w:lang w:val="en-US"/>
        </w:rPr>
      </w:pPr>
      <w:r w:rsidRPr="00E77178">
        <w:rPr>
          <w:lang w:val="en-US"/>
        </w:rPr>
        <w:t>Assess the contribution made by the UNCT, collectively, and participating UN agencies, individually, to promote good democratic</w:t>
      </w:r>
      <w:r w:rsidR="00C94CA5">
        <w:rPr>
          <w:lang w:val="en-US"/>
        </w:rPr>
        <w:t xml:space="preserve"> governance as envisaged under O</w:t>
      </w:r>
      <w:r w:rsidRPr="00E77178">
        <w:rPr>
          <w:lang w:val="en-US"/>
        </w:rPr>
        <w:t>utcome 4.1 of the UNDAF including cross-cutting issues of human rights and gender equality;</w:t>
      </w:r>
    </w:p>
    <w:p w14:paraId="1AED03B1" w14:textId="77777777" w:rsidR="00281FFD" w:rsidRDefault="00281FFD" w:rsidP="00281FFD">
      <w:pPr>
        <w:pStyle w:val="Listeafsnit"/>
        <w:spacing w:after="0"/>
        <w:rPr>
          <w:lang w:val="en-US"/>
        </w:rPr>
      </w:pPr>
    </w:p>
    <w:p w14:paraId="11B360F7" w14:textId="77777777" w:rsidR="00E77178" w:rsidRDefault="00E77178" w:rsidP="00F769B0">
      <w:pPr>
        <w:pStyle w:val="Listeafsnit"/>
        <w:numPr>
          <w:ilvl w:val="0"/>
          <w:numId w:val="17"/>
        </w:numPr>
        <w:spacing w:after="0"/>
        <w:rPr>
          <w:lang w:val="en-US"/>
        </w:rPr>
      </w:pPr>
      <w:r w:rsidRPr="00281FFD">
        <w:rPr>
          <w:lang w:val="en-US"/>
        </w:rPr>
        <w:t>Support learning across the UN to improve programme effectiveness.</w:t>
      </w:r>
    </w:p>
    <w:p w14:paraId="299B9808" w14:textId="77777777" w:rsidR="00281FFD" w:rsidRPr="00281FFD" w:rsidRDefault="00281FFD" w:rsidP="00281FFD">
      <w:pPr>
        <w:spacing w:after="0"/>
        <w:rPr>
          <w:lang w:val="en-US"/>
        </w:rPr>
      </w:pPr>
    </w:p>
    <w:p w14:paraId="51243C81" w14:textId="77777777" w:rsidR="00DA0AF9" w:rsidRDefault="00505F9D" w:rsidP="00C932D2">
      <w:pPr>
        <w:rPr>
          <w:lang w:val="en-US"/>
        </w:rPr>
      </w:pPr>
      <w:r w:rsidRPr="00CD56B9">
        <w:rPr>
          <w:lang w:val="en-US"/>
        </w:rPr>
        <w:t xml:space="preserve">The MTE was a mainly qualitative assessment, </w:t>
      </w:r>
      <w:r w:rsidR="00F26916" w:rsidRPr="00CD56B9">
        <w:rPr>
          <w:lang w:val="en-US"/>
        </w:rPr>
        <w:t>based on secondary d</w:t>
      </w:r>
      <w:r w:rsidR="009D752A" w:rsidRPr="00CD56B9">
        <w:rPr>
          <w:lang w:val="en-US"/>
        </w:rPr>
        <w:t>ata</w:t>
      </w:r>
      <w:r w:rsidR="00F26916" w:rsidRPr="00CD56B9">
        <w:rPr>
          <w:lang w:val="en-US"/>
        </w:rPr>
        <w:t xml:space="preserve"> and key </w:t>
      </w:r>
      <w:r w:rsidRPr="00CD56B9">
        <w:rPr>
          <w:lang w:val="en-US"/>
        </w:rPr>
        <w:t xml:space="preserve">stakeholder interviews. </w:t>
      </w:r>
      <w:r>
        <w:t xml:space="preserve">The evaluation </w:t>
      </w:r>
      <w:r w:rsidR="00C932D2">
        <w:rPr>
          <w:lang w:val="en-US"/>
        </w:rPr>
        <w:t xml:space="preserve">process was divided into three </w:t>
      </w:r>
      <w:r w:rsidR="00C932D2" w:rsidRPr="00C932D2">
        <w:rPr>
          <w:lang w:val="en-US"/>
        </w:rPr>
        <w:t>phases</w:t>
      </w:r>
      <w:r w:rsidR="00DA0AF9">
        <w:rPr>
          <w:lang w:val="en-US"/>
        </w:rPr>
        <w:t>:</w:t>
      </w:r>
    </w:p>
    <w:p w14:paraId="7631F348" w14:textId="77777777" w:rsidR="00DA0AF9" w:rsidRPr="00CD56B9" w:rsidRDefault="00DA0AF9" w:rsidP="00F769B0">
      <w:pPr>
        <w:pStyle w:val="Listeafsnit"/>
        <w:numPr>
          <w:ilvl w:val="0"/>
          <w:numId w:val="18"/>
        </w:numPr>
        <w:rPr>
          <w:b/>
          <w:bCs/>
          <w:lang w:val="en-US"/>
        </w:rPr>
      </w:pPr>
      <w:r w:rsidRPr="00DA0AF9">
        <w:rPr>
          <w:lang w:val="en-US"/>
        </w:rPr>
        <w:t xml:space="preserve">A </w:t>
      </w:r>
      <w:r w:rsidRPr="006715AF">
        <w:rPr>
          <w:b/>
          <w:lang w:val="en-US"/>
        </w:rPr>
        <w:t>d</w:t>
      </w:r>
      <w:r w:rsidR="00C932D2" w:rsidRPr="00CD56B9">
        <w:rPr>
          <w:b/>
          <w:bCs/>
          <w:lang w:val="en-US"/>
        </w:rPr>
        <w:t>esign</w:t>
      </w:r>
      <w:r w:rsidR="00C932D2" w:rsidRPr="00CD56B9">
        <w:rPr>
          <w:bCs/>
          <w:lang w:val="en-US"/>
        </w:rPr>
        <w:t xml:space="preserve"> phase</w:t>
      </w:r>
      <w:r w:rsidRPr="00CD56B9">
        <w:rPr>
          <w:bCs/>
          <w:lang w:val="en-US"/>
        </w:rPr>
        <w:t>, where</w:t>
      </w:r>
      <w:r w:rsidRPr="00CD56B9">
        <w:rPr>
          <w:b/>
          <w:bCs/>
          <w:lang w:val="en-US"/>
        </w:rPr>
        <w:t xml:space="preserve"> </w:t>
      </w:r>
      <w:r w:rsidR="00C932D2" w:rsidRPr="00CD56B9">
        <w:rPr>
          <w:lang w:val="en-US"/>
        </w:rPr>
        <w:t>the team reviewed all background documents (</w:t>
      </w:r>
      <w:r w:rsidRPr="00CD56B9">
        <w:rPr>
          <w:lang w:val="en-US"/>
        </w:rPr>
        <w:t xml:space="preserve">listed in </w:t>
      </w:r>
      <w:r w:rsidR="00C932D2" w:rsidRPr="00CD56B9">
        <w:rPr>
          <w:b/>
          <w:lang w:val="en-US"/>
        </w:rPr>
        <w:t xml:space="preserve">Annex </w:t>
      </w:r>
      <w:r w:rsidRPr="00CD56B9">
        <w:rPr>
          <w:b/>
          <w:lang w:val="en-US"/>
        </w:rPr>
        <w:t>2</w:t>
      </w:r>
      <w:r w:rsidR="00C932D2" w:rsidRPr="00CD56B9">
        <w:rPr>
          <w:lang w:val="en-US"/>
        </w:rPr>
        <w:t>)</w:t>
      </w:r>
      <w:r w:rsidRPr="00CD56B9">
        <w:rPr>
          <w:lang w:val="en-US"/>
        </w:rPr>
        <w:t xml:space="preserve"> and </w:t>
      </w:r>
      <w:r w:rsidR="00C932D2" w:rsidRPr="00CD56B9">
        <w:rPr>
          <w:lang w:val="en-US"/>
        </w:rPr>
        <w:t xml:space="preserve">produced </w:t>
      </w:r>
      <w:r w:rsidRPr="00CD56B9">
        <w:rPr>
          <w:lang w:val="en-US"/>
        </w:rPr>
        <w:t>an Inception R</w:t>
      </w:r>
      <w:r w:rsidR="00C932D2" w:rsidRPr="00CD56B9">
        <w:rPr>
          <w:lang w:val="en-US"/>
        </w:rPr>
        <w:t xml:space="preserve">eport, </w:t>
      </w:r>
      <w:r w:rsidRPr="00CD56B9">
        <w:rPr>
          <w:lang w:val="en-US"/>
        </w:rPr>
        <w:t xml:space="preserve">outlining the </w:t>
      </w:r>
      <w:r w:rsidR="00C932D2" w:rsidRPr="00CD56B9">
        <w:rPr>
          <w:lang w:val="en-US"/>
        </w:rPr>
        <w:t xml:space="preserve">scope and approach of the MTE. </w:t>
      </w:r>
    </w:p>
    <w:p w14:paraId="754F09DD" w14:textId="77777777" w:rsidR="00DA0AF9" w:rsidRPr="00CD56B9" w:rsidRDefault="00DA0AF9" w:rsidP="00F769B0">
      <w:pPr>
        <w:pStyle w:val="Listeafsnit"/>
        <w:numPr>
          <w:ilvl w:val="0"/>
          <w:numId w:val="18"/>
        </w:numPr>
        <w:rPr>
          <w:lang w:val="en-US"/>
        </w:rPr>
      </w:pPr>
      <w:r w:rsidRPr="00CD56B9">
        <w:rPr>
          <w:lang w:val="en-US"/>
        </w:rPr>
        <w:t xml:space="preserve">A </w:t>
      </w:r>
      <w:r w:rsidRPr="00CD56B9">
        <w:rPr>
          <w:b/>
          <w:lang w:val="en-US"/>
        </w:rPr>
        <w:t>f</w:t>
      </w:r>
      <w:r w:rsidR="00C932D2" w:rsidRPr="00CD56B9">
        <w:rPr>
          <w:b/>
          <w:bCs/>
          <w:lang w:val="en-US"/>
        </w:rPr>
        <w:t>ield (in-country)</w:t>
      </w:r>
      <w:r w:rsidR="00C932D2" w:rsidRPr="00CD56B9">
        <w:rPr>
          <w:bCs/>
          <w:lang w:val="en-US"/>
        </w:rPr>
        <w:t xml:space="preserve"> phase</w:t>
      </w:r>
      <w:r w:rsidRPr="00CD56B9">
        <w:rPr>
          <w:lang w:val="en-US"/>
        </w:rPr>
        <w:t xml:space="preserve">, in order to </w:t>
      </w:r>
      <w:r w:rsidR="00505F9D" w:rsidRPr="00CD56B9">
        <w:rPr>
          <w:lang w:val="en-US"/>
        </w:rPr>
        <w:t xml:space="preserve">interact with key stakeholders, </w:t>
      </w:r>
      <w:r w:rsidRPr="00CD56B9">
        <w:rPr>
          <w:lang w:val="en-US"/>
        </w:rPr>
        <w:t xml:space="preserve">collect and </w:t>
      </w:r>
      <w:r w:rsidR="00550BCD" w:rsidRPr="00CD56B9">
        <w:rPr>
          <w:lang w:val="en-US"/>
        </w:rPr>
        <w:t>analyze</w:t>
      </w:r>
      <w:r w:rsidRPr="00CD56B9">
        <w:rPr>
          <w:lang w:val="en-US"/>
        </w:rPr>
        <w:t xml:space="preserve"> data (see </w:t>
      </w:r>
      <w:r w:rsidRPr="00CD56B9">
        <w:rPr>
          <w:b/>
          <w:lang w:val="en-US"/>
        </w:rPr>
        <w:t>Annex 3</w:t>
      </w:r>
      <w:r w:rsidRPr="00CD56B9">
        <w:rPr>
          <w:lang w:val="en-US"/>
        </w:rPr>
        <w:t xml:space="preserve"> for the mission schedule</w:t>
      </w:r>
      <w:r w:rsidR="00C32D76" w:rsidRPr="00CD56B9">
        <w:rPr>
          <w:lang w:val="en-US"/>
        </w:rPr>
        <w:t xml:space="preserve"> and </w:t>
      </w:r>
      <w:r w:rsidR="00C32D76" w:rsidRPr="00CD56B9">
        <w:rPr>
          <w:b/>
          <w:lang w:val="en-US"/>
        </w:rPr>
        <w:t>Annex 4</w:t>
      </w:r>
      <w:r w:rsidR="00C32D76" w:rsidRPr="00CD56B9">
        <w:rPr>
          <w:lang w:val="en-US"/>
        </w:rPr>
        <w:t xml:space="preserve"> for the list of persons met</w:t>
      </w:r>
      <w:r w:rsidRPr="00CD56B9">
        <w:rPr>
          <w:lang w:val="en-US"/>
        </w:rPr>
        <w:t>); and</w:t>
      </w:r>
    </w:p>
    <w:p w14:paraId="743A5519" w14:textId="77777777" w:rsidR="00DA0AF9" w:rsidRPr="00CD56B9" w:rsidRDefault="00DA0AF9" w:rsidP="00F769B0">
      <w:pPr>
        <w:pStyle w:val="Listeafsnit"/>
        <w:numPr>
          <w:ilvl w:val="0"/>
          <w:numId w:val="18"/>
        </w:numPr>
        <w:rPr>
          <w:lang w:val="en-US"/>
        </w:rPr>
      </w:pPr>
      <w:r w:rsidRPr="00CD56B9">
        <w:rPr>
          <w:lang w:val="en-US"/>
        </w:rPr>
        <w:t xml:space="preserve">A </w:t>
      </w:r>
      <w:r w:rsidRPr="00CD56B9">
        <w:rPr>
          <w:b/>
          <w:bCs/>
          <w:lang w:val="en-US"/>
        </w:rPr>
        <w:t>synthesis</w:t>
      </w:r>
      <w:r w:rsidRPr="00CD56B9">
        <w:rPr>
          <w:bCs/>
          <w:lang w:val="en-US"/>
        </w:rPr>
        <w:t xml:space="preserve"> phase</w:t>
      </w:r>
      <w:r w:rsidRPr="00CD56B9">
        <w:rPr>
          <w:b/>
          <w:bCs/>
          <w:lang w:val="en-US"/>
        </w:rPr>
        <w:t xml:space="preserve">, </w:t>
      </w:r>
      <w:r w:rsidRPr="00CD56B9">
        <w:rPr>
          <w:bCs/>
          <w:lang w:val="en-US"/>
        </w:rPr>
        <w:t xml:space="preserve">where the MTE Report was </w:t>
      </w:r>
      <w:r w:rsidR="00550BCD" w:rsidRPr="00CD56B9">
        <w:rPr>
          <w:bCs/>
          <w:lang w:val="en-US"/>
        </w:rPr>
        <w:t>finalized</w:t>
      </w:r>
      <w:r w:rsidRPr="00CD56B9">
        <w:rPr>
          <w:bCs/>
          <w:lang w:val="en-US"/>
        </w:rPr>
        <w:t>.</w:t>
      </w:r>
    </w:p>
    <w:p w14:paraId="7CDF9CFC" w14:textId="77777777" w:rsidR="00100E52" w:rsidRPr="00CD56B9" w:rsidRDefault="00100E52" w:rsidP="00DA0AF9">
      <w:pPr>
        <w:rPr>
          <w:lang w:val="en-US"/>
        </w:rPr>
      </w:pPr>
      <w:r w:rsidRPr="00CD56B9">
        <w:rPr>
          <w:lang w:val="en-US"/>
        </w:rPr>
        <w:t xml:space="preserve">The MTE </w:t>
      </w:r>
      <w:r w:rsidR="00F26916" w:rsidRPr="00CD56B9">
        <w:rPr>
          <w:lang w:val="en-US"/>
        </w:rPr>
        <w:t xml:space="preserve">took place </w:t>
      </w:r>
      <w:r w:rsidRPr="00CD56B9">
        <w:rPr>
          <w:lang w:val="en-US"/>
        </w:rPr>
        <w:t xml:space="preserve">along the timeline presented below: </w:t>
      </w:r>
    </w:p>
    <w:p w14:paraId="299667F5" w14:textId="77777777" w:rsidR="0026313E" w:rsidRPr="00CD56B9" w:rsidRDefault="0026313E" w:rsidP="0026313E">
      <w:pPr>
        <w:spacing w:after="0"/>
        <w:rPr>
          <w:lang w:val="en-US"/>
        </w:rPr>
      </w:pPr>
    </w:p>
    <w:p w14:paraId="0A1EF7F3" w14:textId="77777777" w:rsidR="00327E7A" w:rsidRPr="00981539" w:rsidRDefault="00E241A8" w:rsidP="00327E7A">
      <w:pPr>
        <w:rPr>
          <w:b/>
          <w:i/>
        </w:rPr>
      </w:pPr>
      <w:r w:rsidRPr="00E241A8">
        <w:rPr>
          <w:b/>
          <w:i/>
        </w:rPr>
        <w:t>Table</w:t>
      </w:r>
      <w:r w:rsidR="0026313E">
        <w:rPr>
          <w:b/>
          <w:i/>
        </w:rPr>
        <w:t xml:space="preserve"> 1</w:t>
      </w:r>
      <w:r>
        <w:t>:</w:t>
      </w:r>
      <w:r w:rsidR="00100E52">
        <w:t xml:space="preserve"> </w:t>
      </w:r>
      <w:r w:rsidR="00327E7A" w:rsidRPr="00981539">
        <w:rPr>
          <w:b/>
          <w:i/>
        </w:rPr>
        <w:t>Mission schedule</w:t>
      </w:r>
    </w:p>
    <w:tbl>
      <w:tblPr>
        <w:tblW w:w="92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94"/>
        <w:gridCol w:w="3969"/>
        <w:gridCol w:w="3118"/>
      </w:tblGrid>
      <w:tr w:rsidR="00327E7A" w:rsidRPr="007D425D" w14:paraId="294812DB" w14:textId="77777777" w:rsidTr="007D425D">
        <w:trPr>
          <w:jc w:val="center"/>
        </w:trPr>
        <w:tc>
          <w:tcPr>
            <w:tcW w:w="2194" w:type="dxa"/>
            <w:shd w:val="clear" w:color="auto" w:fill="F2F2F2"/>
          </w:tcPr>
          <w:p w14:paraId="611AE5DD" w14:textId="77777777" w:rsidR="00327E7A" w:rsidRPr="007D425D" w:rsidRDefault="00327E7A" w:rsidP="007D425D">
            <w:pPr>
              <w:spacing w:after="0"/>
              <w:rPr>
                <w:rFonts w:ascii="Calibri" w:eastAsia="Calibri" w:hAnsi="Calibri"/>
                <w:b/>
                <w:sz w:val="20"/>
                <w:szCs w:val="20"/>
                <w:lang w:val="en-US"/>
              </w:rPr>
            </w:pPr>
            <w:r w:rsidRPr="007D425D">
              <w:rPr>
                <w:rFonts w:ascii="Calibri" w:eastAsia="Calibri" w:hAnsi="Calibri"/>
                <w:b/>
                <w:sz w:val="20"/>
                <w:szCs w:val="20"/>
                <w:lang w:val="en-US"/>
              </w:rPr>
              <w:t xml:space="preserve">Date </w:t>
            </w:r>
          </w:p>
        </w:tc>
        <w:tc>
          <w:tcPr>
            <w:tcW w:w="3969" w:type="dxa"/>
            <w:shd w:val="clear" w:color="auto" w:fill="F2F2F2"/>
          </w:tcPr>
          <w:p w14:paraId="5FF13F27" w14:textId="77777777" w:rsidR="00327E7A" w:rsidRPr="007D425D" w:rsidRDefault="00327E7A" w:rsidP="007D425D">
            <w:pPr>
              <w:spacing w:after="0"/>
              <w:jc w:val="center"/>
              <w:rPr>
                <w:rFonts w:ascii="Calibri" w:eastAsia="Calibri" w:hAnsi="Calibri"/>
                <w:b/>
                <w:sz w:val="20"/>
                <w:szCs w:val="20"/>
                <w:lang w:val="en-US"/>
              </w:rPr>
            </w:pPr>
            <w:r w:rsidRPr="007D425D">
              <w:rPr>
                <w:rFonts w:ascii="Calibri" w:eastAsia="Calibri" w:hAnsi="Calibri"/>
                <w:b/>
                <w:sz w:val="20"/>
                <w:szCs w:val="20"/>
                <w:lang w:val="en-US"/>
              </w:rPr>
              <w:t>Task</w:t>
            </w:r>
          </w:p>
        </w:tc>
        <w:tc>
          <w:tcPr>
            <w:tcW w:w="3118" w:type="dxa"/>
            <w:shd w:val="clear" w:color="auto" w:fill="F2F2F2"/>
          </w:tcPr>
          <w:p w14:paraId="45109C46" w14:textId="77777777" w:rsidR="00327E7A" w:rsidRPr="007D425D" w:rsidRDefault="00327E7A" w:rsidP="007D425D">
            <w:pPr>
              <w:spacing w:after="0"/>
              <w:jc w:val="center"/>
              <w:rPr>
                <w:rFonts w:ascii="Calibri" w:eastAsia="Calibri" w:hAnsi="Calibri"/>
                <w:b/>
                <w:sz w:val="20"/>
                <w:szCs w:val="20"/>
                <w:lang w:val="en-US"/>
              </w:rPr>
            </w:pPr>
            <w:r w:rsidRPr="007D425D">
              <w:rPr>
                <w:rFonts w:ascii="Calibri" w:eastAsia="Calibri" w:hAnsi="Calibri"/>
                <w:b/>
                <w:sz w:val="20"/>
                <w:szCs w:val="20"/>
                <w:lang w:val="en-US"/>
              </w:rPr>
              <w:t>Deliverables</w:t>
            </w:r>
          </w:p>
        </w:tc>
      </w:tr>
      <w:tr w:rsidR="00327E7A" w:rsidRPr="007D425D" w14:paraId="333EB9C8" w14:textId="77777777" w:rsidTr="007D425D">
        <w:trPr>
          <w:jc w:val="center"/>
        </w:trPr>
        <w:tc>
          <w:tcPr>
            <w:tcW w:w="2194" w:type="dxa"/>
            <w:vAlign w:val="center"/>
          </w:tcPr>
          <w:p w14:paraId="4D0824D7" w14:textId="77777777" w:rsidR="00327E7A" w:rsidRPr="007D425D" w:rsidRDefault="00327E7A" w:rsidP="007D425D">
            <w:pPr>
              <w:spacing w:after="0"/>
              <w:jc w:val="left"/>
              <w:rPr>
                <w:rFonts w:ascii="Calibri" w:eastAsia="Calibri" w:hAnsi="Calibri"/>
                <w:sz w:val="20"/>
                <w:szCs w:val="20"/>
                <w:lang w:val="en-US"/>
              </w:rPr>
            </w:pPr>
            <w:r w:rsidRPr="007D425D">
              <w:rPr>
                <w:rFonts w:ascii="Calibri" w:eastAsia="Calibri" w:hAnsi="Calibri"/>
                <w:sz w:val="20"/>
                <w:szCs w:val="20"/>
                <w:lang w:val="en-US"/>
              </w:rPr>
              <w:t>21-23 October 2015</w:t>
            </w:r>
          </w:p>
        </w:tc>
        <w:tc>
          <w:tcPr>
            <w:tcW w:w="3969" w:type="dxa"/>
            <w:vAlign w:val="center"/>
          </w:tcPr>
          <w:p w14:paraId="4C7A184F" w14:textId="77777777" w:rsidR="00327E7A" w:rsidRPr="007D425D" w:rsidRDefault="00327E7A" w:rsidP="007D425D">
            <w:pPr>
              <w:spacing w:after="0"/>
              <w:jc w:val="left"/>
              <w:rPr>
                <w:rFonts w:ascii="Calibri" w:eastAsia="Calibri" w:hAnsi="Calibri"/>
                <w:sz w:val="20"/>
                <w:szCs w:val="20"/>
                <w:lang w:val="en-US"/>
              </w:rPr>
            </w:pPr>
            <w:r w:rsidRPr="007D425D">
              <w:rPr>
                <w:rFonts w:ascii="Calibri" w:eastAsia="Calibri" w:hAnsi="Calibri"/>
                <w:sz w:val="20"/>
                <w:szCs w:val="20"/>
                <w:lang w:val="en-US"/>
              </w:rPr>
              <w:t>Desk review</w:t>
            </w:r>
          </w:p>
        </w:tc>
        <w:tc>
          <w:tcPr>
            <w:tcW w:w="3118" w:type="dxa"/>
            <w:vAlign w:val="center"/>
          </w:tcPr>
          <w:p w14:paraId="03035E21" w14:textId="77777777" w:rsidR="00327E7A" w:rsidRPr="007D425D" w:rsidRDefault="00327E7A" w:rsidP="007D425D">
            <w:pPr>
              <w:spacing w:after="0"/>
              <w:jc w:val="left"/>
              <w:rPr>
                <w:rFonts w:ascii="Calibri" w:eastAsia="Calibri" w:hAnsi="Calibri"/>
                <w:sz w:val="20"/>
                <w:szCs w:val="20"/>
                <w:lang w:val="en-US"/>
              </w:rPr>
            </w:pPr>
          </w:p>
        </w:tc>
      </w:tr>
      <w:tr w:rsidR="00327E7A" w:rsidRPr="007D425D" w14:paraId="2589B55F" w14:textId="77777777" w:rsidTr="007D425D">
        <w:trPr>
          <w:jc w:val="center"/>
        </w:trPr>
        <w:tc>
          <w:tcPr>
            <w:tcW w:w="2194" w:type="dxa"/>
            <w:vAlign w:val="center"/>
          </w:tcPr>
          <w:p w14:paraId="086A046E" w14:textId="77777777" w:rsidR="00327E7A" w:rsidRPr="007D425D" w:rsidRDefault="004A285F" w:rsidP="007D425D">
            <w:pPr>
              <w:spacing w:after="0"/>
              <w:jc w:val="left"/>
              <w:rPr>
                <w:rFonts w:ascii="Calibri" w:eastAsia="Calibri" w:hAnsi="Calibri"/>
                <w:sz w:val="20"/>
                <w:szCs w:val="20"/>
                <w:lang w:val="en-US"/>
              </w:rPr>
            </w:pPr>
            <w:r w:rsidRPr="007D425D">
              <w:rPr>
                <w:rFonts w:ascii="Calibri" w:eastAsia="Calibri" w:hAnsi="Calibri"/>
                <w:sz w:val="20"/>
                <w:szCs w:val="20"/>
                <w:lang w:val="en-US"/>
              </w:rPr>
              <w:t>24-</w:t>
            </w:r>
            <w:r w:rsidR="00327E7A" w:rsidRPr="007D425D">
              <w:rPr>
                <w:rFonts w:ascii="Calibri" w:eastAsia="Calibri" w:hAnsi="Calibri"/>
                <w:sz w:val="20"/>
                <w:szCs w:val="20"/>
                <w:lang w:val="en-US"/>
              </w:rPr>
              <w:t>25 October</w:t>
            </w:r>
          </w:p>
        </w:tc>
        <w:tc>
          <w:tcPr>
            <w:tcW w:w="7087" w:type="dxa"/>
            <w:gridSpan w:val="2"/>
            <w:vAlign w:val="center"/>
          </w:tcPr>
          <w:p w14:paraId="6638A11D" w14:textId="77777777" w:rsidR="00327E7A" w:rsidRPr="007D425D" w:rsidRDefault="00327E7A" w:rsidP="007D425D">
            <w:pPr>
              <w:spacing w:after="0"/>
              <w:jc w:val="left"/>
              <w:rPr>
                <w:rFonts w:ascii="Calibri" w:eastAsia="Calibri" w:hAnsi="Calibri"/>
                <w:sz w:val="20"/>
                <w:szCs w:val="20"/>
                <w:lang w:val="en-US"/>
              </w:rPr>
            </w:pPr>
            <w:r w:rsidRPr="007D425D">
              <w:rPr>
                <w:rFonts w:ascii="Calibri" w:eastAsia="Calibri" w:hAnsi="Calibri"/>
                <w:sz w:val="20"/>
                <w:szCs w:val="20"/>
                <w:lang w:val="en-US"/>
              </w:rPr>
              <w:t xml:space="preserve">TL transfer Copenhagen </w:t>
            </w:r>
            <w:r w:rsidR="00CF634C">
              <w:rPr>
                <w:rFonts w:ascii="Calibri" w:eastAsia="Calibri" w:hAnsi="Calibri"/>
                <w:sz w:val="20"/>
                <w:szCs w:val="20"/>
                <w:lang w:val="en-US"/>
              </w:rPr>
              <w:t>–</w:t>
            </w:r>
            <w:r w:rsidRPr="007D425D">
              <w:rPr>
                <w:rFonts w:ascii="Calibri" w:eastAsia="Calibri" w:hAnsi="Calibri"/>
                <w:sz w:val="20"/>
                <w:szCs w:val="20"/>
                <w:lang w:val="en-US"/>
              </w:rPr>
              <w:t xml:space="preserve"> Lilongwe</w:t>
            </w:r>
          </w:p>
        </w:tc>
      </w:tr>
      <w:tr w:rsidR="00327E7A" w:rsidRPr="007D425D" w14:paraId="6DD2B964" w14:textId="77777777" w:rsidTr="007D425D">
        <w:trPr>
          <w:trHeight w:val="269"/>
          <w:jc w:val="center"/>
        </w:trPr>
        <w:tc>
          <w:tcPr>
            <w:tcW w:w="2194" w:type="dxa"/>
            <w:vMerge w:val="restart"/>
            <w:vAlign w:val="center"/>
          </w:tcPr>
          <w:p w14:paraId="2EFFBD34" w14:textId="77777777" w:rsidR="00327E7A" w:rsidRPr="007D425D" w:rsidRDefault="00327E7A" w:rsidP="007D425D">
            <w:pPr>
              <w:spacing w:after="0"/>
              <w:jc w:val="left"/>
              <w:rPr>
                <w:rFonts w:ascii="Calibri" w:eastAsia="Calibri" w:hAnsi="Calibri"/>
                <w:sz w:val="20"/>
                <w:szCs w:val="20"/>
                <w:lang w:val="en-US"/>
              </w:rPr>
            </w:pPr>
            <w:r w:rsidRPr="007D425D">
              <w:rPr>
                <w:rFonts w:ascii="Calibri" w:eastAsia="Calibri" w:hAnsi="Calibri"/>
                <w:sz w:val="20"/>
                <w:szCs w:val="20"/>
                <w:lang w:val="en-US"/>
              </w:rPr>
              <w:t>26 October –</w:t>
            </w:r>
          </w:p>
          <w:p w14:paraId="240A3681" w14:textId="77777777" w:rsidR="00327E7A" w:rsidRPr="007D425D" w:rsidRDefault="00327E7A" w:rsidP="007D425D">
            <w:pPr>
              <w:spacing w:after="0"/>
              <w:jc w:val="left"/>
              <w:rPr>
                <w:rFonts w:ascii="Calibri" w:eastAsia="Calibri" w:hAnsi="Calibri"/>
                <w:sz w:val="20"/>
                <w:szCs w:val="20"/>
                <w:lang w:val="en-US"/>
              </w:rPr>
            </w:pPr>
            <w:r w:rsidRPr="007D425D">
              <w:rPr>
                <w:rFonts w:ascii="Calibri" w:eastAsia="Calibri" w:hAnsi="Calibri"/>
                <w:sz w:val="20"/>
                <w:szCs w:val="20"/>
                <w:lang w:val="en-US"/>
              </w:rPr>
              <w:t>19 November</w:t>
            </w:r>
          </w:p>
        </w:tc>
        <w:tc>
          <w:tcPr>
            <w:tcW w:w="3969" w:type="dxa"/>
            <w:vMerge w:val="restart"/>
            <w:vAlign w:val="center"/>
          </w:tcPr>
          <w:p w14:paraId="36D9B8B3" w14:textId="77777777" w:rsidR="00327E7A" w:rsidRPr="007D425D" w:rsidRDefault="00327E7A" w:rsidP="007D425D">
            <w:pPr>
              <w:spacing w:after="0"/>
              <w:jc w:val="left"/>
              <w:rPr>
                <w:rFonts w:ascii="Calibri" w:eastAsia="Calibri" w:hAnsi="Calibri"/>
                <w:sz w:val="20"/>
                <w:szCs w:val="20"/>
                <w:lang w:val="en-US"/>
              </w:rPr>
            </w:pPr>
            <w:r w:rsidRPr="007D425D">
              <w:rPr>
                <w:rFonts w:ascii="Calibri" w:eastAsia="Calibri" w:hAnsi="Calibri"/>
                <w:sz w:val="20"/>
                <w:szCs w:val="20"/>
                <w:lang w:val="en-US"/>
              </w:rPr>
              <w:t>In-country data collection, presentation of findings</w:t>
            </w:r>
          </w:p>
        </w:tc>
        <w:tc>
          <w:tcPr>
            <w:tcW w:w="3118" w:type="dxa"/>
            <w:vAlign w:val="center"/>
          </w:tcPr>
          <w:p w14:paraId="598F6997" w14:textId="77777777" w:rsidR="00327E7A" w:rsidRPr="007D425D" w:rsidRDefault="00327E7A" w:rsidP="007D425D">
            <w:pPr>
              <w:spacing w:after="0"/>
              <w:jc w:val="left"/>
              <w:rPr>
                <w:rFonts w:ascii="Calibri" w:eastAsia="Calibri" w:hAnsi="Calibri"/>
                <w:sz w:val="20"/>
                <w:szCs w:val="20"/>
                <w:lang w:val="en-US"/>
              </w:rPr>
            </w:pPr>
            <w:r w:rsidRPr="007D425D">
              <w:rPr>
                <w:rFonts w:ascii="Calibri" w:eastAsia="Calibri" w:hAnsi="Calibri"/>
                <w:sz w:val="20"/>
                <w:szCs w:val="20"/>
                <w:lang w:val="en-US"/>
              </w:rPr>
              <w:t>Inception report (02 Nov)</w:t>
            </w:r>
          </w:p>
        </w:tc>
      </w:tr>
      <w:tr w:rsidR="00327E7A" w:rsidRPr="007D425D" w14:paraId="56904679" w14:textId="77777777" w:rsidTr="007D425D">
        <w:trPr>
          <w:trHeight w:val="405"/>
          <w:jc w:val="center"/>
        </w:trPr>
        <w:tc>
          <w:tcPr>
            <w:tcW w:w="2194" w:type="dxa"/>
            <w:vMerge/>
            <w:vAlign w:val="center"/>
          </w:tcPr>
          <w:p w14:paraId="481F34FA" w14:textId="77777777" w:rsidR="00327E7A" w:rsidRPr="007D425D" w:rsidRDefault="00327E7A" w:rsidP="007D425D">
            <w:pPr>
              <w:spacing w:after="0"/>
              <w:jc w:val="left"/>
              <w:rPr>
                <w:rFonts w:ascii="Calibri" w:eastAsia="Calibri" w:hAnsi="Calibri"/>
                <w:sz w:val="20"/>
                <w:szCs w:val="20"/>
                <w:lang w:val="en-US"/>
              </w:rPr>
            </w:pPr>
          </w:p>
        </w:tc>
        <w:tc>
          <w:tcPr>
            <w:tcW w:w="3969" w:type="dxa"/>
            <w:vMerge/>
            <w:vAlign w:val="center"/>
          </w:tcPr>
          <w:p w14:paraId="70403A34" w14:textId="77777777" w:rsidR="00327E7A" w:rsidRPr="007D425D" w:rsidRDefault="00327E7A" w:rsidP="007D425D">
            <w:pPr>
              <w:spacing w:after="0"/>
              <w:jc w:val="left"/>
              <w:rPr>
                <w:rFonts w:ascii="Calibri" w:eastAsia="Calibri" w:hAnsi="Calibri"/>
                <w:sz w:val="20"/>
                <w:szCs w:val="20"/>
                <w:lang w:val="en-US"/>
              </w:rPr>
            </w:pPr>
          </w:p>
        </w:tc>
        <w:tc>
          <w:tcPr>
            <w:tcW w:w="3118" w:type="dxa"/>
            <w:vAlign w:val="center"/>
          </w:tcPr>
          <w:p w14:paraId="6B05BF7E" w14:textId="77777777" w:rsidR="00327E7A" w:rsidRPr="007D425D" w:rsidRDefault="00327E7A" w:rsidP="007D425D">
            <w:pPr>
              <w:spacing w:after="0"/>
              <w:jc w:val="left"/>
              <w:rPr>
                <w:rFonts w:ascii="Calibri" w:eastAsia="Calibri" w:hAnsi="Calibri"/>
                <w:sz w:val="20"/>
                <w:szCs w:val="20"/>
                <w:lang w:val="en-US"/>
              </w:rPr>
            </w:pPr>
            <w:r w:rsidRPr="007D425D">
              <w:rPr>
                <w:rFonts w:ascii="Calibri" w:eastAsia="Calibri" w:hAnsi="Calibri"/>
                <w:sz w:val="20"/>
                <w:szCs w:val="20"/>
                <w:lang w:val="en-US"/>
              </w:rPr>
              <w:t>Debriefing (slides) (19 Nov)</w:t>
            </w:r>
          </w:p>
        </w:tc>
      </w:tr>
      <w:tr w:rsidR="00327E7A" w:rsidRPr="007D425D" w14:paraId="7F2C9293" w14:textId="77777777" w:rsidTr="007D425D">
        <w:trPr>
          <w:jc w:val="center"/>
        </w:trPr>
        <w:tc>
          <w:tcPr>
            <w:tcW w:w="2194" w:type="dxa"/>
            <w:vAlign w:val="center"/>
          </w:tcPr>
          <w:p w14:paraId="77EC79FA" w14:textId="77777777" w:rsidR="00327E7A" w:rsidRPr="007D425D" w:rsidRDefault="004A285F" w:rsidP="007D425D">
            <w:pPr>
              <w:spacing w:after="0"/>
              <w:jc w:val="left"/>
              <w:rPr>
                <w:rFonts w:ascii="Calibri" w:eastAsia="Calibri" w:hAnsi="Calibri"/>
                <w:sz w:val="20"/>
                <w:szCs w:val="20"/>
                <w:lang w:val="en-US"/>
              </w:rPr>
            </w:pPr>
            <w:r w:rsidRPr="007D425D">
              <w:rPr>
                <w:rFonts w:ascii="Calibri" w:eastAsia="Calibri" w:hAnsi="Calibri"/>
                <w:sz w:val="20"/>
                <w:szCs w:val="20"/>
                <w:lang w:val="en-US"/>
              </w:rPr>
              <w:t>20-</w:t>
            </w:r>
            <w:r w:rsidR="00327E7A" w:rsidRPr="007D425D">
              <w:rPr>
                <w:rFonts w:ascii="Calibri" w:eastAsia="Calibri" w:hAnsi="Calibri"/>
                <w:sz w:val="20"/>
                <w:szCs w:val="20"/>
                <w:lang w:val="en-US"/>
              </w:rPr>
              <w:t>22 November</w:t>
            </w:r>
          </w:p>
        </w:tc>
        <w:tc>
          <w:tcPr>
            <w:tcW w:w="7087" w:type="dxa"/>
            <w:gridSpan w:val="2"/>
            <w:vAlign w:val="center"/>
          </w:tcPr>
          <w:p w14:paraId="46106CD9" w14:textId="77777777" w:rsidR="00327E7A" w:rsidRPr="007D425D" w:rsidRDefault="00327E7A" w:rsidP="007D425D">
            <w:pPr>
              <w:spacing w:after="0"/>
              <w:jc w:val="left"/>
              <w:rPr>
                <w:rFonts w:ascii="Calibri" w:eastAsia="Calibri" w:hAnsi="Calibri"/>
                <w:sz w:val="20"/>
                <w:szCs w:val="20"/>
                <w:lang w:val="en-US"/>
              </w:rPr>
            </w:pPr>
            <w:r w:rsidRPr="007D425D">
              <w:rPr>
                <w:rFonts w:ascii="Calibri" w:eastAsia="Calibri" w:hAnsi="Calibri"/>
                <w:sz w:val="20"/>
                <w:szCs w:val="20"/>
                <w:lang w:val="en-US"/>
              </w:rPr>
              <w:t xml:space="preserve">TL transfer Lilongwe </w:t>
            </w:r>
            <w:r w:rsidR="00CF634C">
              <w:rPr>
                <w:rFonts w:ascii="Calibri" w:eastAsia="Calibri" w:hAnsi="Calibri"/>
                <w:sz w:val="20"/>
                <w:szCs w:val="20"/>
                <w:lang w:val="en-US"/>
              </w:rPr>
              <w:t>–</w:t>
            </w:r>
            <w:r w:rsidRPr="007D425D">
              <w:rPr>
                <w:rFonts w:ascii="Calibri" w:eastAsia="Calibri" w:hAnsi="Calibri"/>
                <w:sz w:val="20"/>
                <w:szCs w:val="20"/>
                <w:lang w:val="en-US"/>
              </w:rPr>
              <w:t xml:space="preserve"> Copenhagen</w:t>
            </w:r>
          </w:p>
        </w:tc>
      </w:tr>
      <w:tr w:rsidR="00327E7A" w:rsidRPr="00C141F8" w14:paraId="11E046A5" w14:textId="77777777" w:rsidTr="007D425D">
        <w:trPr>
          <w:jc w:val="center"/>
        </w:trPr>
        <w:tc>
          <w:tcPr>
            <w:tcW w:w="2194" w:type="dxa"/>
            <w:vAlign w:val="center"/>
          </w:tcPr>
          <w:p w14:paraId="6C00181F" w14:textId="77777777" w:rsidR="00327E7A" w:rsidRPr="007D425D" w:rsidRDefault="00327E7A" w:rsidP="007D425D">
            <w:pPr>
              <w:spacing w:after="0"/>
              <w:jc w:val="left"/>
              <w:rPr>
                <w:rFonts w:ascii="Calibri" w:eastAsia="Calibri" w:hAnsi="Calibri"/>
                <w:sz w:val="20"/>
                <w:szCs w:val="20"/>
                <w:lang w:val="en-US"/>
              </w:rPr>
            </w:pPr>
            <w:r w:rsidRPr="007D425D">
              <w:rPr>
                <w:rFonts w:ascii="Calibri" w:eastAsia="Calibri" w:hAnsi="Calibri"/>
                <w:sz w:val="20"/>
                <w:szCs w:val="20"/>
                <w:lang w:val="en-US"/>
              </w:rPr>
              <w:t xml:space="preserve">23 November – </w:t>
            </w:r>
          </w:p>
          <w:p w14:paraId="5AAA4DE1" w14:textId="77777777" w:rsidR="00327E7A" w:rsidRPr="007D425D" w:rsidRDefault="00327E7A" w:rsidP="007D425D">
            <w:pPr>
              <w:spacing w:after="0"/>
              <w:jc w:val="left"/>
              <w:rPr>
                <w:rFonts w:ascii="Calibri" w:eastAsia="Calibri" w:hAnsi="Calibri"/>
                <w:sz w:val="20"/>
                <w:szCs w:val="20"/>
                <w:lang w:val="en-US"/>
              </w:rPr>
            </w:pPr>
            <w:r w:rsidRPr="007D425D">
              <w:rPr>
                <w:rFonts w:ascii="Calibri" w:eastAsia="Calibri" w:hAnsi="Calibri"/>
                <w:sz w:val="20"/>
                <w:szCs w:val="20"/>
                <w:lang w:val="en-US"/>
              </w:rPr>
              <w:t>01 December</w:t>
            </w:r>
          </w:p>
        </w:tc>
        <w:tc>
          <w:tcPr>
            <w:tcW w:w="3969" w:type="dxa"/>
            <w:vAlign w:val="center"/>
          </w:tcPr>
          <w:p w14:paraId="527A8AE0" w14:textId="77777777" w:rsidR="00327E7A" w:rsidRPr="007D425D" w:rsidRDefault="00327E7A" w:rsidP="007D425D">
            <w:pPr>
              <w:spacing w:after="0"/>
              <w:jc w:val="left"/>
              <w:rPr>
                <w:rFonts w:ascii="Calibri" w:eastAsia="Calibri" w:hAnsi="Calibri"/>
                <w:sz w:val="20"/>
                <w:szCs w:val="20"/>
                <w:lang w:val="en-US"/>
              </w:rPr>
            </w:pPr>
            <w:r w:rsidRPr="007D425D">
              <w:rPr>
                <w:rFonts w:ascii="Calibri" w:eastAsia="Calibri" w:hAnsi="Calibri"/>
                <w:sz w:val="20"/>
                <w:szCs w:val="20"/>
                <w:lang w:val="en-US"/>
              </w:rPr>
              <w:t xml:space="preserve">Drafting of </w:t>
            </w:r>
            <w:r w:rsidR="00DA5D6D" w:rsidRPr="007D425D">
              <w:rPr>
                <w:rFonts w:ascii="Calibri" w:eastAsia="Calibri" w:hAnsi="Calibri"/>
                <w:sz w:val="20"/>
                <w:szCs w:val="20"/>
                <w:lang w:val="en-US"/>
              </w:rPr>
              <w:t xml:space="preserve">the </w:t>
            </w:r>
            <w:r w:rsidRPr="007D425D">
              <w:rPr>
                <w:rFonts w:ascii="Calibri" w:eastAsia="Calibri" w:hAnsi="Calibri"/>
                <w:sz w:val="20"/>
                <w:szCs w:val="20"/>
                <w:lang w:val="en-US"/>
              </w:rPr>
              <w:t>evaluation report</w:t>
            </w:r>
          </w:p>
        </w:tc>
        <w:tc>
          <w:tcPr>
            <w:tcW w:w="3118" w:type="dxa"/>
            <w:vAlign w:val="center"/>
          </w:tcPr>
          <w:p w14:paraId="422EA0EC" w14:textId="77777777" w:rsidR="00327E7A" w:rsidRPr="007D425D" w:rsidRDefault="007E05B5" w:rsidP="007D425D">
            <w:pPr>
              <w:spacing w:after="0"/>
              <w:jc w:val="left"/>
              <w:rPr>
                <w:rFonts w:ascii="Calibri" w:eastAsia="Calibri" w:hAnsi="Calibri"/>
                <w:sz w:val="20"/>
                <w:szCs w:val="20"/>
                <w:lang w:val="en-US"/>
              </w:rPr>
            </w:pPr>
            <w:r w:rsidRPr="007D425D">
              <w:rPr>
                <w:rFonts w:ascii="Calibri" w:eastAsia="Calibri" w:hAnsi="Calibri"/>
                <w:sz w:val="20"/>
                <w:szCs w:val="20"/>
                <w:lang w:val="en-US"/>
              </w:rPr>
              <w:t>Submission of Draft Evaluation R</w:t>
            </w:r>
            <w:r w:rsidR="00327E7A" w:rsidRPr="007D425D">
              <w:rPr>
                <w:rFonts w:ascii="Calibri" w:eastAsia="Calibri" w:hAnsi="Calibri"/>
                <w:sz w:val="20"/>
                <w:szCs w:val="20"/>
                <w:lang w:val="en-US"/>
              </w:rPr>
              <w:t>eport (01 Dec)</w:t>
            </w:r>
          </w:p>
        </w:tc>
      </w:tr>
      <w:tr w:rsidR="00327E7A" w:rsidRPr="00C141F8" w14:paraId="2599D152" w14:textId="77777777" w:rsidTr="007D425D">
        <w:trPr>
          <w:jc w:val="center"/>
        </w:trPr>
        <w:tc>
          <w:tcPr>
            <w:tcW w:w="2194" w:type="dxa"/>
            <w:vAlign w:val="center"/>
          </w:tcPr>
          <w:p w14:paraId="6402D14D" w14:textId="77777777" w:rsidR="00327E7A" w:rsidRPr="007D425D" w:rsidRDefault="00327E7A" w:rsidP="007D425D">
            <w:pPr>
              <w:spacing w:after="0"/>
              <w:jc w:val="left"/>
              <w:rPr>
                <w:rFonts w:ascii="Calibri" w:eastAsia="Calibri" w:hAnsi="Calibri"/>
                <w:sz w:val="20"/>
                <w:szCs w:val="20"/>
                <w:lang w:val="en-US"/>
              </w:rPr>
            </w:pPr>
            <w:r w:rsidRPr="007D425D">
              <w:rPr>
                <w:rFonts w:ascii="Calibri" w:eastAsia="Calibri" w:hAnsi="Calibri"/>
                <w:sz w:val="20"/>
                <w:szCs w:val="20"/>
                <w:lang w:val="en-US"/>
              </w:rPr>
              <w:t>0</w:t>
            </w:r>
            <w:r w:rsidR="007E05B5" w:rsidRPr="007D425D">
              <w:rPr>
                <w:rFonts w:ascii="Calibri" w:eastAsia="Calibri" w:hAnsi="Calibri"/>
                <w:sz w:val="20"/>
                <w:szCs w:val="20"/>
                <w:lang w:val="en-US"/>
              </w:rPr>
              <w:t>2</w:t>
            </w:r>
            <w:r w:rsidR="004A285F" w:rsidRPr="007D425D">
              <w:rPr>
                <w:rFonts w:ascii="Calibri" w:eastAsia="Calibri" w:hAnsi="Calibri"/>
                <w:sz w:val="20"/>
                <w:szCs w:val="20"/>
                <w:lang w:val="en-US"/>
              </w:rPr>
              <w:t>-</w:t>
            </w:r>
            <w:r w:rsidR="002B1C24">
              <w:rPr>
                <w:rFonts w:ascii="Calibri" w:eastAsia="Calibri" w:hAnsi="Calibri"/>
                <w:sz w:val="20"/>
                <w:szCs w:val="20"/>
                <w:lang w:val="en-US"/>
              </w:rPr>
              <w:t>21</w:t>
            </w:r>
            <w:r w:rsidRPr="007D425D">
              <w:rPr>
                <w:rFonts w:ascii="Calibri" w:eastAsia="Calibri" w:hAnsi="Calibri"/>
                <w:sz w:val="20"/>
                <w:szCs w:val="20"/>
                <w:lang w:val="en-US"/>
              </w:rPr>
              <w:t xml:space="preserve"> December</w:t>
            </w:r>
          </w:p>
        </w:tc>
        <w:tc>
          <w:tcPr>
            <w:tcW w:w="3969" w:type="dxa"/>
            <w:vAlign w:val="center"/>
          </w:tcPr>
          <w:p w14:paraId="5B245B00" w14:textId="77777777" w:rsidR="00327E7A" w:rsidRPr="007D425D" w:rsidRDefault="00327E7A" w:rsidP="007D425D">
            <w:pPr>
              <w:spacing w:after="0"/>
              <w:jc w:val="left"/>
              <w:rPr>
                <w:rFonts w:ascii="Calibri" w:eastAsia="Calibri" w:hAnsi="Calibri"/>
                <w:sz w:val="20"/>
                <w:szCs w:val="20"/>
                <w:lang w:val="en-US"/>
              </w:rPr>
            </w:pPr>
            <w:r w:rsidRPr="007D425D">
              <w:rPr>
                <w:rFonts w:ascii="Calibri" w:eastAsia="Calibri" w:hAnsi="Calibri"/>
                <w:sz w:val="20"/>
                <w:szCs w:val="20"/>
                <w:lang w:val="en-US"/>
              </w:rPr>
              <w:t xml:space="preserve">Hearing and submission </w:t>
            </w:r>
            <w:r w:rsidR="002B1C24">
              <w:rPr>
                <w:rFonts w:ascii="Calibri" w:eastAsia="Calibri" w:hAnsi="Calibri"/>
                <w:sz w:val="20"/>
                <w:szCs w:val="20"/>
                <w:lang w:val="en-US"/>
              </w:rPr>
              <w:t>of comments to draft report up to 2</w:t>
            </w:r>
            <w:r w:rsidRPr="007D425D">
              <w:rPr>
                <w:rFonts w:ascii="Calibri" w:eastAsia="Calibri" w:hAnsi="Calibri"/>
                <w:sz w:val="20"/>
                <w:szCs w:val="20"/>
                <w:lang w:val="en-US"/>
              </w:rPr>
              <w:t>1 Dec</w:t>
            </w:r>
          </w:p>
        </w:tc>
        <w:tc>
          <w:tcPr>
            <w:tcW w:w="3118" w:type="dxa"/>
            <w:vAlign w:val="center"/>
          </w:tcPr>
          <w:p w14:paraId="1CC3FBA6" w14:textId="77777777" w:rsidR="00327E7A" w:rsidRPr="007D425D" w:rsidRDefault="00327E7A" w:rsidP="007D425D">
            <w:pPr>
              <w:spacing w:after="0"/>
              <w:jc w:val="left"/>
              <w:rPr>
                <w:rFonts w:ascii="Calibri" w:eastAsia="Calibri" w:hAnsi="Calibri"/>
                <w:sz w:val="20"/>
                <w:szCs w:val="20"/>
                <w:lang w:val="en-US"/>
              </w:rPr>
            </w:pPr>
          </w:p>
        </w:tc>
      </w:tr>
      <w:tr w:rsidR="00327E7A" w:rsidRPr="00C141F8" w14:paraId="331E0191" w14:textId="77777777" w:rsidTr="007D425D">
        <w:trPr>
          <w:jc w:val="center"/>
        </w:trPr>
        <w:tc>
          <w:tcPr>
            <w:tcW w:w="2194" w:type="dxa"/>
            <w:vAlign w:val="center"/>
          </w:tcPr>
          <w:p w14:paraId="18FFEB3E" w14:textId="77777777" w:rsidR="00327E7A" w:rsidRPr="007D425D" w:rsidRDefault="002B1C24" w:rsidP="002B1C24">
            <w:pPr>
              <w:spacing w:after="0"/>
              <w:jc w:val="left"/>
              <w:rPr>
                <w:rFonts w:ascii="Calibri" w:eastAsia="Calibri" w:hAnsi="Calibri"/>
                <w:sz w:val="20"/>
                <w:szCs w:val="20"/>
                <w:lang w:val="en-US"/>
              </w:rPr>
            </w:pPr>
            <w:r>
              <w:rPr>
                <w:rFonts w:ascii="Calibri" w:eastAsia="Calibri" w:hAnsi="Calibri"/>
                <w:sz w:val="20"/>
                <w:szCs w:val="20"/>
                <w:lang w:val="en-US"/>
              </w:rPr>
              <w:t>15-30</w:t>
            </w:r>
            <w:r w:rsidR="00327E7A" w:rsidRPr="007D425D">
              <w:rPr>
                <w:rFonts w:ascii="Calibri" w:eastAsia="Calibri" w:hAnsi="Calibri"/>
                <w:sz w:val="20"/>
                <w:szCs w:val="20"/>
                <w:lang w:val="en-US"/>
              </w:rPr>
              <w:t xml:space="preserve"> December</w:t>
            </w:r>
          </w:p>
        </w:tc>
        <w:tc>
          <w:tcPr>
            <w:tcW w:w="3969" w:type="dxa"/>
            <w:vAlign w:val="center"/>
          </w:tcPr>
          <w:p w14:paraId="2CF062B2" w14:textId="77777777" w:rsidR="00327E7A" w:rsidRPr="007D425D" w:rsidRDefault="00327E7A" w:rsidP="007D425D">
            <w:pPr>
              <w:spacing w:after="0"/>
              <w:jc w:val="left"/>
              <w:rPr>
                <w:rFonts w:ascii="Calibri" w:eastAsia="Calibri" w:hAnsi="Calibri"/>
                <w:sz w:val="20"/>
                <w:szCs w:val="20"/>
                <w:lang w:val="en-US"/>
              </w:rPr>
            </w:pPr>
            <w:r w:rsidRPr="007D425D">
              <w:rPr>
                <w:rFonts w:ascii="Calibri" w:eastAsia="Calibri" w:hAnsi="Calibri"/>
                <w:sz w:val="20"/>
                <w:szCs w:val="20"/>
                <w:lang w:val="en-US"/>
              </w:rPr>
              <w:t>Drafting of final evaluation report</w:t>
            </w:r>
          </w:p>
        </w:tc>
        <w:tc>
          <w:tcPr>
            <w:tcW w:w="3118" w:type="dxa"/>
            <w:vAlign w:val="center"/>
          </w:tcPr>
          <w:p w14:paraId="1D0710D8" w14:textId="77777777" w:rsidR="00327E7A" w:rsidRPr="007D425D" w:rsidRDefault="00327E7A" w:rsidP="007D425D">
            <w:pPr>
              <w:spacing w:after="0"/>
              <w:jc w:val="left"/>
              <w:rPr>
                <w:rFonts w:ascii="Calibri" w:eastAsia="Calibri" w:hAnsi="Calibri"/>
                <w:sz w:val="20"/>
                <w:szCs w:val="20"/>
                <w:lang w:val="en-US"/>
              </w:rPr>
            </w:pPr>
            <w:r w:rsidRPr="007D425D">
              <w:rPr>
                <w:rFonts w:ascii="Calibri" w:eastAsia="Calibri" w:hAnsi="Calibri"/>
                <w:sz w:val="20"/>
                <w:szCs w:val="20"/>
                <w:lang w:val="en-US"/>
              </w:rPr>
              <w:t>Submiss</w:t>
            </w:r>
            <w:r w:rsidR="007E05B5" w:rsidRPr="007D425D">
              <w:rPr>
                <w:rFonts w:ascii="Calibri" w:eastAsia="Calibri" w:hAnsi="Calibri"/>
                <w:sz w:val="20"/>
                <w:szCs w:val="20"/>
                <w:lang w:val="en-US"/>
              </w:rPr>
              <w:t>ion of Final Evaluation R</w:t>
            </w:r>
            <w:r w:rsidRPr="007D425D">
              <w:rPr>
                <w:rFonts w:ascii="Calibri" w:eastAsia="Calibri" w:hAnsi="Calibri"/>
                <w:sz w:val="20"/>
                <w:szCs w:val="20"/>
                <w:lang w:val="en-US"/>
              </w:rPr>
              <w:t>eport (</w:t>
            </w:r>
            <w:r w:rsidR="002B1C24">
              <w:rPr>
                <w:rFonts w:ascii="Calibri" w:eastAsia="Calibri" w:hAnsi="Calibri"/>
                <w:sz w:val="20"/>
                <w:szCs w:val="20"/>
                <w:lang w:val="en-US"/>
              </w:rPr>
              <w:t>30</w:t>
            </w:r>
            <w:r w:rsidRPr="007D425D">
              <w:rPr>
                <w:rFonts w:ascii="Calibri" w:eastAsia="Calibri" w:hAnsi="Calibri"/>
                <w:sz w:val="20"/>
                <w:szCs w:val="20"/>
                <w:lang w:val="en-US"/>
              </w:rPr>
              <w:t xml:space="preserve"> Dec)</w:t>
            </w:r>
          </w:p>
        </w:tc>
      </w:tr>
    </w:tbl>
    <w:p w14:paraId="212EDC03" w14:textId="77777777" w:rsidR="00327E7A" w:rsidRPr="00CD56B9" w:rsidRDefault="00327E7A" w:rsidP="00327E7A">
      <w:pPr>
        <w:rPr>
          <w:lang w:val="en-US"/>
        </w:rPr>
      </w:pPr>
    </w:p>
    <w:p w14:paraId="1DBB2BBE" w14:textId="77777777" w:rsidR="00DA0AF9" w:rsidRPr="00CD56B9" w:rsidRDefault="00DA0AF9" w:rsidP="00DA0AF9">
      <w:pPr>
        <w:rPr>
          <w:lang w:val="en-US"/>
        </w:rPr>
      </w:pPr>
      <w:r w:rsidRPr="00CD56B9">
        <w:rPr>
          <w:lang w:val="en-US"/>
        </w:rPr>
        <w:t>The MTE was conducted according to the five standard DAC evaluation criteri</w:t>
      </w:r>
      <w:r w:rsidR="00505F9D" w:rsidRPr="00CD56B9">
        <w:rPr>
          <w:lang w:val="en-US"/>
        </w:rPr>
        <w:t>a: Relevance, effectiveness, efficiency, impact, and sustainability. The evaluation criteria and related evaluation questions are presented in th</w:t>
      </w:r>
      <w:r w:rsidR="006715AF" w:rsidRPr="00CD56B9">
        <w:rPr>
          <w:lang w:val="en-US"/>
        </w:rPr>
        <w:t>e evaluation criteria matrix</w:t>
      </w:r>
      <w:r w:rsidR="00505F9D" w:rsidRPr="00CD56B9">
        <w:rPr>
          <w:lang w:val="en-US"/>
        </w:rPr>
        <w:t xml:space="preserve"> in</w:t>
      </w:r>
      <w:r w:rsidR="00505F9D" w:rsidRPr="00CD56B9">
        <w:rPr>
          <w:b/>
          <w:lang w:val="en-US"/>
        </w:rPr>
        <w:t xml:space="preserve"> Annex </w:t>
      </w:r>
      <w:r w:rsidR="000D7686" w:rsidRPr="00CD56B9">
        <w:rPr>
          <w:b/>
          <w:lang w:val="en-US"/>
        </w:rPr>
        <w:t>5</w:t>
      </w:r>
      <w:r w:rsidR="00505F9D" w:rsidRPr="00CD56B9">
        <w:rPr>
          <w:lang w:val="en-US"/>
        </w:rPr>
        <w:t xml:space="preserve">, which </w:t>
      </w:r>
      <w:r w:rsidR="006715AF" w:rsidRPr="00CD56B9">
        <w:rPr>
          <w:lang w:val="en-US"/>
        </w:rPr>
        <w:t xml:space="preserve">also </w:t>
      </w:r>
      <w:r w:rsidR="00505F9D" w:rsidRPr="00CD56B9">
        <w:rPr>
          <w:lang w:val="en-US"/>
        </w:rPr>
        <w:t xml:space="preserve">indicates how the questions </w:t>
      </w:r>
      <w:r w:rsidR="006715AF" w:rsidRPr="00CD56B9">
        <w:rPr>
          <w:lang w:val="en-US"/>
        </w:rPr>
        <w:t xml:space="preserve">were </w:t>
      </w:r>
      <w:r w:rsidR="00505F9D" w:rsidRPr="00CD56B9">
        <w:rPr>
          <w:lang w:val="en-US"/>
        </w:rPr>
        <w:t>addressed in terms of data sources and validation.</w:t>
      </w:r>
      <w:r w:rsidR="00063CA6" w:rsidRPr="00CD56B9">
        <w:rPr>
          <w:lang w:val="en-US"/>
        </w:rPr>
        <w:t xml:space="preserve"> The support to gender mainstreaming and gender equality in democratic governance </w:t>
      </w:r>
      <w:r w:rsidR="009E4A98" w:rsidRPr="00CD56B9">
        <w:rPr>
          <w:lang w:val="en-US"/>
        </w:rPr>
        <w:t>is addressed as a crosscutting issue in the evaluation and included as such in the assessments of individual support projects.</w:t>
      </w:r>
    </w:p>
    <w:p w14:paraId="3089EAE5" w14:textId="77777777" w:rsidR="0026313E" w:rsidRPr="00CD56B9" w:rsidRDefault="0026313E" w:rsidP="002B1C24">
      <w:pPr>
        <w:spacing w:after="0"/>
        <w:rPr>
          <w:lang w:val="en-US"/>
        </w:rPr>
      </w:pPr>
    </w:p>
    <w:p w14:paraId="360528FC" w14:textId="77777777" w:rsidR="004A6DE0" w:rsidRPr="004424AF" w:rsidRDefault="00714A7F" w:rsidP="00997A7B">
      <w:pPr>
        <w:pStyle w:val="Overskrift2"/>
        <w:numPr>
          <w:ilvl w:val="0"/>
          <w:numId w:val="0"/>
        </w:numPr>
        <w:rPr>
          <w:lang w:val="en-US"/>
        </w:rPr>
      </w:pPr>
      <w:bookmarkStart w:id="3" w:name="_Toc439245572"/>
      <w:r w:rsidRPr="004424AF">
        <w:rPr>
          <w:lang w:val="en-US"/>
        </w:rPr>
        <w:t xml:space="preserve">1.1 </w:t>
      </w:r>
      <w:r w:rsidR="00E5239B" w:rsidRPr="004424AF">
        <w:rPr>
          <w:lang w:val="en-US"/>
        </w:rPr>
        <w:t xml:space="preserve">A Results-based </w:t>
      </w:r>
      <w:r w:rsidR="00D75ED8" w:rsidRPr="004424AF">
        <w:rPr>
          <w:lang w:val="en-US"/>
        </w:rPr>
        <w:t>A</w:t>
      </w:r>
      <w:r w:rsidR="00E5239B" w:rsidRPr="004424AF">
        <w:rPr>
          <w:lang w:val="en-US"/>
        </w:rPr>
        <w:t>pproach</w:t>
      </w:r>
      <w:bookmarkEnd w:id="3"/>
    </w:p>
    <w:p w14:paraId="7F02248F" w14:textId="77777777" w:rsidR="0026313E" w:rsidRPr="004424AF" w:rsidRDefault="0026313E" w:rsidP="0026313E">
      <w:pPr>
        <w:spacing w:after="0"/>
        <w:rPr>
          <w:lang w:val="en-US"/>
        </w:rPr>
      </w:pPr>
    </w:p>
    <w:p w14:paraId="10417A10" w14:textId="77777777" w:rsidR="00C95DA1" w:rsidRPr="00CD56B9" w:rsidRDefault="00C95DA1" w:rsidP="00C95DA1">
      <w:pPr>
        <w:spacing w:after="0"/>
        <w:rPr>
          <w:rFonts w:cs="Arial"/>
          <w:lang w:val="en-US"/>
        </w:rPr>
      </w:pPr>
      <w:r w:rsidRPr="00CD56B9">
        <w:rPr>
          <w:rFonts w:cs="Arial"/>
          <w:lang w:val="en-US"/>
        </w:rPr>
        <w:t xml:space="preserve">A key objective of the support rendered under Outcome 4.1 is to build democratic governance capacity in public institutions and </w:t>
      </w:r>
      <w:r w:rsidR="00A72EF4" w:rsidRPr="00CD56B9">
        <w:rPr>
          <w:rFonts w:cs="Arial"/>
          <w:lang w:val="en-US"/>
        </w:rPr>
        <w:t>organizations</w:t>
      </w:r>
      <w:r w:rsidRPr="00CD56B9">
        <w:rPr>
          <w:rFonts w:cs="Arial"/>
          <w:lang w:val="en-US"/>
        </w:rPr>
        <w:t>. In order to verify any increase in capacity and the impact of the capacity development support delivered under the UNDAF, the MTE applied</w:t>
      </w:r>
      <w:r w:rsidR="00791192" w:rsidRPr="00CD56B9">
        <w:rPr>
          <w:rFonts w:cs="Arial"/>
          <w:lang w:val="en-US"/>
        </w:rPr>
        <w:t xml:space="preserve"> </w:t>
      </w:r>
      <w:r w:rsidR="00791192" w:rsidRPr="00CD56B9">
        <w:rPr>
          <w:rFonts w:cs="Arial"/>
          <w:lang w:val="en-US"/>
        </w:rPr>
        <w:lastRenderedPageBreak/>
        <w:t>a results-based approach, which took point of departure in the documented support project and UNDAF Outcome achievements.</w:t>
      </w:r>
    </w:p>
    <w:p w14:paraId="3AF471E2" w14:textId="77777777" w:rsidR="00C95DA1" w:rsidRPr="00CD56B9" w:rsidRDefault="00C95DA1" w:rsidP="00C95DA1">
      <w:pPr>
        <w:spacing w:after="0"/>
        <w:rPr>
          <w:rFonts w:cs="Arial"/>
          <w:lang w:val="en-US"/>
        </w:rPr>
      </w:pPr>
    </w:p>
    <w:p w14:paraId="4EC1BC2C" w14:textId="77777777" w:rsidR="00C95DA1" w:rsidRPr="00CD56B9" w:rsidRDefault="00C95DA1" w:rsidP="00C95DA1">
      <w:pPr>
        <w:spacing w:after="0"/>
        <w:rPr>
          <w:rFonts w:cs="Arial"/>
          <w:lang w:val="en-US"/>
        </w:rPr>
      </w:pPr>
      <w:r w:rsidRPr="00CD56B9">
        <w:rPr>
          <w:rFonts w:cs="Arial"/>
          <w:lang w:val="en-US"/>
        </w:rPr>
        <w:t xml:space="preserve">This approach is outlined in UNDP guidelines such as ‘Measuring Capacity’ (2010) and ‘Innovations in Monitoring and Evaluating Results’ (2013). In brief, a results-based approach defines ‘capacity’ as the ability of institutions to fulfil their mandates and functions according to their corporate plans and strategies. It compares the achievements made during the time of project support with the baseline data. Any improvement over time in the ability of supported institutions to fulfil their mandate serves as a proxy for improved institutional capacity. Starting with the identification of results achieved since project start, the assessment then analyses causality links between these results and the support provided by a project. This analysis is unfolded in accordance with the specified evaluation criteria and evaluation questions in order to identify contributions of the support and critical capability gaps not sufficiently addressed or in need of being addressed in the future. </w:t>
      </w:r>
    </w:p>
    <w:p w14:paraId="795CD25A" w14:textId="77777777" w:rsidR="00C95DA1" w:rsidRPr="00CD56B9" w:rsidRDefault="00C95DA1" w:rsidP="00C95DA1">
      <w:pPr>
        <w:spacing w:after="0"/>
        <w:rPr>
          <w:rFonts w:cs="Arial"/>
          <w:lang w:val="en-US"/>
        </w:rPr>
      </w:pPr>
    </w:p>
    <w:p w14:paraId="78FEB5E3" w14:textId="77777777" w:rsidR="00D75ED8" w:rsidRPr="00CD56B9" w:rsidRDefault="00C95DA1" w:rsidP="00D75ED8">
      <w:pPr>
        <w:rPr>
          <w:lang w:val="en-US"/>
        </w:rPr>
      </w:pPr>
      <w:r w:rsidRPr="00CD56B9">
        <w:rPr>
          <w:lang w:val="en-US"/>
        </w:rPr>
        <w:t>As a reference point for outcome achievements and current institutional capacity to promote democratic governance, the MTE team took point of departure in the results achievements estimated during the UNDAF wide MTE conducted shortly before this evaluation.</w:t>
      </w:r>
      <w:r w:rsidR="00D75ED8" w:rsidRPr="00CD56B9">
        <w:rPr>
          <w:lang w:val="en-US"/>
        </w:rPr>
        <w:t xml:space="preserve"> </w:t>
      </w:r>
      <w:r w:rsidR="00583DA8" w:rsidRPr="00CD56B9">
        <w:rPr>
          <w:lang w:val="en-US"/>
        </w:rPr>
        <w:t xml:space="preserve">The </w:t>
      </w:r>
      <w:r w:rsidR="008D6958" w:rsidRPr="00CD56B9">
        <w:rPr>
          <w:lang w:val="en-US"/>
        </w:rPr>
        <w:t xml:space="preserve">updated </w:t>
      </w:r>
      <w:r w:rsidR="00583DA8" w:rsidRPr="00CD56B9">
        <w:rPr>
          <w:lang w:val="en-US"/>
        </w:rPr>
        <w:t xml:space="preserve">results achievements are </w:t>
      </w:r>
      <w:r w:rsidR="00CC2461" w:rsidRPr="00CD56B9">
        <w:rPr>
          <w:lang w:val="en-US"/>
        </w:rPr>
        <w:t>presented</w:t>
      </w:r>
      <w:r w:rsidR="00583DA8" w:rsidRPr="00CD56B9">
        <w:rPr>
          <w:lang w:val="en-US"/>
        </w:rPr>
        <w:t xml:space="preserve"> in</w:t>
      </w:r>
      <w:r w:rsidR="003212CE" w:rsidRPr="00CD56B9">
        <w:rPr>
          <w:lang w:val="en-US"/>
        </w:rPr>
        <w:t xml:space="preserve"> </w:t>
      </w:r>
      <w:r w:rsidR="00045FB4" w:rsidRPr="00CD56B9">
        <w:rPr>
          <w:b/>
          <w:lang w:val="en-US"/>
        </w:rPr>
        <w:t>t</w:t>
      </w:r>
      <w:r w:rsidR="00143D43" w:rsidRPr="00CD56B9">
        <w:rPr>
          <w:b/>
          <w:lang w:val="en-US"/>
        </w:rPr>
        <w:t>able</w:t>
      </w:r>
      <w:r w:rsidR="00143D43" w:rsidRPr="00CD56B9">
        <w:rPr>
          <w:lang w:val="en-US"/>
        </w:rPr>
        <w:t xml:space="preserve"> </w:t>
      </w:r>
      <w:r w:rsidR="00045FB4" w:rsidRPr="00CD56B9">
        <w:rPr>
          <w:b/>
          <w:lang w:val="en-US"/>
        </w:rPr>
        <w:t>3</w:t>
      </w:r>
      <w:r w:rsidR="00045FB4" w:rsidRPr="00CD56B9">
        <w:rPr>
          <w:lang w:val="en-US"/>
        </w:rPr>
        <w:t xml:space="preserve"> </w:t>
      </w:r>
      <w:r w:rsidR="00143D43" w:rsidRPr="00CD56B9">
        <w:rPr>
          <w:lang w:val="en-US"/>
        </w:rPr>
        <w:t>in chapter four</w:t>
      </w:r>
      <w:r w:rsidR="00583DA8" w:rsidRPr="00CD56B9">
        <w:rPr>
          <w:lang w:val="en-US"/>
        </w:rPr>
        <w:t xml:space="preserve">. </w:t>
      </w:r>
      <w:r w:rsidR="00D75ED8" w:rsidRPr="00CD56B9">
        <w:rPr>
          <w:lang w:val="en-US"/>
        </w:rPr>
        <w:t>Here, a three-colour performance rating has been applied. The performance rating of the outcome achievements is coloured as follows:</w:t>
      </w:r>
    </w:p>
    <w:p w14:paraId="5E94B495" w14:textId="77777777" w:rsidR="00D75ED8" w:rsidRPr="00CD56B9" w:rsidRDefault="00D75ED8" w:rsidP="00D75ED8">
      <w:pPr>
        <w:spacing w:after="0"/>
        <w:rPr>
          <w:lang w:val="en-US"/>
        </w:rPr>
      </w:pPr>
      <w:r w:rsidRPr="00CD56B9">
        <w:rPr>
          <w:lang w:val="en-US"/>
        </w:rPr>
        <w:t xml:space="preserve">• Green: Full output achievement </w:t>
      </w:r>
    </w:p>
    <w:p w14:paraId="09E0A05C" w14:textId="77777777" w:rsidR="00D75ED8" w:rsidRPr="00CD56B9" w:rsidRDefault="00D75ED8" w:rsidP="00D75ED8">
      <w:pPr>
        <w:spacing w:after="0"/>
        <w:rPr>
          <w:lang w:val="en-US"/>
        </w:rPr>
      </w:pPr>
      <w:r w:rsidRPr="00CD56B9">
        <w:rPr>
          <w:lang w:val="en-US"/>
        </w:rPr>
        <w:t xml:space="preserve">• Yellow: Substantial output achievement </w:t>
      </w:r>
    </w:p>
    <w:p w14:paraId="09748FF0" w14:textId="77777777" w:rsidR="00D75ED8" w:rsidRPr="00CD56B9" w:rsidRDefault="00D75ED8" w:rsidP="00D75ED8">
      <w:pPr>
        <w:spacing w:after="0"/>
        <w:rPr>
          <w:lang w:val="en-US"/>
        </w:rPr>
      </w:pPr>
      <w:r w:rsidRPr="00CD56B9">
        <w:rPr>
          <w:lang w:val="en-US"/>
        </w:rPr>
        <w:t>• Red: Limited output achievement</w:t>
      </w:r>
    </w:p>
    <w:p w14:paraId="57C2AB99" w14:textId="77777777" w:rsidR="00C95DA1" w:rsidRPr="00CD56B9" w:rsidRDefault="00C95DA1" w:rsidP="00C95DA1">
      <w:pPr>
        <w:spacing w:after="0"/>
        <w:rPr>
          <w:lang w:val="en-US"/>
        </w:rPr>
      </w:pPr>
    </w:p>
    <w:p w14:paraId="623DFC60" w14:textId="77777777" w:rsidR="00D75ED8" w:rsidRPr="00CD56B9" w:rsidRDefault="00D75ED8" w:rsidP="00C95DA1">
      <w:pPr>
        <w:spacing w:after="0"/>
        <w:rPr>
          <w:lang w:val="en-US"/>
        </w:rPr>
      </w:pPr>
      <w:r w:rsidRPr="00CD56B9">
        <w:rPr>
          <w:lang w:val="en-US"/>
        </w:rPr>
        <w:t xml:space="preserve">The MTE team has applied the same colour-code in </w:t>
      </w:r>
      <w:r w:rsidR="004167AD" w:rsidRPr="00CD56B9">
        <w:rPr>
          <w:b/>
          <w:lang w:val="en-US"/>
        </w:rPr>
        <w:t>Annex 8</w:t>
      </w:r>
      <w:r w:rsidRPr="00CD56B9">
        <w:rPr>
          <w:lang w:val="en-US"/>
        </w:rPr>
        <w:t xml:space="preserve"> </w:t>
      </w:r>
      <w:r w:rsidR="00583DA8" w:rsidRPr="00CD56B9">
        <w:rPr>
          <w:lang w:val="en-US"/>
        </w:rPr>
        <w:t xml:space="preserve">in order to </w:t>
      </w:r>
      <w:r w:rsidRPr="00CD56B9">
        <w:rPr>
          <w:lang w:val="en-US"/>
        </w:rPr>
        <w:t xml:space="preserve">rate </w:t>
      </w:r>
      <w:r w:rsidR="00583DA8" w:rsidRPr="00CD56B9">
        <w:rPr>
          <w:lang w:val="en-US"/>
        </w:rPr>
        <w:t xml:space="preserve">the performances of </w:t>
      </w:r>
      <w:r w:rsidRPr="00CD56B9">
        <w:rPr>
          <w:lang w:val="en-US"/>
        </w:rPr>
        <w:t xml:space="preserve">support project </w:t>
      </w:r>
      <w:r w:rsidR="00583DA8" w:rsidRPr="00CD56B9">
        <w:rPr>
          <w:lang w:val="en-US"/>
        </w:rPr>
        <w:t xml:space="preserve">at project output level, </w:t>
      </w:r>
      <w:r w:rsidR="00A72EF4" w:rsidRPr="00CD56B9">
        <w:rPr>
          <w:lang w:val="en-US"/>
        </w:rPr>
        <w:t>summarizing</w:t>
      </w:r>
      <w:r w:rsidR="00583DA8" w:rsidRPr="00CD56B9">
        <w:rPr>
          <w:lang w:val="en-US"/>
        </w:rPr>
        <w:t xml:space="preserve"> the assessments</w:t>
      </w:r>
      <w:r w:rsidR="004150E8" w:rsidRPr="00CD56B9">
        <w:rPr>
          <w:lang w:val="en-US"/>
        </w:rPr>
        <w:t xml:space="preserve"> made in chapter three</w:t>
      </w:r>
      <w:r w:rsidR="00583DA8" w:rsidRPr="00CD56B9">
        <w:rPr>
          <w:lang w:val="en-US"/>
        </w:rPr>
        <w:t>.</w:t>
      </w:r>
    </w:p>
    <w:p w14:paraId="7F07C903" w14:textId="77777777" w:rsidR="0026313E" w:rsidRPr="00CD56B9" w:rsidRDefault="0026313E" w:rsidP="00C95DA1">
      <w:pPr>
        <w:spacing w:after="0"/>
        <w:rPr>
          <w:lang w:val="en-US"/>
        </w:rPr>
      </w:pPr>
    </w:p>
    <w:p w14:paraId="68B765A2" w14:textId="77777777" w:rsidR="00F835A6" w:rsidRPr="004424AF" w:rsidRDefault="00714A7F" w:rsidP="00997A7B">
      <w:pPr>
        <w:pStyle w:val="Overskrift2"/>
        <w:numPr>
          <w:ilvl w:val="0"/>
          <w:numId w:val="0"/>
        </w:numPr>
        <w:rPr>
          <w:lang w:val="en-US"/>
        </w:rPr>
      </w:pPr>
      <w:bookmarkStart w:id="4" w:name="_Toc439245573"/>
      <w:r w:rsidRPr="004424AF">
        <w:rPr>
          <w:lang w:val="en-US"/>
        </w:rPr>
        <w:t xml:space="preserve">1.2 </w:t>
      </w:r>
      <w:r w:rsidR="00F835A6" w:rsidRPr="004424AF">
        <w:rPr>
          <w:lang w:val="en-US"/>
        </w:rPr>
        <w:t>Limitations of the Methodology</w:t>
      </w:r>
      <w:bookmarkEnd w:id="4"/>
    </w:p>
    <w:p w14:paraId="5EC2E745" w14:textId="77777777" w:rsidR="0026313E" w:rsidRPr="004424AF" w:rsidRDefault="0026313E" w:rsidP="0026313E">
      <w:pPr>
        <w:spacing w:after="0"/>
        <w:rPr>
          <w:lang w:val="en-US"/>
        </w:rPr>
      </w:pPr>
    </w:p>
    <w:p w14:paraId="762F1FB9" w14:textId="77777777" w:rsidR="0030256B" w:rsidRPr="00CD56B9" w:rsidRDefault="00F835A6" w:rsidP="00F835A6">
      <w:pPr>
        <w:rPr>
          <w:lang w:val="en-US"/>
        </w:rPr>
      </w:pPr>
      <w:r w:rsidRPr="00CD56B9">
        <w:rPr>
          <w:lang w:val="en-US"/>
        </w:rPr>
        <w:t xml:space="preserve">The main limiting factor for the MTE </w:t>
      </w:r>
      <w:r w:rsidR="009D752A" w:rsidRPr="00CD56B9">
        <w:rPr>
          <w:lang w:val="en-US"/>
        </w:rPr>
        <w:t>was</w:t>
      </w:r>
      <w:r w:rsidRPr="00CD56B9">
        <w:rPr>
          <w:lang w:val="en-US"/>
        </w:rPr>
        <w:t xml:space="preserve"> the time available for the field phase compared to the number of support projects under Outcome 4.1, and the </w:t>
      </w:r>
      <w:r w:rsidR="00E01503" w:rsidRPr="00CD56B9">
        <w:rPr>
          <w:lang w:val="en-US"/>
        </w:rPr>
        <w:t>number</w:t>
      </w:r>
      <w:r w:rsidRPr="00CD56B9">
        <w:rPr>
          <w:lang w:val="en-US"/>
        </w:rPr>
        <w:t xml:space="preserve"> of stakeholders and funding arrangements within the outcome. To compensate for the time factor, the MTE engagements </w:t>
      </w:r>
      <w:r w:rsidR="009D752A" w:rsidRPr="00CD56B9">
        <w:rPr>
          <w:lang w:val="en-US"/>
        </w:rPr>
        <w:t>focused on</w:t>
      </w:r>
      <w:r w:rsidRPr="00CD56B9">
        <w:rPr>
          <w:lang w:val="en-US"/>
        </w:rPr>
        <w:t xml:space="preserve"> key stakeholders without compromising the participatory aspects of the MTE. </w:t>
      </w:r>
      <w:r w:rsidR="00AB16FC" w:rsidRPr="00CD56B9">
        <w:rPr>
          <w:lang w:val="en-US"/>
        </w:rPr>
        <w:t xml:space="preserve">The focus of the MTE </w:t>
      </w:r>
      <w:r w:rsidR="00933B40" w:rsidRPr="00CD56B9">
        <w:rPr>
          <w:lang w:val="en-US"/>
        </w:rPr>
        <w:t xml:space="preserve">has been </w:t>
      </w:r>
      <w:r w:rsidR="00AB16FC" w:rsidRPr="00CD56B9">
        <w:rPr>
          <w:lang w:val="en-US"/>
        </w:rPr>
        <w:t>on the outcome achievement</w:t>
      </w:r>
      <w:r w:rsidR="00933B40" w:rsidRPr="00CD56B9">
        <w:rPr>
          <w:lang w:val="en-US"/>
        </w:rPr>
        <w:t xml:space="preserve"> </w:t>
      </w:r>
      <w:r w:rsidR="00AB16FC" w:rsidRPr="00CD56B9">
        <w:rPr>
          <w:lang w:val="en-US"/>
        </w:rPr>
        <w:t>rather than conducting</w:t>
      </w:r>
      <w:r w:rsidR="0030256B" w:rsidRPr="00CD56B9">
        <w:rPr>
          <w:lang w:val="en-US"/>
        </w:rPr>
        <w:t xml:space="preserve"> in-depth evaluations of each individual support project</w:t>
      </w:r>
      <w:r w:rsidR="00674EEF">
        <w:rPr>
          <w:lang w:val="en-US"/>
        </w:rPr>
        <w:t>, although some support projects are closely linked to the three outcome outputs.</w:t>
      </w:r>
      <w:r w:rsidR="0030256B" w:rsidRPr="00CD56B9">
        <w:rPr>
          <w:lang w:val="en-US"/>
        </w:rPr>
        <w:t xml:space="preserve"> </w:t>
      </w:r>
      <w:r w:rsidR="00933B40" w:rsidRPr="00CD56B9">
        <w:rPr>
          <w:lang w:val="en-US"/>
        </w:rPr>
        <w:t xml:space="preserve">Hence, the </w:t>
      </w:r>
      <w:r w:rsidR="00AB16FC" w:rsidRPr="00CD56B9">
        <w:rPr>
          <w:lang w:val="en-US"/>
        </w:rPr>
        <w:t xml:space="preserve">MTE </w:t>
      </w:r>
      <w:r w:rsidR="0030256B" w:rsidRPr="00CD56B9">
        <w:rPr>
          <w:lang w:val="en-US"/>
        </w:rPr>
        <w:t xml:space="preserve">assessed </w:t>
      </w:r>
      <w:r w:rsidR="00674EEF">
        <w:rPr>
          <w:lang w:val="en-US"/>
        </w:rPr>
        <w:t xml:space="preserve">the </w:t>
      </w:r>
      <w:r w:rsidR="00AB16FC" w:rsidRPr="00CD56B9">
        <w:rPr>
          <w:lang w:val="en-US"/>
        </w:rPr>
        <w:t xml:space="preserve">support project </w:t>
      </w:r>
      <w:r w:rsidR="00674EEF">
        <w:rPr>
          <w:lang w:val="en-US"/>
        </w:rPr>
        <w:t xml:space="preserve">according to the DAC evaluation criteria, but with a focus on results achievements and </w:t>
      </w:r>
      <w:r w:rsidR="00933B40" w:rsidRPr="00CD56B9">
        <w:rPr>
          <w:lang w:val="en-US"/>
        </w:rPr>
        <w:t xml:space="preserve">with the aim </w:t>
      </w:r>
      <w:r w:rsidR="009D752A" w:rsidRPr="00CD56B9">
        <w:rPr>
          <w:lang w:val="en-US"/>
        </w:rPr>
        <w:t>to establish</w:t>
      </w:r>
      <w:r w:rsidR="00933B40" w:rsidRPr="00CD56B9">
        <w:rPr>
          <w:lang w:val="en-US"/>
        </w:rPr>
        <w:t xml:space="preserve">, whether </w:t>
      </w:r>
      <w:r w:rsidR="0030256B" w:rsidRPr="00CD56B9">
        <w:rPr>
          <w:lang w:val="en-US"/>
        </w:rPr>
        <w:t xml:space="preserve">the outcome 4.1 target can be achieved. </w:t>
      </w:r>
    </w:p>
    <w:p w14:paraId="08E0FE5C" w14:textId="77777777" w:rsidR="00F835A6" w:rsidRDefault="00F835A6" w:rsidP="00714A7F">
      <w:pPr>
        <w:spacing w:after="0"/>
        <w:rPr>
          <w:lang w:val="en-US"/>
        </w:rPr>
      </w:pPr>
      <w:r w:rsidRPr="00CD56B9">
        <w:rPr>
          <w:lang w:val="en-US"/>
        </w:rPr>
        <w:t xml:space="preserve">Another limitation concerns the impact of UN support. An LDC like Malawi engages with many development partners and the impact of competing support programs may blur the contributions and attributions of UN support. The MTE </w:t>
      </w:r>
      <w:r w:rsidR="00BA273E" w:rsidRPr="00CD56B9">
        <w:rPr>
          <w:lang w:val="en-US"/>
        </w:rPr>
        <w:t>tried</w:t>
      </w:r>
      <w:r w:rsidRPr="00CD56B9">
        <w:rPr>
          <w:lang w:val="en-US"/>
        </w:rPr>
        <w:t xml:space="preserve"> to assure that UN contributions and attributions to the outcome </w:t>
      </w:r>
      <w:r w:rsidR="00933B40" w:rsidRPr="00CD56B9">
        <w:rPr>
          <w:lang w:val="en-US"/>
        </w:rPr>
        <w:t>were</w:t>
      </w:r>
      <w:r w:rsidRPr="00CD56B9">
        <w:rPr>
          <w:lang w:val="en-US"/>
        </w:rPr>
        <w:t xml:space="preserve"> assessed correctly by addressing issues of overlapping support or competing development initiatives during the </w:t>
      </w:r>
      <w:r w:rsidR="00FA4432" w:rsidRPr="00CD56B9">
        <w:rPr>
          <w:lang w:val="en-US"/>
        </w:rPr>
        <w:t>interviews</w:t>
      </w:r>
      <w:r w:rsidRPr="00CD56B9">
        <w:rPr>
          <w:lang w:val="en-US"/>
        </w:rPr>
        <w:t xml:space="preserve">. Since support to DG SWAp is part of the project portfolio, such assessments </w:t>
      </w:r>
      <w:r w:rsidR="00BA273E" w:rsidRPr="00CD56B9">
        <w:rPr>
          <w:lang w:val="en-US"/>
        </w:rPr>
        <w:t xml:space="preserve">could also be </w:t>
      </w:r>
      <w:r w:rsidR="00D7794B" w:rsidRPr="00CD56B9">
        <w:rPr>
          <w:lang w:val="en-US"/>
        </w:rPr>
        <w:t xml:space="preserve">discussed directly with </w:t>
      </w:r>
      <w:r w:rsidR="00BA273E" w:rsidRPr="00CD56B9">
        <w:rPr>
          <w:lang w:val="en-US"/>
        </w:rPr>
        <w:t>MoJCA, the SWA</w:t>
      </w:r>
      <w:r w:rsidR="00714A7F">
        <w:rPr>
          <w:lang w:val="en-US"/>
        </w:rPr>
        <w:t>p-lead in democratic governance.</w:t>
      </w:r>
    </w:p>
    <w:p w14:paraId="3A8AD688" w14:textId="77777777" w:rsidR="00674EEF" w:rsidRDefault="00674EEF" w:rsidP="00714A7F">
      <w:pPr>
        <w:spacing w:after="0"/>
        <w:rPr>
          <w:lang w:val="en-US"/>
        </w:rPr>
      </w:pPr>
    </w:p>
    <w:p w14:paraId="2ED2CF4B" w14:textId="77777777" w:rsidR="004A6DE0" w:rsidRPr="004424AF" w:rsidRDefault="00714A7F" w:rsidP="00997A7B">
      <w:pPr>
        <w:pStyle w:val="Overskrift2"/>
        <w:numPr>
          <w:ilvl w:val="0"/>
          <w:numId w:val="0"/>
        </w:numPr>
        <w:rPr>
          <w:lang w:val="en-US"/>
        </w:rPr>
      </w:pPr>
      <w:bookmarkStart w:id="5" w:name="_Toc439245574"/>
      <w:r w:rsidRPr="004424AF">
        <w:rPr>
          <w:lang w:val="en-US"/>
        </w:rPr>
        <w:t xml:space="preserve">1.3 </w:t>
      </w:r>
      <w:r w:rsidR="00BA273E" w:rsidRPr="004424AF">
        <w:rPr>
          <w:lang w:val="en-US"/>
        </w:rPr>
        <w:t>Outline of the Report</w:t>
      </w:r>
      <w:bookmarkEnd w:id="5"/>
    </w:p>
    <w:p w14:paraId="68674105" w14:textId="77777777" w:rsidR="0026313E" w:rsidRPr="004424AF" w:rsidRDefault="0026313E" w:rsidP="004E2606">
      <w:pPr>
        <w:pStyle w:val="Listeafsnit"/>
        <w:spacing w:after="0"/>
        <w:ind w:left="405"/>
        <w:rPr>
          <w:lang w:val="en-US"/>
        </w:rPr>
      </w:pPr>
    </w:p>
    <w:p w14:paraId="5C364650" w14:textId="77777777" w:rsidR="00F953BF" w:rsidRPr="00CD56B9" w:rsidRDefault="001A6BE0" w:rsidP="00A74151">
      <w:pPr>
        <w:rPr>
          <w:lang w:val="en-US"/>
        </w:rPr>
      </w:pPr>
      <w:r w:rsidRPr="00CD56B9">
        <w:rPr>
          <w:lang w:val="en-US"/>
        </w:rPr>
        <w:t>C</w:t>
      </w:r>
      <w:r w:rsidR="0070070D" w:rsidRPr="00CD56B9">
        <w:rPr>
          <w:lang w:val="en-US"/>
        </w:rPr>
        <w:t xml:space="preserve">hapter </w:t>
      </w:r>
      <w:r w:rsidR="00643F15" w:rsidRPr="00CD56B9">
        <w:rPr>
          <w:lang w:val="en-US"/>
        </w:rPr>
        <w:t>2</w:t>
      </w:r>
      <w:r w:rsidRPr="00CD56B9">
        <w:rPr>
          <w:lang w:val="en-US"/>
        </w:rPr>
        <w:t xml:space="preserve"> </w:t>
      </w:r>
      <w:r w:rsidR="0070070D" w:rsidRPr="00CD56B9">
        <w:rPr>
          <w:lang w:val="en-US"/>
        </w:rPr>
        <w:t xml:space="preserve">provides a brief background of democratic governance in Malawi and underlying </w:t>
      </w:r>
      <w:r w:rsidR="003F5511">
        <w:rPr>
          <w:lang w:val="en-US"/>
        </w:rPr>
        <w:t xml:space="preserve">problem </w:t>
      </w:r>
      <w:r w:rsidR="0070070D" w:rsidRPr="00CD56B9">
        <w:rPr>
          <w:lang w:val="en-US"/>
        </w:rPr>
        <w:t>root causes, which the support delivered under UNDAF O</w:t>
      </w:r>
      <w:r w:rsidRPr="00CD56B9">
        <w:rPr>
          <w:lang w:val="en-US"/>
        </w:rPr>
        <w:t xml:space="preserve">utcome 4.1 aims to address. </w:t>
      </w:r>
    </w:p>
    <w:p w14:paraId="293461AD" w14:textId="77777777" w:rsidR="0026313E" w:rsidRPr="00CD56B9" w:rsidRDefault="0070070D" w:rsidP="00A74151">
      <w:pPr>
        <w:rPr>
          <w:lang w:val="en-US"/>
        </w:rPr>
      </w:pPr>
      <w:r w:rsidRPr="00CD56B9">
        <w:rPr>
          <w:lang w:val="en-US"/>
        </w:rPr>
        <w:lastRenderedPageBreak/>
        <w:t xml:space="preserve">Chapter </w:t>
      </w:r>
      <w:r w:rsidR="00643F15" w:rsidRPr="00CD56B9">
        <w:rPr>
          <w:lang w:val="en-US"/>
        </w:rPr>
        <w:t>3</w:t>
      </w:r>
      <w:r w:rsidR="00A959D3" w:rsidRPr="00CD56B9">
        <w:rPr>
          <w:lang w:val="en-US"/>
        </w:rPr>
        <w:t xml:space="preserve"> </w:t>
      </w:r>
      <w:r w:rsidR="00CC0278" w:rsidRPr="00CD56B9">
        <w:rPr>
          <w:lang w:val="en-US"/>
        </w:rPr>
        <w:t xml:space="preserve">introduces </w:t>
      </w:r>
      <w:r w:rsidR="001A6BE0" w:rsidRPr="00CD56B9">
        <w:rPr>
          <w:lang w:val="en-US"/>
        </w:rPr>
        <w:t xml:space="preserve">the overall UNDAF Outcome 4.1 design and intervention </w:t>
      </w:r>
      <w:r w:rsidR="00CC0278" w:rsidRPr="00CD56B9">
        <w:rPr>
          <w:lang w:val="en-US"/>
        </w:rPr>
        <w:t xml:space="preserve">logic before presenting </w:t>
      </w:r>
      <w:r w:rsidR="0026313E" w:rsidRPr="00CD56B9">
        <w:rPr>
          <w:lang w:val="en-US"/>
        </w:rPr>
        <w:t>assessments</w:t>
      </w:r>
      <w:r w:rsidR="00A959D3" w:rsidRPr="00CD56B9">
        <w:rPr>
          <w:lang w:val="en-US"/>
        </w:rPr>
        <w:t xml:space="preserve"> of </w:t>
      </w:r>
      <w:r w:rsidR="001A6BE0" w:rsidRPr="00CD56B9">
        <w:rPr>
          <w:lang w:val="en-US"/>
        </w:rPr>
        <w:t>individual support projects</w:t>
      </w:r>
      <w:r w:rsidR="00A959D3" w:rsidRPr="00CD56B9">
        <w:rPr>
          <w:lang w:val="en-US"/>
        </w:rPr>
        <w:t xml:space="preserve">. </w:t>
      </w:r>
      <w:r w:rsidR="0026313E" w:rsidRPr="00CD56B9">
        <w:rPr>
          <w:lang w:val="en-US"/>
        </w:rPr>
        <w:t>While this is a midterm evaluation of the 4.1 outcome, the MTE team has opted to present all support projects with</w:t>
      </w:r>
      <w:r w:rsidR="003F5511">
        <w:rPr>
          <w:lang w:val="en-US"/>
        </w:rPr>
        <w:t>in</w:t>
      </w:r>
      <w:r w:rsidR="0026313E" w:rsidRPr="00CD56B9">
        <w:rPr>
          <w:lang w:val="en-US"/>
        </w:rPr>
        <w:t xml:space="preserve"> the main report structure, before moving to the outcome level.  The revised UNDAF 4.1 is based on three outputs which correlates directly with three of the support projects: the SWAp, the Social Cohesion and the IRD </w:t>
      </w:r>
      <w:r w:rsidR="003F5511">
        <w:rPr>
          <w:lang w:val="en-US"/>
        </w:rPr>
        <w:t xml:space="preserve">support </w:t>
      </w:r>
      <w:r w:rsidR="0026313E" w:rsidRPr="00CD56B9">
        <w:rPr>
          <w:lang w:val="en-US"/>
        </w:rPr>
        <w:t xml:space="preserve">project, respectively. </w:t>
      </w:r>
      <w:r w:rsidR="003F5511">
        <w:rPr>
          <w:lang w:val="en-US"/>
        </w:rPr>
        <w:t>T</w:t>
      </w:r>
      <w:r w:rsidR="0026313E" w:rsidRPr="00CD56B9">
        <w:rPr>
          <w:lang w:val="en-US"/>
        </w:rPr>
        <w:t xml:space="preserve">he performance of these three projects has a direct bearing on the UNDAF outcome as per design, </w:t>
      </w:r>
      <w:r w:rsidR="003F5511">
        <w:rPr>
          <w:lang w:val="en-US"/>
        </w:rPr>
        <w:t xml:space="preserve">and </w:t>
      </w:r>
      <w:r w:rsidR="0026313E" w:rsidRPr="00CD56B9">
        <w:rPr>
          <w:lang w:val="en-US"/>
        </w:rPr>
        <w:t>the 4.1 outcome can only be assessed based on a sound understanding on how these projects are progressing</w:t>
      </w:r>
      <w:r w:rsidR="00B167A5" w:rsidRPr="00CD56B9">
        <w:rPr>
          <w:lang w:val="en-US"/>
        </w:rPr>
        <w:t xml:space="preserve">. </w:t>
      </w:r>
      <w:r w:rsidR="003F5511" w:rsidRPr="003F5511">
        <w:rPr>
          <w:b/>
          <w:lang w:val="en-US"/>
        </w:rPr>
        <w:t>Annex 8</w:t>
      </w:r>
      <w:r w:rsidR="003F5511">
        <w:rPr>
          <w:lang w:val="en-US"/>
        </w:rPr>
        <w:t xml:space="preserve"> illustrates individual project performances by the three-colour code.</w:t>
      </w:r>
    </w:p>
    <w:p w14:paraId="5993F1ED" w14:textId="77777777" w:rsidR="00DD79FF" w:rsidRPr="00CD56B9" w:rsidRDefault="00A959D3" w:rsidP="00A74151">
      <w:pPr>
        <w:rPr>
          <w:lang w:val="en-US"/>
        </w:rPr>
        <w:sectPr w:rsidR="00DD79FF" w:rsidRPr="00CD56B9" w:rsidSect="00E241A8">
          <w:pgSz w:w="11906" w:h="16838"/>
          <w:pgMar w:top="1440" w:right="1440" w:bottom="1440" w:left="1440" w:header="708" w:footer="708" w:gutter="0"/>
          <w:cols w:space="708"/>
          <w:docGrid w:linePitch="360"/>
        </w:sectPr>
      </w:pPr>
      <w:r w:rsidRPr="00CD56B9">
        <w:rPr>
          <w:lang w:val="en-US"/>
        </w:rPr>
        <w:t xml:space="preserve">Chapter </w:t>
      </w:r>
      <w:r w:rsidR="00643F15" w:rsidRPr="00CD56B9">
        <w:rPr>
          <w:lang w:val="en-US"/>
        </w:rPr>
        <w:t>4</w:t>
      </w:r>
      <w:r w:rsidRPr="00CD56B9">
        <w:rPr>
          <w:lang w:val="en-US"/>
        </w:rPr>
        <w:t xml:space="preserve"> </w:t>
      </w:r>
      <w:r w:rsidR="003F5511">
        <w:rPr>
          <w:lang w:val="en-US"/>
        </w:rPr>
        <w:t xml:space="preserve">then assesses </w:t>
      </w:r>
      <w:r w:rsidR="00643F15" w:rsidRPr="00CD56B9">
        <w:rPr>
          <w:lang w:val="en-US"/>
        </w:rPr>
        <w:t xml:space="preserve">progress </w:t>
      </w:r>
      <w:r w:rsidR="00473EF1" w:rsidRPr="00CD56B9">
        <w:rPr>
          <w:lang w:val="en-US"/>
        </w:rPr>
        <w:t xml:space="preserve">and </w:t>
      </w:r>
      <w:r w:rsidR="00643F15" w:rsidRPr="00CD56B9">
        <w:rPr>
          <w:lang w:val="en-US"/>
        </w:rPr>
        <w:t xml:space="preserve">achievements </w:t>
      </w:r>
      <w:r w:rsidR="003F5511">
        <w:rPr>
          <w:lang w:val="en-US"/>
        </w:rPr>
        <w:t xml:space="preserve">at the outcome level by assessing the three outcome outputs, </w:t>
      </w:r>
      <w:r w:rsidR="00473EF1" w:rsidRPr="00CD56B9">
        <w:rPr>
          <w:lang w:val="en-US"/>
        </w:rPr>
        <w:t>while external factor</w:t>
      </w:r>
      <w:r w:rsidR="00A74151" w:rsidRPr="00CD56B9">
        <w:rPr>
          <w:lang w:val="en-US"/>
        </w:rPr>
        <w:t>s</w:t>
      </w:r>
      <w:r w:rsidR="00473EF1" w:rsidRPr="00CD56B9">
        <w:rPr>
          <w:lang w:val="en-US"/>
        </w:rPr>
        <w:t xml:space="preserve"> </w:t>
      </w:r>
      <w:r w:rsidR="00A31338">
        <w:rPr>
          <w:lang w:val="en-US"/>
        </w:rPr>
        <w:t xml:space="preserve">and bottlenecks </w:t>
      </w:r>
      <w:r w:rsidR="00473EF1" w:rsidRPr="00CD56B9">
        <w:rPr>
          <w:lang w:val="en-US"/>
        </w:rPr>
        <w:t xml:space="preserve">affecting programme </w:t>
      </w:r>
      <w:r w:rsidR="00A74151" w:rsidRPr="00CD56B9">
        <w:rPr>
          <w:lang w:val="en-US"/>
        </w:rPr>
        <w:t xml:space="preserve">implementation are </w:t>
      </w:r>
      <w:r w:rsidR="003F5511">
        <w:rPr>
          <w:lang w:val="en-US"/>
        </w:rPr>
        <w:t>summarized</w:t>
      </w:r>
      <w:r w:rsidR="00643F15" w:rsidRPr="00CD56B9">
        <w:rPr>
          <w:lang w:val="en-US"/>
        </w:rPr>
        <w:t xml:space="preserve"> in C</w:t>
      </w:r>
      <w:r w:rsidR="00473EF1" w:rsidRPr="00CD56B9">
        <w:rPr>
          <w:lang w:val="en-US"/>
        </w:rPr>
        <w:t xml:space="preserve">hapter </w:t>
      </w:r>
      <w:r w:rsidR="00643F15" w:rsidRPr="00CD56B9">
        <w:rPr>
          <w:lang w:val="en-US"/>
        </w:rPr>
        <w:t>5</w:t>
      </w:r>
      <w:r w:rsidR="00473EF1" w:rsidRPr="00CD56B9">
        <w:rPr>
          <w:lang w:val="en-US"/>
        </w:rPr>
        <w:t xml:space="preserve">. Chapter </w:t>
      </w:r>
      <w:r w:rsidR="00643F15" w:rsidRPr="00CD56B9">
        <w:rPr>
          <w:lang w:val="en-US"/>
        </w:rPr>
        <w:t>6</w:t>
      </w:r>
      <w:r w:rsidR="00473EF1" w:rsidRPr="00CD56B9">
        <w:rPr>
          <w:lang w:val="en-US"/>
        </w:rPr>
        <w:t xml:space="preserve"> </w:t>
      </w:r>
      <w:r w:rsidR="00CE6494" w:rsidRPr="00CD56B9">
        <w:rPr>
          <w:lang w:val="en-US"/>
        </w:rPr>
        <w:t>summarizes</w:t>
      </w:r>
      <w:r w:rsidR="00473EF1" w:rsidRPr="00CD56B9">
        <w:rPr>
          <w:lang w:val="en-US"/>
        </w:rPr>
        <w:t xml:space="preserve"> findings on UN</w:t>
      </w:r>
      <w:r w:rsidR="00A31338">
        <w:rPr>
          <w:lang w:val="en-US"/>
        </w:rPr>
        <w:t xml:space="preserve">DP leadership </w:t>
      </w:r>
      <w:r w:rsidR="00473EF1" w:rsidRPr="00CD56B9">
        <w:rPr>
          <w:lang w:val="en-US"/>
        </w:rPr>
        <w:t>and coordination</w:t>
      </w:r>
      <w:r w:rsidR="00A36820" w:rsidRPr="00CD56B9">
        <w:rPr>
          <w:lang w:val="en-US"/>
        </w:rPr>
        <w:t xml:space="preserve"> </w:t>
      </w:r>
      <w:r w:rsidR="00A31338">
        <w:rPr>
          <w:lang w:val="en-US"/>
        </w:rPr>
        <w:t xml:space="preserve">within democratic governance </w:t>
      </w:r>
      <w:r w:rsidR="00A36820" w:rsidRPr="00CD56B9">
        <w:rPr>
          <w:lang w:val="en-US"/>
        </w:rPr>
        <w:t>and C</w:t>
      </w:r>
      <w:r w:rsidR="00473EF1" w:rsidRPr="00CD56B9">
        <w:rPr>
          <w:lang w:val="en-US"/>
        </w:rPr>
        <w:t xml:space="preserve">hapter </w:t>
      </w:r>
      <w:r w:rsidR="00A36820" w:rsidRPr="00CD56B9">
        <w:rPr>
          <w:lang w:val="en-US"/>
        </w:rPr>
        <w:t>7</w:t>
      </w:r>
      <w:r w:rsidR="00473EF1" w:rsidRPr="00CD56B9">
        <w:rPr>
          <w:lang w:val="en-US"/>
        </w:rPr>
        <w:t xml:space="preserve"> presents </w:t>
      </w:r>
      <w:r w:rsidR="00A31338">
        <w:rPr>
          <w:lang w:val="en-US"/>
        </w:rPr>
        <w:t xml:space="preserve">key </w:t>
      </w:r>
      <w:r w:rsidR="00473EF1" w:rsidRPr="00CD56B9">
        <w:rPr>
          <w:lang w:val="en-US"/>
        </w:rPr>
        <w:t xml:space="preserve">lessons learned </w:t>
      </w:r>
      <w:r w:rsidR="00CC0278" w:rsidRPr="00CD56B9">
        <w:rPr>
          <w:lang w:val="en-US"/>
        </w:rPr>
        <w:t xml:space="preserve">during the </w:t>
      </w:r>
      <w:r w:rsidR="00473EF1" w:rsidRPr="00CD56B9">
        <w:rPr>
          <w:lang w:val="en-US"/>
        </w:rPr>
        <w:t>evaluation</w:t>
      </w:r>
      <w:r w:rsidR="00CC0278" w:rsidRPr="00CD56B9">
        <w:rPr>
          <w:lang w:val="en-US"/>
        </w:rPr>
        <w:t>. Finally,</w:t>
      </w:r>
      <w:r w:rsidR="00A74151" w:rsidRPr="00CD56B9">
        <w:rPr>
          <w:lang w:val="en-US"/>
        </w:rPr>
        <w:t xml:space="preserve"> c</w:t>
      </w:r>
      <w:r w:rsidR="00CC0278" w:rsidRPr="00CD56B9">
        <w:rPr>
          <w:lang w:val="en-US"/>
        </w:rPr>
        <w:t xml:space="preserve">hapter eight </w:t>
      </w:r>
      <w:r w:rsidR="00A74151" w:rsidRPr="00CD56B9">
        <w:rPr>
          <w:lang w:val="en-US"/>
        </w:rPr>
        <w:t xml:space="preserve">presents the overall conclusion of the midterm evaluation and recommendations for improvement of the </w:t>
      </w:r>
      <w:r w:rsidR="00A36820" w:rsidRPr="00CD56B9">
        <w:rPr>
          <w:lang w:val="en-US"/>
        </w:rPr>
        <w:t>outcome interventions</w:t>
      </w:r>
      <w:r w:rsidR="00A74151" w:rsidRPr="00CD56B9">
        <w:rPr>
          <w:lang w:val="en-US"/>
        </w:rPr>
        <w:t>.</w:t>
      </w:r>
    </w:p>
    <w:p w14:paraId="1BB50743" w14:textId="77777777" w:rsidR="00DD79FF" w:rsidRPr="00CD56B9" w:rsidRDefault="00DD79FF" w:rsidP="00C26EDE">
      <w:pPr>
        <w:pStyle w:val="Overskrift1"/>
        <w:spacing w:before="0"/>
        <w:rPr>
          <w:lang w:val="en-US"/>
        </w:rPr>
      </w:pPr>
      <w:bookmarkStart w:id="6" w:name="_Toc439245575"/>
      <w:r w:rsidRPr="00CD56B9">
        <w:rPr>
          <w:lang w:val="en-US"/>
        </w:rPr>
        <w:lastRenderedPageBreak/>
        <w:t>2. Democratic Governance in Malawi</w:t>
      </w:r>
      <w:bookmarkEnd w:id="6"/>
    </w:p>
    <w:p w14:paraId="0AE459FA" w14:textId="77777777" w:rsidR="00DD79FF" w:rsidRPr="00CD56B9" w:rsidRDefault="00DD79FF" w:rsidP="00C26EDE">
      <w:pPr>
        <w:spacing w:after="0"/>
        <w:rPr>
          <w:lang w:val="en-US"/>
        </w:rPr>
      </w:pPr>
    </w:p>
    <w:p w14:paraId="755C8DFB" w14:textId="77777777" w:rsidR="00A97E2C" w:rsidRPr="00CD56B9" w:rsidRDefault="00A97E2C" w:rsidP="00A97E2C">
      <w:pPr>
        <w:rPr>
          <w:lang w:val="en-US"/>
        </w:rPr>
      </w:pPr>
      <w:r w:rsidRPr="00CD56B9">
        <w:rPr>
          <w:lang w:val="en-US"/>
        </w:rPr>
        <w:t xml:space="preserve">Malawi is a landlocked country with a population of 14.4 million people. It is among the most densely populated and least developed countries </w:t>
      </w:r>
      <w:r w:rsidR="00B238A9" w:rsidRPr="00CD56B9">
        <w:rPr>
          <w:lang w:val="en-US"/>
        </w:rPr>
        <w:t>characterized</w:t>
      </w:r>
      <w:r w:rsidRPr="00CD56B9">
        <w:rPr>
          <w:lang w:val="en-US"/>
        </w:rPr>
        <w:t xml:space="preserve"> by high levels of poverty and illiteracy.</w:t>
      </w:r>
      <w:r w:rsidRPr="00A97E2C">
        <w:rPr>
          <w:lang w:val="en-US"/>
        </w:rPr>
        <w:t xml:space="preserve"> Malawians voted for the reintroduction of multiparty democracy in a historic referendum which was held</w:t>
      </w:r>
      <w:r w:rsidRPr="00CD56B9">
        <w:rPr>
          <w:lang w:val="en-US"/>
        </w:rPr>
        <w:t xml:space="preserve"> </w:t>
      </w:r>
      <w:r w:rsidR="00F67764">
        <w:rPr>
          <w:lang w:val="en-US"/>
        </w:rPr>
        <w:t>o</w:t>
      </w:r>
      <w:r w:rsidRPr="00A97E2C">
        <w:rPr>
          <w:lang w:val="en-US"/>
        </w:rPr>
        <w:t xml:space="preserve">n June 14 1993. </w:t>
      </w:r>
      <w:r w:rsidRPr="00CD56B9">
        <w:rPr>
          <w:lang w:val="en-US"/>
        </w:rPr>
        <w:t>A new</w:t>
      </w:r>
      <w:r w:rsidR="000D14A1">
        <w:rPr>
          <w:lang w:val="en-US"/>
        </w:rPr>
        <w:t xml:space="preserve"> Constitution of Malawi, </w:t>
      </w:r>
      <w:r w:rsidRPr="00A97E2C">
        <w:rPr>
          <w:lang w:val="en-US"/>
        </w:rPr>
        <w:t>adopted in 1994 provided fundamental democratic governance principles.</w:t>
      </w:r>
      <w:r w:rsidRPr="00CD56B9">
        <w:rPr>
          <w:lang w:val="en-US"/>
        </w:rPr>
        <w:t xml:space="preserve"> </w:t>
      </w:r>
    </w:p>
    <w:p w14:paraId="7ABFBEEE" w14:textId="77777777" w:rsidR="00A97E2C" w:rsidRPr="00A97E2C" w:rsidRDefault="00A97E2C" w:rsidP="00A97E2C">
      <w:pPr>
        <w:rPr>
          <w:lang w:val="en-US"/>
        </w:rPr>
      </w:pPr>
      <w:r w:rsidRPr="00A97E2C">
        <w:rPr>
          <w:lang w:val="en-US"/>
        </w:rPr>
        <w:t>For instance, Section 12 (i-vi) clearly states that:</w:t>
      </w:r>
    </w:p>
    <w:p w14:paraId="290CAE44" w14:textId="77777777" w:rsidR="00A97E2C" w:rsidRPr="00A97E2C" w:rsidRDefault="00A97E2C" w:rsidP="00F769B0">
      <w:pPr>
        <w:numPr>
          <w:ilvl w:val="0"/>
          <w:numId w:val="19"/>
        </w:numPr>
        <w:rPr>
          <w:lang w:val="en-US"/>
        </w:rPr>
      </w:pPr>
      <w:r>
        <w:rPr>
          <w:lang w:val="en-US"/>
        </w:rPr>
        <w:t>A</w:t>
      </w:r>
      <w:r w:rsidRPr="00A97E2C">
        <w:rPr>
          <w:lang w:val="en-US"/>
        </w:rPr>
        <w:t xml:space="preserve">ll legal and political authority of the State derives from the people of Malawi and such authority shall be exercised in accordance with the Constitution solely to serve and protect their (people’s) interests; </w:t>
      </w:r>
    </w:p>
    <w:p w14:paraId="66863FA4" w14:textId="77777777" w:rsidR="00A97E2C" w:rsidRPr="00A97E2C" w:rsidRDefault="00A97E2C" w:rsidP="00F769B0">
      <w:pPr>
        <w:numPr>
          <w:ilvl w:val="0"/>
          <w:numId w:val="19"/>
        </w:numPr>
        <w:rPr>
          <w:lang w:val="en-US"/>
        </w:rPr>
      </w:pPr>
      <w:r>
        <w:rPr>
          <w:lang w:val="en-US"/>
        </w:rPr>
        <w:t>A</w:t>
      </w:r>
      <w:r w:rsidRPr="00A97E2C">
        <w:rPr>
          <w:lang w:val="en-US"/>
        </w:rPr>
        <w:t xml:space="preserve">ll persons responsible for the exercise of powers of State do so on trust, and shall only exercise such power to the extent of their lawful authority and in accordance with their responsibilities to the people of Malawi;  </w:t>
      </w:r>
    </w:p>
    <w:p w14:paraId="474467B8" w14:textId="77777777" w:rsidR="00A97E2C" w:rsidRPr="00A97E2C" w:rsidRDefault="00A97E2C" w:rsidP="00F769B0">
      <w:pPr>
        <w:numPr>
          <w:ilvl w:val="0"/>
          <w:numId w:val="19"/>
        </w:numPr>
        <w:rPr>
          <w:lang w:val="en-US"/>
        </w:rPr>
      </w:pPr>
      <w:r>
        <w:rPr>
          <w:lang w:val="en-US"/>
        </w:rPr>
        <w:t>T</w:t>
      </w:r>
      <w:r w:rsidRPr="00A97E2C">
        <w:rPr>
          <w:lang w:val="en-US"/>
        </w:rPr>
        <w:t xml:space="preserve">he authority to exercise power of State is conditional upon the sustained trust of the people of Malawi and that trust can only be maintained through open, accountable and transparent Government and informed democratic choice;  </w:t>
      </w:r>
    </w:p>
    <w:p w14:paraId="264BE253" w14:textId="77777777" w:rsidR="00A97E2C" w:rsidRPr="00A97E2C" w:rsidRDefault="00A97E2C" w:rsidP="00F769B0">
      <w:pPr>
        <w:numPr>
          <w:ilvl w:val="0"/>
          <w:numId w:val="19"/>
        </w:numPr>
        <w:rPr>
          <w:lang w:val="en-US"/>
        </w:rPr>
      </w:pPr>
      <w:r>
        <w:rPr>
          <w:lang w:val="en-US"/>
        </w:rPr>
        <w:t>T</w:t>
      </w:r>
      <w:r w:rsidRPr="00A97E2C">
        <w:rPr>
          <w:lang w:val="en-US"/>
        </w:rPr>
        <w:t xml:space="preserve">he inherent dignity and worth of each human being requires that the State and all persons shall recognize and protect fundamental human rights and afford the fullest protection to the rights and views of all individuals, groups and minorities whether or not they are entitled to vote;  </w:t>
      </w:r>
    </w:p>
    <w:p w14:paraId="483653E2" w14:textId="77777777" w:rsidR="00A97E2C" w:rsidRPr="00A97E2C" w:rsidRDefault="00A97E2C" w:rsidP="00F769B0">
      <w:pPr>
        <w:numPr>
          <w:ilvl w:val="0"/>
          <w:numId w:val="19"/>
        </w:numPr>
        <w:rPr>
          <w:lang w:val="en-US"/>
        </w:rPr>
      </w:pPr>
      <w:r>
        <w:rPr>
          <w:lang w:val="en-US"/>
        </w:rPr>
        <w:t>A</w:t>
      </w:r>
      <w:r w:rsidRPr="00A97E2C">
        <w:rPr>
          <w:lang w:val="en-US"/>
        </w:rPr>
        <w:t xml:space="preserve">s all persons have equal status before the law, the only justifiable limitations to lawful rights are those necessary to ensure peaceful human interaction in an open and democratic society and; </w:t>
      </w:r>
    </w:p>
    <w:p w14:paraId="673CD4C0" w14:textId="77777777" w:rsidR="00A97E2C" w:rsidRPr="00A97E2C" w:rsidRDefault="00A97E2C" w:rsidP="00F769B0">
      <w:pPr>
        <w:numPr>
          <w:ilvl w:val="0"/>
          <w:numId w:val="19"/>
        </w:numPr>
        <w:rPr>
          <w:lang w:val="en-US"/>
        </w:rPr>
      </w:pPr>
      <w:r>
        <w:rPr>
          <w:lang w:val="en-US"/>
        </w:rPr>
        <w:t>A</w:t>
      </w:r>
      <w:r w:rsidRPr="00A97E2C">
        <w:rPr>
          <w:lang w:val="en-US"/>
        </w:rPr>
        <w:t xml:space="preserve">ll institutions and persons shall observe and uphold the Constitution and the rule of law and no institution or person shall stand above the law. </w:t>
      </w:r>
    </w:p>
    <w:p w14:paraId="23BAA6D0" w14:textId="77777777" w:rsidR="00A97E2C" w:rsidRDefault="00A97E2C" w:rsidP="00A97E2C">
      <w:pPr>
        <w:rPr>
          <w:lang w:val="en-US"/>
        </w:rPr>
      </w:pPr>
      <w:r w:rsidRPr="00A97E2C">
        <w:rPr>
          <w:lang w:val="en-US"/>
        </w:rPr>
        <w:t xml:space="preserve">The Constitution provides for separation of powers among the three arms of government, the independence of various constitutional bodies, a universal right of access to justice and the rule of law. It also requires the State to actively promote the welfare and development of the people of Malawi and implement policies and legislation aimed at achieving the goals of gender equality, quality </w:t>
      </w:r>
      <w:r>
        <w:rPr>
          <w:lang w:val="en-US"/>
        </w:rPr>
        <w:t xml:space="preserve">of </w:t>
      </w:r>
      <w:r w:rsidRPr="00A97E2C">
        <w:rPr>
          <w:lang w:val="en-US"/>
        </w:rPr>
        <w:t xml:space="preserve">rural life, peaceful settlement of disputes, efficient administration of justice, sustained economic growth and development, public trust and good governance. </w:t>
      </w:r>
    </w:p>
    <w:p w14:paraId="4A9E43F7" w14:textId="75AC0CDF" w:rsidR="00A97E2C" w:rsidRPr="00A97E2C" w:rsidRDefault="00A97E2C" w:rsidP="00A97E2C">
      <w:pPr>
        <w:rPr>
          <w:lang w:val="en-US"/>
        </w:rPr>
      </w:pPr>
      <w:r w:rsidRPr="00A97E2C">
        <w:rPr>
          <w:lang w:val="en-US"/>
        </w:rPr>
        <w:t xml:space="preserve">Section 13(l) of the </w:t>
      </w:r>
      <w:r w:rsidR="00C2066C">
        <w:rPr>
          <w:lang w:val="en-US"/>
        </w:rPr>
        <w:t>C</w:t>
      </w:r>
      <w:r w:rsidRPr="00A97E2C">
        <w:rPr>
          <w:lang w:val="en-US"/>
        </w:rPr>
        <w:t>onstitution provides for the adoption of mechanisms for peaceful settlement of conflict</w:t>
      </w:r>
      <w:r>
        <w:rPr>
          <w:lang w:val="en-US"/>
        </w:rPr>
        <w:t xml:space="preserve">s through </w:t>
      </w:r>
      <w:r w:rsidRPr="00A97E2C">
        <w:rPr>
          <w:lang w:val="en-US"/>
        </w:rPr>
        <w:t xml:space="preserve">conciliation, negotiation, and mediation. The Government of Malawi is </w:t>
      </w:r>
      <w:r>
        <w:rPr>
          <w:lang w:val="en-US"/>
        </w:rPr>
        <w:t xml:space="preserve">obliged </w:t>
      </w:r>
      <w:r w:rsidRPr="00A97E2C">
        <w:rPr>
          <w:lang w:val="en-US"/>
        </w:rPr>
        <w:t xml:space="preserve">to sustain peace and unity in order to establish a peaceful, democratic, just, dynamic and prosperous society which upholds the fulfillment of human rights and dignity for all.  </w:t>
      </w:r>
    </w:p>
    <w:p w14:paraId="34A242BB" w14:textId="77777777" w:rsidR="00A97E2C" w:rsidRPr="00CD56B9" w:rsidRDefault="00A97E2C" w:rsidP="00A97E2C">
      <w:pPr>
        <w:rPr>
          <w:lang w:val="en-US"/>
        </w:rPr>
      </w:pPr>
      <w:r w:rsidRPr="00CD56B9">
        <w:rPr>
          <w:lang w:val="en-US"/>
        </w:rPr>
        <w:t xml:space="preserve">Malawi’s long and medium term policy documents, namely, Vision 2020 and the </w:t>
      </w:r>
      <w:r w:rsidR="00B34E67" w:rsidRPr="00CD56B9">
        <w:rPr>
          <w:lang w:val="en-US"/>
        </w:rPr>
        <w:t>Malawi Growth and Development Strategy I (</w:t>
      </w:r>
      <w:r w:rsidRPr="00CD56B9">
        <w:rPr>
          <w:lang w:val="en-US"/>
        </w:rPr>
        <w:t>MGDS</w:t>
      </w:r>
      <w:r w:rsidR="00B34E67" w:rsidRPr="00CD56B9">
        <w:rPr>
          <w:lang w:val="en-US"/>
        </w:rPr>
        <w:t xml:space="preserve"> I)</w:t>
      </w:r>
      <w:r w:rsidRPr="00CD56B9">
        <w:rPr>
          <w:lang w:val="en-US"/>
        </w:rPr>
        <w:t xml:space="preserve"> (2006-2011) and MGDS II (2012- 2016} provide the legal basis for Malawi’s democracy. These identify democratic governance as a precondition for poverty reduction and national development. The Malawi Vision 2020 seeks</w:t>
      </w:r>
      <w:r w:rsidRPr="00A97E2C">
        <w:rPr>
          <w:lang w:val="en-US"/>
        </w:rPr>
        <w:t xml:space="preserve"> </w:t>
      </w:r>
      <w:r>
        <w:rPr>
          <w:lang w:val="en-US"/>
        </w:rPr>
        <w:t xml:space="preserve">for a </w:t>
      </w:r>
      <w:r w:rsidRPr="00A97E2C">
        <w:rPr>
          <w:lang w:val="en-US"/>
        </w:rPr>
        <w:t xml:space="preserve">democratically mature Malawi which </w:t>
      </w:r>
      <w:r>
        <w:rPr>
          <w:lang w:val="en-US"/>
        </w:rPr>
        <w:t xml:space="preserve">is </w:t>
      </w:r>
      <w:r w:rsidRPr="00A97E2C">
        <w:rPr>
          <w:lang w:val="en-US"/>
        </w:rPr>
        <w:t>transparent</w:t>
      </w:r>
      <w:r>
        <w:rPr>
          <w:lang w:val="en-US"/>
        </w:rPr>
        <w:t xml:space="preserve"> and accountable, operates according to </w:t>
      </w:r>
      <w:r w:rsidRPr="00A97E2C">
        <w:rPr>
          <w:lang w:val="en-US"/>
        </w:rPr>
        <w:t>the rule of law and where every citizen participates in governing through the ballot box</w:t>
      </w:r>
      <w:r w:rsidRPr="00CD56B9">
        <w:rPr>
          <w:lang w:val="en-US"/>
        </w:rPr>
        <w:t xml:space="preserve"> </w:t>
      </w:r>
      <w:r w:rsidRPr="00A97E2C">
        <w:rPr>
          <w:lang w:val="en-US"/>
        </w:rPr>
        <w:t>by the year 2020. Among the necessary strategies highlighted by the Malawi Vision 2020 to facilitate the attainment of democratic governance</w:t>
      </w:r>
      <w:r w:rsidR="00233048">
        <w:rPr>
          <w:lang w:val="en-US"/>
        </w:rPr>
        <w:t xml:space="preserve"> are</w:t>
      </w:r>
      <w:r w:rsidR="007F621D">
        <w:rPr>
          <w:lang w:val="en-US"/>
        </w:rPr>
        <w:t>:</w:t>
      </w:r>
      <w:r w:rsidR="00233048">
        <w:rPr>
          <w:lang w:val="en-US"/>
        </w:rPr>
        <w:t xml:space="preserve"> </w:t>
      </w:r>
      <w:r w:rsidRPr="00A97E2C">
        <w:rPr>
          <w:lang w:val="en-US"/>
        </w:rPr>
        <w:t>raising awareness of civil and human rights and responsibilities; improving and sustaining the rule of law and respect for human rights; enhancing the role and performance of the public sector; and encouraging political participation by the general populace.</w:t>
      </w:r>
    </w:p>
    <w:p w14:paraId="4FE6DE45" w14:textId="77777777" w:rsidR="00A97E2C" w:rsidRPr="00CD56B9" w:rsidRDefault="00A97E2C" w:rsidP="00A97E2C">
      <w:pPr>
        <w:rPr>
          <w:lang w:val="en-US"/>
        </w:rPr>
      </w:pPr>
      <w:r w:rsidRPr="00CD56B9">
        <w:rPr>
          <w:lang w:val="en-US"/>
        </w:rPr>
        <w:lastRenderedPageBreak/>
        <w:t xml:space="preserve">The MGDS I and II are </w:t>
      </w:r>
      <w:r w:rsidRPr="00A97E2C">
        <w:rPr>
          <w:lang w:val="en-US"/>
        </w:rPr>
        <w:t xml:space="preserve">Malawi’s medium term policy </w:t>
      </w:r>
      <w:r w:rsidR="007F621D" w:rsidRPr="00A97E2C">
        <w:rPr>
          <w:lang w:val="en-US"/>
        </w:rPr>
        <w:t>instruments, which are aimed at reducing poverty, bringing about prosperity in the medium term,</w:t>
      </w:r>
      <w:r w:rsidRPr="00A97E2C">
        <w:rPr>
          <w:lang w:val="en-US"/>
        </w:rPr>
        <w:t xml:space="preserve"> </w:t>
      </w:r>
      <w:r w:rsidRPr="00CD56B9">
        <w:rPr>
          <w:lang w:val="en-US"/>
        </w:rPr>
        <w:t xml:space="preserve">build on the Malawi Vision 2020. The current </w:t>
      </w:r>
      <w:r w:rsidRPr="00A97E2C">
        <w:rPr>
          <w:lang w:val="en-US"/>
        </w:rPr>
        <w:t>MGDS II</w:t>
      </w:r>
      <w:r w:rsidRPr="00CD56B9">
        <w:rPr>
          <w:lang w:val="en-US"/>
        </w:rPr>
        <w:t xml:space="preserve"> </w:t>
      </w:r>
      <w:r w:rsidRPr="00A97E2C">
        <w:rPr>
          <w:lang w:val="en-US"/>
        </w:rPr>
        <w:t xml:space="preserve">identifies improved governance and </w:t>
      </w:r>
      <w:r w:rsidR="00091F82" w:rsidRPr="00A97E2C">
        <w:rPr>
          <w:lang w:val="en-US"/>
        </w:rPr>
        <w:t>crosscutting</w:t>
      </w:r>
      <w:r w:rsidRPr="00A97E2C">
        <w:rPr>
          <w:lang w:val="en-US"/>
        </w:rPr>
        <w:t xml:space="preserve"> issues consisting of gender and capacity development as one the key pillars in poverty reduction and</w:t>
      </w:r>
      <w:r w:rsidRPr="00CD56B9">
        <w:rPr>
          <w:lang w:val="en-US"/>
        </w:rPr>
        <w:t xml:space="preserve"> fundamental prerequisite for the achievement of long-term national development goals.</w:t>
      </w:r>
      <w:r w:rsidRPr="00A97E2C">
        <w:rPr>
          <w:lang w:val="en-US"/>
        </w:rPr>
        <w:t xml:space="preserve"> Other pillars are sustainable economic growth, social development, social support and disaster risk management, infrastructure development. It also </w:t>
      </w:r>
      <w:r w:rsidRPr="00CD56B9">
        <w:rPr>
          <w:lang w:val="en-US"/>
        </w:rPr>
        <w:t xml:space="preserve">outlines priority areas that are central to transforming in democratic governance. These include improvements in justice and rule of law, </w:t>
      </w:r>
      <w:r w:rsidRPr="00A97E2C">
        <w:rPr>
          <w:lang w:val="en-US"/>
        </w:rPr>
        <w:t xml:space="preserve">enhanced awareness and </w:t>
      </w:r>
      <w:r w:rsidRPr="00CD56B9">
        <w:rPr>
          <w:lang w:val="en-US"/>
        </w:rPr>
        <w:t>response to public demand in the key areas of human rights</w:t>
      </w:r>
      <w:r w:rsidRPr="00A97E2C">
        <w:rPr>
          <w:lang w:val="en-US"/>
        </w:rPr>
        <w:t>, improved respect for human dignity,</w:t>
      </w:r>
      <w:r w:rsidRPr="00CD56B9">
        <w:rPr>
          <w:lang w:val="en-US"/>
        </w:rPr>
        <w:t xml:space="preserve"> </w:t>
      </w:r>
      <w:r w:rsidRPr="00A97E2C">
        <w:rPr>
          <w:lang w:val="en-US"/>
        </w:rPr>
        <w:t>enhanced equitable access to opportunities</w:t>
      </w:r>
      <w:r w:rsidRPr="00CD56B9">
        <w:rPr>
          <w:lang w:val="en-US"/>
        </w:rPr>
        <w:t>, peace and security, public sector management</w:t>
      </w:r>
      <w:r w:rsidR="00CA03C8" w:rsidRPr="00CD56B9">
        <w:rPr>
          <w:lang w:val="en-US"/>
        </w:rPr>
        <w:t>,</w:t>
      </w:r>
      <w:r w:rsidRPr="00CD56B9">
        <w:rPr>
          <w:lang w:val="en-US"/>
        </w:rPr>
        <w:t xml:space="preserve"> anti-corruption efforts and inclusive participation, choice and elections.  </w:t>
      </w:r>
    </w:p>
    <w:p w14:paraId="66E9CAD7" w14:textId="77777777" w:rsidR="00A97E2C" w:rsidRPr="00CD56B9" w:rsidRDefault="00A97E2C" w:rsidP="00A97E2C">
      <w:pPr>
        <w:rPr>
          <w:lang w:val="en-US"/>
        </w:rPr>
      </w:pPr>
      <w:r w:rsidRPr="00CD56B9">
        <w:rPr>
          <w:lang w:val="en-US"/>
        </w:rPr>
        <w:t>Among others, the MGDS II has underlined the following:</w:t>
      </w:r>
    </w:p>
    <w:p w14:paraId="321788C7" w14:textId="77777777" w:rsidR="00A97E2C" w:rsidRPr="00CD56B9" w:rsidRDefault="00A97E2C" w:rsidP="00F769B0">
      <w:pPr>
        <w:numPr>
          <w:ilvl w:val="0"/>
          <w:numId w:val="20"/>
        </w:numPr>
        <w:rPr>
          <w:lang w:val="en-US"/>
        </w:rPr>
      </w:pPr>
      <w:r w:rsidRPr="00CD56B9">
        <w:rPr>
          <w:lang w:val="en-US"/>
        </w:rPr>
        <w:t xml:space="preserve">The need for improved sector-wide coordination to address some of the deficiencies in the democratic governance sector and in particular, the need for a more harmonized approach to democratic development. The development agencies also recognize the need for more strategic and long term planning to ensure a coordinated and harmonized approach to democratic governance. </w:t>
      </w:r>
    </w:p>
    <w:p w14:paraId="4BE6F8A2" w14:textId="77777777" w:rsidR="00A97E2C" w:rsidRPr="00CD56B9" w:rsidRDefault="00A97E2C" w:rsidP="00F769B0">
      <w:pPr>
        <w:numPr>
          <w:ilvl w:val="0"/>
          <w:numId w:val="20"/>
        </w:numPr>
        <w:rPr>
          <w:lang w:val="en-US"/>
        </w:rPr>
      </w:pPr>
      <w:r w:rsidRPr="00CD56B9">
        <w:rPr>
          <w:lang w:val="en-US"/>
        </w:rPr>
        <w:t xml:space="preserve">The importance of genuine free, fair, credible and transparent democratic elections as a vehicle through which the people of a country freely express their will and affect the development agenda of the country.  Free and fair elections are specifically included as a MGDS </w:t>
      </w:r>
      <w:r w:rsidR="00CA03C8" w:rsidRPr="00CD56B9">
        <w:rPr>
          <w:lang w:val="en-US"/>
        </w:rPr>
        <w:t xml:space="preserve">II </w:t>
      </w:r>
      <w:r w:rsidRPr="00CD56B9">
        <w:rPr>
          <w:lang w:val="en-US"/>
        </w:rPr>
        <w:t xml:space="preserve">medium term outcome under section 5. </w:t>
      </w:r>
    </w:p>
    <w:p w14:paraId="76DD3D7C" w14:textId="77777777" w:rsidR="00A97E2C" w:rsidRPr="00A97E2C" w:rsidRDefault="00A97E2C" w:rsidP="00F769B0">
      <w:pPr>
        <w:numPr>
          <w:ilvl w:val="0"/>
          <w:numId w:val="20"/>
        </w:numPr>
        <w:rPr>
          <w:lang w:val="en-US"/>
        </w:rPr>
      </w:pPr>
      <w:r w:rsidRPr="00CD56B9">
        <w:rPr>
          <w:lang w:val="en-US"/>
        </w:rPr>
        <w:t xml:space="preserve">The importance of improving governance in political parties as a strategy for </w:t>
      </w:r>
      <w:r w:rsidR="00A02CD3" w:rsidRPr="00CD56B9">
        <w:rPr>
          <w:lang w:val="en-US"/>
        </w:rPr>
        <w:t>realizing</w:t>
      </w:r>
      <w:r w:rsidRPr="00CD56B9">
        <w:rPr>
          <w:lang w:val="en-US"/>
        </w:rPr>
        <w:t xml:space="preserve"> political parties with clear ideologies and functioning internal democrac</w:t>
      </w:r>
      <w:r w:rsidR="00565E81" w:rsidRPr="00CD56B9">
        <w:rPr>
          <w:lang w:val="en-US"/>
        </w:rPr>
        <w:t xml:space="preserve">ies </w:t>
      </w:r>
      <w:r w:rsidRPr="00CD56B9">
        <w:rPr>
          <w:lang w:val="en-US"/>
        </w:rPr>
        <w:t>to promote inclusive participation in the country’s democracy.</w:t>
      </w:r>
    </w:p>
    <w:p w14:paraId="208CA7B3" w14:textId="77777777" w:rsidR="00A97E2C" w:rsidRPr="00A97E2C" w:rsidRDefault="00A97E2C" w:rsidP="00F769B0">
      <w:pPr>
        <w:numPr>
          <w:ilvl w:val="0"/>
          <w:numId w:val="20"/>
        </w:numPr>
        <w:rPr>
          <w:lang w:val="en-US"/>
        </w:rPr>
      </w:pPr>
      <w:r w:rsidRPr="00A97E2C">
        <w:rPr>
          <w:lang w:val="en-US"/>
        </w:rPr>
        <w:t>The importance of peace and security as essential prerequisites for achievement of democracy maturity, socio-economic and political prosperity</w:t>
      </w:r>
      <w:r w:rsidR="00565E81">
        <w:rPr>
          <w:lang w:val="en-US"/>
        </w:rPr>
        <w:t xml:space="preserve"> </w:t>
      </w:r>
      <w:r w:rsidRPr="00A97E2C">
        <w:rPr>
          <w:lang w:val="en-US"/>
        </w:rPr>
        <w:t>(MGDS II</w:t>
      </w:r>
      <w:r w:rsidR="00565E81">
        <w:rPr>
          <w:lang w:val="en-US"/>
        </w:rPr>
        <w:t xml:space="preserve">, </w:t>
      </w:r>
      <w:r w:rsidRPr="00A97E2C">
        <w:rPr>
          <w:lang w:val="en-US"/>
        </w:rPr>
        <w:t>Theme 5.3.4).</w:t>
      </w:r>
    </w:p>
    <w:p w14:paraId="4F0A3600" w14:textId="77777777" w:rsidR="00A97E2C" w:rsidRPr="00A97E2C" w:rsidRDefault="00A97E2C" w:rsidP="00F769B0">
      <w:pPr>
        <w:numPr>
          <w:ilvl w:val="0"/>
          <w:numId w:val="20"/>
        </w:numPr>
        <w:rPr>
          <w:lang w:val="en-US"/>
        </w:rPr>
      </w:pPr>
      <w:r w:rsidRPr="00A97E2C">
        <w:rPr>
          <w:lang w:val="en-US"/>
        </w:rPr>
        <w:t>The centrality of inclusiveness and participation of all including vulnerable groups such women and the youth in governance, development and decision making process.</w:t>
      </w:r>
    </w:p>
    <w:p w14:paraId="55C66BC6" w14:textId="77777777" w:rsidR="00A97E2C" w:rsidRPr="00CD56B9" w:rsidRDefault="00A97E2C" w:rsidP="00A97E2C">
      <w:pPr>
        <w:rPr>
          <w:lang w:val="en-US"/>
        </w:rPr>
      </w:pPr>
      <w:r w:rsidRPr="00CD56B9">
        <w:rPr>
          <w:lang w:val="en-US"/>
        </w:rPr>
        <w:t>A Policy Framework Paper (PFP) closely aligned with MDGS focus on democratic governance  identifies  seven (7) pillars on which to anchor the sector’s reform process namely;  Rule of Law, Human Rights, Access to Justice, Public Safety and Security, Integrity, Accountability and Transparency, Public Participation and Free and Fair Elections. An eighth (8</w:t>
      </w:r>
      <w:r w:rsidRPr="00CD56B9">
        <w:rPr>
          <w:vertAlign w:val="superscript"/>
          <w:lang w:val="en-US"/>
        </w:rPr>
        <w:t>th</w:t>
      </w:r>
      <w:r w:rsidRPr="00CD56B9">
        <w:rPr>
          <w:lang w:val="en-US"/>
        </w:rPr>
        <w:t xml:space="preserve">) pillar to tackle coordination arrangements is also included in the PFP. </w:t>
      </w:r>
    </w:p>
    <w:p w14:paraId="38217999" w14:textId="77777777" w:rsidR="00A97E2C" w:rsidRPr="00A97E2C" w:rsidRDefault="00A97E2C" w:rsidP="00A97E2C">
      <w:pPr>
        <w:rPr>
          <w:lang w:val="en-US"/>
        </w:rPr>
      </w:pPr>
      <w:r w:rsidRPr="00A97E2C">
        <w:rPr>
          <w:lang w:val="en-US"/>
        </w:rPr>
        <w:t>Malawi has made progress in improving democra</w:t>
      </w:r>
      <w:r w:rsidR="00FF4EF0">
        <w:rPr>
          <w:lang w:val="en-US"/>
        </w:rPr>
        <w:t xml:space="preserve">tic governance and human rights, </w:t>
      </w:r>
      <w:r w:rsidRPr="00A97E2C">
        <w:rPr>
          <w:lang w:val="en-US"/>
        </w:rPr>
        <w:t xml:space="preserve">which </w:t>
      </w:r>
      <w:r w:rsidR="00FF4EF0">
        <w:rPr>
          <w:lang w:val="en-US"/>
        </w:rPr>
        <w:t>is</w:t>
      </w:r>
      <w:r w:rsidRPr="00A97E2C">
        <w:rPr>
          <w:lang w:val="en-US"/>
        </w:rPr>
        <w:t xml:space="preserve"> evident in the ongoing </w:t>
      </w:r>
      <w:r w:rsidR="00504909" w:rsidRPr="00A97E2C">
        <w:rPr>
          <w:lang w:val="en-US"/>
        </w:rPr>
        <w:t>legal,</w:t>
      </w:r>
      <w:r w:rsidRPr="00A97E2C">
        <w:rPr>
          <w:lang w:val="en-US"/>
        </w:rPr>
        <w:t xml:space="preserve"> and policy reforms and the establishment of key governance institutions. These include </w:t>
      </w:r>
      <w:r w:rsidR="00233048">
        <w:rPr>
          <w:lang w:val="en-US"/>
        </w:rPr>
        <w:t xml:space="preserve">the </w:t>
      </w:r>
      <w:r w:rsidRPr="00A97E2C">
        <w:rPr>
          <w:lang w:val="en-US"/>
        </w:rPr>
        <w:t>Malawi Electoral Commission</w:t>
      </w:r>
      <w:r w:rsidR="00233048">
        <w:rPr>
          <w:lang w:val="en-US"/>
        </w:rPr>
        <w:t xml:space="preserve"> (MEC)</w:t>
      </w:r>
      <w:r w:rsidRPr="00A97E2C">
        <w:rPr>
          <w:lang w:val="en-US"/>
        </w:rPr>
        <w:t>, Malawi Human Rights Commission</w:t>
      </w:r>
      <w:r w:rsidR="00233048">
        <w:rPr>
          <w:lang w:val="en-US"/>
        </w:rPr>
        <w:t xml:space="preserve"> (MHRC)</w:t>
      </w:r>
      <w:r w:rsidRPr="00A97E2C">
        <w:rPr>
          <w:lang w:val="en-US"/>
        </w:rPr>
        <w:t xml:space="preserve">, </w:t>
      </w:r>
      <w:r w:rsidR="00233048">
        <w:rPr>
          <w:lang w:val="en-US"/>
        </w:rPr>
        <w:t xml:space="preserve">the </w:t>
      </w:r>
      <w:r w:rsidRPr="00A97E2C">
        <w:rPr>
          <w:lang w:val="en-US"/>
        </w:rPr>
        <w:t>Office of the Ombudsman</w:t>
      </w:r>
      <w:r w:rsidR="00233048">
        <w:rPr>
          <w:lang w:val="en-US"/>
        </w:rPr>
        <w:t xml:space="preserve"> (OO)</w:t>
      </w:r>
      <w:r w:rsidRPr="00A97E2C">
        <w:rPr>
          <w:lang w:val="en-US"/>
        </w:rPr>
        <w:t xml:space="preserve">, </w:t>
      </w:r>
      <w:r w:rsidR="00233048">
        <w:rPr>
          <w:lang w:val="en-US"/>
        </w:rPr>
        <w:t>the Anti-</w:t>
      </w:r>
      <w:r w:rsidRPr="00A97E2C">
        <w:rPr>
          <w:lang w:val="en-US"/>
        </w:rPr>
        <w:t xml:space="preserve">Corruption Bureau, </w:t>
      </w:r>
      <w:r w:rsidR="00233048">
        <w:rPr>
          <w:lang w:val="en-US"/>
        </w:rPr>
        <w:t xml:space="preserve">the </w:t>
      </w:r>
      <w:r w:rsidRPr="00A97E2C">
        <w:rPr>
          <w:lang w:val="en-US"/>
        </w:rPr>
        <w:t>Law Commission, political parties</w:t>
      </w:r>
      <w:r w:rsidR="00233048">
        <w:rPr>
          <w:lang w:val="en-US"/>
        </w:rPr>
        <w:t xml:space="preserve"> (PPs)</w:t>
      </w:r>
      <w:r w:rsidRPr="00A97E2C">
        <w:rPr>
          <w:lang w:val="en-US"/>
        </w:rPr>
        <w:t xml:space="preserve"> and non-state actors</w:t>
      </w:r>
      <w:r w:rsidR="00233048">
        <w:rPr>
          <w:lang w:val="en-US"/>
        </w:rPr>
        <w:t xml:space="preserve"> (NSAs)</w:t>
      </w:r>
      <w:r w:rsidRPr="00A97E2C">
        <w:rPr>
          <w:lang w:val="en-US"/>
        </w:rPr>
        <w:t xml:space="preserve">, among others. However, </w:t>
      </w:r>
      <w:r w:rsidRPr="00CD56B9">
        <w:rPr>
          <w:lang w:val="en-US"/>
        </w:rPr>
        <w:t xml:space="preserve">international independent rankings indicate that Malawi’s performance in governance is lower than the average of Southern African countries. Malawi has been described as a ‘democracy without democrats’ as it has undergone </w:t>
      </w:r>
      <w:r w:rsidR="009F38FE" w:rsidRPr="00CD56B9">
        <w:rPr>
          <w:lang w:val="en-US"/>
        </w:rPr>
        <w:t xml:space="preserve">democratic </w:t>
      </w:r>
      <w:r w:rsidRPr="00CD56B9">
        <w:rPr>
          <w:lang w:val="en-US"/>
        </w:rPr>
        <w:t xml:space="preserve">transition without appropriate transformation. The capacity assessment conducted in 2011 states that democratic governance institutions in Malawi are fragile due to factors that constrain </w:t>
      </w:r>
      <w:r w:rsidR="00A02CD3" w:rsidRPr="00CD56B9">
        <w:rPr>
          <w:lang w:val="en-US"/>
        </w:rPr>
        <w:t>institutionalization</w:t>
      </w:r>
      <w:r w:rsidRPr="00CD56B9">
        <w:rPr>
          <w:lang w:val="en-US"/>
        </w:rPr>
        <w:t xml:space="preserve"> of democratic governance and achievement of poverty reduction. The gains made in democratic governance since the 1994 multi-party democratic elections are threatened by</w:t>
      </w:r>
      <w:r w:rsidRPr="00A97E2C">
        <w:rPr>
          <w:lang w:val="en-US"/>
        </w:rPr>
        <w:t xml:space="preserve"> systemic and structural factors. These are compounded by </w:t>
      </w:r>
      <w:r w:rsidRPr="00CD56B9">
        <w:rPr>
          <w:lang w:val="en-US"/>
        </w:rPr>
        <w:t>the deteriorating political and socio-economic conditions</w:t>
      </w:r>
      <w:r w:rsidRPr="00A97E2C">
        <w:rPr>
          <w:lang w:val="en-US"/>
        </w:rPr>
        <w:t xml:space="preserve"> that place significant hurdles against the momentum of democracy in Malawi.</w:t>
      </w:r>
    </w:p>
    <w:p w14:paraId="7742C748" w14:textId="77777777" w:rsidR="00A97E2C" w:rsidRPr="00CD56B9" w:rsidRDefault="00A97E2C" w:rsidP="00A97E2C">
      <w:pPr>
        <w:rPr>
          <w:lang w:val="en-US"/>
        </w:rPr>
      </w:pPr>
      <w:r w:rsidRPr="00CD56B9">
        <w:rPr>
          <w:lang w:val="en-US"/>
        </w:rPr>
        <w:lastRenderedPageBreak/>
        <w:t>Broadly, the systemic factors facing democracy consolidation include weak and fragile legal  and institutional frameworks manifested in fragmented support/coordination for the justice sector, absence of critical justice systems and procedures, low compliance with international and constitutional mandates, weak monitoring frameworks, poor protection of the rights of vulnerable groups such as women and the youth</w:t>
      </w:r>
      <w:r w:rsidR="00E768CC" w:rsidRPr="00CD56B9">
        <w:rPr>
          <w:lang w:val="en-US"/>
        </w:rPr>
        <w:t>,</w:t>
      </w:r>
      <w:r w:rsidRPr="00CD56B9">
        <w:rPr>
          <w:lang w:val="en-US"/>
        </w:rPr>
        <w:t xml:space="preserve"> which is evident in increased domestic and gender based violence; weak institutionalization of people’s rights to freely participate in the country’s political system and a number of Malawians vulnerable and </w:t>
      </w:r>
      <w:r w:rsidR="00A02CD3" w:rsidRPr="00CD56B9">
        <w:rPr>
          <w:lang w:val="en-US"/>
        </w:rPr>
        <w:t>marginalized</w:t>
      </w:r>
      <w:r w:rsidRPr="00CD56B9">
        <w:rPr>
          <w:lang w:val="en-US"/>
        </w:rPr>
        <w:t xml:space="preserve"> people not sufficiently empowered to seek for and demand their rights; low representation and participation of women and the youth in national politics and decision making; low capacity to </w:t>
      </w:r>
      <w:r w:rsidR="00A02CD3" w:rsidRPr="00CD56B9">
        <w:rPr>
          <w:lang w:val="en-US"/>
        </w:rPr>
        <w:t>internalize</w:t>
      </w:r>
      <w:r w:rsidRPr="00CD56B9">
        <w:rPr>
          <w:lang w:val="en-US"/>
        </w:rPr>
        <w:t xml:space="preserve"> and comply with human rights obligations; public officials </w:t>
      </w:r>
      <w:r w:rsidR="00233048" w:rsidRPr="00CD56B9">
        <w:rPr>
          <w:lang w:val="en-US"/>
        </w:rPr>
        <w:t xml:space="preserve">who </w:t>
      </w:r>
      <w:r w:rsidRPr="00CD56B9">
        <w:rPr>
          <w:lang w:val="en-US"/>
        </w:rPr>
        <w:t xml:space="preserve">do not discharge duties and obligations in a manner that respects human rights, inability to mainstream gender and HIV and AIDS, and inadequate operational </w:t>
      </w:r>
      <w:r w:rsidR="00E768CC" w:rsidRPr="00CD56B9">
        <w:rPr>
          <w:lang w:val="en-US"/>
        </w:rPr>
        <w:t xml:space="preserve">checks and balances </w:t>
      </w:r>
      <w:r w:rsidRPr="00CD56B9">
        <w:rPr>
          <w:lang w:val="en-US"/>
        </w:rPr>
        <w:t>capacity due to insufficient human resources and outdated infrastructure.</w:t>
      </w:r>
    </w:p>
    <w:p w14:paraId="57E41A27" w14:textId="77777777" w:rsidR="00233048" w:rsidRPr="00CD56B9" w:rsidRDefault="00A97E2C" w:rsidP="00A97E2C">
      <w:pPr>
        <w:rPr>
          <w:lang w:val="en-US"/>
        </w:rPr>
      </w:pPr>
      <w:r w:rsidRPr="00A97E2C">
        <w:rPr>
          <w:lang w:val="en-US"/>
        </w:rPr>
        <w:t xml:space="preserve">The systemic constraints are further compounded by poor coordination among the stakeholders in the Democratic Governance </w:t>
      </w:r>
      <w:r w:rsidR="001F7E07">
        <w:rPr>
          <w:lang w:val="en-US"/>
        </w:rPr>
        <w:t>S</w:t>
      </w:r>
      <w:r w:rsidRPr="00A97E2C">
        <w:rPr>
          <w:lang w:val="en-US"/>
        </w:rPr>
        <w:t>ector including</w:t>
      </w:r>
      <w:r w:rsidRPr="00CD56B9">
        <w:rPr>
          <w:lang w:val="en-US"/>
        </w:rPr>
        <w:t xml:space="preserve"> government ministries, departments and agencies (MDAs) responsible for delivery of services. The Joint Country Analysis of 2012 indicated that ineffective coordination of donor support was a</w:t>
      </w:r>
      <w:r w:rsidR="00233048" w:rsidRPr="00CD56B9">
        <w:rPr>
          <w:lang w:val="en-US"/>
        </w:rPr>
        <w:t>nother</w:t>
      </w:r>
      <w:r w:rsidRPr="00CD56B9">
        <w:rPr>
          <w:lang w:val="en-US"/>
        </w:rPr>
        <w:t xml:space="preserve"> major constraint that has weakened the administration of justice</w:t>
      </w:r>
      <w:r w:rsidR="00233048" w:rsidRPr="00CD56B9">
        <w:rPr>
          <w:lang w:val="en-US"/>
        </w:rPr>
        <w:t>,</w:t>
      </w:r>
      <w:r w:rsidRPr="00CD56B9">
        <w:rPr>
          <w:lang w:val="en-US"/>
        </w:rPr>
        <w:t xml:space="preserve"> leading to a lack of policy coherence, inefficient use of resource and ad hoc engagement of </w:t>
      </w:r>
      <w:r w:rsidR="00561974" w:rsidRPr="00CD56B9">
        <w:rPr>
          <w:lang w:val="en-US"/>
        </w:rPr>
        <w:t>non-state actors (</w:t>
      </w:r>
      <w:r w:rsidR="00233048" w:rsidRPr="00CD56B9">
        <w:rPr>
          <w:lang w:val="en-US"/>
        </w:rPr>
        <w:t>NSAs</w:t>
      </w:r>
      <w:r w:rsidR="00561974" w:rsidRPr="00CD56B9">
        <w:rPr>
          <w:lang w:val="en-US"/>
        </w:rPr>
        <w:t>)</w:t>
      </w:r>
      <w:r w:rsidRPr="00CD56B9">
        <w:rPr>
          <w:lang w:val="en-US"/>
        </w:rPr>
        <w:t xml:space="preserve">. </w:t>
      </w:r>
    </w:p>
    <w:p w14:paraId="64CC33E4" w14:textId="77777777" w:rsidR="00A97E2C" w:rsidRPr="00CD56B9" w:rsidRDefault="00A97E2C" w:rsidP="00A97E2C">
      <w:pPr>
        <w:rPr>
          <w:lang w:val="en-US"/>
        </w:rPr>
      </w:pPr>
      <w:r w:rsidRPr="00CD56B9">
        <w:rPr>
          <w:lang w:val="en-US"/>
        </w:rPr>
        <w:t>Good governance also depends very much on citizen’s participation in the political affairs of the country. The creation of a framework where meaningful empowerment of the populace can take place remains a challenge. Specific to elections, the credibility and confidence in the electoral process and elections management has been undermined by inconsistent legal framework, poor operational planning, procurement delays, weak internal</w:t>
      </w:r>
      <w:r w:rsidR="00233048" w:rsidRPr="00CD56B9">
        <w:rPr>
          <w:lang w:val="en-US"/>
        </w:rPr>
        <w:t xml:space="preserve"> control</w:t>
      </w:r>
      <w:r w:rsidRPr="00CD56B9">
        <w:rPr>
          <w:lang w:val="en-US"/>
        </w:rPr>
        <w:t xml:space="preserve"> systems inadequate capacity and engagement of stakeholders, biased reporting by the media during elections and abuse of public resources during election campaigns and ineffective enforcement of electoral rules and code of conduct. Similarly, the progress in the promotion of human rights has been ineffective due to constraints that include a legal and institutional framework that is not aligned to international and regional human rights instruments, </w:t>
      </w:r>
      <w:r w:rsidR="00233048" w:rsidRPr="00CD56B9">
        <w:rPr>
          <w:lang w:val="en-US"/>
        </w:rPr>
        <w:t xml:space="preserve">and </w:t>
      </w:r>
      <w:r w:rsidRPr="00CD56B9">
        <w:rPr>
          <w:lang w:val="en-US"/>
        </w:rPr>
        <w:t xml:space="preserve">limited governance and democratic space, ineffective implementation and poor adherence to set standards, lack of human and technical capacity and a human rights architecture that does not provide a strong platform and mechanisms for effective engagement between the state and </w:t>
      </w:r>
      <w:r w:rsidR="009A5FCF" w:rsidRPr="00CD56B9">
        <w:rPr>
          <w:lang w:val="en-US"/>
        </w:rPr>
        <w:t>NSAs</w:t>
      </w:r>
      <w:r w:rsidRPr="00CD56B9">
        <w:rPr>
          <w:lang w:val="en-US"/>
        </w:rPr>
        <w:t xml:space="preserve">. </w:t>
      </w:r>
    </w:p>
    <w:p w14:paraId="08EF96FC" w14:textId="77777777" w:rsidR="00A97E2C" w:rsidRPr="00CD56B9" w:rsidRDefault="00A97E2C" w:rsidP="00A97E2C">
      <w:pPr>
        <w:rPr>
          <w:lang w:val="en-US"/>
        </w:rPr>
      </w:pPr>
      <w:r w:rsidRPr="00CD56B9">
        <w:rPr>
          <w:lang w:val="en-US"/>
        </w:rPr>
        <w:t xml:space="preserve">The political landscape has been </w:t>
      </w:r>
      <w:r w:rsidR="00A02CD3" w:rsidRPr="00CD56B9">
        <w:rPr>
          <w:lang w:val="en-US"/>
        </w:rPr>
        <w:t>characterized</w:t>
      </w:r>
      <w:r w:rsidRPr="00CD56B9">
        <w:rPr>
          <w:lang w:val="en-US"/>
        </w:rPr>
        <w:t xml:space="preserve"> by weak political parties with significant gaps since the introduction o</w:t>
      </w:r>
      <w:r w:rsidR="009A5FCF" w:rsidRPr="00CD56B9">
        <w:rPr>
          <w:lang w:val="en-US"/>
        </w:rPr>
        <w:t>f multiparty democracy in 199</w:t>
      </w:r>
      <w:r w:rsidR="00561974" w:rsidRPr="00CD56B9">
        <w:rPr>
          <w:lang w:val="en-US"/>
        </w:rPr>
        <w:t>4</w:t>
      </w:r>
      <w:r w:rsidR="009A5FCF" w:rsidRPr="00CD56B9">
        <w:rPr>
          <w:lang w:val="en-US"/>
        </w:rPr>
        <w:t xml:space="preserve"> and the inability to </w:t>
      </w:r>
      <w:r w:rsidR="00A02CD3" w:rsidRPr="00CD56B9">
        <w:rPr>
          <w:lang w:val="en-US"/>
        </w:rPr>
        <w:t>mobilize</w:t>
      </w:r>
      <w:r w:rsidR="009A5FCF" w:rsidRPr="00CD56B9">
        <w:rPr>
          <w:lang w:val="en-US"/>
        </w:rPr>
        <w:t xml:space="preserve"> collective actions against key development challenges. </w:t>
      </w:r>
      <w:r w:rsidR="00AB6813" w:rsidRPr="00CD56B9">
        <w:rPr>
          <w:lang w:val="en-US"/>
        </w:rPr>
        <w:t xml:space="preserve">The legal framework for political parties, namely, the Political Party’s Registration and Regulation Act (PPRRA), establishes the office of the registrar for political parties as a public office, and articulates the eligibility criteria for political parties. It is a legal attempt to improve the role of PPs as democratic change agents.   </w:t>
      </w:r>
      <w:r w:rsidR="00641104" w:rsidRPr="00CD56B9">
        <w:rPr>
          <w:lang w:val="en-US"/>
        </w:rPr>
        <w:t xml:space="preserve">Institutionally, weak political parties, lack of political consultations and resultant </w:t>
      </w:r>
      <w:r w:rsidR="00A02CD3" w:rsidRPr="00CD56B9">
        <w:rPr>
          <w:lang w:val="en-US"/>
        </w:rPr>
        <w:t>polarization</w:t>
      </w:r>
      <w:r w:rsidR="00641104" w:rsidRPr="00CD56B9">
        <w:rPr>
          <w:lang w:val="en-US"/>
        </w:rPr>
        <w:t xml:space="preserve">, which affect the </w:t>
      </w:r>
      <w:r w:rsidR="00A02CD3" w:rsidRPr="00CD56B9">
        <w:rPr>
          <w:lang w:val="en-US"/>
        </w:rPr>
        <w:t>realization</w:t>
      </w:r>
      <w:r w:rsidR="00641104" w:rsidRPr="00CD56B9">
        <w:rPr>
          <w:lang w:val="en-US"/>
        </w:rPr>
        <w:t xml:space="preserve"> of civil, political social and economic rights, threatens the reversal of the positive gains made over the years. </w:t>
      </w:r>
    </w:p>
    <w:p w14:paraId="6A7FFD43" w14:textId="77777777" w:rsidR="00A97E2C" w:rsidRPr="00CD56B9" w:rsidRDefault="00A02CD3" w:rsidP="00A97E2C">
      <w:pPr>
        <w:rPr>
          <w:lang w:val="en-US"/>
        </w:rPr>
      </w:pPr>
      <w:r w:rsidRPr="00CD56B9">
        <w:rPr>
          <w:lang w:val="en-US"/>
        </w:rPr>
        <w:t>Organizational</w:t>
      </w:r>
      <w:r w:rsidR="00A97E2C" w:rsidRPr="00CD56B9">
        <w:rPr>
          <w:lang w:val="en-US"/>
        </w:rPr>
        <w:t xml:space="preserve"> </w:t>
      </w:r>
      <w:r w:rsidR="00DC288B" w:rsidRPr="00CD56B9">
        <w:rPr>
          <w:lang w:val="en-US"/>
        </w:rPr>
        <w:t>challenges</w:t>
      </w:r>
      <w:r w:rsidR="00A97E2C" w:rsidRPr="00CD56B9">
        <w:rPr>
          <w:lang w:val="en-US"/>
        </w:rPr>
        <w:t xml:space="preserve"> include weaknesses in the political party </w:t>
      </w:r>
      <w:r w:rsidRPr="00CD56B9">
        <w:rPr>
          <w:lang w:val="en-US"/>
        </w:rPr>
        <w:t>organizational</w:t>
      </w:r>
      <w:r w:rsidR="00A97E2C" w:rsidRPr="00CD56B9">
        <w:rPr>
          <w:lang w:val="en-US"/>
        </w:rPr>
        <w:t xml:space="preserve"> structures</w:t>
      </w:r>
      <w:r w:rsidR="00AB6813" w:rsidRPr="00CD56B9">
        <w:rPr>
          <w:lang w:val="en-US"/>
        </w:rPr>
        <w:t>,</w:t>
      </w:r>
      <w:r w:rsidR="00A97E2C" w:rsidRPr="00CD56B9">
        <w:rPr>
          <w:lang w:val="en-US"/>
        </w:rPr>
        <w:t xml:space="preserve"> which hamper their development; very little democratic culture within and between political parties leading to weak intraparty and interparty dialogue</w:t>
      </w:r>
      <w:r w:rsidR="00AB6813" w:rsidRPr="00CD56B9">
        <w:rPr>
          <w:lang w:val="en-US"/>
        </w:rPr>
        <w:t>. al</w:t>
      </w:r>
      <w:r w:rsidR="00A97E2C" w:rsidRPr="00CD56B9">
        <w:rPr>
          <w:lang w:val="en-US"/>
        </w:rPr>
        <w:t>though parties have constitutions</w:t>
      </w:r>
      <w:r w:rsidR="00AB6813" w:rsidRPr="00CD56B9">
        <w:rPr>
          <w:lang w:val="en-US"/>
        </w:rPr>
        <w:t>,</w:t>
      </w:r>
      <w:r w:rsidR="00A97E2C" w:rsidRPr="00CD56B9">
        <w:rPr>
          <w:lang w:val="en-US"/>
        </w:rPr>
        <w:t xml:space="preserve"> rules and party manifestos, these are mostly disregarded as there is no adherence to the fundamental provisions that are expected to guide political party machinery</w:t>
      </w:r>
      <w:r w:rsidR="00AB6813" w:rsidRPr="00CD56B9">
        <w:rPr>
          <w:lang w:val="en-US"/>
        </w:rPr>
        <w:t>,</w:t>
      </w:r>
      <w:r w:rsidR="00A97E2C" w:rsidRPr="00CD56B9">
        <w:rPr>
          <w:lang w:val="en-US"/>
        </w:rPr>
        <w:t xml:space="preserve"> for instance in succession where founder syndrome</w:t>
      </w:r>
      <w:r w:rsidR="009A5FCF" w:rsidRPr="00CD56B9">
        <w:rPr>
          <w:lang w:val="en-US"/>
        </w:rPr>
        <w:t>s</w:t>
      </w:r>
      <w:r w:rsidR="00A97E2C" w:rsidRPr="00CD56B9">
        <w:rPr>
          <w:lang w:val="en-US"/>
        </w:rPr>
        <w:t xml:space="preserve"> overtake the provisions in so entrenching patronage, autocratic and personality </w:t>
      </w:r>
      <w:r w:rsidRPr="00CD56B9">
        <w:rPr>
          <w:lang w:val="en-US"/>
        </w:rPr>
        <w:t>centered</w:t>
      </w:r>
      <w:r w:rsidR="00A97E2C" w:rsidRPr="00CD56B9">
        <w:rPr>
          <w:lang w:val="en-US"/>
        </w:rPr>
        <w:t xml:space="preserve"> political actors</w:t>
      </w:r>
      <w:r w:rsidR="00AB6813" w:rsidRPr="00CD56B9">
        <w:rPr>
          <w:lang w:val="en-US"/>
        </w:rPr>
        <w:t>,</w:t>
      </w:r>
      <w:r w:rsidR="00A97E2C" w:rsidRPr="00CD56B9">
        <w:rPr>
          <w:lang w:val="en-US"/>
        </w:rPr>
        <w:t xml:space="preserve"> which in turn stifle int</w:t>
      </w:r>
      <w:r w:rsidR="00BE7B07" w:rsidRPr="00CD56B9">
        <w:rPr>
          <w:lang w:val="en-US"/>
        </w:rPr>
        <w:t>ra-party democracy and dialogue. L</w:t>
      </w:r>
      <w:r w:rsidR="00A97E2C" w:rsidRPr="00CD56B9">
        <w:rPr>
          <w:lang w:val="en-US"/>
        </w:rPr>
        <w:t xml:space="preserve">eaders of parties bankroll their parties, appoint party officials and treat a party as </w:t>
      </w:r>
      <w:r w:rsidR="009A5FCF" w:rsidRPr="00CD56B9">
        <w:rPr>
          <w:lang w:val="en-US"/>
        </w:rPr>
        <w:t xml:space="preserve">a </w:t>
      </w:r>
      <w:r w:rsidR="00A97E2C" w:rsidRPr="00CD56B9">
        <w:rPr>
          <w:lang w:val="en-US"/>
        </w:rPr>
        <w:t xml:space="preserve">private enterprise. </w:t>
      </w:r>
    </w:p>
    <w:p w14:paraId="4B23EAA0" w14:textId="77777777" w:rsidR="00A97E2C" w:rsidRPr="00CD56B9" w:rsidRDefault="00A97E2C" w:rsidP="00A97E2C">
      <w:pPr>
        <w:rPr>
          <w:lang w:val="en-US"/>
        </w:rPr>
      </w:pPr>
      <w:r w:rsidRPr="00CD56B9">
        <w:rPr>
          <w:lang w:val="en-US"/>
        </w:rPr>
        <w:lastRenderedPageBreak/>
        <w:t xml:space="preserve">The challenges relating to the administrative framework for political parties that hamper political parties in playing an effective role in democracy consolidation include the weaknesses in the national, regional, district, area and branch level structures. The size of membership, extent and intensity of party </w:t>
      </w:r>
      <w:r w:rsidR="00C86EEA" w:rsidRPr="00CD56B9">
        <w:rPr>
          <w:lang w:val="en-US"/>
        </w:rPr>
        <w:t>organization</w:t>
      </w:r>
      <w:r w:rsidRPr="00CD56B9">
        <w:rPr>
          <w:lang w:val="en-US"/>
        </w:rPr>
        <w:t xml:space="preserve">, the power base of these parties is so weak that they are unable to recruit, rally and retain members. The situation is compounded by absence of vision and mission, ideology, </w:t>
      </w:r>
      <w:r w:rsidR="009A5FCF" w:rsidRPr="00CD56B9">
        <w:rPr>
          <w:lang w:val="en-US"/>
        </w:rPr>
        <w:t>non-adherence</w:t>
      </w:r>
      <w:r w:rsidRPr="00CD56B9">
        <w:rPr>
          <w:lang w:val="en-US"/>
        </w:rPr>
        <w:t xml:space="preserve"> to succession rules and absence of intra-party dialogue within the structures. These gaps have contributed to weak ownership of and identification with political parties, deficits in transparency and accountability, lack of interparty dialogue, and intra-party democracy </w:t>
      </w:r>
      <w:r w:rsidR="00DB748F" w:rsidRPr="00CD56B9">
        <w:rPr>
          <w:lang w:val="en-US"/>
        </w:rPr>
        <w:t>that</w:t>
      </w:r>
      <w:r w:rsidRPr="00CD56B9">
        <w:rPr>
          <w:lang w:val="en-US"/>
        </w:rPr>
        <w:t xml:space="preserve"> continue to hamper the evolution of political parties into key political actors</w:t>
      </w:r>
      <w:r w:rsidR="0041659D" w:rsidRPr="00CD56B9">
        <w:rPr>
          <w:lang w:val="en-US"/>
        </w:rPr>
        <w:t>.</w:t>
      </w:r>
    </w:p>
    <w:p w14:paraId="3BECDC8F" w14:textId="77777777" w:rsidR="00A97E2C" w:rsidRPr="00A97E2C" w:rsidRDefault="00C86EEA" w:rsidP="00A97E2C">
      <w:pPr>
        <w:rPr>
          <w:lang w:val="en-US"/>
        </w:rPr>
      </w:pPr>
      <w:r w:rsidRPr="00CD56B9">
        <w:rPr>
          <w:lang w:val="en-US"/>
        </w:rPr>
        <w:t>Marginalized</w:t>
      </w:r>
      <w:r w:rsidR="00A97E2C" w:rsidRPr="00CD56B9">
        <w:rPr>
          <w:lang w:val="en-US"/>
        </w:rPr>
        <w:t xml:space="preserve"> groups, in particular women and the youth, have very little influence and access to engage in political dialogue and decision making processes, women continue to be excluded from most aspects of governance and yet their involvement in governance is key to the reduction of the root causes of poverty and social inclusion. T</w:t>
      </w:r>
      <w:r w:rsidR="00A97E2C" w:rsidRPr="00A97E2C">
        <w:rPr>
          <w:lang w:val="en-US"/>
        </w:rPr>
        <w:t>he political status of women and female youth has historically been under-represented and low in political processes due to legal and institutional gender discrimination. Unequal political participation is manifested by the limited representation of women in decision-making structures and processes of political parties; constraints in the capacity and skills of female members of political parties and incumbent female MPs</w:t>
      </w:r>
      <w:r w:rsidR="00553D9B">
        <w:rPr>
          <w:lang w:val="en-US"/>
        </w:rPr>
        <w:t xml:space="preserve">. The </w:t>
      </w:r>
      <w:r w:rsidR="00A97E2C" w:rsidRPr="00A97E2C">
        <w:rPr>
          <w:lang w:val="en-US"/>
        </w:rPr>
        <w:t xml:space="preserve">policy and legal environment is not conducive to gender equality in political participation; and </w:t>
      </w:r>
      <w:r w:rsidR="00553D9B">
        <w:rPr>
          <w:lang w:val="en-US"/>
        </w:rPr>
        <w:t xml:space="preserve">there is </w:t>
      </w:r>
      <w:r w:rsidR="00A97E2C" w:rsidRPr="00A97E2C">
        <w:rPr>
          <w:lang w:val="en-US"/>
        </w:rPr>
        <w:t>limited effectiveness of media campaigns and network coalitions t</w:t>
      </w:r>
      <w:r w:rsidR="00553D9B">
        <w:rPr>
          <w:lang w:val="en-US"/>
        </w:rPr>
        <w:t>o</w:t>
      </w:r>
      <w:r w:rsidR="00A97E2C" w:rsidRPr="00A97E2C">
        <w:rPr>
          <w:lang w:val="en-US"/>
        </w:rPr>
        <w:t xml:space="preserve"> support female candidates and voters in elections. The discrimination against women and female youth at community level has the effect of limiting public confidence in the capabilities of women and female youth in high-level decision making such as Parliament and Councils. In summary, the major contextual issues relating to women participation in politics in Malawi are as follows:</w:t>
      </w:r>
    </w:p>
    <w:p w14:paraId="08D62B06" w14:textId="77777777" w:rsidR="00A97E2C" w:rsidRPr="00A97E2C" w:rsidRDefault="00A97E2C" w:rsidP="00F769B0">
      <w:pPr>
        <w:numPr>
          <w:ilvl w:val="0"/>
          <w:numId w:val="21"/>
        </w:numPr>
        <w:rPr>
          <w:lang w:val="en-US"/>
        </w:rPr>
      </w:pPr>
      <w:r w:rsidRPr="00A97E2C">
        <w:rPr>
          <w:lang w:val="en-US"/>
        </w:rPr>
        <w:t xml:space="preserve">Access </w:t>
      </w:r>
      <w:r w:rsidR="00AE3BA9">
        <w:rPr>
          <w:lang w:val="en-US"/>
        </w:rPr>
        <w:t xml:space="preserve">to </w:t>
      </w:r>
      <w:r w:rsidRPr="00A97E2C">
        <w:rPr>
          <w:lang w:val="en-US"/>
        </w:rPr>
        <w:t>and participation of women and female youth in decision making of the political parties is ge</w:t>
      </w:r>
      <w:r w:rsidR="009A5FCF">
        <w:rPr>
          <w:lang w:val="en-US"/>
        </w:rPr>
        <w:t>nerally low. While data, though</w:t>
      </w:r>
      <w:r w:rsidRPr="00A97E2C">
        <w:rPr>
          <w:lang w:val="en-US"/>
        </w:rPr>
        <w:t xml:space="preserve"> limited</w:t>
      </w:r>
      <w:r w:rsidR="009A5FCF">
        <w:rPr>
          <w:lang w:val="en-US"/>
        </w:rPr>
        <w:t>,</w:t>
      </w:r>
      <w:r w:rsidRPr="00A97E2C">
        <w:rPr>
          <w:lang w:val="en-US"/>
        </w:rPr>
        <w:t xml:space="preserve"> show trends in the progression of women and female youth to higher positions in Malawi</w:t>
      </w:r>
      <w:r w:rsidR="00AE3BA9">
        <w:rPr>
          <w:lang w:val="en-US"/>
        </w:rPr>
        <w:t>,</w:t>
      </w:r>
      <w:r w:rsidRPr="00A97E2C">
        <w:rPr>
          <w:lang w:val="en-US"/>
        </w:rPr>
        <w:t xml:space="preserve"> the rate of progression is slow and </w:t>
      </w:r>
      <w:r w:rsidR="00AE3BA9">
        <w:rPr>
          <w:lang w:val="en-US"/>
        </w:rPr>
        <w:t>in</w:t>
      </w:r>
      <w:r w:rsidRPr="00A97E2C">
        <w:rPr>
          <w:lang w:val="en-US"/>
        </w:rPr>
        <w:t>constant</w:t>
      </w:r>
      <w:r w:rsidR="00AE3BA9">
        <w:rPr>
          <w:lang w:val="en-US"/>
        </w:rPr>
        <w:t>,</w:t>
      </w:r>
      <w:r w:rsidRPr="00A97E2C">
        <w:rPr>
          <w:lang w:val="en-US"/>
        </w:rPr>
        <w:t xml:space="preserve"> resulting in few women in political party positions </w:t>
      </w:r>
      <w:r w:rsidR="00AE3BA9">
        <w:rPr>
          <w:lang w:val="en-US"/>
        </w:rPr>
        <w:t>and inability t</w:t>
      </w:r>
      <w:r w:rsidRPr="00A97E2C">
        <w:rPr>
          <w:lang w:val="en-US"/>
        </w:rPr>
        <w:t xml:space="preserve">o make constructive change to internal structures and processes of institutions in response to girls and women’s needs. No political party gender policies are </w:t>
      </w:r>
      <w:r w:rsidR="00202579">
        <w:rPr>
          <w:lang w:val="en-US"/>
        </w:rPr>
        <w:t xml:space="preserve">yet </w:t>
      </w:r>
      <w:r w:rsidRPr="00A97E2C">
        <w:rPr>
          <w:lang w:val="en-US"/>
        </w:rPr>
        <w:t xml:space="preserve">in place. </w:t>
      </w:r>
    </w:p>
    <w:p w14:paraId="1B3D4D30" w14:textId="77777777" w:rsidR="00A97E2C" w:rsidRPr="00A97E2C" w:rsidRDefault="00A97E2C" w:rsidP="00F769B0">
      <w:pPr>
        <w:numPr>
          <w:ilvl w:val="0"/>
          <w:numId w:val="21"/>
        </w:numPr>
        <w:rPr>
          <w:lang w:val="en-US"/>
        </w:rPr>
      </w:pPr>
      <w:r w:rsidRPr="00A97E2C">
        <w:rPr>
          <w:lang w:val="en-US"/>
        </w:rPr>
        <w:t xml:space="preserve">There are gaps in the legal and policy framework for the facilitation of women’s and female youth political participation. International legal obligations on gender equality contained in </w:t>
      </w:r>
      <w:r w:rsidR="00202579">
        <w:rPr>
          <w:lang w:val="en-US"/>
        </w:rPr>
        <w:t xml:space="preserve">the </w:t>
      </w:r>
      <w:r w:rsidR="00202579" w:rsidRPr="00202579">
        <w:rPr>
          <w:lang w:val="en-US"/>
        </w:rPr>
        <w:t>Convention on the Elimination of All Forms of Discrimination against Women</w:t>
      </w:r>
      <w:r w:rsidR="00202579">
        <w:rPr>
          <w:lang w:val="en-US"/>
        </w:rPr>
        <w:t xml:space="preserve"> (</w:t>
      </w:r>
      <w:r w:rsidRPr="00A97E2C">
        <w:rPr>
          <w:lang w:val="en-US"/>
        </w:rPr>
        <w:t>CEDAW</w:t>
      </w:r>
      <w:r w:rsidR="00202579">
        <w:rPr>
          <w:lang w:val="en-US"/>
        </w:rPr>
        <w:t>)</w:t>
      </w:r>
      <w:r w:rsidRPr="00A97E2C">
        <w:rPr>
          <w:lang w:val="en-US"/>
        </w:rPr>
        <w:t xml:space="preserve"> have not been domesticated and there is no comprehensive engendering of Acts of Parliament that have a direct bearing on the political empowerment of women and female youth. </w:t>
      </w:r>
    </w:p>
    <w:p w14:paraId="19C6F345" w14:textId="77777777" w:rsidR="00A97E2C" w:rsidRPr="00A97E2C" w:rsidRDefault="00A97E2C" w:rsidP="00F769B0">
      <w:pPr>
        <w:numPr>
          <w:ilvl w:val="0"/>
          <w:numId w:val="21"/>
        </w:numPr>
        <w:rPr>
          <w:lang w:val="en-US"/>
        </w:rPr>
      </w:pPr>
      <w:r w:rsidRPr="00A97E2C">
        <w:rPr>
          <w:lang w:val="en-US"/>
        </w:rPr>
        <w:t>There is no comprehensive coordination mechanism set up to handle political empowerment of women and female youth at national, district and local levels. The National Gender Machinery (NGM) to coordinate gender equality</w:t>
      </w:r>
      <w:r w:rsidR="003028C9">
        <w:rPr>
          <w:lang w:val="en-US"/>
        </w:rPr>
        <w:t>,</w:t>
      </w:r>
      <w:r w:rsidRPr="00A97E2C">
        <w:rPr>
          <w:lang w:val="en-US"/>
        </w:rPr>
        <w:t xml:space="preserve"> and women’s and female </w:t>
      </w:r>
      <w:r w:rsidR="003028C9">
        <w:rPr>
          <w:lang w:val="en-US"/>
        </w:rPr>
        <w:t>youth empowerment programmes have</w:t>
      </w:r>
      <w:r w:rsidRPr="00A97E2C">
        <w:rPr>
          <w:lang w:val="en-US"/>
        </w:rPr>
        <w:t xml:space="preserve"> been hampered by various factors such as limited human resource capacity, high staff turnover, poor funding, weak coordination mechanisms as well as weak and ineffective CSO coalitions. Although there is some capacity on the ground to implement </w:t>
      </w:r>
      <w:r w:rsidR="00F83ACB" w:rsidRPr="00CD56B9">
        <w:rPr>
          <w:lang w:val="en-US"/>
        </w:rPr>
        <w:t>Political Empowering of Women</w:t>
      </w:r>
      <w:r w:rsidR="00F83ACB" w:rsidRPr="00F83ACB">
        <w:rPr>
          <w:lang w:val="en-US"/>
        </w:rPr>
        <w:t xml:space="preserve"> </w:t>
      </w:r>
      <w:r w:rsidR="00F83ACB">
        <w:rPr>
          <w:lang w:val="en-US"/>
        </w:rPr>
        <w:t>(</w:t>
      </w:r>
      <w:r w:rsidRPr="00A97E2C">
        <w:rPr>
          <w:lang w:val="en-US"/>
        </w:rPr>
        <w:t>PEW</w:t>
      </w:r>
      <w:r w:rsidR="00F83ACB">
        <w:rPr>
          <w:lang w:val="en-US"/>
        </w:rPr>
        <w:t>)</w:t>
      </w:r>
      <w:r w:rsidRPr="00A97E2C">
        <w:rPr>
          <w:lang w:val="en-US"/>
        </w:rPr>
        <w:t xml:space="preserve"> and female youth programmes in terms of human resources, infrastructure and institutional set up, it is far from adequate for a comprehensive PEW and female youth programme. </w:t>
      </w:r>
    </w:p>
    <w:p w14:paraId="006F66D3" w14:textId="77777777" w:rsidR="00A97E2C" w:rsidRPr="00A97E2C" w:rsidRDefault="00A97E2C" w:rsidP="00A97E2C">
      <w:pPr>
        <w:rPr>
          <w:lang w:val="en-US"/>
        </w:rPr>
      </w:pPr>
      <w:r w:rsidRPr="00A97E2C">
        <w:rPr>
          <w:lang w:val="en-US"/>
        </w:rPr>
        <w:t>In terms of conflict</w:t>
      </w:r>
      <w:r w:rsidR="00F83ACB">
        <w:rPr>
          <w:lang w:val="en-US"/>
        </w:rPr>
        <w:t>s</w:t>
      </w:r>
      <w:r w:rsidRPr="00A97E2C">
        <w:rPr>
          <w:lang w:val="en-US"/>
        </w:rPr>
        <w:t xml:space="preserve">, </w:t>
      </w:r>
      <w:r w:rsidR="00F83ACB" w:rsidRPr="00A97E2C">
        <w:rPr>
          <w:lang w:val="en-US"/>
        </w:rPr>
        <w:t xml:space="preserve">Malawi </w:t>
      </w:r>
      <w:r w:rsidRPr="00A97E2C">
        <w:rPr>
          <w:lang w:val="en-US"/>
        </w:rPr>
        <w:t xml:space="preserve">has generally remained peaceful. However, </w:t>
      </w:r>
      <w:r w:rsidR="00DC288B">
        <w:rPr>
          <w:lang w:val="en-US"/>
        </w:rPr>
        <w:t xml:space="preserve">despite </w:t>
      </w:r>
      <w:r w:rsidR="008F2B9F">
        <w:rPr>
          <w:lang w:val="en-US"/>
        </w:rPr>
        <w:t xml:space="preserve">some </w:t>
      </w:r>
      <w:r w:rsidRPr="00A97E2C">
        <w:rPr>
          <w:lang w:val="en-US"/>
        </w:rPr>
        <w:t xml:space="preserve">progress in poverty reduction, promotion of human rights and democratic governance, and other socio-economic indicators, the country has also experienced a number of challenges that have on occasions escalated into violence. Historically, most conflict situations experienced in Malawi, though not extreme and mostly characterized by riots, have been </w:t>
      </w:r>
      <w:r w:rsidRPr="00A97E2C">
        <w:rPr>
          <w:lang w:val="en-US"/>
        </w:rPr>
        <w:lastRenderedPageBreak/>
        <w:t xml:space="preserve">election-related; the transition from one-party to multiparty system in 1992, the 1994,1999 and 2004 elections. The events of 20-21 July 2011 in all the cities of the country, a reaction to pent-up frustrations with </w:t>
      </w:r>
      <w:r w:rsidR="00693520">
        <w:rPr>
          <w:lang w:val="en-US"/>
        </w:rPr>
        <w:t xml:space="preserve">the </w:t>
      </w:r>
      <w:r w:rsidRPr="00A97E2C">
        <w:rPr>
          <w:lang w:val="en-US"/>
        </w:rPr>
        <w:t>deteriorating econom</w:t>
      </w:r>
      <w:r w:rsidR="00693520">
        <w:rPr>
          <w:lang w:val="en-US"/>
        </w:rPr>
        <w:t xml:space="preserve">y </w:t>
      </w:r>
      <w:r w:rsidRPr="00A97E2C">
        <w:rPr>
          <w:lang w:val="en-US"/>
        </w:rPr>
        <w:t>and poor public service delivery, shocked the nation. While the violence was termed as “uncharacteristic” for this peace-loving nation, it raised fears with many that a return to earlier patterns of widespread and sustained political and elections-related violence may be imminent. Also with the changed demographics</w:t>
      </w:r>
      <w:r w:rsidR="00DC288B">
        <w:rPr>
          <w:lang w:val="en-US"/>
        </w:rPr>
        <w:t xml:space="preserve"> and high urban migration patterns</w:t>
      </w:r>
      <w:r w:rsidRPr="00A97E2C">
        <w:rPr>
          <w:lang w:val="en-US"/>
        </w:rPr>
        <w:t xml:space="preserve">, there is a higher risk of increased violent conflicts than in the past, especially with the highly contested 2014 elections. </w:t>
      </w:r>
    </w:p>
    <w:p w14:paraId="4CC86E70" w14:textId="77777777" w:rsidR="00A97E2C" w:rsidRPr="00A97E2C" w:rsidRDefault="00DC288B" w:rsidP="00A97E2C">
      <w:pPr>
        <w:rPr>
          <w:lang w:val="en-US"/>
        </w:rPr>
      </w:pPr>
      <w:r>
        <w:rPr>
          <w:lang w:val="en-US"/>
        </w:rPr>
        <w:t>R</w:t>
      </w:r>
      <w:r w:rsidR="00A97E2C" w:rsidRPr="00A97E2C">
        <w:rPr>
          <w:lang w:val="en-US"/>
        </w:rPr>
        <w:t xml:space="preserve">ecent trends have unveiled a wide range of threats to the sustenance of peace and unity in Malawi. The sources of instability range from the economy, environment and disasters, </w:t>
      </w:r>
      <w:r w:rsidR="00693520" w:rsidRPr="00A97E2C">
        <w:rPr>
          <w:lang w:val="en-US"/>
        </w:rPr>
        <w:t>organized</w:t>
      </w:r>
      <w:r w:rsidR="00A97E2C" w:rsidRPr="00A97E2C">
        <w:rPr>
          <w:lang w:val="en-US"/>
        </w:rPr>
        <w:t xml:space="preserve"> crime, famine and health issues to current conflicts that jeopardize the sustainability of peace and unity emanating from political transitions and pressures; infringements of civil liberties and political rights; pressure on socio-economic and development rights, including the lack of political and economic opportunities for women and youth. These challenges require more proactive and coordinated responses from Government as well as civil stakeholders for sustained peace</w:t>
      </w:r>
      <w:r>
        <w:rPr>
          <w:lang w:val="en-US"/>
        </w:rPr>
        <w:t>,</w:t>
      </w:r>
      <w:r w:rsidR="00A97E2C" w:rsidRPr="00A97E2C">
        <w:rPr>
          <w:lang w:val="en-US"/>
        </w:rPr>
        <w:t xml:space="preserve"> and unity has driven Malawians to take historic step</w:t>
      </w:r>
      <w:r>
        <w:rPr>
          <w:lang w:val="en-US"/>
        </w:rPr>
        <w:t xml:space="preserve">s towards </w:t>
      </w:r>
      <w:r w:rsidR="00A97E2C" w:rsidRPr="00A97E2C">
        <w:rPr>
          <w:lang w:val="en-US"/>
        </w:rPr>
        <w:t xml:space="preserve">coordination and collaboration among stakeholders and </w:t>
      </w:r>
      <w:r w:rsidRPr="00A97E2C">
        <w:rPr>
          <w:lang w:val="en-US"/>
        </w:rPr>
        <w:t>harmonization</w:t>
      </w:r>
      <w:r w:rsidR="00A97E2C" w:rsidRPr="00A97E2C">
        <w:rPr>
          <w:lang w:val="en-US"/>
        </w:rPr>
        <w:t xml:space="preserve"> of peace building initiatives whenever faced with conflicts that have potential to undermine peace and unity</w:t>
      </w:r>
      <w:r w:rsidR="003D5817">
        <w:rPr>
          <w:lang w:val="en-US"/>
        </w:rPr>
        <w:t xml:space="preserve">. Initiatives </w:t>
      </w:r>
      <w:r w:rsidR="002B7A08">
        <w:rPr>
          <w:lang w:val="en-US"/>
        </w:rPr>
        <w:t xml:space="preserve">has been taken </w:t>
      </w:r>
      <w:r w:rsidR="003D5817">
        <w:rPr>
          <w:lang w:val="en-US"/>
        </w:rPr>
        <w:t>t</w:t>
      </w:r>
      <w:r>
        <w:rPr>
          <w:lang w:val="en-US"/>
        </w:rPr>
        <w:t xml:space="preserve">o </w:t>
      </w:r>
      <w:r w:rsidR="00A97E2C" w:rsidRPr="00A97E2C">
        <w:rPr>
          <w:lang w:val="en-US"/>
        </w:rPr>
        <w:t xml:space="preserve">create an integrated and collaborative system that will further strengthen the capacity of Government and all stakeholders to deal with current and future threats to peace and unity in the country; clarification of the institutional arrangements within which peace building initiatives by stakeholders that include government, civil society, media and other organs and relevant civil institutions of the state </w:t>
      </w:r>
      <w:r>
        <w:rPr>
          <w:lang w:val="en-US"/>
        </w:rPr>
        <w:t xml:space="preserve">that </w:t>
      </w:r>
      <w:r w:rsidR="00A97E2C" w:rsidRPr="00A97E2C">
        <w:rPr>
          <w:lang w:val="en-US"/>
        </w:rPr>
        <w:t>will coordinate their activities to sustain peace and unity.</w:t>
      </w:r>
    </w:p>
    <w:p w14:paraId="4041AAF6" w14:textId="77777777" w:rsidR="00A97E2C" w:rsidRPr="00A97E2C" w:rsidRDefault="00A97E2C" w:rsidP="00A97E2C">
      <w:pPr>
        <w:rPr>
          <w:lang w:val="en-US"/>
        </w:rPr>
      </w:pPr>
      <w:r w:rsidRPr="00A97E2C">
        <w:rPr>
          <w:lang w:val="en-US"/>
        </w:rPr>
        <w:t xml:space="preserve">In view of the socio-economic and political situation in the country, there is potential for the conflicts to turn violent, if not well managed, thus risking the sustainability of peace and stability. Therefore, the need for </w:t>
      </w:r>
      <w:r w:rsidR="004C39A4">
        <w:rPr>
          <w:lang w:val="en-US"/>
        </w:rPr>
        <w:t>a national</w:t>
      </w:r>
      <w:r w:rsidR="00FE64AC">
        <w:rPr>
          <w:lang w:val="en-US"/>
        </w:rPr>
        <w:t xml:space="preserve"> peace architecture (</w:t>
      </w:r>
      <w:r w:rsidRPr="00A97E2C">
        <w:rPr>
          <w:lang w:val="en-US"/>
        </w:rPr>
        <w:t>NPA</w:t>
      </w:r>
      <w:r w:rsidR="00FE64AC">
        <w:rPr>
          <w:lang w:val="en-US"/>
        </w:rPr>
        <w:t>)</w:t>
      </w:r>
      <w:r w:rsidRPr="00A97E2C">
        <w:rPr>
          <w:lang w:val="en-US"/>
        </w:rPr>
        <w:t xml:space="preserve"> cannot be overemphasized. It is also worth noting that the establishment of </w:t>
      </w:r>
      <w:r w:rsidR="00FE64AC">
        <w:rPr>
          <w:lang w:val="en-US"/>
        </w:rPr>
        <w:t>an</w:t>
      </w:r>
      <w:r w:rsidRPr="00A97E2C">
        <w:rPr>
          <w:lang w:val="en-US"/>
        </w:rPr>
        <w:t xml:space="preserve"> NPA will be in compliance to Malawi’s commitment to the 2001 African Union (AU) Heads of State Memorandum of Understanding (MoU) on Security, Stability, Development and Cooperation in Africa</w:t>
      </w:r>
      <w:r w:rsidR="002B7A08">
        <w:rPr>
          <w:lang w:val="en-US"/>
        </w:rPr>
        <w:t>,</w:t>
      </w:r>
      <w:r w:rsidRPr="00A97E2C">
        <w:rPr>
          <w:lang w:val="en-US"/>
        </w:rPr>
        <w:t xml:space="preserve"> which was to “Establish, by 2004, national institutions or mechanisms for prevention, management and resolution of conflicts at community and national levels with active involvement of civil society organizations (CSOs) and community based organizations (CBOs)”.</w:t>
      </w:r>
    </w:p>
    <w:p w14:paraId="3248705E" w14:textId="77777777" w:rsidR="00A97E2C" w:rsidRPr="00CD56B9" w:rsidRDefault="00A97E2C" w:rsidP="00A97E2C">
      <w:pPr>
        <w:rPr>
          <w:lang w:val="en-US"/>
        </w:rPr>
      </w:pPr>
      <w:r w:rsidRPr="00A97E2C">
        <w:rPr>
          <w:lang w:val="en-US"/>
        </w:rPr>
        <w:t xml:space="preserve">Malawi is </w:t>
      </w:r>
      <w:r w:rsidR="00FE64AC">
        <w:rPr>
          <w:lang w:val="en-US"/>
        </w:rPr>
        <w:t>one of the least developed countries</w:t>
      </w:r>
      <w:r w:rsidRPr="00A97E2C">
        <w:rPr>
          <w:lang w:val="en-US"/>
        </w:rPr>
        <w:t xml:space="preserve"> in the world with a nominal per capita income of </w:t>
      </w:r>
      <w:r w:rsidR="00FE64AC">
        <w:rPr>
          <w:lang w:val="en-US"/>
        </w:rPr>
        <w:t>USD 250</w:t>
      </w:r>
      <w:r w:rsidR="00E91289">
        <w:rPr>
          <w:rStyle w:val="Fodnotehenvisning"/>
          <w:lang w:val="en-US"/>
        </w:rPr>
        <w:footnoteReference w:id="1"/>
      </w:r>
      <w:r w:rsidRPr="00A97E2C">
        <w:rPr>
          <w:lang w:val="en-US"/>
        </w:rPr>
        <w:t xml:space="preserve">. The socio-economic environment is </w:t>
      </w:r>
      <w:r w:rsidR="00FE64AC" w:rsidRPr="00A97E2C">
        <w:rPr>
          <w:lang w:val="en-US"/>
        </w:rPr>
        <w:t>characterized</w:t>
      </w:r>
      <w:r w:rsidRPr="00A97E2C">
        <w:rPr>
          <w:lang w:val="en-US"/>
        </w:rPr>
        <w:t xml:space="preserve"> by pervasive poverty and deep</w:t>
      </w:r>
      <w:r w:rsidR="00642475">
        <w:rPr>
          <w:lang w:val="en-US"/>
        </w:rPr>
        <w:t>ly</w:t>
      </w:r>
      <w:r w:rsidRPr="00A97E2C">
        <w:rPr>
          <w:lang w:val="en-US"/>
        </w:rPr>
        <w:t xml:space="preserve"> rooted inequality with </w:t>
      </w:r>
      <w:r w:rsidR="00642475">
        <w:rPr>
          <w:lang w:val="en-US"/>
        </w:rPr>
        <w:t>huge</w:t>
      </w:r>
      <w:r w:rsidRPr="00A97E2C">
        <w:rPr>
          <w:lang w:val="en-US"/>
        </w:rPr>
        <w:t xml:space="preserve"> differences between the rich and the poor and with </w:t>
      </w:r>
      <w:r w:rsidR="00642475">
        <w:rPr>
          <w:lang w:val="en-US"/>
        </w:rPr>
        <w:t>70.9%</w:t>
      </w:r>
      <w:r w:rsidRPr="00A97E2C">
        <w:rPr>
          <w:lang w:val="en-US"/>
        </w:rPr>
        <w:t xml:space="preserve"> of the population living below the poverty line and subsisting on less than USD </w:t>
      </w:r>
      <w:r w:rsidR="00FE64AC">
        <w:rPr>
          <w:lang w:val="en-US"/>
        </w:rPr>
        <w:t>1.90</w:t>
      </w:r>
      <w:r w:rsidRPr="00A97E2C">
        <w:rPr>
          <w:lang w:val="en-US"/>
        </w:rPr>
        <w:t xml:space="preserve"> per day</w:t>
      </w:r>
      <w:r w:rsidR="00E91289">
        <w:rPr>
          <w:rStyle w:val="Fodnotehenvisning"/>
          <w:lang w:val="en-US"/>
        </w:rPr>
        <w:footnoteReference w:id="2"/>
      </w:r>
      <w:r w:rsidRPr="00A97E2C">
        <w:rPr>
          <w:lang w:val="en-US"/>
        </w:rPr>
        <w:t>. Despite government’s recognition of the high levels of poverty particularly in the rural areas</w:t>
      </w:r>
      <w:r w:rsidR="008F2B9F">
        <w:rPr>
          <w:lang w:val="en-US"/>
        </w:rPr>
        <w:t>,</w:t>
      </w:r>
      <w:r w:rsidRPr="00A97E2C">
        <w:rPr>
          <w:lang w:val="en-US"/>
        </w:rPr>
        <w:t xml:space="preserve"> little progress has been achieved since the transition to multi-party democracy in </w:t>
      </w:r>
      <w:r w:rsidR="00E91289">
        <w:rPr>
          <w:lang w:val="en-US"/>
        </w:rPr>
        <w:t>1994. The Integrated Household S</w:t>
      </w:r>
      <w:r w:rsidR="00843A68">
        <w:rPr>
          <w:lang w:val="en-US"/>
        </w:rPr>
        <w:t xml:space="preserve">urveys and HDIs </w:t>
      </w:r>
      <w:r w:rsidRPr="00A97E2C">
        <w:rPr>
          <w:lang w:val="en-US"/>
        </w:rPr>
        <w:t xml:space="preserve">and the increase in </w:t>
      </w:r>
      <w:r w:rsidR="008F2B9F">
        <w:rPr>
          <w:lang w:val="en-US"/>
        </w:rPr>
        <w:t>the G</w:t>
      </w:r>
      <w:r w:rsidRPr="00A97E2C">
        <w:rPr>
          <w:lang w:val="en-US"/>
        </w:rPr>
        <w:t>ini coefficient have shown that poverty and income inequality is deepening. Malawi has implemented several poverty reduction and rural development interventions as well as institutional reforms including the</w:t>
      </w:r>
      <w:r w:rsidRPr="00CD56B9">
        <w:rPr>
          <w:lang w:val="en-US"/>
        </w:rPr>
        <w:t xml:space="preserve"> adoption of the Decentralization Policy and Local Government Act of 1998. However, the continued high incidence of poverty implies that the various initiatives that have been undertaken to improve democratic governance have not been effective and that the country is facing governance </w:t>
      </w:r>
      <w:r w:rsidR="008F2B9F" w:rsidRPr="00CD56B9">
        <w:rPr>
          <w:lang w:val="en-US"/>
        </w:rPr>
        <w:t xml:space="preserve">and </w:t>
      </w:r>
      <w:r w:rsidRPr="00CD56B9">
        <w:rPr>
          <w:lang w:val="en-US"/>
        </w:rPr>
        <w:t xml:space="preserve">developmental </w:t>
      </w:r>
      <w:r w:rsidR="00843A68" w:rsidRPr="00CD56B9">
        <w:rPr>
          <w:lang w:val="en-US"/>
        </w:rPr>
        <w:t>challenges, which</w:t>
      </w:r>
      <w:r w:rsidRPr="00CD56B9">
        <w:rPr>
          <w:lang w:val="en-US"/>
        </w:rPr>
        <w:t xml:space="preserve"> must be addressed.</w:t>
      </w:r>
    </w:p>
    <w:p w14:paraId="200B8730" w14:textId="77777777" w:rsidR="00A97E2C" w:rsidRPr="00CD56B9" w:rsidRDefault="00A97E2C" w:rsidP="00A97E2C">
      <w:pPr>
        <w:rPr>
          <w:lang w:val="en-US"/>
        </w:rPr>
      </w:pPr>
      <w:r w:rsidRPr="00A97E2C">
        <w:rPr>
          <w:lang w:val="en-US"/>
        </w:rPr>
        <w:lastRenderedPageBreak/>
        <w:t xml:space="preserve">It is against this background that the Malawi Government, with the assistance from the UN </w:t>
      </w:r>
      <w:r w:rsidR="008F2B9F">
        <w:rPr>
          <w:lang w:val="en-US"/>
        </w:rPr>
        <w:t xml:space="preserve">and </w:t>
      </w:r>
      <w:r w:rsidRPr="00A97E2C">
        <w:rPr>
          <w:lang w:val="en-US"/>
        </w:rPr>
        <w:t xml:space="preserve">based on the UNDAF and </w:t>
      </w:r>
      <w:r w:rsidR="00843A68">
        <w:rPr>
          <w:lang w:val="en-US"/>
        </w:rPr>
        <w:t>MGDS</w:t>
      </w:r>
      <w:r w:rsidRPr="00A97E2C">
        <w:rPr>
          <w:lang w:val="en-US"/>
        </w:rPr>
        <w:t xml:space="preserve"> have pursued specific outcomes</w:t>
      </w:r>
      <w:r w:rsidR="00843A68">
        <w:rPr>
          <w:lang w:val="en-US"/>
        </w:rPr>
        <w:t>,</w:t>
      </w:r>
      <w:r w:rsidRPr="00A97E2C">
        <w:rPr>
          <w:lang w:val="en-US"/>
        </w:rPr>
        <w:t xml:space="preserve"> including outcome 4.1 which is the focus of this evaluation.</w:t>
      </w:r>
    </w:p>
    <w:p w14:paraId="754E0963" w14:textId="77777777" w:rsidR="00D711EE" w:rsidRPr="00CD56B9" w:rsidRDefault="00D711EE" w:rsidP="005A6AD9">
      <w:pPr>
        <w:rPr>
          <w:lang w:val="en-US"/>
        </w:rPr>
        <w:sectPr w:rsidR="00D711EE" w:rsidRPr="00CD56B9" w:rsidSect="00E241A8">
          <w:pgSz w:w="11906" w:h="16838"/>
          <w:pgMar w:top="1440" w:right="1440" w:bottom="1440" w:left="1440" w:header="708" w:footer="708" w:gutter="0"/>
          <w:cols w:space="708"/>
          <w:docGrid w:linePitch="360"/>
        </w:sectPr>
      </w:pPr>
    </w:p>
    <w:p w14:paraId="4DCB09B5" w14:textId="77777777" w:rsidR="00DD79FF" w:rsidRPr="00CD56B9" w:rsidRDefault="00D711EE" w:rsidP="00D711EE">
      <w:pPr>
        <w:pStyle w:val="Overskrift1"/>
        <w:rPr>
          <w:lang w:val="en-US"/>
        </w:rPr>
      </w:pPr>
      <w:bookmarkStart w:id="7" w:name="_Toc439245576"/>
      <w:r w:rsidRPr="00CD56B9">
        <w:rPr>
          <w:lang w:val="en-US"/>
        </w:rPr>
        <w:lastRenderedPageBreak/>
        <w:t xml:space="preserve">3. </w:t>
      </w:r>
      <w:r w:rsidR="00C26EDE" w:rsidRPr="00CD56B9">
        <w:rPr>
          <w:lang w:val="en-US"/>
        </w:rPr>
        <w:t xml:space="preserve">UNDAF Outcome 4.1 - Design and </w:t>
      </w:r>
      <w:r w:rsidR="005E0101" w:rsidRPr="00CD56B9">
        <w:rPr>
          <w:lang w:val="en-US"/>
        </w:rPr>
        <w:t xml:space="preserve">Progress of </w:t>
      </w:r>
      <w:r w:rsidR="006C31FE" w:rsidRPr="00CD56B9">
        <w:rPr>
          <w:lang w:val="en-US"/>
        </w:rPr>
        <w:t xml:space="preserve">Support </w:t>
      </w:r>
      <w:r w:rsidR="0089063B" w:rsidRPr="00CD56B9">
        <w:rPr>
          <w:lang w:val="en-US"/>
        </w:rPr>
        <w:t>Project</w:t>
      </w:r>
      <w:r w:rsidR="005E0101" w:rsidRPr="00CD56B9">
        <w:rPr>
          <w:lang w:val="en-US"/>
        </w:rPr>
        <w:t>s</w:t>
      </w:r>
      <w:bookmarkEnd w:id="7"/>
      <w:r w:rsidR="0089063B" w:rsidRPr="00CD56B9">
        <w:rPr>
          <w:lang w:val="en-US"/>
        </w:rPr>
        <w:t xml:space="preserve"> </w:t>
      </w:r>
    </w:p>
    <w:p w14:paraId="01405094" w14:textId="77777777" w:rsidR="00C26EDE" w:rsidRPr="00CD56B9" w:rsidRDefault="00C26EDE" w:rsidP="00C26EDE">
      <w:pPr>
        <w:spacing w:after="0"/>
        <w:rPr>
          <w:lang w:val="en-US"/>
        </w:rPr>
      </w:pPr>
    </w:p>
    <w:p w14:paraId="1B5FFFDB" w14:textId="77777777" w:rsidR="00C26EDE" w:rsidRPr="00CD56B9" w:rsidRDefault="00C26EDE" w:rsidP="00C26EDE">
      <w:pPr>
        <w:rPr>
          <w:lang w:val="en-US"/>
        </w:rPr>
      </w:pPr>
      <w:r w:rsidRPr="00CD56B9">
        <w:rPr>
          <w:lang w:val="en-US"/>
        </w:rPr>
        <w:t xml:space="preserve">The UNDAF 2012–2016 for Malawi, defines the </w:t>
      </w:r>
      <w:r w:rsidR="00091F82" w:rsidRPr="00CD56B9">
        <w:rPr>
          <w:lang w:val="en-US"/>
        </w:rPr>
        <w:t>outcomes, which</w:t>
      </w:r>
      <w:r w:rsidRPr="00CD56B9">
        <w:rPr>
          <w:lang w:val="en-US"/>
        </w:rPr>
        <w:t xml:space="preserve"> the UN and the Government of Malawi collectively aim to achieve by 2016. The design of the UNDAF was guided by the </w:t>
      </w:r>
      <w:r w:rsidR="00091F82" w:rsidRPr="00CD56B9">
        <w:rPr>
          <w:lang w:val="en-US"/>
        </w:rPr>
        <w:t>MGDS II.</w:t>
      </w:r>
      <w:r w:rsidRPr="00CD56B9">
        <w:rPr>
          <w:lang w:val="en-US"/>
        </w:rPr>
        <w:t xml:space="preserve"> </w:t>
      </w:r>
      <w:r w:rsidR="00091F82" w:rsidRPr="00CD56B9">
        <w:rPr>
          <w:lang w:val="en-US"/>
        </w:rPr>
        <w:t>As mentioned above, t</w:t>
      </w:r>
      <w:r w:rsidRPr="00CD56B9">
        <w:rPr>
          <w:lang w:val="en-US"/>
        </w:rPr>
        <w:t>he objective of MGDS II is to continue reducing poverty through sustainable economic growth and infrastructure development. It identifies six broad thematic areas, namely,</w:t>
      </w:r>
    </w:p>
    <w:p w14:paraId="4CE72FFA" w14:textId="77777777" w:rsidR="00C26EDE" w:rsidRPr="00CD56B9" w:rsidRDefault="00C26EDE" w:rsidP="00C26EDE">
      <w:pPr>
        <w:spacing w:after="0" w:line="276" w:lineRule="auto"/>
        <w:rPr>
          <w:lang w:val="en-US"/>
        </w:rPr>
      </w:pPr>
      <w:r w:rsidRPr="00CD56B9">
        <w:rPr>
          <w:lang w:val="en-US"/>
        </w:rPr>
        <w:t>1. Sustainable economic growth</w:t>
      </w:r>
    </w:p>
    <w:p w14:paraId="5C2870BC" w14:textId="77777777" w:rsidR="00C26EDE" w:rsidRPr="00CD56B9" w:rsidRDefault="00C26EDE" w:rsidP="00C26EDE">
      <w:pPr>
        <w:spacing w:after="0" w:line="276" w:lineRule="auto"/>
        <w:rPr>
          <w:lang w:val="en-US"/>
        </w:rPr>
      </w:pPr>
      <w:r w:rsidRPr="00CD56B9">
        <w:rPr>
          <w:lang w:val="en-US"/>
        </w:rPr>
        <w:t>2. Social development</w:t>
      </w:r>
    </w:p>
    <w:p w14:paraId="1679B577" w14:textId="77777777" w:rsidR="00C26EDE" w:rsidRPr="00CD56B9" w:rsidRDefault="00C26EDE" w:rsidP="00C26EDE">
      <w:pPr>
        <w:spacing w:after="0" w:line="276" w:lineRule="auto"/>
        <w:rPr>
          <w:lang w:val="en-US"/>
        </w:rPr>
      </w:pPr>
      <w:r w:rsidRPr="00CD56B9">
        <w:rPr>
          <w:lang w:val="en-US"/>
        </w:rPr>
        <w:t>3. Social support and disaster risk management</w:t>
      </w:r>
    </w:p>
    <w:p w14:paraId="56334F8D" w14:textId="77777777" w:rsidR="00C26EDE" w:rsidRPr="00CD56B9" w:rsidRDefault="00C26EDE" w:rsidP="00C26EDE">
      <w:pPr>
        <w:spacing w:after="0" w:line="276" w:lineRule="auto"/>
        <w:rPr>
          <w:lang w:val="en-US"/>
        </w:rPr>
      </w:pPr>
      <w:r w:rsidRPr="00CD56B9">
        <w:rPr>
          <w:lang w:val="en-US"/>
        </w:rPr>
        <w:t>4. Infrastructure development</w:t>
      </w:r>
    </w:p>
    <w:p w14:paraId="097FAC58" w14:textId="77777777" w:rsidR="00C26EDE" w:rsidRPr="00CD56B9" w:rsidRDefault="00C26EDE" w:rsidP="00C26EDE">
      <w:pPr>
        <w:spacing w:after="0" w:line="276" w:lineRule="auto"/>
        <w:rPr>
          <w:lang w:val="en-US"/>
        </w:rPr>
      </w:pPr>
      <w:r w:rsidRPr="00CD56B9">
        <w:rPr>
          <w:lang w:val="en-US"/>
        </w:rPr>
        <w:t>5. Improved governance</w:t>
      </w:r>
    </w:p>
    <w:p w14:paraId="02035077" w14:textId="77777777" w:rsidR="00C26EDE" w:rsidRPr="00CD56B9" w:rsidRDefault="00C26EDE" w:rsidP="00C26EDE">
      <w:pPr>
        <w:spacing w:after="0" w:line="276" w:lineRule="auto"/>
        <w:rPr>
          <w:lang w:val="en-US"/>
        </w:rPr>
      </w:pPr>
      <w:r w:rsidRPr="00CD56B9">
        <w:rPr>
          <w:lang w:val="en-US"/>
        </w:rPr>
        <w:t xml:space="preserve">6. Cross-cutting issues. </w:t>
      </w:r>
    </w:p>
    <w:p w14:paraId="543283F3" w14:textId="77777777" w:rsidR="00C26EDE" w:rsidRPr="00CD56B9" w:rsidRDefault="00C26EDE" w:rsidP="00C26EDE">
      <w:pPr>
        <w:spacing w:after="0"/>
        <w:rPr>
          <w:lang w:val="en-US"/>
        </w:rPr>
      </w:pPr>
    </w:p>
    <w:p w14:paraId="30FCED41" w14:textId="77777777" w:rsidR="00C26EDE" w:rsidRPr="00CD56B9" w:rsidRDefault="00C26EDE" w:rsidP="00C26EDE">
      <w:pPr>
        <w:rPr>
          <w:lang w:val="en-US"/>
        </w:rPr>
      </w:pPr>
      <w:r w:rsidRPr="00CD56B9">
        <w:rPr>
          <w:lang w:val="en-US"/>
        </w:rPr>
        <w:t>The formulation</w:t>
      </w:r>
      <w:r w:rsidR="004A7CE6" w:rsidRPr="00CD56B9">
        <w:rPr>
          <w:lang w:val="en-US"/>
        </w:rPr>
        <w:t xml:space="preserve"> of the UNDAF was</w:t>
      </w:r>
      <w:r w:rsidRPr="00CD56B9">
        <w:rPr>
          <w:lang w:val="en-US"/>
        </w:rPr>
        <w:t xml:space="preserve"> the result of a consultative process </w:t>
      </w:r>
      <w:r w:rsidR="004A7CE6" w:rsidRPr="00CD56B9">
        <w:rPr>
          <w:lang w:val="en-US"/>
        </w:rPr>
        <w:t xml:space="preserve">based on </w:t>
      </w:r>
      <w:r w:rsidRPr="00CD56B9">
        <w:rPr>
          <w:lang w:val="en-US"/>
        </w:rPr>
        <w:t xml:space="preserve">the UN Malawi Country Assessment and the MGDS II. </w:t>
      </w:r>
      <w:r w:rsidR="00700481" w:rsidRPr="00CD56B9">
        <w:rPr>
          <w:lang w:val="en-US"/>
        </w:rPr>
        <w:t xml:space="preserve">The latter </w:t>
      </w:r>
      <w:r w:rsidRPr="00CD56B9">
        <w:rPr>
          <w:lang w:val="en-US"/>
        </w:rPr>
        <w:t xml:space="preserve">identified three ‘binding constraints’, namely, unsustainable population growth; insufficient resources; and weak capacity. In correspondence </w:t>
      </w:r>
      <w:r w:rsidR="00700481" w:rsidRPr="00CD56B9">
        <w:rPr>
          <w:lang w:val="en-US"/>
        </w:rPr>
        <w:t>with</w:t>
      </w:r>
      <w:r w:rsidRPr="00CD56B9">
        <w:rPr>
          <w:lang w:val="en-US"/>
        </w:rPr>
        <w:t xml:space="preserve"> the six thematic areas and with reference to UN strategi</w:t>
      </w:r>
      <w:r w:rsidR="004C39A4" w:rsidRPr="00CD56B9">
        <w:rPr>
          <w:lang w:val="en-US"/>
        </w:rPr>
        <w:t>c priorities, the UNDAF 2012-201</w:t>
      </w:r>
      <w:r w:rsidRPr="00CD56B9">
        <w:rPr>
          <w:lang w:val="en-US"/>
        </w:rPr>
        <w:t xml:space="preserve">6 defines five key strategic development priority areas which guide all UN support interventions to Malawi. These are </w:t>
      </w:r>
    </w:p>
    <w:p w14:paraId="72269746" w14:textId="77777777" w:rsidR="00C26EDE" w:rsidRPr="00CD56B9" w:rsidRDefault="00C26EDE" w:rsidP="00C26EDE">
      <w:pPr>
        <w:spacing w:after="0"/>
        <w:rPr>
          <w:lang w:val="en-US"/>
        </w:rPr>
      </w:pPr>
      <w:r w:rsidRPr="00CD56B9">
        <w:rPr>
          <w:lang w:val="en-US"/>
        </w:rPr>
        <w:t>1. Poverty reduction</w:t>
      </w:r>
    </w:p>
    <w:p w14:paraId="4D864F44" w14:textId="77777777" w:rsidR="00C26EDE" w:rsidRPr="00CD56B9" w:rsidRDefault="00C26EDE" w:rsidP="00C26EDE">
      <w:pPr>
        <w:spacing w:after="0"/>
        <w:rPr>
          <w:lang w:val="en-US"/>
        </w:rPr>
      </w:pPr>
      <w:r w:rsidRPr="00CD56B9">
        <w:rPr>
          <w:lang w:val="en-US"/>
        </w:rPr>
        <w:t>2. HIV and AIDS</w:t>
      </w:r>
    </w:p>
    <w:p w14:paraId="349BC0D7" w14:textId="77777777" w:rsidR="00C26EDE" w:rsidRPr="00CD56B9" w:rsidRDefault="00C26EDE" w:rsidP="00C26EDE">
      <w:pPr>
        <w:spacing w:after="0"/>
        <w:rPr>
          <w:lang w:val="en-US"/>
        </w:rPr>
      </w:pPr>
      <w:r w:rsidRPr="00CD56B9">
        <w:rPr>
          <w:lang w:val="en-US"/>
        </w:rPr>
        <w:t xml:space="preserve">3. Children and young people </w:t>
      </w:r>
    </w:p>
    <w:p w14:paraId="5641C97A" w14:textId="77777777" w:rsidR="00C26EDE" w:rsidRPr="00CD56B9" w:rsidRDefault="00C26EDE" w:rsidP="00C26EDE">
      <w:pPr>
        <w:spacing w:after="0"/>
        <w:rPr>
          <w:lang w:val="en-US"/>
        </w:rPr>
      </w:pPr>
      <w:r w:rsidRPr="00CD56B9">
        <w:rPr>
          <w:lang w:val="en-US"/>
        </w:rPr>
        <w:t xml:space="preserve">4. Gender </w:t>
      </w:r>
    </w:p>
    <w:p w14:paraId="34DB3133" w14:textId="77777777" w:rsidR="00C26EDE" w:rsidRPr="00CD56B9" w:rsidRDefault="00C26EDE" w:rsidP="00C26EDE">
      <w:pPr>
        <w:rPr>
          <w:lang w:val="en-US"/>
        </w:rPr>
      </w:pPr>
      <w:r w:rsidRPr="00CD56B9">
        <w:rPr>
          <w:lang w:val="en-US"/>
        </w:rPr>
        <w:t>5. Sustainability</w:t>
      </w:r>
    </w:p>
    <w:p w14:paraId="57FB503C" w14:textId="77777777" w:rsidR="00C26EDE" w:rsidRPr="00CD56B9" w:rsidRDefault="00C26EDE" w:rsidP="00C26EDE">
      <w:pPr>
        <w:rPr>
          <w:lang w:val="en-US"/>
        </w:rPr>
      </w:pPr>
      <w:r w:rsidRPr="00CD56B9">
        <w:rPr>
          <w:lang w:val="en-US"/>
        </w:rPr>
        <w:t xml:space="preserve">Four UNDAF focal areas of cooperation emerged as particularly critical for United Nations support to Malawi. They are </w:t>
      </w:r>
    </w:p>
    <w:p w14:paraId="5F41FE6A" w14:textId="77777777" w:rsidR="00C26EDE" w:rsidRDefault="00C26EDE" w:rsidP="00C26EDE">
      <w:pPr>
        <w:pStyle w:val="Ingenafstand"/>
      </w:pPr>
      <w:r>
        <w:t xml:space="preserve">1. Sustainable and equitable economic growth and food security; </w:t>
      </w:r>
    </w:p>
    <w:p w14:paraId="01CA0293" w14:textId="77777777" w:rsidR="00C26EDE" w:rsidRDefault="00C26EDE" w:rsidP="00C26EDE">
      <w:pPr>
        <w:pStyle w:val="Ingenafstand"/>
      </w:pPr>
      <w:r>
        <w:t xml:space="preserve">2. Basic social and protection services; </w:t>
      </w:r>
    </w:p>
    <w:p w14:paraId="3DD1819E" w14:textId="77777777" w:rsidR="00C26EDE" w:rsidRDefault="00C26EDE" w:rsidP="00C26EDE">
      <w:pPr>
        <w:pStyle w:val="Ingenafstand"/>
      </w:pPr>
      <w:r>
        <w:t>3. HIV and AIDS</w:t>
      </w:r>
    </w:p>
    <w:p w14:paraId="2966576E" w14:textId="77777777" w:rsidR="00C26EDE" w:rsidRDefault="00C26EDE" w:rsidP="00C26EDE">
      <w:pPr>
        <w:pStyle w:val="Ingenafstand"/>
        <w:spacing w:after="240"/>
      </w:pPr>
      <w:r>
        <w:t xml:space="preserve">4. Governance </w:t>
      </w:r>
    </w:p>
    <w:p w14:paraId="5634D6F3" w14:textId="77777777" w:rsidR="00C26EDE" w:rsidRPr="00CD56B9" w:rsidRDefault="00C26EDE" w:rsidP="00C26EDE">
      <w:pPr>
        <w:rPr>
          <w:lang w:val="en-US"/>
        </w:rPr>
      </w:pPr>
      <w:r w:rsidRPr="00CD56B9">
        <w:rPr>
          <w:lang w:val="en-US"/>
        </w:rPr>
        <w:t xml:space="preserve">These focal areas aim to achieve </w:t>
      </w:r>
      <w:r w:rsidR="003A6C77" w:rsidRPr="00CD56B9">
        <w:rPr>
          <w:lang w:val="en-US"/>
        </w:rPr>
        <w:t xml:space="preserve">the </w:t>
      </w:r>
      <w:r w:rsidRPr="00CD56B9">
        <w:rPr>
          <w:lang w:val="en-US"/>
        </w:rPr>
        <w:t>internationally agreed development goals and MDGs that are enshrined in the Millennium Declaration. Informed by the focal areas, the implementation of UNDAF is focused on the following four Key Priorities (KPs):</w:t>
      </w:r>
    </w:p>
    <w:p w14:paraId="442706C3" w14:textId="77777777" w:rsidR="00C26EDE" w:rsidRPr="00CD56B9" w:rsidRDefault="00C26EDE" w:rsidP="00C26EDE">
      <w:pPr>
        <w:rPr>
          <w:lang w:val="en-US"/>
        </w:rPr>
      </w:pPr>
      <w:r w:rsidRPr="00CD56B9">
        <w:rPr>
          <w:lang w:val="en-US"/>
        </w:rPr>
        <w:t xml:space="preserve">KP1:  National policies, local and national institutions effectively support equitable and sustainable economic growth and food security by 2016. </w:t>
      </w:r>
    </w:p>
    <w:p w14:paraId="283B428E" w14:textId="77777777" w:rsidR="00C26EDE" w:rsidRPr="00CD56B9" w:rsidRDefault="00C26EDE" w:rsidP="00C26EDE">
      <w:pPr>
        <w:rPr>
          <w:lang w:val="en-US"/>
        </w:rPr>
      </w:pPr>
      <w:r w:rsidRPr="00CD56B9">
        <w:rPr>
          <w:lang w:val="en-US"/>
        </w:rPr>
        <w:t>KP2:  National institutions effectively deliver equitable and quality basic social and protection services by 2016.</w:t>
      </w:r>
    </w:p>
    <w:p w14:paraId="047501A7" w14:textId="77777777" w:rsidR="00C26EDE" w:rsidRPr="00CD56B9" w:rsidRDefault="00C26EDE" w:rsidP="00C26EDE">
      <w:pPr>
        <w:rPr>
          <w:lang w:val="en-US"/>
        </w:rPr>
      </w:pPr>
      <w:r w:rsidRPr="00CD56B9">
        <w:rPr>
          <w:lang w:val="en-US"/>
        </w:rPr>
        <w:t>KP3:  National response to HIV and AIDS scaled up to achieve Universal Access to HIV prevention, treatment, care and support by 2016.</w:t>
      </w:r>
    </w:p>
    <w:p w14:paraId="17CD22C3" w14:textId="77777777" w:rsidR="00C26EDE" w:rsidRPr="00CD56B9" w:rsidRDefault="00C26EDE" w:rsidP="00927331">
      <w:pPr>
        <w:spacing w:after="0"/>
        <w:rPr>
          <w:lang w:val="en-US"/>
        </w:rPr>
      </w:pPr>
      <w:r w:rsidRPr="00CD56B9">
        <w:rPr>
          <w:lang w:val="en-US"/>
        </w:rPr>
        <w:t>KP4:  National institutions effectively support transparency, accountability, participatory democracy and human rights by 2016.</w:t>
      </w:r>
    </w:p>
    <w:p w14:paraId="33BB4412" w14:textId="77777777" w:rsidR="00927331" w:rsidRPr="00CD56B9" w:rsidRDefault="00927331" w:rsidP="00927331">
      <w:pPr>
        <w:spacing w:after="0"/>
        <w:rPr>
          <w:lang w:val="en-US"/>
        </w:rPr>
      </w:pPr>
    </w:p>
    <w:p w14:paraId="322F26FB" w14:textId="77777777" w:rsidR="00C26EDE" w:rsidRPr="00CD56B9" w:rsidRDefault="00C26EDE" w:rsidP="00927331">
      <w:pPr>
        <w:spacing w:after="0"/>
        <w:rPr>
          <w:b/>
          <w:lang w:val="en-US"/>
        </w:rPr>
      </w:pPr>
      <w:r w:rsidRPr="00CD56B9">
        <w:rPr>
          <w:lang w:val="en-US"/>
        </w:rPr>
        <w:lastRenderedPageBreak/>
        <w:t xml:space="preserve">This MTE focuses on the fourth UNDAF focal area, Governance and Human Rights, corresponding to KP4. This KP has four outcomes of which Outcome 4.1 is: </w:t>
      </w:r>
      <w:r w:rsidRPr="00CD56B9">
        <w:rPr>
          <w:i/>
          <w:lang w:val="en-US"/>
        </w:rPr>
        <w:t>National institutions foster democratic governance and human rights to promote transparency, accountability, participation and access to justice for all especially women and children by 2016</w:t>
      </w:r>
      <w:r w:rsidRPr="00CD56B9">
        <w:rPr>
          <w:lang w:val="en-US"/>
        </w:rPr>
        <w:t>.</w:t>
      </w:r>
      <w:r w:rsidRPr="00CD56B9">
        <w:rPr>
          <w:b/>
          <w:lang w:val="en-US"/>
        </w:rPr>
        <w:t xml:space="preserve"> </w:t>
      </w:r>
    </w:p>
    <w:p w14:paraId="55F726C0" w14:textId="77777777" w:rsidR="00927331" w:rsidRPr="00CD56B9" w:rsidRDefault="00927331" w:rsidP="00927331">
      <w:pPr>
        <w:spacing w:after="0"/>
        <w:rPr>
          <w:b/>
          <w:lang w:val="en-US"/>
        </w:rPr>
      </w:pPr>
    </w:p>
    <w:p w14:paraId="05967D1A" w14:textId="77777777" w:rsidR="00C26EDE" w:rsidRDefault="00C26EDE" w:rsidP="00C26EDE">
      <w:pPr>
        <w:rPr>
          <w:lang w:val="it-IT"/>
        </w:rPr>
      </w:pPr>
      <w:r w:rsidRPr="00CD56B9">
        <w:rPr>
          <w:lang w:val="en-US"/>
        </w:rPr>
        <w:t>O</w:t>
      </w:r>
      <w:r>
        <w:rPr>
          <w:lang w:val="it-IT"/>
        </w:rPr>
        <w:t>utcome 4.1</w:t>
      </w:r>
      <w:r w:rsidRPr="00C94CA5">
        <w:rPr>
          <w:lang w:val="en-US"/>
        </w:rPr>
        <w:t xml:space="preserve"> is aligned to </w:t>
      </w:r>
      <w:r w:rsidRPr="00C94CA5">
        <w:rPr>
          <w:lang w:val="it-IT"/>
        </w:rPr>
        <w:t>MGDS II, Theme 5: Improved Governance - Sub-theme 3: Democratic Governance</w:t>
      </w:r>
      <w:r>
        <w:rPr>
          <w:lang w:val="it-IT"/>
        </w:rPr>
        <w:t>,</w:t>
      </w:r>
      <w:r w:rsidRPr="00C94CA5">
        <w:rPr>
          <w:lang w:val="it-IT"/>
        </w:rPr>
        <w:t xml:space="preserve"> which focuses on justice and rule of law, human rights, elections and peace and security. </w:t>
      </w:r>
    </w:p>
    <w:p w14:paraId="794A10C1" w14:textId="77777777" w:rsidR="00C26EDE" w:rsidRDefault="00C26EDE" w:rsidP="00C26EDE">
      <w:pPr>
        <w:rPr>
          <w:lang w:val="it-IT"/>
        </w:rPr>
      </w:pPr>
      <w:r w:rsidRPr="00305416">
        <w:rPr>
          <w:lang w:val="it-IT"/>
        </w:rPr>
        <w:t>The original Outcome 4.1</w:t>
      </w:r>
      <w:r w:rsidR="003A6C77">
        <w:rPr>
          <w:lang w:val="it-IT"/>
        </w:rPr>
        <w:t xml:space="preserve"> intervention logic</w:t>
      </w:r>
      <w:r w:rsidRPr="00305416">
        <w:rPr>
          <w:lang w:val="it-IT"/>
        </w:rPr>
        <w:t xml:space="preserve">, presented in the UNDAF Outcome 4.1. Action Plan 2012-2016 in </w:t>
      </w:r>
      <w:r>
        <w:rPr>
          <w:b/>
          <w:lang w:val="it-IT"/>
        </w:rPr>
        <w:t>Annex 6</w:t>
      </w:r>
      <w:r w:rsidRPr="00305416">
        <w:rPr>
          <w:lang w:val="it-IT"/>
        </w:rPr>
        <w:t xml:space="preserve"> contained five outputs. To achieve these five outputs, a number joint support projects have been designed, most of which have a duration corresponding to the time span or UNDAF. </w:t>
      </w:r>
      <w:r w:rsidR="008D3CFB">
        <w:rPr>
          <w:lang w:val="it-IT"/>
        </w:rPr>
        <w:t>P</w:t>
      </w:r>
      <w:r w:rsidRPr="00305416">
        <w:rPr>
          <w:lang w:val="it-IT"/>
        </w:rPr>
        <w:t>roject implementation</w:t>
      </w:r>
      <w:r w:rsidR="008D3CFB">
        <w:rPr>
          <w:lang w:val="it-IT"/>
        </w:rPr>
        <w:t>s</w:t>
      </w:r>
      <w:r w:rsidRPr="00305416">
        <w:rPr>
          <w:lang w:val="it-IT"/>
        </w:rPr>
        <w:t xml:space="preserve"> </w:t>
      </w:r>
      <w:r w:rsidR="008D3CFB">
        <w:rPr>
          <w:lang w:val="it-IT"/>
        </w:rPr>
        <w:t>are</w:t>
      </w:r>
      <w:r w:rsidRPr="00305416">
        <w:rPr>
          <w:lang w:val="it-IT"/>
        </w:rPr>
        <w:t xml:space="preserve"> guided by project support documents (PSDs) or in some cases implemented according to annual work plans (e.g. the Social Cohesion Project.) </w:t>
      </w:r>
    </w:p>
    <w:p w14:paraId="2971B2CD" w14:textId="77777777" w:rsidR="00C26EDE" w:rsidRDefault="00C26EDE" w:rsidP="00C26EDE">
      <w:pPr>
        <w:rPr>
          <w:lang w:val="it-IT"/>
        </w:rPr>
      </w:pPr>
      <w:r w:rsidRPr="00305416">
        <w:rPr>
          <w:lang w:val="it-IT"/>
        </w:rPr>
        <w:t xml:space="preserve">In 2013, a joint UN effort was </w:t>
      </w:r>
      <w:r w:rsidR="00825477">
        <w:rPr>
          <w:lang w:val="it-IT"/>
        </w:rPr>
        <w:t>made</w:t>
      </w:r>
      <w:r w:rsidRPr="00305416">
        <w:rPr>
          <w:lang w:val="it-IT"/>
        </w:rPr>
        <w:t xml:space="preserve"> to update and simplify the UNDAF, strengthen the collective response of the UN agencies to development support in Malawi and </w:t>
      </w:r>
      <w:r w:rsidR="00867486">
        <w:rPr>
          <w:lang w:val="it-IT"/>
        </w:rPr>
        <w:t xml:space="preserve">to </w:t>
      </w:r>
      <w:r w:rsidRPr="00305416">
        <w:rPr>
          <w:lang w:val="it-IT"/>
        </w:rPr>
        <w:t xml:space="preserve">introduce joint programming in </w:t>
      </w:r>
      <w:r w:rsidR="00825477">
        <w:rPr>
          <w:lang w:val="it-IT"/>
        </w:rPr>
        <w:t xml:space="preserve">priority areas, where </w:t>
      </w:r>
      <w:r w:rsidR="005C51CB">
        <w:rPr>
          <w:lang w:val="it-IT"/>
        </w:rPr>
        <w:t xml:space="preserve">institutions </w:t>
      </w:r>
      <w:r w:rsidR="00D46E95">
        <w:rPr>
          <w:lang w:val="it-IT"/>
        </w:rPr>
        <w:t xml:space="preserve">are </w:t>
      </w:r>
      <w:r w:rsidR="005C51CB">
        <w:rPr>
          <w:lang w:val="it-IT"/>
        </w:rPr>
        <w:t xml:space="preserve">receiving support from multiple UN agencies </w:t>
      </w:r>
      <w:r w:rsidR="00D46E95">
        <w:rPr>
          <w:lang w:val="it-IT"/>
        </w:rPr>
        <w:t xml:space="preserve">and a better </w:t>
      </w:r>
      <w:r w:rsidR="00825477">
        <w:rPr>
          <w:lang w:val="it-IT"/>
        </w:rPr>
        <w:t>coordinated UN effort</w:t>
      </w:r>
      <w:r w:rsidR="005C51CB">
        <w:rPr>
          <w:lang w:val="it-IT"/>
        </w:rPr>
        <w:t xml:space="preserve"> </w:t>
      </w:r>
      <w:r w:rsidR="00D46E95">
        <w:rPr>
          <w:lang w:val="it-IT"/>
        </w:rPr>
        <w:t xml:space="preserve">is needed. </w:t>
      </w:r>
      <w:r w:rsidRPr="00305416">
        <w:rPr>
          <w:lang w:val="it-IT"/>
        </w:rPr>
        <w:t xml:space="preserve">This resulted a. o. in a redesign of </w:t>
      </w:r>
      <w:r w:rsidR="001B4672">
        <w:rPr>
          <w:lang w:val="it-IT"/>
        </w:rPr>
        <w:t>t</w:t>
      </w:r>
      <w:r w:rsidR="00795A17">
        <w:rPr>
          <w:lang w:val="it-IT"/>
        </w:rPr>
        <w:t>h</w:t>
      </w:r>
      <w:r w:rsidR="001B4672">
        <w:rPr>
          <w:lang w:val="it-IT"/>
        </w:rPr>
        <w:t>e</w:t>
      </w:r>
      <w:r w:rsidR="00795A17">
        <w:rPr>
          <w:lang w:val="it-IT"/>
        </w:rPr>
        <w:t xml:space="preserve"> </w:t>
      </w:r>
      <w:r w:rsidRPr="00305416">
        <w:rPr>
          <w:lang w:val="it-IT"/>
        </w:rPr>
        <w:t>Outcome 4.1</w:t>
      </w:r>
      <w:r w:rsidR="00795A17">
        <w:rPr>
          <w:lang w:val="it-IT"/>
        </w:rPr>
        <w:t xml:space="preserve"> results chain</w:t>
      </w:r>
      <w:r w:rsidRPr="00305416">
        <w:rPr>
          <w:lang w:val="it-IT"/>
        </w:rPr>
        <w:t>, and the reduction of the original five output</w:t>
      </w:r>
      <w:r w:rsidR="00D46E95">
        <w:rPr>
          <w:lang w:val="it-IT"/>
        </w:rPr>
        <w:t xml:space="preserve">s to three. While </w:t>
      </w:r>
      <w:r w:rsidRPr="00305416">
        <w:rPr>
          <w:lang w:val="it-IT"/>
        </w:rPr>
        <w:t>Output 4.1</w:t>
      </w:r>
      <w:r w:rsidR="00795A17">
        <w:rPr>
          <w:lang w:val="it-IT"/>
        </w:rPr>
        <w:t>.1</w:t>
      </w:r>
      <w:r w:rsidRPr="00305416">
        <w:rPr>
          <w:lang w:val="it-IT"/>
        </w:rPr>
        <w:t xml:space="preserve"> and </w:t>
      </w:r>
      <w:r w:rsidR="00867486" w:rsidRPr="00867486">
        <w:rPr>
          <w:lang w:val="it-IT"/>
        </w:rPr>
        <w:t xml:space="preserve">Output </w:t>
      </w:r>
      <w:r w:rsidRPr="00305416">
        <w:rPr>
          <w:lang w:val="it-IT"/>
        </w:rPr>
        <w:t>4.</w:t>
      </w:r>
      <w:r w:rsidR="00795A17">
        <w:rPr>
          <w:lang w:val="it-IT"/>
        </w:rPr>
        <w:t>1.</w:t>
      </w:r>
      <w:r w:rsidRPr="00305416">
        <w:rPr>
          <w:lang w:val="it-IT"/>
        </w:rPr>
        <w:t xml:space="preserve">3 </w:t>
      </w:r>
      <w:r w:rsidR="00D46E95">
        <w:rPr>
          <w:lang w:val="it-IT"/>
        </w:rPr>
        <w:t xml:space="preserve">where reformulated, a new </w:t>
      </w:r>
      <w:r w:rsidRPr="00305416">
        <w:rPr>
          <w:lang w:val="it-IT"/>
        </w:rPr>
        <w:t>Output 4.</w:t>
      </w:r>
      <w:r w:rsidR="00795A17">
        <w:rPr>
          <w:lang w:val="it-IT"/>
        </w:rPr>
        <w:t>1.</w:t>
      </w:r>
      <w:r w:rsidRPr="00305416">
        <w:rPr>
          <w:lang w:val="it-IT"/>
        </w:rPr>
        <w:t>2</w:t>
      </w:r>
      <w:r w:rsidR="00D46E95" w:rsidRPr="00D46E95">
        <w:rPr>
          <w:lang w:val="it-IT"/>
        </w:rPr>
        <w:t xml:space="preserve"> </w:t>
      </w:r>
      <w:r w:rsidR="00D46E95">
        <w:rPr>
          <w:lang w:val="it-IT"/>
        </w:rPr>
        <w:t xml:space="preserve">was added, </w:t>
      </w:r>
      <w:r w:rsidR="00867486">
        <w:rPr>
          <w:lang w:val="it-IT"/>
        </w:rPr>
        <w:t>designed to embrace support to</w:t>
      </w:r>
      <w:r w:rsidRPr="00305416">
        <w:rPr>
          <w:lang w:val="it-IT"/>
        </w:rPr>
        <w:t xml:space="preserve"> the National Peace Architecture through the Social Cohesion Project.</w:t>
      </w:r>
      <w:r w:rsidR="00867486">
        <w:rPr>
          <w:lang w:val="it-IT"/>
        </w:rPr>
        <w:t xml:space="preserve"> Joint programming effforts tow</w:t>
      </w:r>
      <w:r w:rsidR="005C51CB">
        <w:rPr>
          <w:lang w:val="it-IT"/>
        </w:rPr>
        <w:t>ards</w:t>
      </w:r>
      <w:r w:rsidR="00867486">
        <w:rPr>
          <w:lang w:val="it-IT"/>
        </w:rPr>
        <w:t xml:space="preserve"> individual support projects has </w:t>
      </w:r>
      <w:r w:rsidR="005C51CB">
        <w:rPr>
          <w:lang w:val="it-IT"/>
        </w:rPr>
        <w:t xml:space="preserve">since </w:t>
      </w:r>
      <w:r w:rsidR="00867486">
        <w:rPr>
          <w:lang w:val="it-IT"/>
        </w:rPr>
        <w:t xml:space="preserve">been introduced </w:t>
      </w:r>
      <w:r w:rsidR="00BA58F1">
        <w:rPr>
          <w:lang w:val="it-IT"/>
        </w:rPr>
        <w:t>in the support rendered to the MHRC</w:t>
      </w:r>
      <w:r w:rsidR="00D46E95">
        <w:rPr>
          <w:lang w:val="it-IT"/>
        </w:rPr>
        <w:t>.</w:t>
      </w:r>
    </w:p>
    <w:p w14:paraId="09E53187" w14:textId="77777777" w:rsidR="00C26EDE" w:rsidRPr="00C94CA5" w:rsidRDefault="00C26EDE" w:rsidP="00C26EDE">
      <w:pPr>
        <w:rPr>
          <w:lang w:val="en-US"/>
        </w:rPr>
      </w:pPr>
      <w:r>
        <w:rPr>
          <w:lang w:val="en-US"/>
        </w:rPr>
        <w:t>The t</w:t>
      </w:r>
      <w:r w:rsidRPr="00C94CA5">
        <w:rPr>
          <w:lang w:val="en-US"/>
        </w:rPr>
        <w:t xml:space="preserve">hree outputs </w:t>
      </w:r>
      <w:r>
        <w:rPr>
          <w:lang w:val="en-US"/>
        </w:rPr>
        <w:t xml:space="preserve">of </w:t>
      </w:r>
      <w:r w:rsidRPr="00C94CA5">
        <w:rPr>
          <w:lang w:val="en-US"/>
        </w:rPr>
        <w:t>Outcome 4.1</w:t>
      </w:r>
      <w:r w:rsidRPr="00C94CA5">
        <w:rPr>
          <w:lang w:val="it-IT"/>
        </w:rPr>
        <w:t xml:space="preserve"> </w:t>
      </w:r>
      <w:r>
        <w:rPr>
          <w:lang w:val="it-IT"/>
        </w:rPr>
        <w:t xml:space="preserve">are as </w:t>
      </w:r>
      <w:r w:rsidRPr="00C94CA5">
        <w:rPr>
          <w:lang w:val="en-US"/>
        </w:rPr>
        <w:t>follows:</w:t>
      </w:r>
    </w:p>
    <w:p w14:paraId="38A9AD5C" w14:textId="77777777" w:rsidR="00C26EDE" w:rsidRPr="00C94CA5" w:rsidRDefault="00C26EDE" w:rsidP="00323B0D">
      <w:pPr>
        <w:spacing w:after="0"/>
        <w:rPr>
          <w:lang w:val="en-US"/>
        </w:rPr>
      </w:pPr>
      <w:r w:rsidRPr="00C94CA5">
        <w:rPr>
          <w:b/>
          <w:bCs/>
          <w:lang w:val="en-US"/>
        </w:rPr>
        <w:t>Output 4.1.1:</w:t>
      </w:r>
      <w:r w:rsidRPr="00C94CA5">
        <w:rPr>
          <w:lang w:val="en-US"/>
        </w:rPr>
        <w:t xml:space="preserve"> Democratic Governance sector strategy operationalized</w:t>
      </w:r>
    </w:p>
    <w:p w14:paraId="606C676E" w14:textId="77777777" w:rsidR="00C26EDE" w:rsidRPr="00C94CA5" w:rsidRDefault="00C26EDE" w:rsidP="00323B0D">
      <w:pPr>
        <w:spacing w:after="0"/>
        <w:rPr>
          <w:lang w:val="en-US"/>
        </w:rPr>
      </w:pPr>
      <w:r w:rsidRPr="00C94CA5">
        <w:rPr>
          <w:b/>
          <w:bCs/>
          <w:lang w:val="en-US"/>
        </w:rPr>
        <w:t>Output 4.1.2:</w:t>
      </w:r>
      <w:r w:rsidRPr="00C94CA5">
        <w:rPr>
          <w:lang w:val="en-US"/>
        </w:rPr>
        <w:t xml:space="preserve"> Capacity of national institutions strengthened for collaborative dialogue to support the establishment and operationalization of the national peace architecture</w:t>
      </w:r>
    </w:p>
    <w:p w14:paraId="39C8CBF7" w14:textId="77777777" w:rsidR="00C26EDE" w:rsidRDefault="00C26EDE" w:rsidP="00323B0D">
      <w:pPr>
        <w:spacing w:after="0"/>
        <w:rPr>
          <w:lang w:val="en-US"/>
        </w:rPr>
      </w:pPr>
      <w:r w:rsidRPr="00C94CA5">
        <w:rPr>
          <w:b/>
          <w:bCs/>
          <w:lang w:val="en-US"/>
        </w:rPr>
        <w:t>Output 4.1.3:</w:t>
      </w:r>
      <w:r w:rsidRPr="00C94CA5">
        <w:rPr>
          <w:lang w:val="en-US"/>
        </w:rPr>
        <w:t xml:space="preserve"> Local governance structures strengthened in participatory planning, budgeting and managing integrated rural development</w:t>
      </w:r>
    </w:p>
    <w:p w14:paraId="674596DF" w14:textId="77777777" w:rsidR="00323B0D" w:rsidRPr="00C94CA5" w:rsidRDefault="00323B0D" w:rsidP="00323B0D">
      <w:pPr>
        <w:spacing w:after="0"/>
        <w:rPr>
          <w:lang w:val="en-US"/>
        </w:rPr>
      </w:pPr>
    </w:p>
    <w:p w14:paraId="73B9E889" w14:textId="77777777" w:rsidR="007053B4" w:rsidRDefault="00C26EDE" w:rsidP="00C26EDE">
      <w:pPr>
        <w:rPr>
          <w:lang w:val="it-IT"/>
        </w:rPr>
      </w:pPr>
      <w:r w:rsidRPr="00305416">
        <w:rPr>
          <w:lang w:val="it-IT"/>
        </w:rPr>
        <w:t xml:space="preserve">The revised Outcome 4.1 RRF is presented in </w:t>
      </w:r>
      <w:r>
        <w:rPr>
          <w:b/>
          <w:lang w:val="it-IT"/>
        </w:rPr>
        <w:t>Annex 7</w:t>
      </w:r>
      <w:r w:rsidRPr="00305416">
        <w:rPr>
          <w:lang w:val="it-IT"/>
        </w:rPr>
        <w:t xml:space="preserve">, while </w:t>
      </w:r>
      <w:r w:rsidR="00913BE3">
        <w:rPr>
          <w:b/>
          <w:lang w:val="it-IT"/>
        </w:rPr>
        <w:t>table 2</w:t>
      </w:r>
      <w:r w:rsidRPr="00305416">
        <w:rPr>
          <w:lang w:val="it-IT"/>
        </w:rPr>
        <w:t xml:space="preserve"> </w:t>
      </w:r>
      <w:r w:rsidR="00913BE3">
        <w:rPr>
          <w:lang w:val="it-IT"/>
        </w:rPr>
        <w:t xml:space="preserve">below </w:t>
      </w:r>
      <w:r w:rsidRPr="00305416">
        <w:rPr>
          <w:lang w:val="it-IT"/>
        </w:rPr>
        <w:t xml:space="preserve">presents </w:t>
      </w:r>
      <w:r w:rsidR="008553B4">
        <w:rPr>
          <w:lang w:val="it-IT"/>
        </w:rPr>
        <w:t xml:space="preserve">the </w:t>
      </w:r>
      <w:r w:rsidR="007053B4">
        <w:rPr>
          <w:lang w:val="it-IT"/>
        </w:rPr>
        <w:t xml:space="preserve">support </w:t>
      </w:r>
      <w:r w:rsidR="008553B4">
        <w:rPr>
          <w:lang w:val="it-IT"/>
        </w:rPr>
        <w:t xml:space="preserve">and coordination </w:t>
      </w:r>
      <w:r w:rsidR="007053B4">
        <w:rPr>
          <w:lang w:val="it-IT"/>
        </w:rPr>
        <w:t xml:space="preserve">framework targeting </w:t>
      </w:r>
      <w:r w:rsidR="003D1169">
        <w:rPr>
          <w:lang w:val="it-IT"/>
        </w:rPr>
        <w:t>Outcome 4.1</w:t>
      </w:r>
      <w:r w:rsidR="008553B4">
        <w:rPr>
          <w:lang w:val="it-IT"/>
        </w:rPr>
        <w:t>: Th</w:t>
      </w:r>
      <w:r w:rsidR="003D1169">
        <w:rPr>
          <w:lang w:val="it-IT"/>
        </w:rPr>
        <w:t xml:space="preserve">e </w:t>
      </w:r>
      <w:r w:rsidR="008553B4">
        <w:rPr>
          <w:lang w:val="it-IT"/>
        </w:rPr>
        <w:t xml:space="preserve">sector working groups (SWGs), the </w:t>
      </w:r>
      <w:r w:rsidR="003D1169">
        <w:rPr>
          <w:lang w:val="it-IT"/>
        </w:rPr>
        <w:t>s</w:t>
      </w:r>
      <w:r w:rsidRPr="00305416">
        <w:rPr>
          <w:lang w:val="it-IT"/>
        </w:rPr>
        <w:t xml:space="preserve">upport projects, the </w:t>
      </w:r>
      <w:r>
        <w:rPr>
          <w:lang w:val="it-IT"/>
        </w:rPr>
        <w:t xml:space="preserve">implemeting </w:t>
      </w:r>
      <w:r w:rsidRPr="00305416">
        <w:rPr>
          <w:lang w:val="it-IT"/>
        </w:rPr>
        <w:t>partners</w:t>
      </w:r>
      <w:r>
        <w:rPr>
          <w:lang w:val="it-IT"/>
        </w:rPr>
        <w:t xml:space="preserve"> (IPs), responsible parties</w:t>
      </w:r>
      <w:r w:rsidRPr="00305416">
        <w:rPr>
          <w:lang w:val="it-IT"/>
        </w:rPr>
        <w:t xml:space="preserve"> </w:t>
      </w:r>
      <w:r>
        <w:rPr>
          <w:lang w:val="it-IT"/>
        </w:rPr>
        <w:t xml:space="preserve">as well as </w:t>
      </w:r>
      <w:r w:rsidRPr="00305416">
        <w:rPr>
          <w:lang w:val="it-IT"/>
        </w:rPr>
        <w:t>development partners</w:t>
      </w:r>
      <w:r>
        <w:rPr>
          <w:lang w:val="it-IT"/>
        </w:rPr>
        <w:t xml:space="preserve"> (DPs)</w:t>
      </w:r>
      <w:r w:rsidRPr="00305416">
        <w:rPr>
          <w:lang w:val="it-IT"/>
        </w:rPr>
        <w:t xml:space="preserve"> engaged in the projects or in similar projects targeting the same institution.</w:t>
      </w:r>
    </w:p>
    <w:p w14:paraId="3E1AD5D1" w14:textId="77777777" w:rsidR="00CE55C9" w:rsidRDefault="00C26EDE" w:rsidP="00C26EDE">
      <w:pPr>
        <w:rPr>
          <w:lang w:val="it-IT"/>
        </w:rPr>
        <w:sectPr w:rsidR="00CE55C9" w:rsidSect="006F3E09">
          <w:footerReference w:type="default" r:id="rId22"/>
          <w:pgSz w:w="12240" w:h="15840"/>
          <w:pgMar w:top="1440" w:right="1440" w:bottom="1440" w:left="1440" w:header="720" w:footer="720" w:gutter="0"/>
          <w:cols w:space="720"/>
          <w:docGrid w:linePitch="360"/>
        </w:sectPr>
      </w:pPr>
      <w:r w:rsidRPr="00305416">
        <w:rPr>
          <w:lang w:val="it-IT"/>
        </w:rPr>
        <w:t xml:space="preserve"> </w:t>
      </w:r>
    </w:p>
    <w:p w14:paraId="26898B1E" w14:textId="77777777" w:rsidR="00CE55C9" w:rsidRPr="00913BE3" w:rsidRDefault="00CE55C9" w:rsidP="00913BE3">
      <w:pPr>
        <w:spacing w:after="0"/>
        <w:rPr>
          <w:b/>
          <w:i/>
          <w:lang w:val="it-IT"/>
        </w:rPr>
      </w:pPr>
      <w:r w:rsidRPr="00913BE3">
        <w:rPr>
          <w:b/>
          <w:i/>
          <w:lang w:val="it-IT"/>
        </w:rPr>
        <w:lastRenderedPageBreak/>
        <w:t>Table</w:t>
      </w:r>
      <w:r w:rsidR="00913BE3" w:rsidRPr="00913BE3">
        <w:rPr>
          <w:b/>
          <w:i/>
          <w:lang w:val="it-IT"/>
        </w:rPr>
        <w:t xml:space="preserve"> 2</w:t>
      </w:r>
      <w:r w:rsidRPr="00913BE3">
        <w:rPr>
          <w:b/>
          <w:i/>
          <w:lang w:val="it-IT"/>
        </w:rPr>
        <w:t>. UNDAF Outcome 4.1 - Support Projects, Implementing Partners and D</w:t>
      </w:r>
      <w:r w:rsidR="00913BE3">
        <w:rPr>
          <w:b/>
          <w:i/>
          <w:lang w:val="it-IT"/>
        </w:rPr>
        <w:t xml:space="preserve">evelopment </w:t>
      </w:r>
      <w:r w:rsidRPr="00913BE3">
        <w:rPr>
          <w:b/>
          <w:i/>
          <w:lang w:val="it-IT"/>
        </w:rPr>
        <w:t>P</w:t>
      </w:r>
      <w:r w:rsidR="00913BE3">
        <w:rPr>
          <w:b/>
          <w:i/>
          <w:lang w:val="it-IT"/>
        </w:rPr>
        <w:t>artners</w:t>
      </w:r>
    </w:p>
    <w:p w14:paraId="05AACFB9" w14:textId="77777777" w:rsidR="00C145C4" w:rsidRDefault="00C145C4" w:rsidP="00C145C4">
      <w:pPr>
        <w:spacing w:after="0"/>
        <w:rPr>
          <w:b/>
          <w:lang w:val="it-IT"/>
        </w:rPr>
      </w:pPr>
    </w:p>
    <w:tbl>
      <w:tblPr>
        <w:tblpPr w:leftFromText="141" w:rightFromText="141" w:vertAnchor="text" w:horzAnchor="margin" w:tblpY="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8"/>
        <w:gridCol w:w="1621"/>
        <w:gridCol w:w="1621"/>
        <w:gridCol w:w="1079"/>
        <w:gridCol w:w="541"/>
        <w:gridCol w:w="1620"/>
        <w:gridCol w:w="1620"/>
        <w:gridCol w:w="538"/>
        <w:gridCol w:w="1082"/>
        <w:gridCol w:w="1620"/>
        <w:gridCol w:w="1620"/>
      </w:tblGrid>
      <w:tr w:rsidR="00C145C4" w:rsidRPr="00F72B0D" w14:paraId="50C63C6A" w14:textId="77777777" w:rsidTr="007D425D">
        <w:trPr>
          <w:tblHeader/>
        </w:trPr>
        <w:tc>
          <w:tcPr>
            <w:tcW w:w="496" w:type="pct"/>
            <w:shd w:val="clear" w:color="auto" w:fill="F2F2F2"/>
            <w:vAlign w:val="center"/>
          </w:tcPr>
          <w:p w14:paraId="04EFAD2C" w14:textId="77777777" w:rsidR="00C145C4" w:rsidRPr="007D425D" w:rsidRDefault="00C145C4" w:rsidP="007D425D">
            <w:pPr>
              <w:spacing w:after="0"/>
              <w:jc w:val="center"/>
              <w:rPr>
                <w:rFonts w:eastAsia="Calibri" w:cs="Arial"/>
                <w:b/>
                <w:sz w:val="20"/>
                <w:szCs w:val="20"/>
              </w:rPr>
            </w:pPr>
            <w:r w:rsidRPr="007D425D">
              <w:rPr>
                <w:rFonts w:eastAsia="Calibri" w:cs="Arial"/>
                <w:b/>
                <w:sz w:val="20"/>
                <w:szCs w:val="20"/>
              </w:rPr>
              <w:t>UNDAF</w:t>
            </w:r>
          </w:p>
          <w:p w14:paraId="79D336F7" w14:textId="77777777" w:rsidR="00C145C4" w:rsidRPr="007D425D" w:rsidRDefault="00C145C4" w:rsidP="007D425D">
            <w:pPr>
              <w:spacing w:after="0"/>
              <w:jc w:val="center"/>
              <w:rPr>
                <w:rFonts w:eastAsia="Calibri" w:cs="Arial"/>
                <w:b/>
                <w:sz w:val="20"/>
                <w:szCs w:val="20"/>
              </w:rPr>
            </w:pPr>
            <w:r w:rsidRPr="007D425D">
              <w:rPr>
                <w:rFonts w:eastAsia="Calibri" w:cs="Arial"/>
                <w:b/>
                <w:sz w:val="20"/>
                <w:szCs w:val="20"/>
              </w:rPr>
              <w:t>Outcome</w:t>
            </w:r>
          </w:p>
        </w:tc>
        <w:tc>
          <w:tcPr>
            <w:tcW w:w="4504" w:type="pct"/>
            <w:gridSpan w:val="10"/>
            <w:shd w:val="clear" w:color="auto" w:fill="F2F2F2"/>
            <w:vAlign w:val="center"/>
          </w:tcPr>
          <w:p w14:paraId="36F09499" w14:textId="77777777" w:rsidR="00C145C4" w:rsidRPr="007D425D" w:rsidRDefault="00C145C4" w:rsidP="007D425D">
            <w:pPr>
              <w:spacing w:after="0"/>
              <w:jc w:val="center"/>
              <w:rPr>
                <w:rFonts w:eastAsia="Calibri" w:cs="Arial"/>
                <w:b/>
                <w:sz w:val="20"/>
                <w:szCs w:val="20"/>
                <w:lang w:val="en-US"/>
              </w:rPr>
            </w:pPr>
            <w:r w:rsidRPr="007D425D">
              <w:rPr>
                <w:rFonts w:eastAsia="Calibri" w:cs="Arial"/>
                <w:b/>
                <w:sz w:val="20"/>
                <w:szCs w:val="20"/>
                <w:lang w:val="en-US"/>
              </w:rPr>
              <w:t>UNDAF OUTCOME 4.1:</w:t>
            </w:r>
          </w:p>
          <w:p w14:paraId="46817697" w14:textId="77777777" w:rsidR="00C145C4" w:rsidRPr="007D425D" w:rsidRDefault="00C145C4" w:rsidP="007D425D">
            <w:pPr>
              <w:spacing w:after="0"/>
              <w:jc w:val="center"/>
              <w:rPr>
                <w:rFonts w:eastAsia="Calibri" w:cs="Arial"/>
                <w:b/>
                <w:sz w:val="20"/>
                <w:szCs w:val="20"/>
                <w:lang w:val="en-US"/>
              </w:rPr>
            </w:pPr>
          </w:p>
          <w:p w14:paraId="6FAF63DB" w14:textId="77777777" w:rsidR="00C145C4" w:rsidRPr="007D425D" w:rsidRDefault="00C145C4" w:rsidP="007D425D">
            <w:pPr>
              <w:spacing w:after="0"/>
              <w:jc w:val="center"/>
              <w:rPr>
                <w:rFonts w:eastAsia="Calibri" w:cs="Arial"/>
                <w:sz w:val="20"/>
                <w:szCs w:val="20"/>
                <w:lang w:val="en-US"/>
              </w:rPr>
            </w:pPr>
            <w:r w:rsidRPr="007D425D">
              <w:rPr>
                <w:rFonts w:eastAsia="Calibri" w:cs="Arial"/>
                <w:sz w:val="20"/>
                <w:szCs w:val="20"/>
                <w:lang w:val="en-US"/>
              </w:rPr>
              <w:t>National institutions foster democratic governance and human rights to promote transparency, accountability, participation and access to justice for all especially women and children by 2016</w:t>
            </w:r>
          </w:p>
          <w:p w14:paraId="3696C311" w14:textId="77777777" w:rsidR="00C145C4" w:rsidRPr="007D425D" w:rsidRDefault="00C145C4" w:rsidP="007D425D">
            <w:pPr>
              <w:spacing w:after="0"/>
              <w:jc w:val="center"/>
              <w:rPr>
                <w:rFonts w:eastAsia="Calibri" w:cs="Arial"/>
                <w:b/>
                <w:sz w:val="20"/>
                <w:szCs w:val="20"/>
                <w:lang w:val="en-US"/>
              </w:rPr>
            </w:pPr>
          </w:p>
        </w:tc>
      </w:tr>
      <w:tr w:rsidR="009D7BFA" w:rsidRPr="00F72B0D" w14:paraId="3ECC7208" w14:textId="77777777" w:rsidTr="007D425D">
        <w:tc>
          <w:tcPr>
            <w:tcW w:w="496" w:type="pct"/>
            <w:vAlign w:val="center"/>
          </w:tcPr>
          <w:p w14:paraId="60089528" w14:textId="77777777" w:rsidR="00C145C4" w:rsidRPr="007D425D" w:rsidRDefault="00C145C4" w:rsidP="007D425D">
            <w:pPr>
              <w:spacing w:after="0"/>
              <w:jc w:val="center"/>
              <w:rPr>
                <w:rFonts w:eastAsia="Calibri" w:cs="Arial"/>
                <w:b/>
                <w:bCs/>
                <w:sz w:val="20"/>
                <w:szCs w:val="20"/>
                <w:lang w:val="en-US"/>
              </w:rPr>
            </w:pPr>
            <w:r w:rsidRPr="007D425D">
              <w:rPr>
                <w:rFonts w:eastAsia="Calibri" w:cs="Arial"/>
                <w:b/>
                <w:bCs/>
                <w:sz w:val="20"/>
                <w:szCs w:val="20"/>
                <w:lang w:val="en-US"/>
              </w:rPr>
              <w:t>UNDAF</w:t>
            </w:r>
          </w:p>
          <w:p w14:paraId="444F19E4" w14:textId="77777777" w:rsidR="00C145C4" w:rsidRPr="007D425D" w:rsidRDefault="00C145C4" w:rsidP="007D425D">
            <w:pPr>
              <w:spacing w:after="0"/>
              <w:jc w:val="center"/>
              <w:rPr>
                <w:rFonts w:eastAsia="Calibri" w:cs="Arial"/>
                <w:b/>
                <w:bCs/>
                <w:sz w:val="20"/>
                <w:szCs w:val="20"/>
                <w:lang w:val="en-US"/>
              </w:rPr>
            </w:pPr>
            <w:r w:rsidRPr="007D425D">
              <w:rPr>
                <w:rFonts w:eastAsia="Calibri" w:cs="Arial"/>
                <w:b/>
                <w:bCs/>
                <w:sz w:val="20"/>
                <w:szCs w:val="20"/>
                <w:lang w:val="en-US"/>
              </w:rPr>
              <w:t>Outputs</w:t>
            </w:r>
          </w:p>
        </w:tc>
        <w:tc>
          <w:tcPr>
            <w:tcW w:w="1501" w:type="pct"/>
            <w:gridSpan w:val="3"/>
          </w:tcPr>
          <w:p w14:paraId="29A10B0F" w14:textId="77777777" w:rsidR="00C145C4" w:rsidRPr="007D425D" w:rsidRDefault="00C145C4" w:rsidP="007D425D">
            <w:pPr>
              <w:spacing w:after="0"/>
              <w:jc w:val="center"/>
              <w:rPr>
                <w:rFonts w:eastAsia="Calibri" w:cs="Arial"/>
                <w:sz w:val="20"/>
                <w:szCs w:val="20"/>
                <w:lang w:val="en-US"/>
              </w:rPr>
            </w:pPr>
            <w:r w:rsidRPr="007D425D">
              <w:rPr>
                <w:rFonts w:eastAsia="Calibri" w:cs="Arial"/>
                <w:b/>
                <w:bCs/>
                <w:sz w:val="20"/>
                <w:szCs w:val="20"/>
                <w:lang w:val="en-US"/>
              </w:rPr>
              <w:t>Output 4.1.1:</w:t>
            </w:r>
            <w:r w:rsidRPr="007D425D">
              <w:rPr>
                <w:rFonts w:eastAsia="Calibri" w:cs="Arial"/>
                <w:sz w:val="20"/>
                <w:szCs w:val="20"/>
                <w:lang w:val="en-US"/>
              </w:rPr>
              <w:t xml:space="preserve"> </w:t>
            </w:r>
          </w:p>
          <w:p w14:paraId="22320003" w14:textId="77777777" w:rsidR="00C145C4" w:rsidRPr="007D425D" w:rsidRDefault="00C145C4" w:rsidP="007D425D">
            <w:pPr>
              <w:spacing w:after="0"/>
              <w:jc w:val="center"/>
              <w:rPr>
                <w:rFonts w:eastAsia="Calibri" w:cs="Arial"/>
                <w:sz w:val="20"/>
                <w:szCs w:val="20"/>
                <w:lang w:val="en-US"/>
              </w:rPr>
            </w:pPr>
          </w:p>
          <w:p w14:paraId="73374A74" w14:textId="77777777" w:rsidR="00C145C4" w:rsidRPr="007D425D" w:rsidRDefault="00C145C4" w:rsidP="007D425D">
            <w:pPr>
              <w:spacing w:after="0"/>
              <w:jc w:val="center"/>
              <w:rPr>
                <w:rFonts w:eastAsia="Calibri" w:cs="Arial"/>
                <w:sz w:val="20"/>
                <w:szCs w:val="20"/>
                <w:lang w:val="en-US"/>
              </w:rPr>
            </w:pPr>
            <w:r w:rsidRPr="007D425D">
              <w:rPr>
                <w:rFonts w:eastAsia="Calibri" w:cs="Arial"/>
                <w:sz w:val="20"/>
                <w:szCs w:val="20"/>
                <w:lang w:val="en-US"/>
              </w:rPr>
              <w:t>Democratic Governance sector strategy operationalized</w:t>
            </w:r>
          </w:p>
          <w:p w14:paraId="2B303C67" w14:textId="77777777" w:rsidR="00C145C4" w:rsidRPr="007D425D" w:rsidRDefault="00C145C4" w:rsidP="007D425D">
            <w:pPr>
              <w:spacing w:after="0"/>
              <w:jc w:val="center"/>
              <w:rPr>
                <w:rFonts w:eastAsia="Calibri" w:cs="Arial"/>
                <w:sz w:val="20"/>
                <w:szCs w:val="20"/>
                <w:lang w:val="en-US"/>
              </w:rPr>
            </w:pPr>
          </w:p>
        </w:tc>
        <w:tc>
          <w:tcPr>
            <w:tcW w:w="1501" w:type="pct"/>
            <w:gridSpan w:val="4"/>
          </w:tcPr>
          <w:p w14:paraId="748A036C" w14:textId="77777777" w:rsidR="00C145C4" w:rsidRPr="007D425D" w:rsidRDefault="00C145C4" w:rsidP="007D425D">
            <w:pPr>
              <w:spacing w:after="0"/>
              <w:jc w:val="center"/>
              <w:rPr>
                <w:rFonts w:eastAsia="Calibri" w:cs="Arial"/>
                <w:sz w:val="20"/>
                <w:szCs w:val="20"/>
                <w:lang w:val="en-US"/>
              </w:rPr>
            </w:pPr>
            <w:r w:rsidRPr="007D425D">
              <w:rPr>
                <w:rFonts w:eastAsia="Calibri" w:cs="Arial"/>
                <w:b/>
                <w:bCs/>
                <w:sz w:val="20"/>
                <w:szCs w:val="20"/>
                <w:lang w:val="en-US"/>
              </w:rPr>
              <w:t>Output 4.1.2:</w:t>
            </w:r>
            <w:r w:rsidRPr="007D425D">
              <w:rPr>
                <w:rFonts w:eastAsia="Calibri" w:cs="Arial"/>
                <w:sz w:val="20"/>
                <w:szCs w:val="20"/>
                <w:lang w:val="en-US"/>
              </w:rPr>
              <w:t xml:space="preserve"> </w:t>
            </w:r>
          </w:p>
          <w:p w14:paraId="6DB2356D" w14:textId="77777777" w:rsidR="00C145C4" w:rsidRPr="007D425D" w:rsidRDefault="00C145C4" w:rsidP="007D425D">
            <w:pPr>
              <w:spacing w:after="0"/>
              <w:jc w:val="center"/>
              <w:rPr>
                <w:rFonts w:eastAsia="Calibri" w:cs="Arial"/>
                <w:sz w:val="20"/>
                <w:szCs w:val="20"/>
                <w:lang w:val="en-US"/>
              </w:rPr>
            </w:pPr>
          </w:p>
          <w:p w14:paraId="68B885B7" w14:textId="77777777" w:rsidR="00C145C4" w:rsidRPr="007D425D" w:rsidRDefault="00C145C4" w:rsidP="007D425D">
            <w:pPr>
              <w:spacing w:after="0"/>
              <w:jc w:val="center"/>
              <w:rPr>
                <w:rFonts w:eastAsia="Calibri" w:cs="Arial"/>
                <w:sz w:val="20"/>
                <w:szCs w:val="20"/>
                <w:lang w:val="en-US"/>
              </w:rPr>
            </w:pPr>
            <w:r w:rsidRPr="007D425D">
              <w:rPr>
                <w:rFonts w:eastAsia="Calibri" w:cs="Arial"/>
                <w:sz w:val="20"/>
                <w:szCs w:val="20"/>
                <w:lang w:val="en-US"/>
              </w:rPr>
              <w:t>Capacity of national institutions strengthened for collaborative dialogue to support the establishment and operationalization of the national peace architecture</w:t>
            </w:r>
          </w:p>
          <w:p w14:paraId="09EEA5B6" w14:textId="77777777" w:rsidR="00C145C4" w:rsidRPr="007D425D" w:rsidRDefault="00C145C4" w:rsidP="007D425D">
            <w:pPr>
              <w:spacing w:after="0"/>
              <w:jc w:val="center"/>
              <w:rPr>
                <w:rFonts w:eastAsia="Calibri" w:cs="Arial"/>
                <w:sz w:val="20"/>
                <w:szCs w:val="20"/>
                <w:lang w:val="en-US"/>
              </w:rPr>
            </w:pPr>
          </w:p>
        </w:tc>
        <w:tc>
          <w:tcPr>
            <w:tcW w:w="1502" w:type="pct"/>
            <w:gridSpan w:val="3"/>
          </w:tcPr>
          <w:p w14:paraId="2357DDA2" w14:textId="77777777" w:rsidR="00C145C4" w:rsidRPr="007D425D" w:rsidRDefault="00C145C4" w:rsidP="007D425D">
            <w:pPr>
              <w:spacing w:after="0"/>
              <w:jc w:val="center"/>
              <w:rPr>
                <w:rFonts w:eastAsia="Calibri" w:cs="Arial"/>
                <w:sz w:val="20"/>
                <w:szCs w:val="20"/>
                <w:lang w:val="en-US"/>
              </w:rPr>
            </w:pPr>
            <w:r w:rsidRPr="007D425D">
              <w:rPr>
                <w:rFonts w:eastAsia="Calibri" w:cs="Arial"/>
                <w:b/>
                <w:bCs/>
                <w:sz w:val="20"/>
                <w:szCs w:val="20"/>
                <w:lang w:val="en-US"/>
              </w:rPr>
              <w:t>Output 4.1.3:</w:t>
            </w:r>
            <w:r w:rsidRPr="007D425D">
              <w:rPr>
                <w:rFonts w:eastAsia="Calibri" w:cs="Arial"/>
                <w:sz w:val="20"/>
                <w:szCs w:val="20"/>
                <w:lang w:val="en-US"/>
              </w:rPr>
              <w:t xml:space="preserve"> </w:t>
            </w:r>
          </w:p>
          <w:p w14:paraId="7CDE5143" w14:textId="77777777" w:rsidR="00C145C4" w:rsidRPr="007D425D" w:rsidRDefault="00C145C4" w:rsidP="007D425D">
            <w:pPr>
              <w:spacing w:after="0"/>
              <w:jc w:val="center"/>
              <w:rPr>
                <w:rFonts w:eastAsia="Calibri" w:cs="Arial"/>
                <w:sz w:val="20"/>
                <w:szCs w:val="20"/>
                <w:lang w:val="en-US"/>
              </w:rPr>
            </w:pPr>
          </w:p>
          <w:p w14:paraId="77E06721" w14:textId="77777777" w:rsidR="00C145C4" w:rsidRPr="007D425D" w:rsidRDefault="00C145C4" w:rsidP="007D425D">
            <w:pPr>
              <w:spacing w:after="0"/>
              <w:jc w:val="center"/>
              <w:rPr>
                <w:rFonts w:eastAsia="Calibri" w:cs="Arial"/>
                <w:sz w:val="20"/>
                <w:szCs w:val="20"/>
                <w:lang w:val="en-US"/>
              </w:rPr>
            </w:pPr>
            <w:r w:rsidRPr="007D425D">
              <w:rPr>
                <w:rFonts w:eastAsia="Calibri" w:cs="Arial"/>
                <w:sz w:val="20"/>
                <w:szCs w:val="20"/>
                <w:lang w:val="en-US"/>
              </w:rPr>
              <w:t>Local governance structures strengthened in participatory planning, budgeting and managing integrated rural development</w:t>
            </w:r>
          </w:p>
          <w:p w14:paraId="76E15D7D" w14:textId="77777777" w:rsidR="00C145C4" w:rsidRPr="007D425D" w:rsidRDefault="00C145C4" w:rsidP="007D425D">
            <w:pPr>
              <w:spacing w:after="0"/>
              <w:jc w:val="center"/>
              <w:rPr>
                <w:rFonts w:eastAsia="Calibri" w:cs="Arial"/>
                <w:b/>
                <w:bCs/>
                <w:sz w:val="20"/>
                <w:szCs w:val="20"/>
                <w:lang w:val="en-US"/>
              </w:rPr>
            </w:pPr>
          </w:p>
        </w:tc>
      </w:tr>
      <w:tr w:rsidR="00C145C4" w:rsidRPr="007D425D" w14:paraId="60436A90" w14:textId="77777777" w:rsidTr="007D425D">
        <w:tc>
          <w:tcPr>
            <w:tcW w:w="496" w:type="pct"/>
            <w:vAlign w:val="center"/>
          </w:tcPr>
          <w:p w14:paraId="443F6CDB" w14:textId="77777777" w:rsidR="00C145C4" w:rsidRPr="007D425D" w:rsidRDefault="00C145C4" w:rsidP="007D425D">
            <w:pPr>
              <w:spacing w:after="0"/>
              <w:jc w:val="center"/>
              <w:rPr>
                <w:rFonts w:eastAsia="Calibri" w:cs="Arial"/>
                <w:b/>
                <w:bCs/>
                <w:sz w:val="20"/>
                <w:szCs w:val="20"/>
                <w:lang w:val="en-US"/>
              </w:rPr>
            </w:pPr>
            <w:r w:rsidRPr="007D425D">
              <w:rPr>
                <w:rFonts w:eastAsia="Calibri" w:cs="Arial"/>
                <w:b/>
                <w:bCs/>
                <w:sz w:val="20"/>
                <w:szCs w:val="20"/>
                <w:lang w:val="en-US"/>
              </w:rPr>
              <w:t>SWG</w:t>
            </w:r>
          </w:p>
        </w:tc>
        <w:tc>
          <w:tcPr>
            <w:tcW w:w="3002" w:type="pct"/>
            <w:gridSpan w:val="7"/>
          </w:tcPr>
          <w:p w14:paraId="503FE021" w14:textId="77777777" w:rsidR="00C145C4" w:rsidRPr="007D425D" w:rsidRDefault="00C145C4" w:rsidP="007D425D">
            <w:pPr>
              <w:spacing w:after="0"/>
              <w:jc w:val="center"/>
              <w:rPr>
                <w:rFonts w:eastAsia="Calibri" w:cs="Arial"/>
                <w:b/>
                <w:bCs/>
                <w:sz w:val="20"/>
                <w:szCs w:val="20"/>
                <w:lang w:val="en-US"/>
              </w:rPr>
            </w:pPr>
            <w:r w:rsidRPr="007D425D">
              <w:rPr>
                <w:rFonts w:eastAsia="Calibri" w:cs="Arial"/>
                <w:bCs/>
                <w:sz w:val="20"/>
                <w:szCs w:val="20"/>
                <w:lang w:val="en-US"/>
              </w:rPr>
              <w:t>Democratic Governance SWG</w:t>
            </w:r>
          </w:p>
        </w:tc>
        <w:tc>
          <w:tcPr>
            <w:tcW w:w="1502" w:type="pct"/>
            <w:gridSpan w:val="3"/>
          </w:tcPr>
          <w:p w14:paraId="3D863246" w14:textId="77777777" w:rsidR="00C145C4" w:rsidRPr="007D425D" w:rsidRDefault="00C145C4" w:rsidP="007D425D">
            <w:pPr>
              <w:spacing w:after="0"/>
              <w:jc w:val="center"/>
              <w:rPr>
                <w:rFonts w:eastAsia="Calibri" w:cs="Arial"/>
                <w:bCs/>
                <w:sz w:val="20"/>
                <w:szCs w:val="20"/>
                <w:lang w:val="en-US"/>
              </w:rPr>
            </w:pPr>
            <w:r w:rsidRPr="007D425D">
              <w:rPr>
                <w:rFonts w:eastAsia="Calibri" w:cs="Arial"/>
                <w:bCs/>
                <w:sz w:val="20"/>
                <w:szCs w:val="20"/>
                <w:lang w:val="en-US"/>
              </w:rPr>
              <w:t>Decentralization and IRD SWG</w:t>
            </w:r>
          </w:p>
        </w:tc>
      </w:tr>
      <w:tr w:rsidR="009D7BFA" w:rsidRPr="007D425D" w14:paraId="07987055" w14:textId="77777777" w:rsidTr="007D425D">
        <w:tc>
          <w:tcPr>
            <w:tcW w:w="496" w:type="pct"/>
            <w:shd w:val="clear" w:color="auto" w:fill="F2F2F2"/>
            <w:vAlign w:val="center"/>
          </w:tcPr>
          <w:p w14:paraId="155C0CED" w14:textId="77777777" w:rsidR="008306C4" w:rsidRPr="007D425D" w:rsidRDefault="008306C4" w:rsidP="007D425D">
            <w:pPr>
              <w:spacing w:after="0"/>
              <w:jc w:val="center"/>
              <w:rPr>
                <w:rFonts w:eastAsia="Calibri" w:cs="Arial"/>
                <w:b/>
                <w:sz w:val="20"/>
                <w:szCs w:val="20"/>
                <w:lang w:val="en-US"/>
              </w:rPr>
            </w:pPr>
            <w:r w:rsidRPr="007D425D">
              <w:rPr>
                <w:rFonts w:eastAsia="Calibri" w:cs="Arial"/>
                <w:b/>
                <w:sz w:val="20"/>
                <w:szCs w:val="20"/>
                <w:lang w:val="en-US"/>
              </w:rPr>
              <w:t>Support projects with a bearing on Outcome 4.1</w:t>
            </w:r>
          </w:p>
        </w:tc>
        <w:tc>
          <w:tcPr>
            <w:tcW w:w="563" w:type="pct"/>
            <w:shd w:val="clear" w:color="auto" w:fill="F2F2F2"/>
          </w:tcPr>
          <w:p w14:paraId="0768A82F" w14:textId="77777777" w:rsidR="008306C4" w:rsidRPr="007D425D" w:rsidRDefault="008306C4" w:rsidP="007D425D">
            <w:pPr>
              <w:spacing w:after="0"/>
              <w:jc w:val="left"/>
              <w:rPr>
                <w:rFonts w:eastAsia="Calibri" w:cs="Arial"/>
                <w:b/>
                <w:sz w:val="20"/>
                <w:szCs w:val="20"/>
                <w:lang w:val="en-US"/>
              </w:rPr>
            </w:pPr>
            <w:r w:rsidRPr="007D425D">
              <w:rPr>
                <w:rFonts w:eastAsia="Calibri" w:cs="Arial"/>
                <w:b/>
                <w:sz w:val="20"/>
                <w:szCs w:val="20"/>
                <w:lang w:val="en-US"/>
              </w:rPr>
              <w:t xml:space="preserve">Malawi Electoral Cycle Support Project Document </w:t>
            </w:r>
          </w:p>
          <w:p w14:paraId="5508BC82" w14:textId="77777777" w:rsidR="008306C4" w:rsidRPr="007D425D" w:rsidRDefault="008306C4" w:rsidP="007D425D">
            <w:pPr>
              <w:spacing w:after="0"/>
              <w:jc w:val="left"/>
              <w:rPr>
                <w:rFonts w:eastAsia="Calibri" w:cs="Arial"/>
                <w:b/>
                <w:sz w:val="20"/>
                <w:szCs w:val="20"/>
              </w:rPr>
            </w:pPr>
            <w:r w:rsidRPr="007D425D">
              <w:rPr>
                <w:rFonts w:eastAsia="Calibri" w:cs="Arial"/>
                <w:b/>
                <w:sz w:val="20"/>
                <w:szCs w:val="20"/>
              </w:rPr>
              <w:t>2013-2016</w:t>
            </w:r>
          </w:p>
          <w:p w14:paraId="4B34B239" w14:textId="77777777" w:rsidR="008306C4" w:rsidRPr="007D425D" w:rsidRDefault="008306C4" w:rsidP="007D425D">
            <w:pPr>
              <w:spacing w:after="0"/>
              <w:jc w:val="left"/>
              <w:rPr>
                <w:rFonts w:eastAsia="Calibri" w:cs="Arial"/>
                <w:b/>
                <w:sz w:val="20"/>
                <w:szCs w:val="20"/>
              </w:rPr>
            </w:pPr>
            <w:r w:rsidRPr="007D425D">
              <w:rPr>
                <w:rFonts w:eastAsia="Calibri" w:cs="Arial"/>
                <w:b/>
                <w:sz w:val="20"/>
                <w:szCs w:val="20"/>
              </w:rPr>
              <w:t>(4.1.1)</w:t>
            </w:r>
          </w:p>
        </w:tc>
        <w:tc>
          <w:tcPr>
            <w:tcW w:w="563" w:type="pct"/>
            <w:shd w:val="clear" w:color="auto" w:fill="F2F2F2"/>
          </w:tcPr>
          <w:p w14:paraId="3FA61D3B" w14:textId="77777777" w:rsidR="008306C4" w:rsidRPr="007D425D" w:rsidRDefault="008306C4" w:rsidP="007D425D">
            <w:pPr>
              <w:spacing w:after="0"/>
              <w:jc w:val="left"/>
              <w:rPr>
                <w:rFonts w:eastAsia="Calibri" w:cs="Arial"/>
                <w:b/>
                <w:sz w:val="20"/>
                <w:szCs w:val="20"/>
              </w:rPr>
            </w:pPr>
            <w:r w:rsidRPr="007D425D">
              <w:rPr>
                <w:rFonts w:eastAsia="Calibri" w:cs="Arial"/>
                <w:b/>
                <w:sz w:val="20"/>
                <w:szCs w:val="20"/>
              </w:rPr>
              <w:t>DG SWAp Support Project</w:t>
            </w:r>
          </w:p>
          <w:p w14:paraId="62BC492E" w14:textId="77777777" w:rsidR="008306C4" w:rsidRPr="007D425D" w:rsidRDefault="008306C4" w:rsidP="007D425D">
            <w:pPr>
              <w:spacing w:after="0"/>
              <w:jc w:val="left"/>
              <w:rPr>
                <w:rFonts w:eastAsia="Calibri" w:cs="Arial"/>
                <w:b/>
                <w:sz w:val="20"/>
                <w:szCs w:val="20"/>
              </w:rPr>
            </w:pPr>
            <w:r w:rsidRPr="007D425D">
              <w:rPr>
                <w:rFonts w:eastAsia="Calibri" w:cs="Arial"/>
                <w:b/>
                <w:sz w:val="20"/>
                <w:szCs w:val="20"/>
              </w:rPr>
              <w:t>2012-2016</w:t>
            </w:r>
          </w:p>
          <w:p w14:paraId="6C50675D" w14:textId="77777777" w:rsidR="008306C4" w:rsidRPr="007D425D" w:rsidRDefault="008306C4" w:rsidP="007D425D">
            <w:pPr>
              <w:spacing w:after="0"/>
              <w:jc w:val="left"/>
              <w:rPr>
                <w:rFonts w:eastAsia="Calibri" w:cs="Arial"/>
                <w:b/>
                <w:sz w:val="20"/>
                <w:szCs w:val="20"/>
              </w:rPr>
            </w:pPr>
            <w:r w:rsidRPr="007D425D">
              <w:rPr>
                <w:rFonts w:eastAsia="Calibri" w:cs="Arial"/>
                <w:b/>
                <w:sz w:val="20"/>
                <w:szCs w:val="20"/>
              </w:rPr>
              <w:t>(4.1.1)</w:t>
            </w:r>
          </w:p>
        </w:tc>
        <w:tc>
          <w:tcPr>
            <w:tcW w:w="563" w:type="pct"/>
            <w:gridSpan w:val="2"/>
            <w:shd w:val="clear" w:color="auto" w:fill="F2F2F2"/>
          </w:tcPr>
          <w:p w14:paraId="639A4C13" w14:textId="77777777" w:rsidR="008306C4" w:rsidRPr="007D425D" w:rsidRDefault="008306C4" w:rsidP="007D425D">
            <w:pPr>
              <w:spacing w:after="0"/>
              <w:jc w:val="left"/>
              <w:rPr>
                <w:rFonts w:eastAsia="Calibri" w:cs="Arial"/>
                <w:b/>
                <w:sz w:val="20"/>
                <w:szCs w:val="20"/>
                <w:lang w:val="en-US"/>
              </w:rPr>
            </w:pPr>
            <w:r w:rsidRPr="007D425D">
              <w:rPr>
                <w:rFonts w:eastAsia="Calibri" w:cs="Arial"/>
                <w:b/>
                <w:sz w:val="20"/>
                <w:szCs w:val="20"/>
                <w:lang w:val="en-US"/>
              </w:rPr>
              <w:t>Strengthening Political parties project</w:t>
            </w:r>
          </w:p>
          <w:p w14:paraId="31656752" w14:textId="77777777" w:rsidR="008306C4" w:rsidRPr="007D425D" w:rsidRDefault="008306C4" w:rsidP="007D425D">
            <w:pPr>
              <w:spacing w:after="0"/>
              <w:jc w:val="left"/>
              <w:rPr>
                <w:rFonts w:eastAsia="Calibri" w:cs="Arial"/>
                <w:b/>
                <w:sz w:val="20"/>
                <w:szCs w:val="20"/>
                <w:lang w:val="en-US"/>
              </w:rPr>
            </w:pPr>
            <w:r w:rsidRPr="007D425D">
              <w:rPr>
                <w:rFonts w:eastAsia="Calibri" w:cs="Arial"/>
                <w:b/>
                <w:sz w:val="20"/>
                <w:szCs w:val="20"/>
                <w:lang w:val="en-US"/>
              </w:rPr>
              <w:t>2013-2016</w:t>
            </w:r>
          </w:p>
          <w:p w14:paraId="1A397647" w14:textId="77777777" w:rsidR="008306C4" w:rsidRPr="007D425D" w:rsidRDefault="008306C4" w:rsidP="007D425D">
            <w:pPr>
              <w:spacing w:after="0"/>
              <w:jc w:val="left"/>
              <w:rPr>
                <w:rFonts w:eastAsia="Calibri" w:cs="Arial"/>
                <w:b/>
                <w:sz w:val="20"/>
                <w:szCs w:val="20"/>
              </w:rPr>
            </w:pPr>
            <w:r w:rsidRPr="007D425D">
              <w:rPr>
                <w:rFonts w:eastAsia="Calibri" w:cs="Arial"/>
                <w:b/>
                <w:sz w:val="20"/>
                <w:szCs w:val="20"/>
              </w:rPr>
              <w:t>(4.1.1)</w:t>
            </w:r>
          </w:p>
        </w:tc>
        <w:tc>
          <w:tcPr>
            <w:tcW w:w="563" w:type="pct"/>
            <w:shd w:val="clear" w:color="auto" w:fill="F2F2F2"/>
          </w:tcPr>
          <w:p w14:paraId="297B5231" w14:textId="77777777" w:rsidR="008306C4" w:rsidRPr="007D425D" w:rsidRDefault="008306C4" w:rsidP="007D425D">
            <w:pPr>
              <w:spacing w:after="0"/>
              <w:jc w:val="left"/>
              <w:rPr>
                <w:rFonts w:eastAsia="Calibri" w:cs="Arial"/>
                <w:b/>
                <w:sz w:val="20"/>
                <w:szCs w:val="20"/>
                <w:lang w:val="en-US"/>
              </w:rPr>
            </w:pPr>
            <w:r w:rsidRPr="007D425D">
              <w:rPr>
                <w:rFonts w:eastAsia="Calibri" w:cs="Arial"/>
                <w:b/>
                <w:sz w:val="20"/>
                <w:szCs w:val="20"/>
                <w:lang w:val="en-US"/>
              </w:rPr>
              <w:t>Human Rights Support Project 2012-2016</w:t>
            </w:r>
          </w:p>
          <w:p w14:paraId="7B0CF7D1" w14:textId="77777777" w:rsidR="008306C4" w:rsidRPr="007D425D" w:rsidRDefault="008306C4" w:rsidP="007D425D">
            <w:pPr>
              <w:spacing w:after="0"/>
              <w:jc w:val="left"/>
              <w:rPr>
                <w:rFonts w:eastAsia="Calibri" w:cs="Arial"/>
                <w:b/>
                <w:sz w:val="20"/>
                <w:szCs w:val="20"/>
                <w:lang w:val="en-US"/>
              </w:rPr>
            </w:pPr>
            <w:r w:rsidRPr="007D425D">
              <w:rPr>
                <w:rFonts w:eastAsia="Calibri" w:cs="Arial"/>
                <w:b/>
                <w:sz w:val="20"/>
                <w:szCs w:val="20"/>
                <w:lang w:val="en-US"/>
              </w:rPr>
              <w:t>(4.1.1)</w:t>
            </w:r>
          </w:p>
          <w:p w14:paraId="3B8BFAD9" w14:textId="77777777" w:rsidR="008306C4" w:rsidRPr="007D425D" w:rsidRDefault="008306C4" w:rsidP="007D425D">
            <w:pPr>
              <w:spacing w:after="0"/>
              <w:jc w:val="left"/>
              <w:rPr>
                <w:rFonts w:eastAsia="Calibri" w:cs="Arial"/>
                <w:b/>
                <w:sz w:val="20"/>
                <w:szCs w:val="20"/>
                <w:lang w:val="en-US"/>
              </w:rPr>
            </w:pPr>
          </w:p>
          <w:p w14:paraId="04231C4B" w14:textId="77777777" w:rsidR="008306C4" w:rsidRPr="007D425D" w:rsidRDefault="008306C4" w:rsidP="007D425D">
            <w:pPr>
              <w:spacing w:after="0"/>
              <w:jc w:val="left"/>
              <w:rPr>
                <w:rFonts w:eastAsia="Calibri" w:cs="Arial"/>
                <w:b/>
                <w:sz w:val="20"/>
                <w:szCs w:val="20"/>
                <w:lang w:val="en-US"/>
              </w:rPr>
            </w:pPr>
            <w:r w:rsidRPr="007D425D">
              <w:rPr>
                <w:rFonts w:eastAsia="Calibri" w:cs="Arial"/>
                <w:b/>
                <w:sz w:val="20"/>
                <w:szCs w:val="20"/>
                <w:lang w:val="en-US"/>
              </w:rPr>
              <w:t>(UN joint programming)</w:t>
            </w:r>
          </w:p>
          <w:p w14:paraId="52012B55" w14:textId="77777777" w:rsidR="008306C4" w:rsidRPr="007D425D" w:rsidRDefault="008306C4" w:rsidP="007D425D">
            <w:pPr>
              <w:spacing w:after="0"/>
              <w:jc w:val="left"/>
              <w:rPr>
                <w:rFonts w:eastAsia="Calibri" w:cs="Arial"/>
                <w:b/>
                <w:sz w:val="20"/>
                <w:szCs w:val="20"/>
                <w:lang w:val="en-US"/>
              </w:rPr>
            </w:pPr>
          </w:p>
        </w:tc>
        <w:tc>
          <w:tcPr>
            <w:tcW w:w="563" w:type="pct"/>
            <w:shd w:val="clear" w:color="auto" w:fill="F2F2F2"/>
          </w:tcPr>
          <w:p w14:paraId="11E83DAA" w14:textId="77777777" w:rsidR="008306C4" w:rsidRPr="007D425D" w:rsidRDefault="008306C4" w:rsidP="007D425D">
            <w:pPr>
              <w:spacing w:after="0"/>
              <w:jc w:val="center"/>
              <w:rPr>
                <w:rFonts w:eastAsia="Calibri" w:cs="Arial"/>
                <w:b/>
                <w:sz w:val="20"/>
                <w:szCs w:val="20"/>
              </w:rPr>
            </w:pPr>
            <w:r w:rsidRPr="007D425D">
              <w:rPr>
                <w:rFonts w:eastAsia="Calibri" w:cs="Arial"/>
                <w:b/>
                <w:sz w:val="20"/>
                <w:szCs w:val="20"/>
              </w:rPr>
              <w:t>Social Cohesion Project</w:t>
            </w:r>
          </w:p>
          <w:p w14:paraId="159257CF" w14:textId="77777777" w:rsidR="008306C4" w:rsidRPr="007D425D" w:rsidRDefault="008306C4" w:rsidP="007D425D">
            <w:pPr>
              <w:spacing w:after="0"/>
              <w:jc w:val="center"/>
              <w:rPr>
                <w:rFonts w:eastAsia="Calibri" w:cs="Arial"/>
                <w:b/>
                <w:sz w:val="20"/>
                <w:szCs w:val="20"/>
              </w:rPr>
            </w:pPr>
            <w:r w:rsidRPr="007D425D">
              <w:rPr>
                <w:rFonts w:eastAsia="Calibri" w:cs="Arial"/>
                <w:b/>
                <w:sz w:val="20"/>
                <w:szCs w:val="20"/>
              </w:rPr>
              <w:t>2013-2016 (4.1.2)</w:t>
            </w:r>
          </w:p>
        </w:tc>
        <w:tc>
          <w:tcPr>
            <w:tcW w:w="563" w:type="pct"/>
            <w:gridSpan w:val="2"/>
            <w:shd w:val="clear" w:color="auto" w:fill="F2F2F2"/>
          </w:tcPr>
          <w:p w14:paraId="2A3F6AC1" w14:textId="77777777" w:rsidR="008306C4" w:rsidRPr="007D425D" w:rsidRDefault="008306C4" w:rsidP="007D425D">
            <w:pPr>
              <w:spacing w:after="0"/>
              <w:jc w:val="left"/>
              <w:rPr>
                <w:rFonts w:eastAsia="Calibri" w:cs="Arial"/>
                <w:b/>
                <w:sz w:val="20"/>
                <w:szCs w:val="20"/>
                <w:lang w:val="en-US"/>
              </w:rPr>
            </w:pPr>
            <w:r w:rsidRPr="007D425D">
              <w:rPr>
                <w:rFonts w:eastAsia="Calibri" w:cs="Arial"/>
                <w:b/>
                <w:sz w:val="20"/>
                <w:szCs w:val="20"/>
                <w:lang w:val="en-US"/>
              </w:rPr>
              <w:t>Political Empowerment of Women in Malawi</w:t>
            </w:r>
            <w:r w:rsidRPr="007D425D">
              <w:rPr>
                <w:rFonts w:eastAsia="Calibri" w:cs="Arial"/>
                <w:b/>
                <w:sz w:val="20"/>
                <w:szCs w:val="20"/>
                <w:vertAlign w:val="superscript"/>
              </w:rPr>
              <w:footnoteReference w:id="3"/>
            </w:r>
            <w:r w:rsidRPr="007D425D">
              <w:rPr>
                <w:rFonts w:eastAsia="Calibri" w:cs="Arial"/>
                <w:b/>
                <w:sz w:val="20"/>
                <w:szCs w:val="20"/>
                <w:lang w:val="en-US"/>
              </w:rPr>
              <w:t xml:space="preserve"> </w:t>
            </w:r>
          </w:p>
          <w:p w14:paraId="5DEF3DB0" w14:textId="77777777" w:rsidR="008306C4" w:rsidRPr="007D425D" w:rsidRDefault="008306C4" w:rsidP="007D425D">
            <w:pPr>
              <w:spacing w:after="0"/>
              <w:jc w:val="left"/>
              <w:rPr>
                <w:rFonts w:eastAsia="Calibri" w:cs="Arial"/>
                <w:b/>
                <w:sz w:val="20"/>
                <w:szCs w:val="20"/>
              </w:rPr>
            </w:pPr>
            <w:r w:rsidRPr="007D425D">
              <w:rPr>
                <w:rFonts w:eastAsia="Calibri" w:cs="Arial"/>
                <w:b/>
                <w:sz w:val="20"/>
                <w:szCs w:val="20"/>
              </w:rPr>
              <w:t>2013-2016</w:t>
            </w:r>
          </w:p>
          <w:p w14:paraId="3E1E5F08" w14:textId="77777777" w:rsidR="008306C4" w:rsidRPr="007D425D" w:rsidRDefault="008306C4" w:rsidP="007D425D">
            <w:pPr>
              <w:spacing w:after="0"/>
              <w:jc w:val="left"/>
              <w:rPr>
                <w:rFonts w:eastAsia="Calibri" w:cs="Arial"/>
                <w:b/>
                <w:sz w:val="20"/>
                <w:szCs w:val="20"/>
              </w:rPr>
            </w:pPr>
            <w:r w:rsidRPr="007D425D">
              <w:rPr>
                <w:rFonts w:eastAsia="Calibri" w:cs="Arial"/>
                <w:b/>
                <w:sz w:val="20"/>
                <w:szCs w:val="20"/>
              </w:rPr>
              <w:t>(4.3/4.3.3)</w:t>
            </w:r>
          </w:p>
          <w:p w14:paraId="2E30846F" w14:textId="77777777" w:rsidR="008306C4" w:rsidRPr="007D425D" w:rsidRDefault="008306C4" w:rsidP="007D425D">
            <w:pPr>
              <w:spacing w:after="0"/>
              <w:jc w:val="left"/>
              <w:rPr>
                <w:rFonts w:eastAsia="Calibri" w:cs="Arial"/>
                <w:b/>
                <w:sz w:val="20"/>
                <w:szCs w:val="20"/>
              </w:rPr>
            </w:pPr>
          </w:p>
          <w:p w14:paraId="16555797" w14:textId="77777777" w:rsidR="008306C4" w:rsidRPr="007D425D" w:rsidRDefault="008306C4" w:rsidP="007D425D">
            <w:pPr>
              <w:spacing w:after="0"/>
              <w:jc w:val="left"/>
              <w:rPr>
                <w:rFonts w:eastAsia="Calibri" w:cs="Arial"/>
                <w:b/>
                <w:sz w:val="20"/>
                <w:szCs w:val="20"/>
              </w:rPr>
            </w:pPr>
            <w:r w:rsidRPr="007D425D">
              <w:rPr>
                <w:rFonts w:eastAsia="Calibri" w:cs="Arial"/>
                <w:b/>
                <w:sz w:val="20"/>
                <w:szCs w:val="20"/>
              </w:rPr>
              <w:t>(UN joint programming)</w:t>
            </w:r>
          </w:p>
        </w:tc>
        <w:tc>
          <w:tcPr>
            <w:tcW w:w="563" w:type="pct"/>
            <w:shd w:val="clear" w:color="auto" w:fill="F2F2F2"/>
          </w:tcPr>
          <w:p w14:paraId="630DF759" w14:textId="77777777" w:rsidR="008306C4" w:rsidRPr="007D425D" w:rsidRDefault="008306C4" w:rsidP="007D425D">
            <w:pPr>
              <w:spacing w:after="0"/>
              <w:jc w:val="left"/>
              <w:rPr>
                <w:rFonts w:eastAsia="Calibri" w:cs="Arial"/>
                <w:b/>
                <w:sz w:val="20"/>
                <w:szCs w:val="20"/>
                <w:lang w:val="en-US"/>
              </w:rPr>
            </w:pPr>
            <w:r w:rsidRPr="007D425D">
              <w:rPr>
                <w:rFonts w:eastAsia="Calibri" w:cs="Arial"/>
                <w:b/>
                <w:sz w:val="20"/>
                <w:szCs w:val="20"/>
                <w:lang w:val="en-US"/>
              </w:rPr>
              <w:t xml:space="preserve">Democracy Consolidation Programme (DCP IV) </w:t>
            </w:r>
          </w:p>
          <w:p w14:paraId="29D6F3B7" w14:textId="77777777" w:rsidR="008306C4" w:rsidRPr="007D425D" w:rsidRDefault="008306C4" w:rsidP="007D425D">
            <w:pPr>
              <w:spacing w:after="0"/>
              <w:jc w:val="left"/>
              <w:rPr>
                <w:rFonts w:eastAsia="Calibri" w:cs="Arial"/>
                <w:b/>
                <w:sz w:val="20"/>
                <w:szCs w:val="20"/>
              </w:rPr>
            </w:pPr>
            <w:r w:rsidRPr="007D425D">
              <w:rPr>
                <w:rFonts w:eastAsia="Calibri" w:cs="Arial"/>
                <w:b/>
                <w:sz w:val="20"/>
                <w:szCs w:val="20"/>
              </w:rPr>
              <w:t>2012-2016</w:t>
            </w:r>
          </w:p>
          <w:p w14:paraId="365079EA" w14:textId="77777777" w:rsidR="008306C4" w:rsidRPr="007D425D" w:rsidRDefault="008306C4" w:rsidP="007D425D">
            <w:pPr>
              <w:spacing w:after="0"/>
              <w:jc w:val="left"/>
              <w:rPr>
                <w:rFonts w:eastAsia="Calibri" w:cs="Arial"/>
                <w:b/>
                <w:sz w:val="20"/>
                <w:szCs w:val="20"/>
              </w:rPr>
            </w:pPr>
            <w:r w:rsidRPr="007D425D">
              <w:rPr>
                <w:rFonts w:eastAsia="Calibri" w:cs="Arial"/>
                <w:b/>
                <w:sz w:val="20"/>
                <w:szCs w:val="20"/>
              </w:rPr>
              <w:t>(4.1.3</w:t>
            </w:r>
            <w:r w:rsidR="00880626" w:rsidRPr="007D425D">
              <w:rPr>
                <w:rFonts w:eastAsia="Calibri" w:cs="Arial"/>
                <w:b/>
                <w:sz w:val="20"/>
                <w:szCs w:val="20"/>
              </w:rPr>
              <w:t>?</w:t>
            </w:r>
            <w:r w:rsidRPr="007D425D">
              <w:rPr>
                <w:rFonts w:eastAsia="Calibri" w:cs="Arial"/>
                <w:b/>
                <w:sz w:val="20"/>
                <w:szCs w:val="20"/>
              </w:rPr>
              <w:t>)</w:t>
            </w:r>
          </w:p>
          <w:p w14:paraId="4861D5F5" w14:textId="77777777" w:rsidR="008306C4" w:rsidRPr="007D425D" w:rsidRDefault="008306C4" w:rsidP="007D425D">
            <w:pPr>
              <w:spacing w:after="0"/>
              <w:jc w:val="left"/>
              <w:rPr>
                <w:rFonts w:eastAsia="Calibri" w:cs="Arial"/>
                <w:b/>
                <w:sz w:val="20"/>
                <w:szCs w:val="20"/>
              </w:rPr>
            </w:pPr>
          </w:p>
          <w:p w14:paraId="6C59EA93" w14:textId="77777777" w:rsidR="008306C4" w:rsidRPr="007D425D" w:rsidRDefault="008306C4" w:rsidP="007D425D">
            <w:pPr>
              <w:spacing w:after="0"/>
              <w:jc w:val="left"/>
              <w:rPr>
                <w:rFonts w:eastAsia="Calibri" w:cs="Arial"/>
                <w:b/>
                <w:sz w:val="20"/>
                <w:szCs w:val="20"/>
              </w:rPr>
            </w:pPr>
          </w:p>
          <w:p w14:paraId="5088E9AF" w14:textId="77777777" w:rsidR="008306C4" w:rsidRPr="007D425D" w:rsidRDefault="008306C4" w:rsidP="007D425D">
            <w:pPr>
              <w:spacing w:after="0"/>
              <w:jc w:val="left"/>
              <w:rPr>
                <w:rFonts w:eastAsia="Calibri" w:cs="Arial"/>
                <w:b/>
                <w:sz w:val="20"/>
                <w:szCs w:val="20"/>
              </w:rPr>
            </w:pPr>
          </w:p>
        </w:tc>
        <w:tc>
          <w:tcPr>
            <w:tcW w:w="563" w:type="pct"/>
            <w:shd w:val="clear" w:color="auto" w:fill="F2F2F2"/>
          </w:tcPr>
          <w:p w14:paraId="2F79C826" w14:textId="77777777" w:rsidR="008306C4" w:rsidRPr="007D425D" w:rsidRDefault="008306C4" w:rsidP="007D425D">
            <w:pPr>
              <w:spacing w:after="0"/>
              <w:jc w:val="left"/>
              <w:rPr>
                <w:rFonts w:eastAsia="Calibri" w:cs="Arial"/>
                <w:b/>
                <w:sz w:val="20"/>
                <w:szCs w:val="20"/>
                <w:lang w:val="en-US"/>
              </w:rPr>
            </w:pPr>
            <w:r w:rsidRPr="007D425D">
              <w:rPr>
                <w:rFonts w:eastAsia="Calibri" w:cs="Arial"/>
                <w:b/>
                <w:sz w:val="20"/>
                <w:szCs w:val="20"/>
                <w:lang w:val="en-US"/>
              </w:rPr>
              <w:t>Policy and Institutional Framework for Integrated Rural Development Programme 2013-2015</w:t>
            </w:r>
          </w:p>
          <w:p w14:paraId="6E003105" w14:textId="77777777" w:rsidR="008306C4" w:rsidRPr="007D425D" w:rsidRDefault="008306C4" w:rsidP="007D425D">
            <w:pPr>
              <w:spacing w:after="0"/>
              <w:jc w:val="left"/>
              <w:rPr>
                <w:rFonts w:eastAsia="Calibri" w:cs="Arial"/>
                <w:b/>
                <w:sz w:val="20"/>
                <w:szCs w:val="20"/>
              </w:rPr>
            </w:pPr>
            <w:r w:rsidRPr="007D425D">
              <w:rPr>
                <w:rFonts w:eastAsia="Calibri" w:cs="Arial"/>
                <w:b/>
                <w:sz w:val="20"/>
                <w:szCs w:val="20"/>
              </w:rPr>
              <w:t>(4.1.3)</w:t>
            </w:r>
          </w:p>
          <w:p w14:paraId="18657724" w14:textId="77777777" w:rsidR="008306C4" w:rsidRPr="007D425D" w:rsidRDefault="008306C4" w:rsidP="007D425D">
            <w:pPr>
              <w:spacing w:after="0"/>
              <w:jc w:val="left"/>
              <w:rPr>
                <w:rFonts w:eastAsia="Calibri" w:cs="Arial"/>
                <w:b/>
                <w:sz w:val="20"/>
                <w:szCs w:val="20"/>
              </w:rPr>
            </w:pPr>
          </w:p>
        </w:tc>
      </w:tr>
      <w:tr w:rsidR="009D7BFA" w:rsidRPr="007D425D" w14:paraId="72EC70A6" w14:textId="77777777" w:rsidTr="007D425D">
        <w:tc>
          <w:tcPr>
            <w:tcW w:w="496" w:type="pct"/>
            <w:vAlign w:val="center"/>
          </w:tcPr>
          <w:p w14:paraId="7E1A0E98" w14:textId="77777777" w:rsidR="008306C4" w:rsidRPr="007D425D" w:rsidRDefault="008306C4" w:rsidP="007D425D">
            <w:pPr>
              <w:spacing w:after="0"/>
              <w:jc w:val="center"/>
              <w:rPr>
                <w:rFonts w:eastAsia="Calibri" w:cs="Arial"/>
                <w:b/>
                <w:sz w:val="20"/>
                <w:szCs w:val="20"/>
              </w:rPr>
            </w:pPr>
            <w:r w:rsidRPr="007D425D">
              <w:rPr>
                <w:rFonts w:eastAsia="Calibri" w:cs="Arial"/>
                <w:b/>
                <w:sz w:val="20"/>
                <w:szCs w:val="20"/>
              </w:rPr>
              <w:t>NIM/DIM Agency</w:t>
            </w:r>
          </w:p>
        </w:tc>
        <w:tc>
          <w:tcPr>
            <w:tcW w:w="563" w:type="pct"/>
            <w:vAlign w:val="center"/>
          </w:tcPr>
          <w:p w14:paraId="48AED361" w14:textId="77777777" w:rsidR="008306C4" w:rsidRPr="007D425D" w:rsidRDefault="008306C4" w:rsidP="007D425D">
            <w:pPr>
              <w:spacing w:after="0"/>
              <w:jc w:val="center"/>
              <w:rPr>
                <w:rFonts w:eastAsia="Calibri" w:cs="Arial"/>
                <w:b/>
                <w:sz w:val="20"/>
                <w:szCs w:val="20"/>
              </w:rPr>
            </w:pPr>
            <w:r w:rsidRPr="007D425D">
              <w:rPr>
                <w:rFonts w:eastAsia="Calibri" w:cs="Arial"/>
                <w:b/>
                <w:sz w:val="20"/>
                <w:szCs w:val="20"/>
              </w:rPr>
              <w:t>MEC</w:t>
            </w:r>
          </w:p>
        </w:tc>
        <w:tc>
          <w:tcPr>
            <w:tcW w:w="563" w:type="pct"/>
            <w:vAlign w:val="center"/>
          </w:tcPr>
          <w:p w14:paraId="75F01B4F" w14:textId="77777777" w:rsidR="008306C4" w:rsidRPr="007D425D" w:rsidRDefault="008306C4" w:rsidP="007D425D">
            <w:pPr>
              <w:spacing w:after="0"/>
              <w:jc w:val="center"/>
              <w:rPr>
                <w:rFonts w:eastAsia="Calibri" w:cs="Arial"/>
                <w:b/>
                <w:sz w:val="20"/>
                <w:szCs w:val="20"/>
              </w:rPr>
            </w:pPr>
            <w:r w:rsidRPr="007D425D">
              <w:rPr>
                <w:rFonts w:eastAsia="Calibri" w:cs="Arial"/>
                <w:b/>
                <w:sz w:val="20"/>
                <w:szCs w:val="20"/>
              </w:rPr>
              <w:t>MoJCA</w:t>
            </w:r>
          </w:p>
        </w:tc>
        <w:tc>
          <w:tcPr>
            <w:tcW w:w="563" w:type="pct"/>
            <w:gridSpan w:val="2"/>
            <w:vAlign w:val="center"/>
          </w:tcPr>
          <w:p w14:paraId="17549532" w14:textId="77777777" w:rsidR="008306C4" w:rsidRPr="007D425D" w:rsidRDefault="008306C4" w:rsidP="007D425D">
            <w:pPr>
              <w:spacing w:after="0"/>
              <w:jc w:val="center"/>
              <w:rPr>
                <w:rFonts w:eastAsia="Calibri" w:cs="Arial"/>
                <w:b/>
                <w:sz w:val="20"/>
                <w:szCs w:val="20"/>
              </w:rPr>
            </w:pPr>
            <w:r w:rsidRPr="007D425D">
              <w:rPr>
                <w:rFonts w:eastAsia="Calibri" w:cs="Arial"/>
                <w:b/>
                <w:sz w:val="20"/>
                <w:szCs w:val="20"/>
              </w:rPr>
              <w:t>CMD</w:t>
            </w:r>
          </w:p>
        </w:tc>
        <w:tc>
          <w:tcPr>
            <w:tcW w:w="563" w:type="pct"/>
            <w:vAlign w:val="center"/>
          </w:tcPr>
          <w:p w14:paraId="22EC5D6E" w14:textId="77777777" w:rsidR="008306C4" w:rsidRPr="007D425D" w:rsidRDefault="008306C4" w:rsidP="007D425D">
            <w:pPr>
              <w:spacing w:after="0"/>
              <w:jc w:val="center"/>
              <w:rPr>
                <w:rFonts w:eastAsia="Calibri" w:cs="Arial"/>
                <w:b/>
                <w:sz w:val="20"/>
                <w:szCs w:val="20"/>
              </w:rPr>
            </w:pPr>
            <w:r w:rsidRPr="007D425D">
              <w:rPr>
                <w:rFonts w:eastAsia="Calibri" w:cs="Arial"/>
                <w:b/>
                <w:sz w:val="20"/>
                <w:szCs w:val="20"/>
              </w:rPr>
              <w:t>MHRC</w:t>
            </w:r>
          </w:p>
        </w:tc>
        <w:tc>
          <w:tcPr>
            <w:tcW w:w="563" w:type="pct"/>
            <w:vAlign w:val="center"/>
          </w:tcPr>
          <w:p w14:paraId="60C91CA0" w14:textId="77777777" w:rsidR="00C856E2" w:rsidRPr="007D425D" w:rsidRDefault="008306C4" w:rsidP="007D425D">
            <w:pPr>
              <w:spacing w:after="0"/>
              <w:jc w:val="center"/>
              <w:rPr>
                <w:rFonts w:eastAsia="Calibri" w:cs="Arial"/>
                <w:b/>
                <w:sz w:val="20"/>
                <w:szCs w:val="20"/>
              </w:rPr>
            </w:pPr>
            <w:r w:rsidRPr="007D425D">
              <w:rPr>
                <w:rFonts w:eastAsia="Calibri" w:cs="Arial"/>
                <w:b/>
                <w:sz w:val="20"/>
                <w:szCs w:val="20"/>
              </w:rPr>
              <w:t xml:space="preserve">OPC </w:t>
            </w:r>
          </w:p>
          <w:p w14:paraId="1E5C13E6" w14:textId="77777777" w:rsidR="008306C4" w:rsidRPr="007D425D" w:rsidRDefault="008306C4" w:rsidP="007D425D">
            <w:pPr>
              <w:spacing w:after="0"/>
              <w:jc w:val="center"/>
              <w:rPr>
                <w:rFonts w:eastAsia="Calibri" w:cs="Arial"/>
                <w:b/>
                <w:sz w:val="20"/>
                <w:szCs w:val="20"/>
              </w:rPr>
            </w:pPr>
            <w:r w:rsidRPr="007D425D">
              <w:rPr>
                <w:rFonts w:eastAsia="Calibri" w:cs="Arial"/>
                <w:b/>
                <w:sz w:val="20"/>
                <w:szCs w:val="20"/>
              </w:rPr>
              <w:t>PAC</w:t>
            </w:r>
          </w:p>
        </w:tc>
        <w:tc>
          <w:tcPr>
            <w:tcW w:w="563" w:type="pct"/>
            <w:gridSpan w:val="2"/>
            <w:shd w:val="clear" w:color="auto" w:fill="F2F2F2"/>
            <w:vAlign w:val="center"/>
          </w:tcPr>
          <w:p w14:paraId="4D741600" w14:textId="77777777" w:rsidR="008306C4" w:rsidRPr="007D425D" w:rsidRDefault="008306C4" w:rsidP="007D425D">
            <w:pPr>
              <w:spacing w:after="0"/>
              <w:jc w:val="center"/>
              <w:rPr>
                <w:rFonts w:eastAsia="Calibri" w:cs="Arial"/>
                <w:b/>
                <w:sz w:val="20"/>
                <w:szCs w:val="20"/>
              </w:rPr>
            </w:pPr>
            <w:r w:rsidRPr="007D425D">
              <w:rPr>
                <w:rFonts w:eastAsia="Calibri" w:cs="Arial"/>
                <w:b/>
                <w:sz w:val="20"/>
                <w:szCs w:val="20"/>
              </w:rPr>
              <w:t>MoGCSW</w:t>
            </w:r>
          </w:p>
        </w:tc>
        <w:tc>
          <w:tcPr>
            <w:tcW w:w="563" w:type="pct"/>
            <w:vAlign w:val="center"/>
          </w:tcPr>
          <w:p w14:paraId="797CE7B8" w14:textId="77777777" w:rsidR="008306C4" w:rsidRPr="007D425D" w:rsidRDefault="008306C4" w:rsidP="007D425D">
            <w:pPr>
              <w:spacing w:after="0"/>
              <w:jc w:val="center"/>
              <w:rPr>
                <w:rFonts w:eastAsia="Calibri" w:cs="Arial"/>
                <w:b/>
                <w:sz w:val="20"/>
                <w:szCs w:val="20"/>
              </w:rPr>
            </w:pPr>
            <w:r w:rsidRPr="007D425D">
              <w:rPr>
                <w:rFonts w:eastAsia="Calibri" w:cs="Arial"/>
                <w:b/>
                <w:sz w:val="20"/>
                <w:szCs w:val="20"/>
              </w:rPr>
              <w:t>OPC</w:t>
            </w:r>
          </w:p>
        </w:tc>
        <w:tc>
          <w:tcPr>
            <w:tcW w:w="563" w:type="pct"/>
            <w:vAlign w:val="center"/>
          </w:tcPr>
          <w:p w14:paraId="47D2895C" w14:textId="77777777" w:rsidR="008306C4" w:rsidRPr="007D425D" w:rsidRDefault="008306C4" w:rsidP="007D425D">
            <w:pPr>
              <w:spacing w:after="0"/>
              <w:jc w:val="center"/>
              <w:rPr>
                <w:rFonts w:eastAsia="Calibri" w:cs="Arial"/>
                <w:b/>
                <w:sz w:val="20"/>
                <w:szCs w:val="20"/>
              </w:rPr>
            </w:pPr>
            <w:r w:rsidRPr="007D425D">
              <w:rPr>
                <w:rFonts w:eastAsia="Calibri" w:cs="Arial"/>
                <w:b/>
                <w:sz w:val="20"/>
                <w:szCs w:val="20"/>
              </w:rPr>
              <w:t>MoLGRD</w:t>
            </w:r>
          </w:p>
        </w:tc>
      </w:tr>
      <w:tr w:rsidR="009D7BFA" w:rsidRPr="007D425D" w14:paraId="50AED0D4" w14:textId="77777777" w:rsidTr="007D425D">
        <w:tc>
          <w:tcPr>
            <w:tcW w:w="496" w:type="pct"/>
            <w:vAlign w:val="center"/>
          </w:tcPr>
          <w:p w14:paraId="73AA9586" w14:textId="77777777" w:rsidR="008306C4" w:rsidRPr="007D425D" w:rsidRDefault="008306C4" w:rsidP="007D425D">
            <w:pPr>
              <w:spacing w:after="0"/>
              <w:jc w:val="center"/>
              <w:rPr>
                <w:rFonts w:eastAsia="Calibri" w:cs="Arial"/>
                <w:b/>
                <w:sz w:val="20"/>
                <w:szCs w:val="20"/>
              </w:rPr>
            </w:pPr>
            <w:r w:rsidRPr="007D425D">
              <w:rPr>
                <w:rFonts w:eastAsia="Calibri" w:cs="Arial"/>
                <w:b/>
                <w:sz w:val="20"/>
                <w:szCs w:val="20"/>
              </w:rPr>
              <w:t>Responsible Parties</w:t>
            </w:r>
          </w:p>
        </w:tc>
        <w:tc>
          <w:tcPr>
            <w:tcW w:w="563" w:type="pct"/>
          </w:tcPr>
          <w:p w14:paraId="72373461" w14:textId="77777777" w:rsidR="008306C4" w:rsidRPr="007D425D" w:rsidRDefault="008306C4" w:rsidP="007D425D">
            <w:pPr>
              <w:spacing w:after="0"/>
              <w:jc w:val="left"/>
              <w:rPr>
                <w:rFonts w:eastAsia="Calibri" w:cs="Arial"/>
                <w:sz w:val="20"/>
                <w:szCs w:val="20"/>
              </w:rPr>
            </w:pPr>
            <w:r w:rsidRPr="007D425D">
              <w:rPr>
                <w:rFonts w:eastAsia="Calibri" w:cs="Arial"/>
                <w:sz w:val="20"/>
                <w:szCs w:val="20"/>
              </w:rPr>
              <w:t>MEC, NA, OoO, MHRC</w:t>
            </w:r>
          </w:p>
        </w:tc>
        <w:tc>
          <w:tcPr>
            <w:tcW w:w="563" w:type="pct"/>
          </w:tcPr>
          <w:p w14:paraId="4AE1736F" w14:textId="77777777" w:rsidR="008306C4" w:rsidRPr="007D425D" w:rsidRDefault="008306C4" w:rsidP="007D425D">
            <w:pPr>
              <w:spacing w:after="0"/>
              <w:jc w:val="left"/>
              <w:rPr>
                <w:rFonts w:eastAsia="Calibri" w:cs="Arial"/>
                <w:sz w:val="20"/>
                <w:szCs w:val="20"/>
              </w:rPr>
            </w:pPr>
            <w:r w:rsidRPr="007D425D">
              <w:rPr>
                <w:rFonts w:eastAsia="Calibri" w:cs="Arial"/>
                <w:sz w:val="20"/>
                <w:szCs w:val="20"/>
              </w:rPr>
              <w:t>19 SWG members</w:t>
            </w:r>
          </w:p>
        </w:tc>
        <w:tc>
          <w:tcPr>
            <w:tcW w:w="563" w:type="pct"/>
            <w:gridSpan w:val="2"/>
          </w:tcPr>
          <w:p w14:paraId="46164F74" w14:textId="77777777" w:rsidR="008306C4" w:rsidRPr="007D425D" w:rsidRDefault="008306C4" w:rsidP="007D425D">
            <w:pPr>
              <w:spacing w:after="0"/>
              <w:jc w:val="left"/>
              <w:rPr>
                <w:rFonts w:eastAsia="Calibri" w:cs="Arial"/>
                <w:sz w:val="20"/>
                <w:szCs w:val="20"/>
                <w:lang w:val="en-US"/>
              </w:rPr>
            </w:pPr>
            <w:r w:rsidRPr="007D425D">
              <w:rPr>
                <w:rFonts w:eastAsia="Calibri" w:cs="Arial"/>
                <w:sz w:val="20"/>
                <w:szCs w:val="20"/>
                <w:lang w:val="en-US"/>
              </w:rPr>
              <w:t>MEC, MOJCA, NA, OPPP, CSOs</w:t>
            </w:r>
          </w:p>
        </w:tc>
        <w:tc>
          <w:tcPr>
            <w:tcW w:w="563" w:type="pct"/>
          </w:tcPr>
          <w:p w14:paraId="60F2DEB8" w14:textId="77777777" w:rsidR="008306C4" w:rsidRPr="007D425D" w:rsidRDefault="008306C4" w:rsidP="007D425D">
            <w:pPr>
              <w:spacing w:after="0"/>
              <w:jc w:val="left"/>
              <w:rPr>
                <w:rFonts w:eastAsia="Calibri" w:cs="Arial"/>
                <w:sz w:val="20"/>
                <w:szCs w:val="20"/>
              </w:rPr>
            </w:pPr>
            <w:r w:rsidRPr="007D425D">
              <w:rPr>
                <w:rFonts w:eastAsia="Calibri" w:cs="Arial"/>
                <w:sz w:val="20"/>
                <w:szCs w:val="20"/>
              </w:rPr>
              <w:t>MoJCA, OoO, HRCSOs, NA</w:t>
            </w:r>
          </w:p>
        </w:tc>
        <w:tc>
          <w:tcPr>
            <w:tcW w:w="563" w:type="pct"/>
          </w:tcPr>
          <w:p w14:paraId="605720EB" w14:textId="77777777" w:rsidR="008306C4" w:rsidRPr="007D425D" w:rsidRDefault="008306C4" w:rsidP="007D425D">
            <w:pPr>
              <w:spacing w:after="0"/>
              <w:jc w:val="left"/>
              <w:rPr>
                <w:rFonts w:eastAsia="Calibri" w:cs="Arial"/>
                <w:sz w:val="20"/>
                <w:szCs w:val="20"/>
              </w:rPr>
            </w:pPr>
            <w:r w:rsidRPr="007D425D">
              <w:rPr>
                <w:rFonts w:eastAsia="Calibri" w:cs="Arial"/>
                <w:sz w:val="20"/>
                <w:szCs w:val="20"/>
              </w:rPr>
              <w:t>OPC, PAC</w:t>
            </w:r>
          </w:p>
        </w:tc>
        <w:tc>
          <w:tcPr>
            <w:tcW w:w="563" w:type="pct"/>
            <w:gridSpan w:val="2"/>
            <w:shd w:val="clear" w:color="auto" w:fill="F2F2F2"/>
          </w:tcPr>
          <w:p w14:paraId="0996BCAE" w14:textId="77777777" w:rsidR="008306C4" w:rsidRPr="007D425D" w:rsidRDefault="008306C4" w:rsidP="007D425D">
            <w:pPr>
              <w:spacing w:after="0"/>
              <w:jc w:val="left"/>
              <w:rPr>
                <w:rFonts w:eastAsia="Calibri" w:cs="Arial"/>
                <w:sz w:val="20"/>
                <w:szCs w:val="20"/>
              </w:rPr>
            </w:pPr>
            <w:r w:rsidRPr="007D425D">
              <w:rPr>
                <w:rFonts w:eastAsia="Calibri" w:cs="Arial"/>
                <w:sz w:val="20"/>
                <w:szCs w:val="20"/>
              </w:rPr>
              <w:t>MoGCSW, CSOs</w:t>
            </w:r>
          </w:p>
        </w:tc>
        <w:tc>
          <w:tcPr>
            <w:tcW w:w="563" w:type="pct"/>
          </w:tcPr>
          <w:p w14:paraId="76D10280" w14:textId="77777777" w:rsidR="008306C4" w:rsidRPr="007D425D" w:rsidRDefault="008306C4" w:rsidP="007D425D">
            <w:pPr>
              <w:spacing w:after="0"/>
              <w:jc w:val="left"/>
              <w:rPr>
                <w:rFonts w:eastAsia="Calibri" w:cs="Arial"/>
                <w:sz w:val="20"/>
                <w:szCs w:val="20"/>
              </w:rPr>
            </w:pPr>
            <w:r w:rsidRPr="007D425D">
              <w:rPr>
                <w:rFonts w:eastAsia="Calibri" w:cs="Arial"/>
                <w:sz w:val="20"/>
                <w:szCs w:val="20"/>
              </w:rPr>
              <w:t>LAs, CSOs, DDCs, VDCs, MoLGRD, MoJCA, NA, MHRC, MoInf</w:t>
            </w:r>
          </w:p>
        </w:tc>
        <w:tc>
          <w:tcPr>
            <w:tcW w:w="563" w:type="pct"/>
          </w:tcPr>
          <w:p w14:paraId="4B59D78B" w14:textId="77777777" w:rsidR="008306C4" w:rsidRPr="007D425D" w:rsidRDefault="008306C4" w:rsidP="007D425D">
            <w:pPr>
              <w:spacing w:after="0"/>
              <w:jc w:val="left"/>
              <w:rPr>
                <w:rFonts w:eastAsia="Calibri" w:cs="Arial"/>
                <w:sz w:val="20"/>
                <w:szCs w:val="20"/>
              </w:rPr>
            </w:pPr>
            <w:r w:rsidRPr="007D425D">
              <w:rPr>
                <w:rFonts w:eastAsia="Calibri" w:cs="Arial"/>
                <w:sz w:val="20"/>
                <w:szCs w:val="20"/>
              </w:rPr>
              <w:t>MoLGRD, UNDP</w:t>
            </w:r>
          </w:p>
        </w:tc>
      </w:tr>
      <w:tr w:rsidR="009D7BFA" w:rsidRPr="00F72B0D" w14:paraId="328F45BA" w14:textId="77777777" w:rsidTr="007D425D">
        <w:tc>
          <w:tcPr>
            <w:tcW w:w="496" w:type="pct"/>
            <w:vAlign w:val="center"/>
          </w:tcPr>
          <w:p w14:paraId="5D8E2CFB" w14:textId="77777777" w:rsidR="008306C4" w:rsidRPr="007D425D" w:rsidRDefault="008306C4" w:rsidP="007D425D">
            <w:pPr>
              <w:spacing w:after="0"/>
              <w:jc w:val="center"/>
              <w:rPr>
                <w:rFonts w:eastAsia="Calibri" w:cs="Arial"/>
                <w:b/>
                <w:sz w:val="20"/>
                <w:szCs w:val="20"/>
              </w:rPr>
            </w:pPr>
            <w:r w:rsidRPr="007D425D">
              <w:rPr>
                <w:rFonts w:eastAsia="Calibri" w:cs="Arial"/>
                <w:b/>
                <w:sz w:val="20"/>
                <w:szCs w:val="20"/>
              </w:rPr>
              <w:t>DPs</w:t>
            </w:r>
          </w:p>
        </w:tc>
        <w:tc>
          <w:tcPr>
            <w:tcW w:w="563" w:type="pct"/>
          </w:tcPr>
          <w:p w14:paraId="32607C77" w14:textId="77777777" w:rsidR="008306C4" w:rsidRPr="007D425D" w:rsidRDefault="008306C4" w:rsidP="007D425D">
            <w:pPr>
              <w:spacing w:after="0"/>
              <w:jc w:val="left"/>
              <w:rPr>
                <w:rFonts w:eastAsia="Calibri" w:cs="Arial"/>
                <w:sz w:val="20"/>
                <w:szCs w:val="20"/>
                <w:lang w:val="en-US"/>
              </w:rPr>
            </w:pPr>
            <w:r w:rsidRPr="007D425D">
              <w:rPr>
                <w:rFonts w:eastAsia="Calibri" w:cs="Arial"/>
                <w:sz w:val="20"/>
                <w:szCs w:val="20"/>
                <w:lang w:val="en-US"/>
              </w:rPr>
              <w:t>UNDP, EU, Irish Aid, JICA, Norway, DFID, UN Women</w:t>
            </w:r>
          </w:p>
        </w:tc>
        <w:tc>
          <w:tcPr>
            <w:tcW w:w="563" w:type="pct"/>
          </w:tcPr>
          <w:p w14:paraId="3A93AE8F" w14:textId="77777777" w:rsidR="008306C4" w:rsidRPr="007D425D" w:rsidRDefault="008306C4" w:rsidP="007D425D">
            <w:pPr>
              <w:spacing w:after="0"/>
              <w:jc w:val="left"/>
              <w:rPr>
                <w:rFonts w:eastAsia="Calibri" w:cs="Arial"/>
                <w:sz w:val="20"/>
                <w:szCs w:val="20"/>
                <w:lang w:val="en-US"/>
              </w:rPr>
            </w:pPr>
            <w:r w:rsidRPr="007D425D">
              <w:rPr>
                <w:rFonts w:eastAsia="Calibri" w:cs="Arial"/>
                <w:sz w:val="20"/>
                <w:szCs w:val="20"/>
                <w:lang w:val="en-US"/>
              </w:rPr>
              <w:t>UNDP, UNICEF, UNFPA, EU, DFID, Irish Aid, Norway</w:t>
            </w:r>
          </w:p>
        </w:tc>
        <w:tc>
          <w:tcPr>
            <w:tcW w:w="563" w:type="pct"/>
            <w:gridSpan w:val="2"/>
          </w:tcPr>
          <w:p w14:paraId="4E9C68CF" w14:textId="77777777" w:rsidR="008306C4" w:rsidRPr="007D425D" w:rsidRDefault="008306C4" w:rsidP="007D425D">
            <w:pPr>
              <w:spacing w:after="0"/>
              <w:jc w:val="left"/>
              <w:rPr>
                <w:rFonts w:eastAsia="Calibri" w:cs="Arial"/>
                <w:sz w:val="20"/>
                <w:szCs w:val="20"/>
                <w:lang w:val="en-US"/>
              </w:rPr>
            </w:pPr>
            <w:r w:rsidRPr="007D425D">
              <w:rPr>
                <w:rFonts w:eastAsia="Calibri" w:cs="Arial"/>
                <w:sz w:val="20"/>
                <w:szCs w:val="20"/>
                <w:lang w:val="en-US"/>
              </w:rPr>
              <w:t>UNDP, DFID, NIMD, DIPD, UN Women</w:t>
            </w:r>
          </w:p>
        </w:tc>
        <w:tc>
          <w:tcPr>
            <w:tcW w:w="563" w:type="pct"/>
          </w:tcPr>
          <w:p w14:paraId="616DA444" w14:textId="77777777" w:rsidR="008306C4" w:rsidRPr="007D425D" w:rsidRDefault="008306C4" w:rsidP="007D425D">
            <w:pPr>
              <w:spacing w:after="0"/>
              <w:jc w:val="left"/>
              <w:rPr>
                <w:rFonts w:eastAsia="Calibri" w:cs="Arial"/>
                <w:sz w:val="20"/>
                <w:szCs w:val="20"/>
              </w:rPr>
            </w:pPr>
            <w:r w:rsidRPr="007D425D">
              <w:rPr>
                <w:rFonts w:eastAsia="Calibri" w:cs="Arial"/>
                <w:sz w:val="20"/>
                <w:szCs w:val="20"/>
              </w:rPr>
              <w:t xml:space="preserve">UNDP, EU, UN Women, ILO, UNICEF, </w:t>
            </w:r>
            <w:r w:rsidRPr="007D425D">
              <w:t xml:space="preserve"> </w:t>
            </w:r>
            <w:r w:rsidRPr="007D425D">
              <w:rPr>
                <w:rFonts w:eastAsia="Calibri" w:cs="Arial"/>
                <w:sz w:val="20"/>
                <w:szCs w:val="20"/>
              </w:rPr>
              <w:t>UNFPA</w:t>
            </w:r>
          </w:p>
        </w:tc>
        <w:tc>
          <w:tcPr>
            <w:tcW w:w="563" w:type="pct"/>
          </w:tcPr>
          <w:p w14:paraId="4643A117" w14:textId="77777777" w:rsidR="008306C4" w:rsidRPr="007D425D" w:rsidRDefault="008306C4" w:rsidP="007D425D">
            <w:pPr>
              <w:spacing w:after="0"/>
              <w:jc w:val="left"/>
              <w:rPr>
                <w:rFonts w:eastAsia="Calibri" w:cs="Arial"/>
                <w:sz w:val="20"/>
                <w:szCs w:val="20"/>
              </w:rPr>
            </w:pPr>
            <w:r w:rsidRPr="007D425D">
              <w:rPr>
                <w:rFonts w:eastAsia="Calibri" w:cs="Arial"/>
                <w:sz w:val="20"/>
                <w:szCs w:val="20"/>
              </w:rPr>
              <w:t>UNDP, UN Women, AU, EU</w:t>
            </w:r>
          </w:p>
        </w:tc>
        <w:tc>
          <w:tcPr>
            <w:tcW w:w="563" w:type="pct"/>
            <w:gridSpan w:val="2"/>
            <w:shd w:val="clear" w:color="auto" w:fill="F2F2F2"/>
          </w:tcPr>
          <w:p w14:paraId="2B87C7C6" w14:textId="77777777" w:rsidR="008306C4" w:rsidRPr="007D425D" w:rsidRDefault="008306C4" w:rsidP="007D425D">
            <w:pPr>
              <w:spacing w:after="0"/>
              <w:jc w:val="left"/>
              <w:rPr>
                <w:rFonts w:eastAsia="Calibri" w:cs="Arial"/>
                <w:sz w:val="20"/>
                <w:szCs w:val="20"/>
              </w:rPr>
            </w:pPr>
            <w:r w:rsidRPr="007D425D">
              <w:rPr>
                <w:rFonts w:eastAsia="Calibri" w:cs="Arial"/>
                <w:sz w:val="20"/>
                <w:szCs w:val="20"/>
              </w:rPr>
              <w:t>UN Women</w:t>
            </w:r>
          </w:p>
        </w:tc>
        <w:tc>
          <w:tcPr>
            <w:tcW w:w="563" w:type="pct"/>
          </w:tcPr>
          <w:p w14:paraId="1307B74C" w14:textId="77777777" w:rsidR="008306C4" w:rsidRPr="007D425D" w:rsidRDefault="008306C4" w:rsidP="007D425D">
            <w:pPr>
              <w:spacing w:after="0"/>
              <w:jc w:val="left"/>
              <w:rPr>
                <w:rFonts w:eastAsia="Calibri" w:cs="Arial"/>
                <w:sz w:val="20"/>
                <w:szCs w:val="20"/>
              </w:rPr>
            </w:pPr>
            <w:r w:rsidRPr="007D425D">
              <w:rPr>
                <w:rFonts w:eastAsia="Calibri" w:cs="Arial"/>
                <w:sz w:val="20"/>
                <w:szCs w:val="20"/>
              </w:rPr>
              <w:t>Irish Aid, Norway</w:t>
            </w:r>
          </w:p>
        </w:tc>
        <w:tc>
          <w:tcPr>
            <w:tcW w:w="563" w:type="pct"/>
          </w:tcPr>
          <w:p w14:paraId="2A0F9336" w14:textId="77777777" w:rsidR="008306C4" w:rsidRPr="007D425D" w:rsidRDefault="008306C4" w:rsidP="007D425D">
            <w:pPr>
              <w:spacing w:after="0"/>
              <w:jc w:val="left"/>
              <w:rPr>
                <w:rFonts w:eastAsia="Calibri" w:cs="Arial"/>
                <w:sz w:val="20"/>
                <w:szCs w:val="20"/>
                <w:lang w:val="en-US"/>
              </w:rPr>
            </w:pPr>
            <w:r w:rsidRPr="007D425D">
              <w:rPr>
                <w:rFonts w:eastAsia="Calibri" w:cs="Arial"/>
                <w:sz w:val="20"/>
                <w:szCs w:val="20"/>
                <w:lang w:val="en-US"/>
              </w:rPr>
              <w:t>UNDP, UNICEF, UN Women, USAID, DFID, Irish Aid, GIZ, Concern Uni. Eng. w/o Borders</w:t>
            </w:r>
          </w:p>
        </w:tc>
      </w:tr>
    </w:tbl>
    <w:p w14:paraId="3D72B282" w14:textId="77777777" w:rsidR="00C145C4" w:rsidRDefault="00C145C4" w:rsidP="00C26EDE">
      <w:pPr>
        <w:rPr>
          <w:b/>
          <w:lang w:val="it-IT"/>
        </w:rPr>
        <w:sectPr w:rsidR="00C145C4" w:rsidSect="00CE55C9">
          <w:pgSz w:w="15840" w:h="12240" w:orient="landscape"/>
          <w:pgMar w:top="720" w:right="720" w:bottom="720" w:left="720" w:header="720" w:footer="720" w:gutter="0"/>
          <w:cols w:space="720"/>
          <w:docGrid w:linePitch="360"/>
        </w:sectPr>
      </w:pPr>
    </w:p>
    <w:p w14:paraId="7436F912" w14:textId="77777777" w:rsidR="00C26EDE" w:rsidRDefault="0057206A" w:rsidP="00C26EDE">
      <w:pPr>
        <w:rPr>
          <w:lang w:val="it-IT"/>
        </w:rPr>
      </w:pPr>
      <w:r>
        <w:rPr>
          <w:b/>
          <w:lang w:val="it-IT"/>
        </w:rPr>
        <w:lastRenderedPageBreak/>
        <w:t>Annex 8</w:t>
      </w:r>
      <w:r w:rsidR="00C26EDE" w:rsidRPr="00305416">
        <w:rPr>
          <w:lang w:val="it-IT"/>
        </w:rPr>
        <w:t xml:space="preserve"> completes the linkages between Outcome 4.1 and the seven support projects with a presentation of the results chain of Outcome 4.1 from project outputs to outcome achievement.</w:t>
      </w:r>
    </w:p>
    <w:p w14:paraId="7BFE0B31" w14:textId="77777777" w:rsidR="00C26EDE" w:rsidRDefault="00C26EDE" w:rsidP="00C26EDE">
      <w:pPr>
        <w:rPr>
          <w:lang w:val="en-US"/>
        </w:rPr>
      </w:pPr>
      <w:r w:rsidRPr="00305416">
        <w:rPr>
          <w:lang w:val="en-US"/>
        </w:rPr>
        <w:t xml:space="preserve">The UNDAF 2012-2016 has 14 priority development outcomes in total. As a Delivery As One (DaO)  volunteering country, the United Nations Country Team (UNCT) agreed that individual UN agencies would adopt appropriate UNDAF outcomes in their Country Programme Documents (CPDs) instead of developing agency specific outcome statements for their respective </w:t>
      </w:r>
      <w:r>
        <w:rPr>
          <w:lang w:val="en-US"/>
        </w:rPr>
        <w:t>CPDs</w:t>
      </w:r>
      <w:r w:rsidRPr="00305416">
        <w:rPr>
          <w:lang w:val="en-US"/>
        </w:rPr>
        <w:t>.</w:t>
      </w:r>
    </w:p>
    <w:p w14:paraId="5C00471E" w14:textId="77777777" w:rsidR="00C26EDE" w:rsidRPr="00CD56B9" w:rsidRDefault="00C26EDE" w:rsidP="00C26EDE">
      <w:pPr>
        <w:rPr>
          <w:lang w:val="en-US"/>
        </w:rPr>
      </w:pPr>
      <w:r w:rsidRPr="00C94CA5">
        <w:rPr>
          <w:lang w:val="en-US"/>
        </w:rPr>
        <w:t xml:space="preserve">UNDP is the lead UN Agency for Outcome 4.1, which is one of six UNDAF outcomes to which UNDP is directly contributing financially and technically. </w:t>
      </w:r>
      <w:r w:rsidR="00F402B1">
        <w:rPr>
          <w:lang w:val="en-US"/>
        </w:rPr>
        <w:t>A</w:t>
      </w:r>
      <w:r w:rsidRPr="00CD56B9">
        <w:rPr>
          <w:lang w:val="en-US"/>
        </w:rPr>
        <w:t xml:space="preserve"> number of UN agencies </w:t>
      </w:r>
      <w:r w:rsidR="00E538F0" w:rsidRPr="00CD56B9">
        <w:rPr>
          <w:lang w:val="en-US"/>
        </w:rPr>
        <w:t xml:space="preserve">also </w:t>
      </w:r>
      <w:r w:rsidRPr="00CD56B9">
        <w:rPr>
          <w:lang w:val="en-US"/>
        </w:rPr>
        <w:t xml:space="preserve">provide technical </w:t>
      </w:r>
      <w:r w:rsidR="00E538F0" w:rsidRPr="00CD56B9">
        <w:rPr>
          <w:lang w:val="en-US"/>
        </w:rPr>
        <w:t xml:space="preserve">and financial </w:t>
      </w:r>
      <w:r w:rsidRPr="00CD56B9">
        <w:rPr>
          <w:lang w:val="en-US"/>
        </w:rPr>
        <w:t>support, in particular UNICEF, UNFPA and UN Women.</w:t>
      </w:r>
    </w:p>
    <w:p w14:paraId="11B52E88" w14:textId="77777777" w:rsidR="00C26EDE" w:rsidRPr="00CD56B9" w:rsidRDefault="00C26EDE" w:rsidP="00C26EDE">
      <w:pPr>
        <w:rPr>
          <w:lang w:val="en-US"/>
        </w:rPr>
      </w:pPr>
      <w:r w:rsidRPr="00CD56B9">
        <w:rPr>
          <w:lang w:val="en-US"/>
        </w:rPr>
        <w:t xml:space="preserve">Another joint UNDAF design exercise was conducted in 2014 as a response to the guiding principles for realigning the UNDAF to the UNDP strategic Plan 2013-2016. This time around, a reconstruction of the UNDAF management setup was </w:t>
      </w:r>
      <w:r w:rsidR="001657E9" w:rsidRPr="00CD56B9">
        <w:rPr>
          <w:lang w:val="en-US"/>
        </w:rPr>
        <w:t>adopted</w:t>
      </w:r>
      <w:r w:rsidRPr="00CD56B9">
        <w:rPr>
          <w:lang w:val="en-US"/>
        </w:rPr>
        <w:t xml:space="preserve"> in which the four cluster management teams were reduced to only two with a third responsible for M&amp;E. The new </w:t>
      </w:r>
      <w:r w:rsidR="0049105C" w:rsidRPr="00CD56B9">
        <w:rPr>
          <w:lang w:val="en-US"/>
        </w:rPr>
        <w:t>cluster, which the Outcome 4.1 refers to,</w:t>
      </w:r>
      <w:r w:rsidRPr="00CD56B9">
        <w:rPr>
          <w:lang w:val="en-US"/>
        </w:rPr>
        <w:t xml:space="preserve"> is called Responsive Institutions and Citizen Engagement. </w:t>
      </w:r>
    </w:p>
    <w:p w14:paraId="6EC6C8B5" w14:textId="77777777" w:rsidR="000C1092" w:rsidRPr="00CD56B9" w:rsidRDefault="001F3E0D" w:rsidP="00D711EE">
      <w:pPr>
        <w:rPr>
          <w:lang w:val="en-US"/>
        </w:rPr>
      </w:pPr>
      <w:r w:rsidRPr="00CD56B9">
        <w:rPr>
          <w:lang w:val="en-US"/>
        </w:rPr>
        <w:t xml:space="preserve">The following sections </w:t>
      </w:r>
      <w:r w:rsidR="001657E9" w:rsidRPr="00CD56B9">
        <w:rPr>
          <w:lang w:val="en-US"/>
        </w:rPr>
        <w:t xml:space="preserve">in this chapter </w:t>
      </w:r>
      <w:r w:rsidRPr="00CD56B9">
        <w:rPr>
          <w:lang w:val="en-US"/>
        </w:rPr>
        <w:t>present an assessment of the support rendered under Outcome 4.1.</w:t>
      </w:r>
      <w:r w:rsidR="0049105C" w:rsidRPr="00CD56B9">
        <w:rPr>
          <w:lang w:val="en-US"/>
        </w:rPr>
        <w:t xml:space="preserve"> The </w:t>
      </w:r>
      <w:r w:rsidR="00472150" w:rsidRPr="00CD56B9">
        <w:rPr>
          <w:lang w:val="en-US"/>
        </w:rPr>
        <w:t xml:space="preserve">likelihood of achieving project </w:t>
      </w:r>
      <w:r w:rsidR="0049105C" w:rsidRPr="00CD56B9">
        <w:rPr>
          <w:lang w:val="en-US"/>
        </w:rPr>
        <w:t xml:space="preserve">output </w:t>
      </w:r>
      <w:r w:rsidR="00472150" w:rsidRPr="00CD56B9">
        <w:rPr>
          <w:lang w:val="en-US"/>
        </w:rPr>
        <w:t xml:space="preserve">targets by end 2016 </w:t>
      </w:r>
      <w:r w:rsidR="0049105C" w:rsidRPr="00CD56B9">
        <w:rPr>
          <w:lang w:val="en-US"/>
        </w:rPr>
        <w:t xml:space="preserve">are </w:t>
      </w:r>
      <w:r w:rsidR="00D7321B" w:rsidRPr="00CD56B9">
        <w:rPr>
          <w:lang w:val="en-US"/>
        </w:rPr>
        <w:t>summarized</w:t>
      </w:r>
      <w:r w:rsidR="0049105C" w:rsidRPr="00CD56B9">
        <w:rPr>
          <w:lang w:val="en-US"/>
        </w:rPr>
        <w:t xml:space="preserve"> by </w:t>
      </w:r>
      <w:r w:rsidR="00D7321B" w:rsidRPr="00CD56B9">
        <w:rPr>
          <w:lang w:val="en-US"/>
        </w:rPr>
        <w:t>color</w:t>
      </w:r>
      <w:r w:rsidR="0049105C" w:rsidRPr="00CD56B9">
        <w:rPr>
          <w:lang w:val="en-US"/>
        </w:rPr>
        <w:t xml:space="preserve"> coding in the matrix found in </w:t>
      </w:r>
      <w:r w:rsidR="0049105C" w:rsidRPr="00CD56B9">
        <w:rPr>
          <w:b/>
          <w:lang w:val="en-US"/>
        </w:rPr>
        <w:t xml:space="preserve">Annex </w:t>
      </w:r>
      <w:r w:rsidR="0057206A" w:rsidRPr="00CD56B9">
        <w:rPr>
          <w:b/>
          <w:lang w:val="en-US"/>
        </w:rPr>
        <w:t>8</w:t>
      </w:r>
      <w:r w:rsidR="0049105C" w:rsidRPr="00CD56B9">
        <w:rPr>
          <w:lang w:val="en-US"/>
        </w:rPr>
        <w:t>.</w:t>
      </w:r>
    </w:p>
    <w:p w14:paraId="5B0EB586" w14:textId="77777777" w:rsidR="0049105C" w:rsidRPr="00CD56B9" w:rsidRDefault="0049105C" w:rsidP="00D711EE">
      <w:pPr>
        <w:rPr>
          <w:lang w:val="en-US"/>
        </w:rPr>
        <w:sectPr w:rsidR="0049105C" w:rsidRPr="00CD56B9" w:rsidSect="006F3E09">
          <w:pgSz w:w="12240" w:h="15840"/>
          <w:pgMar w:top="1440" w:right="1440" w:bottom="1440" w:left="1440" w:header="720" w:footer="720" w:gutter="0"/>
          <w:cols w:space="720"/>
          <w:docGrid w:linePitch="360"/>
        </w:sectPr>
      </w:pPr>
    </w:p>
    <w:p w14:paraId="5E56B390" w14:textId="77777777" w:rsidR="000C1092" w:rsidRPr="00CD56B9" w:rsidRDefault="000C1092" w:rsidP="00997A7B">
      <w:pPr>
        <w:pStyle w:val="Overskrift2"/>
        <w:numPr>
          <w:ilvl w:val="0"/>
          <w:numId w:val="0"/>
        </w:numPr>
        <w:rPr>
          <w:rFonts w:eastAsia="Arial"/>
          <w:lang w:val="en-US"/>
        </w:rPr>
      </w:pPr>
      <w:bookmarkStart w:id="8" w:name="_Toc439245577"/>
      <w:r w:rsidRPr="00CD56B9">
        <w:rPr>
          <w:rFonts w:eastAsia="Arial"/>
          <w:lang w:val="en-US"/>
        </w:rPr>
        <w:lastRenderedPageBreak/>
        <w:t>3.1 Democratic Governance Sector Support Program</w:t>
      </w:r>
      <w:bookmarkEnd w:id="8"/>
    </w:p>
    <w:p w14:paraId="3F338C01" w14:textId="77777777" w:rsidR="000C1092" w:rsidRPr="00CD56B9" w:rsidRDefault="000C1092" w:rsidP="000C1092">
      <w:pPr>
        <w:spacing w:after="0"/>
        <w:rPr>
          <w:lang w:val="en-US"/>
        </w:rPr>
      </w:pPr>
    </w:p>
    <w:p w14:paraId="378EE365" w14:textId="77777777" w:rsidR="000C1092" w:rsidRPr="00CD56B9" w:rsidRDefault="000C1092" w:rsidP="000C1092">
      <w:pPr>
        <w:rPr>
          <w:lang w:val="en-US"/>
        </w:rPr>
      </w:pPr>
      <w:r w:rsidRPr="00CD56B9">
        <w:rPr>
          <w:lang w:val="en-US"/>
        </w:rPr>
        <w:t xml:space="preserve">The Democratic Governance Sector Support Program is linked to UNDAF Outcome 4.1.1 and implemented with the Ministry of Justice and Constitutional Affairs (MoJCA) as lead agency. It is a four-year program from 2013-2016 and has a total budget of USD 5.3 million. Out of this, USD 3.9 million has been committed from UNDP’s core funding sources (Tract and the One Fund). </w:t>
      </w:r>
    </w:p>
    <w:p w14:paraId="7FB67C25" w14:textId="77777777" w:rsidR="000C1092" w:rsidRPr="00CD56B9" w:rsidRDefault="000C1092" w:rsidP="000C1092">
      <w:pPr>
        <w:rPr>
          <w:lang w:val="en-US"/>
        </w:rPr>
      </w:pPr>
      <w:r w:rsidRPr="00CD56B9">
        <w:rPr>
          <w:lang w:val="en-US"/>
        </w:rPr>
        <w:t xml:space="preserve">The program is aligned to MDGS II and international commitments to the Paris Declaration (2005) and the Accra Agenda for Action (2008), and recognition of the need to have a forum for negotiating policy dialogue and agreements of plans and undertakings of government and its development partners at a sectoral level using a coordinated and </w:t>
      </w:r>
      <w:r w:rsidR="00B238A9" w:rsidRPr="00CD56B9">
        <w:rPr>
          <w:lang w:val="en-US"/>
        </w:rPr>
        <w:t>harmonized</w:t>
      </w:r>
      <w:r w:rsidRPr="00CD56B9">
        <w:rPr>
          <w:lang w:val="en-US"/>
        </w:rPr>
        <w:t xml:space="preserve"> approach. It is based on the Policy Framework Paper in 2010, and the Democratic Governance Sector Strategy (DGSS) 2013-2017, which seek to improve service delivery and address systemic challenges facing sector institutions.</w:t>
      </w:r>
    </w:p>
    <w:p w14:paraId="16C58B35" w14:textId="77777777" w:rsidR="000C1092" w:rsidRPr="00CD56B9" w:rsidRDefault="000C1092" w:rsidP="000C1092">
      <w:pPr>
        <w:tabs>
          <w:tab w:val="num" w:pos="720"/>
        </w:tabs>
        <w:rPr>
          <w:lang w:val="en-US"/>
        </w:rPr>
      </w:pPr>
      <w:r w:rsidRPr="00CD56B9">
        <w:rPr>
          <w:lang w:val="en-US"/>
        </w:rPr>
        <w:t xml:space="preserve">The program is designed to support the implementation of the DGSS. It focuses on strengthening the sector as a whole and the individual institutions that make up the sector, in order to be more effective, efficient and able to </w:t>
      </w:r>
      <w:r w:rsidR="00B238A9" w:rsidRPr="00CD56B9">
        <w:rPr>
          <w:lang w:val="en-US"/>
        </w:rPr>
        <w:t>realize</w:t>
      </w:r>
      <w:r w:rsidRPr="00CD56B9">
        <w:rPr>
          <w:lang w:val="en-US"/>
        </w:rPr>
        <w:t xml:space="preserve"> the Key Result Areas identified in the Sector Strategy:</w:t>
      </w:r>
    </w:p>
    <w:p w14:paraId="337A3C28" w14:textId="77777777" w:rsidR="000C1092" w:rsidRPr="00A558B8" w:rsidRDefault="000C1092" w:rsidP="00F769B0">
      <w:pPr>
        <w:pStyle w:val="Listeafsnit"/>
        <w:numPr>
          <w:ilvl w:val="0"/>
          <w:numId w:val="23"/>
        </w:numPr>
        <w:tabs>
          <w:tab w:val="num" w:pos="720"/>
        </w:tabs>
        <w:spacing w:after="0"/>
        <w:rPr>
          <w:lang w:val="en-GB"/>
        </w:rPr>
      </w:pPr>
      <w:r w:rsidRPr="00CD56B9">
        <w:rPr>
          <w:lang w:val="en-US"/>
        </w:rPr>
        <w:t xml:space="preserve">Effective Democratic Governance sector institutions, </w:t>
      </w:r>
    </w:p>
    <w:p w14:paraId="7362A471" w14:textId="77777777" w:rsidR="000C1092" w:rsidRPr="00A558B8" w:rsidRDefault="000C1092" w:rsidP="00F769B0">
      <w:pPr>
        <w:numPr>
          <w:ilvl w:val="0"/>
          <w:numId w:val="22"/>
        </w:numPr>
        <w:spacing w:after="0"/>
        <w:rPr>
          <w:lang w:val="en-GB"/>
        </w:rPr>
      </w:pPr>
      <w:r w:rsidRPr="00CD56B9">
        <w:rPr>
          <w:lang w:val="en-US"/>
        </w:rPr>
        <w:t>Strengthened rule of law, improved access to justice, public safety and security,</w:t>
      </w:r>
    </w:p>
    <w:p w14:paraId="2A4B820E" w14:textId="77777777" w:rsidR="000C1092" w:rsidRPr="00A558B8" w:rsidRDefault="000C1092" w:rsidP="00F769B0">
      <w:pPr>
        <w:numPr>
          <w:ilvl w:val="0"/>
          <w:numId w:val="22"/>
        </w:numPr>
        <w:spacing w:after="0"/>
        <w:rPr>
          <w:lang w:val="en-GB"/>
        </w:rPr>
      </w:pPr>
      <w:r w:rsidRPr="00CD56B9">
        <w:rPr>
          <w:lang w:val="en-US"/>
        </w:rPr>
        <w:t>Improved protection of human rights,</w:t>
      </w:r>
    </w:p>
    <w:p w14:paraId="2DC9286E" w14:textId="77777777" w:rsidR="000C1092" w:rsidRPr="004731F8" w:rsidRDefault="000C1092" w:rsidP="00F769B0">
      <w:pPr>
        <w:numPr>
          <w:ilvl w:val="0"/>
          <w:numId w:val="22"/>
        </w:numPr>
        <w:spacing w:after="0"/>
      </w:pPr>
      <w:r w:rsidRPr="004731F8">
        <w:t>Free and credible elections,</w:t>
      </w:r>
    </w:p>
    <w:p w14:paraId="1920D988" w14:textId="77777777" w:rsidR="000C1092" w:rsidRPr="00A558B8" w:rsidRDefault="000C1092" w:rsidP="00F769B0">
      <w:pPr>
        <w:numPr>
          <w:ilvl w:val="0"/>
          <w:numId w:val="22"/>
        </w:numPr>
        <w:spacing w:after="0"/>
        <w:rPr>
          <w:lang w:val="en-GB"/>
        </w:rPr>
      </w:pPr>
      <w:r w:rsidRPr="00CD56B9">
        <w:rPr>
          <w:lang w:val="en-US"/>
        </w:rPr>
        <w:t>Transparent accountable and responsive public institutions, and</w:t>
      </w:r>
    </w:p>
    <w:p w14:paraId="1C45FA85" w14:textId="77777777" w:rsidR="000C1092" w:rsidRPr="00A558B8" w:rsidRDefault="000C1092" w:rsidP="00F769B0">
      <w:pPr>
        <w:numPr>
          <w:ilvl w:val="0"/>
          <w:numId w:val="22"/>
        </w:numPr>
        <w:spacing w:after="0"/>
        <w:rPr>
          <w:lang w:val="en-GB"/>
        </w:rPr>
      </w:pPr>
      <w:r w:rsidRPr="00CD56B9">
        <w:rPr>
          <w:lang w:val="en-US"/>
        </w:rPr>
        <w:t>More effective independent and representative legislature.</w:t>
      </w:r>
    </w:p>
    <w:p w14:paraId="43A87810" w14:textId="77777777" w:rsidR="000C1092" w:rsidRPr="00A558B8" w:rsidRDefault="000C1092" w:rsidP="000C1092">
      <w:pPr>
        <w:spacing w:before="240"/>
        <w:rPr>
          <w:lang w:val="en-GB"/>
        </w:rPr>
      </w:pPr>
      <w:r w:rsidRPr="00CD56B9">
        <w:rPr>
          <w:lang w:val="en-US"/>
        </w:rPr>
        <w:t>The program also seeks to improve coordination among institutions in the Democratic Governance Sector through enhanced information sharing and communication; joint planning, budgeting, implementation, monitoring and evaluation.</w:t>
      </w:r>
    </w:p>
    <w:p w14:paraId="3112DD0C" w14:textId="07715031" w:rsidR="000C1092" w:rsidRPr="00A558B8" w:rsidRDefault="000C1092" w:rsidP="000C1092">
      <w:pPr>
        <w:rPr>
          <w:lang w:val="en-GB"/>
        </w:rPr>
      </w:pPr>
      <w:r w:rsidRPr="00CD56B9">
        <w:rPr>
          <w:lang w:val="en-US"/>
        </w:rPr>
        <w:t>The Democratic Governance sector in Malawi consists of nineteen institutions</w:t>
      </w:r>
      <w:r w:rsidR="0000361D">
        <w:rPr>
          <w:rStyle w:val="Fodnotehenvisning"/>
          <w:lang w:val="en-US"/>
        </w:rPr>
        <w:footnoteReference w:id="4"/>
      </w:r>
      <w:r w:rsidRPr="00CD56B9">
        <w:rPr>
          <w:lang w:val="en-US"/>
        </w:rPr>
        <w:t xml:space="preserve"> responsible for the administration of justice and democratic accountability. It cuts across the three arms of government: the Legislature, the Executive, and the Judiciary, and embraces </w:t>
      </w:r>
      <w:r w:rsidR="001F4D4A" w:rsidRPr="00CD56B9">
        <w:rPr>
          <w:lang w:val="en-US"/>
        </w:rPr>
        <w:t>organized</w:t>
      </w:r>
      <w:r w:rsidRPr="00CD56B9">
        <w:rPr>
          <w:lang w:val="en-US"/>
        </w:rPr>
        <w:t xml:space="preserve"> civil society and citizen actions in the area of democratic governance.</w:t>
      </w:r>
    </w:p>
    <w:p w14:paraId="3BB6EA07" w14:textId="77777777" w:rsidR="000C1092" w:rsidRPr="00CD56B9" w:rsidRDefault="000C1092" w:rsidP="000C1092">
      <w:pPr>
        <w:rPr>
          <w:lang w:val="en-US"/>
        </w:rPr>
      </w:pPr>
      <w:r w:rsidRPr="00CD56B9">
        <w:rPr>
          <w:lang w:val="en-US"/>
        </w:rPr>
        <w:t>The program has four outputs:</w:t>
      </w:r>
    </w:p>
    <w:p w14:paraId="733CF21F" w14:textId="77777777" w:rsidR="000C1092" w:rsidRPr="00CD56B9" w:rsidRDefault="000C1092" w:rsidP="000C1092">
      <w:pPr>
        <w:spacing w:after="0"/>
        <w:rPr>
          <w:lang w:val="en-US"/>
        </w:rPr>
      </w:pPr>
      <w:r w:rsidRPr="00CD56B9">
        <w:rPr>
          <w:b/>
          <w:lang w:val="en-US"/>
        </w:rPr>
        <w:t>Output 1:</w:t>
      </w:r>
      <w:r w:rsidRPr="00CD56B9">
        <w:rPr>
          <w:lang w:val="en-US"/>
        </w:rPr>
        <w:t xml:space="preserve"> Effectiveness and efficiency of democratic governance sector institutions enhanced</w:t>
      </w:r>
    </w:p>
    <w:p w14:paraId="04217877" w14:textId="77777777" w:rsidR="000C1092" w:rsidRPr="00CD56B9" w:rsidRDefault="000C1092" w:rsidP="000C1092">
      <w:pPr>
        <w:spacing w:after="0"/>
        <w:rPr>
          <w:lang w:val="en-US"/>
        </w:rPr>
      </w:pPr>
      <w:r w:rsidRPr="00CD56B9">
        <w:rPr>
          <w:b/>
          <w:lang w:val="en-US"/>
        </w:rPr>
        <w:t>Output 2:</w:t>
      </w:r>
      <w:r w:rsidRPr="00CD56B9">
        <w:rPr>
          <w:lang w:val="en-US"/>
        </w:rPr>
        <w:t xml:space="preserve"> Policy, legal and regulatory frameworks for effective DG sector revised </w:t>
      </w:r>
    </w:p>
    <w:p w14:paraId="1317219C" w14:textId="1F579F39" w:rsidR="000C1092" w:rsidRPr="00CD56B9" w:rsidRDefault="000C1092" w:rsidP="000C1092">
      <w:pPr>
        <w:spacing w:after="0"/>
        <w:rPr>
          <w:lang w:val="en-US"/>
        </w:rPr>
      </w:pPr>
      <w:r w:rsidRPr="00CD56B9">
        <w:rPr>
          <w:b/>
          <w:lang w:val="en-US"/>
        </w:rPr>
        <w:t>Output 3</w:t>
      </w:r>
      <w:r w:rsidRPr="00CD56B9">
        <w:rPr>
          <w:lang w:val="en-US"/>
        </w:rPr>
        <w:t xml:space="preserve">: DG sector coordination mechanisms </w:t>
      </w:r>
      <w:r w:rsidR="006D5EBE" w:rsidRPr="00CD56B9">
        <w:rPr>
          <w:lang w:val="en-US"/>
        </w:rPr>
        <w:t>operationali</w:t>
      </w:r>
      <w:r w:rsidR="006D5EBE">
        <w:rPr>
          <w:lang w:val="en-US"/>
        </w:rPr>
        <w:t>z</w:t>
      </w:r>
      <w:r w:rsidR="006D5EBE" w:rsidRPr="00CD56B9">
        <w:rPr>
          <w:lang w:val="en-US"/>
        </w:rPr>
        <w:t>ed</w:t>
      </w:r>
      <w:r w:rsidRPr="00CD56B9">
        <w:rPr>
          <w:lang w:val="en-US"/>
        </w:rPr>
        <w:t xml:space="preserve"> </w:t>
      </w:r>
    </w:p>
    <w:p w14:paraId="79710FDF" w14:textId="77777777" w:rsidR="00270F91" w:rsidRPr="00CD56B9" w:rsidRDefault="000C1092" w:rsidP="000C1092">
      <w:pPr>
        <w:spacing w:after="0"/>
        <w:rPr>
          <w:lang w:val="en-US"/>
        </w:rPr>
      </w:pPr>
      <w:r w:rsidRPr="00CD56B9">
        <w:rPr>
          <w:b/>
          <w:lang w:val="en-US"/>
        </w:rPr>
        <w:t>Output 4:</w:t>
      </w:r>
      <w:r w:rsidRPr="00CD56B9">
        <w:rPr>
          <w:lang w:val="en-US"/>
        </w:rPr>
        <w:t xml:space="preserve"> Effective and efficient management, partnership information, monitoring, and</w:t>
      </w:r>
    </w:p>
    <w:p w14:paraId="017AD2AE" w14:textId="77777777" w:rsidR="000C1092" w:rsidRPr="00A558B8" w:rsidRDefault="000C1092" w:rsidP="000C1092">
      <w:pPr>
        <w:spacing w:after="0"/>
        <w:rPr>
          <w:lang w:val="en-GB"/>
        </w:rPr>
      </w:pPr>
      <w:r w:rsidRPr="00CD56B9">
        <w:rPr>
          <w:lang w:val="en-US"/>
        </w:rPr>
        <w:t>evaluation of the project.</w:t>
      </w:r>
    </w:p>
    <w:p w14:paraId="5FF109A4" w14:textId="77777777" w:rsidR="000C1092" w:rsidRPr="00CD56B9" w:rsidRDefault="000C1092" w:rsidP="000C1092">
      <w:pPr>
        <w:spacing w:after="0"/>
        <w:rPr>
          <w:lang w:val="en-US"/>
        </w:rPr>
      </w:pPr>
    </w:p>
    <w:p w14:paraId="3D0BCDC5" w14:textId="77777777" w:rsidR="000C1092" w:rsidRPr="00CD56B9" w:rsidRDefault="000C1092" w:rsidP="000C1092">
      <w:pPr>
        <w:spacing w:after="0"/>
        <w:rPr>
          <w:b/>
          <w:lang w:val="en-US"/>
        </w:rPr>
      </w:pPr>
      <w:r w:rsidRPr="00CD56B9">
        <w:rPr>
          <w:b/>
          <w:lang w:val="en-US"/>
        </w:rPr>
        <w:t>Achievements</w:t>
      </w:r>
    </w:p>
    <w:p w14:paraId="08E1C0CF" w14:textId="77777777" w:rsidR="000C1092" w:rsidRPr="00CD56B9" w:rsidRDefault="000C1092" w:rsidP="000C1092">
      <w:pPr>
        <w:rPr>
          <w:lang w:val="en-US"/>
        </w:rPr>
      </w:pPr>
      <w:r w:rsidRPr="00CD56B9">
        <w:rPr>
          <w:lang w:val="en-US"/>
        </w:rPr>
        <w:t xml:space="preserve">The basis for assessing program midterm achievements has been the program document, the 2014 progress report and the interviews conducted during the field mission. The MTE noted that </w:t>
      </w:r>
      <w:r w:rsidRPr="00CD56B9">
        <w:rPr>
          <w:lang w:val="en-US"/>
        </w:rPr>
        <w:lastRenderedPageBreak/>
        <w:t>some changes in the order of output progress reporting and that output indicators have changed during program implementation, which makes it difficult to measure achievements based on the original results log frame. Therefore, the assessment here is primarily based on the generic discussions on output achievements with MoJCA.</w:t>
      </w:r>
    </w:p>
    <w:p w14:paraId="57AE6831" w14:textId="77777777" w:rsidR="000C1092" w:rsidRPr="00CD56B9" w:rsidRDefault="000C1092" w:rsidP="000C1092">
      <w:pPr>
        <w:rPr>
          <w:lang w:val="en-US"/>
        </w:rPr>
      </w:pPr>
      <w:r w:rsidRPr="00CD56B9">
        <w:rPr>
          <w:lang w:val="en-US"/>
        </w:rPr>
        <w:t>Among the main achievement of the program is the application of the SWAp in the DG Sector (output</w:t>
      </w:r>
      <w:r w:rsidR="00E96C8F" w:rsidRPr="00CD56B9">
        <w:rPr>
          <w:lang w:val="en-US"/>
        </w:rPr>
        <w:t xml:space="preserve"> 3), and the establishment of a</w:t>
      </w:r>
      <w:r w:rsidRPr="00CD56B9">
        <w:rPr>
          <w:lang w:val="en-US"/>
        </w:rPr>
        <w:t xml:space="preserve"> </w:t>
      </w:r>
      <w:r w:rsidR="00E96C8F" w:rsidRPr="00CD56B9">
        <w:rPr>
          <w:lang w:val="en-US"/>
        </w:rPr>
        <w:t xml:space="preserve">coordination </w:t>
      </w:r>
      <w:r w:rsidRPr="00CD56B9">
        <w:rPr>
          <w:lang w:val="en-US"/>
        </w:rPr>
        <w:t>infrastructure for sector reforms and harmonization of support to democratic governance. The coordination mechanism is unfolded through the SWG, the TWGs, the Sector Coordination Committee and the Secretariat and there is now an emerging sector approach to reform implementation, establishment of partnerships and resource mobilization, although the latter has been sever</w:t>
      </w:r>
      <w:r w:rsidR="003B78BA" w:rsidRPr="00CD56B9">
        <w:rPr>
          <w:lang w:val="en-US"/>
        </w:rPr>
        <w:t>ely impeded by cash</w:t>
      </w:r>
      <w:r w:rsidRPr="00CD56B9">
        <w:rPr>
          <w:lang w:val="en-US"/>
        </w:rPr>
        <w:t xml:space="preserve">gate and the DPs reluctance to channel funds through the basket fund. Other achievements include the alignment of 14 out of 19 sector institution strategies to the DGSS and the highly commendable piloting of </w:t>
      </w:r>
      <w:r w:rsidR="00E96C8F" w:rsidRPr="00CD56B9">
        <w:rPr>
          <w:lang w:val="en-US"/>
        </w:rPr>
        <w:t xml:space="preserve">the </w:t>
      </w:r>
      <w:r w:rsidRPr="00CD56B9">
        <w:rPr>
          <w:lang w:val="en-US"/>
        </w:rPr>
        <w:t>one-stop shop approach to services at district level. Other tangible achievements are captured by the individual support project assessments</w:t>
      </w:r>
      <w:r w:rsidR="00324C62" w:rsidRPr="00CD56B9">
        <w:rPr>
          <w:lang w:val="en-US"/>
        </w:rPr>
        <w:t xml:space="preserve"> in this report</w:t>
      </w:r>
      <w:r w:rsidRPr="00CD56B9">
        <w:rPr>
          <w:lang w:val="en-US"/>
        </w:rPr>
        <w:t xml:space="preserve">. </w:t>
      </w:r>
    </w:p>
    <w:p w14:paraId="58DFF2F8" w14:textId="77777777" w:rsidR="000C1092" w:rsidRPr="00CD56B9" w:rsidRDefault="000C1092" w:rsidP="000C1092">
      <w:pPr>
        <w:rPr>
          <w:lang w:val="en-US"/>
        </w:rPr>
      </w:pPr>
      <w:r w:rsidRPr="00CD56B9">
        <w:rPr>
          <w:lang w:val="en-US"/>
        </w:rPr>
        <w:t>While the UNDAF Outcome 4.1 anticipates that the UN will provid</w:t>
      </w:r>
      <w:r w:rsidR="00324C62" w:rsidRPr="00CD56B9">
        <w:rPr>
          <w:lang w:val="en-US"/>
        </w:rPr>
        <w:t xml:space="preserve">e </w:t>
      </w:r>
      <w:r w:rsidRPr="00CD56B9">
        <w:rPr>
          <w:lang w:val="en-US"/>
        </w:rPr>
        <w:t xml:space="preserve">substantial support to access to formal justice, it is in fact not the case. Such support is provided by other DPs, primarily the EU and DFID. Among the </w:t>
      </w:r>
      <w:r w:rsidR="00324C62" w:rsidRPr="00CD56B9">
        <w:rPr>
          <w:lang w:val="en-US"/>
        </w:rPr>
        <w:t xml:space="preserve">UN </w:t>
      </w:r>
      <w:r w:rsidRPr="00CD56B9">
        <w:rPr>
          <w:lang w:val="en-US"/>
        </w:rPr>
        <w:t xml:space="preserve">support to access to formal justice is the UNICEF support to juvenile justice </w:t>
      </w:r>
      <w:r w:rsidR="00324C62" w:rsidRPr="00CD56B9">
        <w:rPr>
          <w:lang w:val="en-US"/>
        </w:rPr>
        <w:t xml:space="preserve">system </w:t>
      </w:r>
      <w:r w:rsidRPr="00CD56B9">
        <w:rPr>
          <w:lang w:val="en-US"/>
        </w:rPr>
        <w:t>through the establishment of child courts. So far, seven child courts have been established, which by the end of 2014 concluded around 950 cases on child protection. While not all districts are foreseen to establish child courts (the case load is not high enough for this) a further rollout to four additional districts is planned before the end 2016.</w:t>
      </w:r>
    </w:p>
    <w:p w14:paraId="227905C3" w14:textId="3388C271" w:rsidR="000C1092" w:rsidRPr="00CD56B9" w:rsidRDefault="000C1092" w:rsidP="000C1092">
      <w:pPr>
        <w:rPr>
          <w:lang w:val="en-US"/>
        </w:rPr>
      </w:pPr>
      <w:r w:rsidRPr="00CD56B9">
        <w:rPr>
          <w:lang w:val="en-US"/>
        </w:rPr>
        <w:t xml:space="preserve">In general, </w:t>
      </w:r>
      <w:r w:rsidR="00EC047D">
        <w:rPr>
          <w:lang w:val="en-US"/>
        </w:rPr>
        <w:t>t</w:t>
      </w:r>
      <w:r w:rsidRPr="00CD56B9">
        <w:rPr>
          <w:lang w:val="en-US"/>
        </w:rPr>
        <w:t xml:space="preserve">here </w:t>
      </w:r>
      <w:r w:rsidR="0000361D">
        <w:rPr>
          <w:lang w:val="en-US"/>
        </w:rPr>
        <w:t xml:space="preserve">is </w:t>
      </w:r>
      <w:r w:rsidR="0000361D" w:rsidRPr="00CD56B9">
        <w:rPr>
          <w:lang w:val="en-US"/>
        </w:rPr>
        <w:t>good</w:t>
      </w:r>
      <w:r w:rsidRPr="00CD56B9">
        <w:rPr>
          <w:lang w:val="en-US"/>
        </w:rPr>
        <w:t xml:space="preserve"> progress made </w:t>
      </w:r>
      <w:r w:rsidR="005201F2" w:rsidRPr="00CD56B9">
        <w:rPr>
          <w:lang w:val="en-US"/>
        </w:rPr>
        <w:t xml:space="preserve">in </w:t>
      </w:r>
      <w:r w:rsidRPr="00CD56B9">
        <w:rPr>
          <w:lang w:val="en-US"/>
        </w:rPr>
        <w:t xml:space="preserve">gender mainstreaming, although gender assessments and disaggregate data is not consistently applied across the sector. With the arrival of UN Women is Malawi and in partnership with UNFPA and UNICEF, the basics are in place to further improve on the gender aspects of the DG reforms and the support rendered. UN Women a. o. is very active in promoting the Gender Equality Act and the 40/60 quota for women among all public sector institutions. </w:t>
      </w:r>
    </w:p>
    <w:p w14:paraId="17DED260" w14:textId="77777777" w:rsidR="000C1092" w:rsidRPr="00CD56B9" w:rsidRDefault="000C1092" w:rsidP="000C1092">
      <w:pPr>
        <w:spacing w:after="0"/>
        <w:rPr>
          <w:b/>
          <w:lang w:val="en-US"/>
        </w:rPr>
      </w:pPr>
      <w:r w:rsidRPr="00CD56B9">
        <w:rPr>
          <w:b/>
          <w:lang w:val="en-US"/>
        </w:rPr>
        <w:t>Efficiency</w:t>
      </w:r>
    </w:p>
    <w:p w14:paraId="5A3959C1" w14:textId="2098334F" w:rsidR="000C1092" w:rsidRPr="00CD56B9" w:rsidRDefault="000C1092" w:rsidP="000C1092">
      <w:pPr>
        <w:rPr>
          <w:lang w:val="en-US"/>
        </w:rPr>
      </w:pPr>
      <w:r w:rsidRPr="00CD56B9">
        <w:rPr>
          <w:lang w:val="en-US"/>
        </w:rPr>
        <w:t>The efficiency of the SWAp very much depends on the ability of the MoJCA and the responsible parties in the SWG to coordinate activities within the sector. According to some, the sheer thematic volume and the high number of institutions involved in the SWAp, makes it difficult to coordinate sector wide approaches. During the interviews, some DPs also questioned the GoM ownership to this approach. It was a. o. highlighted that individual institutions tend to guard their bilateral relationships with the DPs and the access to continuous support at the cost of more holistic approaches. The MoJCA admits that there are indeed many areas, which need better coordination, e.g. improving linkages between the police work, courts case handling capacity and the capacity of prisons, and in general more support is needed to the formal justice sector.</w:t>
      </w:r>
    </w:p>
    <w:p w14:paraId="653539BF" w14:textId="77777777" w:rsidR="000C1092" w:rsidRPr="00CD56B9" w:rsidRDefault="000C1092" w:rsidP="000C1092">
      <w:pPr>
        <w:spacing w:after="0"/>
        <w:rPr>
          <w:b/>
          <w:lang w:val="en-US"/>
        </w:rPr>
      </w:pPr>
      <w:r w:rsidRPr="00CD56B9">
        <w:rPr>
          <w:b/>
          <w:lang w:val="en-US"/>
        </w:rPr>
        <w:t>Sustainability</w:t>
      </w:r>
    </w:p>
    <w:p w14:paraId="45F53F29" w14:textId="77777777" w:rsidR="000C1092" w:rsidRPr="00CD56B9" w:rsidRDefault="000C1092" w:rsidP="000C1092">
      <w:pPr>
        <w:rPr>
          <w:lang w:val="en-US"/>
        </w:rPr>
      </w:pPr>
      <w:r w:rsidRPr="00CD56B9">
        <w:rPr>
          <w:lang w:val="en-US"/>
        </w:rPr>
        <w:t>Two critical areas stand out from the engagements with the MoJCA. One is the overall decrease in funding from the</w:t>
      </w:r>
      <w:r w:rsidR="005D7B80" w:rsidRPr="00CD56B9">
        <w:rPr>
          <w:lang w:val="en-US"/>
        </w:rPr>
        <w:t xml:space="preserve"> development partners </w:t>
      </w:r>
      <w:r w:rsidRPr="00CD56B9">
        <w:rPr>
          <w:lang w:val="en-US"/>
        </w:rPr>
        <w:t>caused by general budget cuts</w:t>
      </w:r>
      <w:r w:rsidR="00A70756" w:rsidRPr="00CD56B9">
        <w:rPr>
          <w:lang w:val="en-US"/>
        </w:rPr>
        <w:t>,</w:t>
      </w:r>
      <w:r w:rsidRPr="00CD56B9">
        <w:rPr>
          <w:lang w:val="en-US"/>
        </w:rPr>
        <w:t xml:space="preserve"> </w:t>
      </w:r>
      <w:r w:rsidR="00A70756" w:rsidRPr="00CD56B9">
        <w:rPr>
          <w:lang w:val="en-US"/>
        </w:rPr>
        <w:t>which</w:t>
      </w:r>
      <w:r w:rsidRPr="00CD56B9">
        <w:rPr>
          <w:lang w:val="en-US"/>
        </w:rPr>
        <w:t xml:space="preserve"> highlights the need for more diversification of funds mobilizations. The basket fund approach also </w:t>
      </w:r>
      <w:r w:rsidR="00A70756" w:rsidRPr="00CD56B9">
        <w:rPr>
          <w:lang w:val="en-US"/>
        </w:rPr>
        <w:t xml:space="preserve">is not likely </w:t>
      </w:r>
      <w:r w:rsidRPr="00CD56B9">
        <w:rPr>
          <w:lang w:val="en-US"/>
        </w:rPr>
        <w:t xml:space="preserve">to </w:t>
      </w:r>
      <w:r w:rsidR="00A70756" w:rsidRPr="00CD56B9">
        <w:rPr>
          <w:lang w:val="en-US"/>
        </w:rPr>
        <w:t>improve</w:t>
      </w:r>
      <w:r w:rsidR="00796E6B">
        <w:rPr>
          <w:lang w:val="en-US"/>
        </w:rPr>
        <w:t xml:space="preserve"> due to cashgate and the general history of mismanagement of public money. P</w:t>
      </w:r>
      <w:r w:rsidRPr="00CD56B9">
        <w:rPr>
          <w:lang w:val="en-US"/>
        </w:rPr>
        <w:t>arallel funding will probably continue at the expe</w:t>
      </w:r>
      <w:r w:rsidR="00796E6B">
        <w:rPr>
          <w:lang w:val="en-US"/>
        </w:rPr>
        <w:t>nse of the basket fund approach and a proportional high amount of funding diverted from government to CSO support.</w:t>
      </w:r>
    </w:p>
    <w:p w14:paraId="6C84DB83" w14:textId="77777777" w:rsidR="000C1092" w:rsidRPr="00CD56B9" w:rsidRDefault="000C1092" w:rsidP="000C1092">
      <w:pPr>
        <w:rPr>
          <w:lang w:val="en-US"/>
        </w:rPr>
      </w:pPr>
      <w:r w:rsidRPr="00CD56B9">
        <w:rPr>
          <w:lang w:val="en-US"/>
        </w:rPr>
        <w:t xml:space="preserve">Another critical area concerns the M&amp;E aspect of the SWAp. </w:t>
      </w:r>
      <w:r w:rsidR="00AE259F">
        <w:rPr>
          <w:lang w:val="en-US"/>
        </w:rPr>
        <w:t>Basic e</w:t>
      </w:r>
      <w:r w:rsidR="00AE259F" w:rsidRPr="00CD56B9">
        <w:rPr>
          <w:lang w:val="en-US"/>
        </w:rPr>
        <w:t xml:space="preserve">lements are </w:t>
      </w:r>
      <w:r w:rsidR="00AE259F">
        <w:rPr>
          <w:lang w:val="en-US"/>
        </w:rPr>
        <w:t xml:space="preserve">in place </w:t>
      </w:r>
      <w:r w:rsidR="00AE259F" w:rsidRPr="00CD56B9">
        <w:rPr>
          <w:lang w:val="en-US"/>
        </w:rPr>
        <w:t>such as the SWG and committee structures and M&amp;E focal points in the sector institutions</w:t>
      </w:r>
      <w:r w:rsidR="00AE259F">
        <w:rPr>
          <w:lang w:val="en-US"/>
        </w:rPr>
        <w:t>, but g</w:t>
      </w:r>
      <w:r w:rsidRPr="00CD56B9">
        <w:rPr>
          <w:lang w:val="en-US"/>
        </w:rPr>
        <w:t xml:space="preserve">eneric measures are </w:t>
      </w:r>
      <w:r w:rsidR="00796E6B">
        <w:rPr>
          <w:lang w:val="en-US"/>
        </w:rPr>
        <w:t xml:space="preserve">needed to </w:t>
      </w:r>
      <w:r w:rsidRPr="00CD56B9">
        <w:rPr>
          <w:lang w:val="en-US"/>
        </w:rPr>
        <w:t xml:space="preserve">effectively monitor the DG reform process, assess the impact of </w:t>
      </w:r>
      <w:r w:rsidRPr="00CD56B9">
        <w:rPr>
          <w:lang w:val="en-US"/>
        </w:rPr>
        <w:lastRenderedPageBreak/>
        <w:t xml:space="preserve">interventions and identify gaps and missing linkages. Once a sector wide M&amp;E system is operational, generic data could be drawn from sources such as reporting’s from the MHRC, the </w:t>
      </w:r>
      <w:r w:rsidR="00A70756" w:rsidRPr="00CD56B9">
        <w:rPr>
          <w:lang w:val="en-US"/>
        </w:rPr>
        <w:t>OO and the HR Committee of the P</w:t>
      </w:r>
      <w:r w:rsidRPr="00CD56B9">
        <w:rPr>
          <w:lang w:val="en-US"/>
        </w:rPr>
        <w:t xml:space="preserve">arliament as well as thematic evaluation reports. </w:t>
      </w:r>
    </w:p>
    <w:p w14:paraId="3FE625B4" w14:textId="77777777" w:rsidR="000C1092" w:rsidRPr="003C308A" w:rsidRDefault="000C1092" w:rsidP="000C1092">
      <w:pPr>
        <w:spacing w:after="0"/>
        <w:rPr>
          <w:b/>
          <w:lang w:val="en-US"/>
        </w:rPr>
      </w:pPr>
      <w:r w:rsidRPr="003C308A">
        <w:rPr>
          <w:b/>
          <w:lang w:val="en-US"/>
        </w:rPr>
        <w:t>Conclusion</w:t>
      </w:r>
    </w:p>
    <w:p w14:paraId="7B4140A1" w14:textId="77777777" w:rsidR="00E46AC2" w:rsidRPr="00CD56B9" w:rsidRDefault="000C1092" w:rsidP="00E46AC2">
      <w:pPr>
        <w:spacing w:after="0"/>
        <w:rPr>
          <w:lang w:val="en-US"/>
        </w:rPr>
      </w:pPr>
      <w:r w:rsidRPr="00CD56B9">
        <w:rPr>
          <w:lang w:val="en-US"/>
        </w:rPr>
        <w:t xml:space="preserve">The formal establishment of the SWAp policies and structure in the DG sector are in place and the SWG and the steering committee, TWGs etc. are active. There is also an emerging approach led by the MoJCA to coordinate reforms in the sector and align the DG institutions to the DGSS. The overall approach involves many DG institutions, </w:t>
      </w:r>
      <w:r w:rsidR="00B8459B" w:rsidRPr="00CD56B9">
        <w:rPr>
          <w:lang w:val="en-US"/>
        </w:rPr>
        <w:t xml:space="preserve">however, </w:t>
      </w:r>
      <w:r w:rsidR="00B753CD">
        <w:rPr>
          <w:lang w:val="en-US"/>
        </w:rPr>
        <w:t>and</w:t>
      </w:r>
      <w:r w:rsidR="00B8459B" w:rsidRPr="00CD56B9">
        <w:rPr>
          <w:lang w:val="en-US"/>
        </w:rPr>
        <w:t xml:space="preserve"> oversight and coordination </w:t>
      </w:r>
      <w:r w:rsidR="00B753CD">
        <w:rPr>
          <w:lang w:val="en-US"/>
        </w:rPr>
        <w:t xml:space="preserve">can be </w:t>
      </w:r>
      <w:r w:rsidR="00B8459B" w:rsidRPr="00CD56B9">
        <w:rPr>
          <w:lang w:val="en-US"/>
        </w:rPr>
        <w:t>a</w:t>
      </w:r>
      <w:r w:rsidRPr="00CD56B9">
        <w:rPr>
          <w:lang w:val="en-US"/>
        </w:rPr>
        <w:t xml:space="preserve"> challenge</w:t>
      </w:r>
      <w:r w:rsidR="00B753CD">
        <w:rPr>
          <w:lang w:val="en-US"/>
        </w:rPr>
        <w:t>. S</w:t>
      </w:r>
      <w:r w:rsidRPr="00CD56B9">
        <w:rPr>
          <w:lang w:val="en-US"/>
        </w:rPr>
        <w:t xml:space="preserve">ome DPs </w:t>
      </w:r>
      <w:r w:rsidR="00B753CD">
        <w:rPr>
          <w:lang w:val="en-US"/>
        </w:rPr>
        <w:t>also</w:t>
      </w:r>
      <w:r w:rsidRPr="00CD56B9">
        <w:rPr>
          <w:lang w:val="en-US"/>
        </w:rPr>
        <w:t xml:space="preserve"> question the government ownership to the SWAP</w:t>
      </w:r>
      <w:r w:rsidR="00B753CD">
        <w:rPr>
          <w:lang w:val="en-US"/>
        </w:rPr>
        <w:t xml:space="preserve"> as individual institutions tend to guard their own plans and donor relations</w:t>
      </w:r>
      <w:r w:rsidRPr="00CD56B9">
        <w:rPr>
          <w:lang w:val="en-US"/>
        </w:rPr>
        <w:t>. There is also a general decline in funding, and the basket fund gets limited backing from the DPs. It is also critical that no generic M&amp;E framework is in use for effective implementation oversight of the DG sector; an area that MoJCA wants to see improved as soon as possible. Overall, however, it should be recognized that the basic SWAp infrastructure for coordination of DG sector reform initiatives is operational and that some coordination of activities takes place, which should also be able to detect gaps and missing synergies and over time, forge partnerships and link interventions across the sector. There is no real alternative to the SWAp, except a return to more ad-hoc based project support, which should not be acceptable for neither the GoM nor the DPs.</w:t>
      </w:r>
      <w:bookmarkStart w:id="9" w:name="_Toc153888545"/>
      <w:bookmarkStart w:id="10" w:name="_Toc153888633"/>
      <w:bookmarkStart w:id="11" w:name="_Toc154140524"/>
      <w:bookmarkStart w:id="12" w:name="_Toc154140579"/>
      <w:bookmarkStart w:id="13" w:name="_Toc172357882"/>
    </w:p>
    <w:p w14:paraId="11596351" w14:textId="77777777" w:rsidR="00E46AC2" w:rsidRPr="00CD56B9" w:rsidRDefault="00E46AC2" w:rsidP="00997A7B">
      <w:pPr>
        <w:pStyle w:val="Overskrift2"/>
        <w:rPr>
          <w:lang w:val="en-US"/>
        </w:rPr>
        <w:sectPr w:rsidR="00E46AC2" w:rsidRPr="00CD56B9" w:rsidSect="000C1092">
          <w:pgSz w:w="12240" w:h="15840"/>
          <w:pgMar w:top="1440" w:right="1440" w:bottom="1440" w:left="1440" w:header="720" w:footer="720" w:gutter="0"/>
          <w:cols w:space="720"/>
          <w:docGrid w:linePitch="360"/>
        </w:sectPr>
      </w:pPr>
    </w:p>
    <w:p w14:paraId="2D43D399" w14:textId="77777777" w:rsidR="00370D78" w:rsidRPr="00CD56B9" w:rsidRDefault="00E46AC2" w:rsidP="00997A7B">
      <w:pPr>
        <w:pStyle w:val="Overskrift2"/>
        <w:numPr>
          <w:ilvl w:val="0"/>
          <w:numId w:val="0"/>
        </w:numPr>
        <w:rPr>
          <w:lang w:val="en-US"/>
        </w:rPr>
      </w:pPr>
      <w:bookmarkStart w:id="14" w:name="_Toc439245578"/>
      <w:r w:rsidRPr="00CD56B9">
        <w:rPr>
          <w:lang w:val="en-US"/>
        </w:rPr>
        <w:lastRenderedPageBreak/>
        <w:t xml:space="preserve">3.2 </w:t>
      </w:r>
      <w:r w:rsidR="00370D78" w:rsidRPr="00CD56B9">
        <w:rPr>
          <w:lang w:val="en-US"/>
        </w:rPr>
        <w:t>Malawi Electoral Cycle Support Project 2013-2016</w:t>
      </w:r>
      <w:bookmarkEnd w:id="14"/>
    </w:p>
    <w:p w14:paraId="1E195EC3" w14:textId="77777777" w:rsidR="00370D78" w:rsidRPr="00CD56B9" w:rsidRDefault="00370D78" w:rsidP="00883BA4">
      <w:pPr>
        <w:spacing w:after="0"/>
        <w:rPr>
          <w:rFonts w:eastAsia="Calibri"/>
          <w:lang w:val="en-US"/>
        </w:rPr>
      </w:pPr>
    </w:p>
    <w:p w14:paraId="4E5531EF" w14:textId="77777777" w:rsidR="00370D78" w:rsidRPr="00CD56B9" w:rsidRDefault="00370D78" w:rsidP="00370D78">
      <w:pPr>
        <w:rPr>
          <w:rFonts w:eastAsia="Calibri"/>
          <w:lang w:val="en-US"/>
        </w:rPr>
      </w:pPr>
      <w:r w:rsidRPr="00CD56B9">
        <w:rPr>
          <w:rFonts w:eastAsia="Calibri"/>
          <w:lang w:val="en-US"/>
        </w:rPr>
        <w:t xml:space="preserve">The Malawi Electoral Commission (MEC) is the principal institutional beneficiary of the Project with the electorate as the downstream beneficiaries. The </w:t>
      </w:r>
      <w:r w:rsidRPr="00CD56B9">
        <w:rPr>
          <w:bCs/>
          <w:lang w:val="en-US"/>
        </w:rPr>
        <w:t>Project Specific Outcome is to enable</w:t>
      </w:r>
      <w:r w:rsidRPr="00CD56B9">
        <w:rPr>
          <w:lang w:val="en-US"/>
        </w:rPr>
        <w:t xml:space="preserve"> MEC to sustainably deliver free, fair and credible election processes that reflect the will of the people in Malawi.</w:t>
      </w:r>
      <w:r w:rsidRPr="00CD56B9">
        <w:rPr>
          <w:rFonts w:eastAsia="Calibri"/>
          <w:lang w:val="en-US"/>
        </w:rPr>
        <w:t xml:space="preserve"> The project sought to strengthen the capacities of MEC to plan, conduct, supervise credible and genuine elections in 2014, and to enable it to conduct future elections with minimal or no external technical support. The project also seeks to undertake medium term institutional development and electoral reform in line with MEC’s 2012-2017 Strategic Plan as well as ensure broad inclusiveness and informed participation among citizens and key stakeholders in a peaceful and fair election process</w:t>
      </w:r>
      <w:r w:rsidR="007B6216" w:rsidRPr="00CD56B9">
        <w:rPr>
          <w:rFonts w:eastAsia="Calibri"/>
          <w:lang w:val="en-US"/>
        </w:rPr>
        <w:t xml:space="preserve">. There is special </w:t>
      </w:r>
      <w:r w:rsidRPr="00CD56B9">
        <w:rPr>
          <w:rFonts w:eastAsia="Calibri"/>
          <w:lang w:val="en-US"/>
        </w:rPr>
        <w:t xml:space="preserve">emphasis on promoting the participation and engagement of women, youth, people living with disabilities and marginalized groups. It also aims at ensuring that DP’s financial and technical support is harmonized and efficient in supporting the election cycle through a basket fund to complement national resources. </w:t>
      </w:r>
    </w:p>
    <w:p w14:paraId="35698886" w14:textId="77777777" w:rsidR="00370D78" w:rsidRPr="00CD56B9" w:rsidRDefault="00370D78" w:rsidP="00370D78">
      <w:pPr>
        <w:rPr>
          <w:rFonts w:eastAsia="Calibri"/>
          <w:lang w:val="en-US"/>
        </w:rPr>
      </w:pPr>
      <w:r w:rsidRPr="00CD56B9">
        <w:rPr>
          <w:b/>
          <w:lang w:val="en-US"/>
        </w:rPr>
        <w:t>Project Outputs</w:t>
      </w:r>
      <w:r w:rsidRPr="00CD56B9">
        <w:rPr>
          <w:lang w:val="en-US"/>
        </w:rPr>
        <w:t>:</w:t>
      </w:r>
    </w:p>
    <w:p w14:paraId="2CA74955" w14:textId="77777777" w:rsidR="00370D78" w:rsidRPr="00CD56B9" w:rsidRDefault="00370D78" w:rsidP="00270F91">
      <w:pPr>
        <w:spacing w:after="0"/>
        <w:rPr>
          <w:lang w:val="en-US"/>
        </w:rPr>
      </w:pPr>
      <w:r w:rsidRPr="00CD56B9">
        <w:rPr>
          <w:b/>
          <w:lang w:val="en-US"/>
        </w:rPr>
        <w:t>Output 1</w:t>
      </w:r>
      <w:r w:rsidRPr="00CD56B9">
        <w:rPr>
          <w:lang w:val="en-US"/>
        </w:rPr>
        <w:t>: Electoral policy and regulatory environment is harmonized and stabilized.</w:t>
      </w:r>
    </w:p>
    <w:p w14:paraId="28B514C0" w14:textId="77777777" w:rsidR="00370D78" w:rsidRPr="00CD56B9" w:rsidRDefault="00370D78" w:rsidP="00270F91">
      <w:pPr>
        <w:spacing w:after="0"/>
        <w:rPr>
          <w:lang w:val="en-US"/>
        </w:rPr>
      </w:pPr>
      <w:r w:rsidRPr="00CD56B9">
        <w:rPr>
          <w:b/>
          <w:lang w:val="en-US"/>
        </w:rPr>
        <w:t xml:space="preserve">Output 2: </w:t>
      </w:r>
      <w:r w:rsidRPr="00CD56B9">
        <w:rPr>
          <w:lang w:val="en-US"/>
        </w:rPr>
        <w:t>Technical and institutional capacity of MEC strengthened.</w:t>
      </w:r>
    </w:p>
    <w:p w14:paraId="45E9DF8B" w14:textId="77777777" w:rsidR="00370D78" w:rsidRPr="00CD56B9" w:rsidRDefault="00370D78" w:rsidP="00270F91">
      <w:pPr>
        <w:spacing w:after="0"/>
        <w:rPr>
          <w:lang w:val="en-US"/>
        </w:rPr>
      </w:pPr>
      <w:r w:rsidRPr="00CD56B9">
        <w:rPr>
          <w:b/>
          <w:lang w:val="en-US"/>
        </w:rPr>
        <w:t xml:space="preserve">Output 3: </w:t>
      </w:r>
      <w:r w:rsidRPr="00CD56B9">
        <w:rPr>
          <w:lang w:val="en-US"/>
        </w:rPr>
        <w:t>Organization and management of elections enhanced.</w:t>
      </w:r>
    </w:p>
    <w:p w14:paraId="3831B083" w14:textId="77777777" w:rsidR="00306B7A" w:rsidRPr="00CD56B9" w:rsidRDefault="00370D78" w:rsidP="007B57A1">
      <w:pPr>
        <w:spacing w:after="0"/>
        <w:rPr>
          <w:lang w:val="en-US"/>
        </w:rPr>
      </w:pPr>
      <w:r w:rsidRPr="00CD56B9">
        <w:rPr>
          <w:b/>
          <w:lang w:val="en-US"/>
        </w:rPr>
        <w:t xml:space="preserve">Output 4: </w:t>
      </w:r>
      <w:r w:rsidRPr="00CD56B9">
        <w:rPr>
          <w:lang w:val="en-US"/>
        </w:rPr>
        <w:t xml:space="preserve">Effective and efficient management, partnership formation and monitoring </w:t>
      </w:r>
    </w:p>
    <w:p w14:paraId="654D6356" w14:textId="77777777" w:rsidR="00370D78" w:rsidRPr="00CD56B9" w:rsidRDefault="00370D78" w:rsidP="007B57A1">
      <w:pPr>
        <w:spacing w:after="0"/>
        <w:rPr>
          <w:lang w:val="en-US"/>
        </w:rPr>
      </w:pPr>
      <w:r w:rsidRPr="00CD56B9">
        <w:rPr>
          <w:lang w:val="en-US"/>
        </w:rPr>
        <w:t xml:space="preserve">and evaluation of the Project. </w:t>
      </w:r>
    </w:p>
    <w:p w14:paraId="64E8BA99" w14:textId="77777777" w:rsidR="00270F91" w:rsidRPr="00CD56B9" w:rsidRDefault="00270F91" w:rsidP="00270F91">
      <w:pPr>
        <w:spacing w:after="0"/>
        <w:rPr>
          <w:lang w:val="en-US"/>
        </w:rPr>
      </w:pPr>
    </w:p>
    <w:p w14:paraId="4F4B700C" w14:textId="77777777" w:rsidR="00370D78" w:rsidRPr="00CD56B9" w:rsidRDefault="00370D78" w:rsidP="00370D78">
      <w:pPr>
        <w:rPr>
          <w:lang w:val="en-US"/>
        </w:rPr>
      </w:pPr>
      <w:r w:rsidRPr="00CD56B9">
        <w:rPr>
          <w:lang w:val="en-US"/>
        </w:rPr>
        <w:t>To achieve these outputs the project follows the three electoral cycle phases: pre-election phase with planning, training, information and registration as the major operation; elect</w:t>
      </w:r>
      <w:r w:rsidR="007B6216" w:rsidRPr="00CD56B9">
        <w:rPr>
          <w:lang w:val="en-US"/>
        </w:rPr>
        <w:t xml:space="preserve">ions phase, </w:t>
      </w:r>
      <w:r w:rsidRPr="00CD56B9">
        <w:rPr>
          <w:lang w:val="en-US"/>
        </w:rPr>
        <w:t>which involves nomination, campaign, voting and announcement of results; and post-election</w:t>
      </w:r>
      <w:r w:rsidR="007B6216" w:rsidRPr="00CD56B9">
        <w:rPr>
          <w:lang w:val="en-US"/>
        </w:rPr>
        <w:t>s phase</w:t>
      </w:r>
      <w:r w:rsidRPr="00CD56B9">
        <w:rPr>
          <w:lang w:val="en-US"/>
        </w:rPr>
        <w:t xml:space="preserve">, which involves strategy formulation, reforms and reviews. The electoral cycle approach </w:t>
      </w:r>
      <w:r w:rsidR="007B6216" w:rsidRPr="00CD56B9">
        <w:rPr>
          <w:lang w:val="en-US"/>
        </w:rPr>
        <w:t>views</w:t>
      </w:r>
      <w:r w:rsidRPr="00CD56B9">
        <w:rPr>
          <w:lang w:val="en-US"/>
        </w:rPr>
        <w:t xml:space="preserve"> an election as a process rather than an event, to engage with stakeholder</w:t>
      </w:r>
      <w:r w:rsidR="00623F45" w:rsidRPr="00CD56B9">
        <w:rPr>
          <w:lang w:val="en-US"/>
        </w:rPr>
        <w:t>s</w:t>
      </w:r>
      <w:r w:rsidRPr="00CD56B9">
        <w:rPr>
          <w:lang w:val="en-US"/>
        </w:rPr>
        <w:t xml:space="preserve"> on a continuous ba</w:t>
      </w:r>
      <w:r w:rsidR="00623F45" w:rsidRPr="00CD56B9">
        <w:rPr>
          <w:lang w:val="en-US"/>
        </w:rPr>
        <w:t>sis throughout the cycle, adopting</w:t>
      </w:r>
      <w:r w:rsidRPr="00CD56B9">
        <w:rPr>
          <w:lang w:val="en-US"/>
        </w:rPr>
        <w:t xml:space="preserve"> a proactive and strategic approach towards implementation of electoral assistance.  </w:t>
      </w:r>
    </w:p>
    <w:p w14:paraId="1C166EDA" w14:textId="77777777" w:rsidR="00370D78" w:rsidRPr="00CD56B9" w:rsidRDefault="00370D78" w:rsidP="00E46AC2">
      <w:pPr>
        <w:spacing w:after="0"/>
        <w:rPr>
          <w:b/>
          <w:lang w:val="en-US"/>
        </w:rPr>
      </w:pPr>
      <w:r w:rsidRPr="00CD56B9">
        <w:rPr>
          <w:b/>
          <w:lang w:val="en-US"/>
        </w:rPr>
        <w:t xml:space="preserve">Relevance </w:t>
      </w:r>
    </w:p>
    <w:p w14:paraId="23A769A7" w14:textId="77777777" w:rsidR="00370D78" w:rsidRPr="00CD56B9" w:rsidRDefault="00370D78" w:rsidP="00370D78">
      <w:pPr>
        <w:rPr>
          <w:lang w:val="en-US"/>
        </w:rPr>
      </w:pPr>
      <w:r w:rsidRPr="00CD56B9">
        <w:rPr>
          <w:lang w:val="en-US"/>
        </w:rPr>
        <w:t>The project is aligned to government policies including the Constitution and MGDS II and the UNDAF. These acknowledge the centrality of credible and genuine elections in democratic governance, and the need to support MEC to deliver credible and genuine elections.</w:t>
      </w:r>
    </w:p>
    <w:p w14:paraId="688CF7F1" w14:textId="77777777" w:rsidR="00370D78" w:rsidRPr="00CD56B9" w:rsidRDefault="00370D78" w:rsidP="00370D78">
      <w:pPr>
        <w:rPr>
          <w:lang w:val="en-US"/>
        </w:rPr>
      </w:pPr>
      <w:r w:rsidRPr="00CD56B9">
        <w:rPr>
          <w:lang w:val="en-US"/>
        </w:rPr>
        <w:t xml:space="preserve">Section 75 of the Constitution establishes MEC to independently </w:t>
      </w:r>
      <w:r w:rsidR="00061781" w:rsidRPr="00CD56B9">
        <w:rPr>
          <w:lang w:val="en-US"/>
        </w:rPr>
        <w:t>organize</w:t>
      </w:r>
      <w:r w:rsidRPr="00CD56B9">
        <w:rPr>
          <w:lang w:val="en-US"/>
        </w:rPr>
        <w:t>, administer and conduct Malawi’s free and fair election, by-election and referenda. Section 5 of MGDS underlines the importance of genuine free, fair, credible and transparent democratic elections as a vehicle through which the people freely express</w:t>
      </w:r>
      <w:r w:rsidR="00623F45" w:rsidRPr="00CD56B9">
        <w:rPr>
          <w:lang w:val="en-US"/>
        </w:rPr>
        <w:t>es its</w:t>
      </w:r>
      <w:r w:rsidRPr="00CD56B9">
        <w:rPr>
          <w:lang w:val="en-US"/>
        </w:rPr>
        <w:t xml:space="preserve"> will and affect</w:t>
      </w:r>
      <w:r w:rsidR="00623F45" w:rsidRPr="00CD56B9">
        <w:rPr>
          <w:lang w:val="en-US"/>
        </w:rPr>
        <w:t>s</w:t>
      </w:r>
      <w:r w:rsidRPr="00CD56B9">
        <w:rPr>
          <w:lang w:val="en-US"/>
        </w:rPr>
        <w:t xml:space="preserve"> the development agenda of the country. MEC’s powers include review and determination of electoral boundaries every five years, to resolve electoral disputes, </w:t>
      </w:r>
      <w:r w:rsidR="00061781" w:rsidRPr="00CD56B9">
        <w:rPr>
          <w:lang w:val="en-US"/>
        </w:rPr>
        <w:t>organize</w:t>
      </w:r>
      <w:r w:rsidRPr="00CD56B9">
        <w:rPr>
          <w:lang w:val="en-US"/>
        </w:rPr>
        <w:t xml:space="preserve"> and manage voters’ register, the ballot and polling operations, ensure conducive security conditions and conduct public awareness, civic and voter education. </w:t>
      </w:r>
    </w:p>
    <w:p w14:paraId="0310D54F" w14:textId="77777777" w:rsidR="00370D78" w:rsidRPr="00CD56B9" w:rsidRDefault="00370D78" w:rsidP="00370D78">
      <w:pPr>
        <w:rPr>
          <w:bCs/>
          <w:lang w:val="en-US"/>
        </w:rPr>
      </w:pPr>
      <w:r w:rsidRPr="00CD56B9">
        <w:rPr>
          <w:lang w:val="en-US"/>
        </w:rPr>
        <w:t xml:space="preserve">As the only project in the DG project portfolio, it </w:t>
      </w:r>
      <w:r w:rsidRPr="00CD56B9">
        <w:rPr>
          <w:rFonts w:eastAsia="Calibri"/>
          <w:lang w:val="en-US"/>
        </w:rPr>
        <w:t xml:space="preserve">is implemented solely under UNDP’s Direct Implementation Modality (DIM), which is the default modality for support to elections committees globally. The main project stakeholders are the MEC, Government of Malawi and Development Partners. The major structures include a steering committee comprising GoM, MEC, and DPs, </w:t>
      </w:r>
      <w:r w:rsidR="001F216F" w:rsidRPr="00CD56B9">
        <w:rPr>
          <w:rFonts w:eastAsia="Calibri"/>
          <w:lang w:val="en-US"/>
        </w:rPr>
        <w:t xml:space="preserve">and </w:t>
      </w:r>
      <w:r w:rsidRPr="00CD56B9">
        <w:rPr>
          <w:rFonts w:eastAsia="Calibri"/>
          <w:lang w:val="en-US"/>
        </w:rPr>
        <w:t xml:space="preserve">responsible for strategic guidance; </w:t>
      </w:r>
      <w:r w:rsidR="001F216F" w:rsidRPr="00CD56B9">
        <w:rPr>
          <w:rFonts w:eastAsia="Calibri"/>
          <w:lang w:val="en-US"/>
        </w:rPr>
        <w:t xml:space="preserve">a </w:t>
      </w:r>
      <w:r w:rsidRPr="00CD56B9">
        <w:rPr>
          <w:rFonts w:eastAsia="Calibri"/>
          <w:lang w:val="en-US"/>
        </w:rPr>
        <w:t>technical committee comprising representatives of governmen</w:t>
      </w:r>
      <w:r w:rsidR="001F216F" w:rsidRPr="00CD56B9">
        <w:rPr>
          <w:rFonts w:eastAsia="Calibri"/>
          <w:lang w:val="en-US"/>
        </w:rPr>
        <w:t>t, MEC and DPs, coordinated by the</w:t>
      </w:r>
      <w:r w:rsidRPr="00CD56B9">
        <w:rPr>
          <w:rFonts w:eastAsia="Calibri"/>
          <w:lang w:val="en-US"/>
        </w:rPr>
        <w:t xml:space="preserve"> Senior Elections Adviser and </w:t>
      </w:r>
      <w:r w:rsidR="001F216F" w:rsidRPr="00CD56B9">
        <w:rPr>
          <w:rFonts w:eastAsia="Calibri"/>
          <w:lang w:val="en-US"/>
        </w:rPr>
        <w:t xml:space="preserve">the </w:t>
      </w:r>
      <w:r w:rsidRPr="00CD56B9">
        <w:rPr>
          <w:rFonts w:eastAsia="Calibri"/>
          <w:lang w:val="en-US"/>
        </w:rPr>
        <w:t xml:space="preserve">Project Management Unit (PMU) </w:t>
      </w:r>
      <w:r w:rsidR="001F216F" w:rsidRPr="00CD56B9">
        <w:rPr>
          <w:rFonts w:eastAsia="Calibri"/>
          <w:lang w:val="en-US"/>
        </w:rPr>
        <w:t xml:space="preserve">which </w:t>
      </w:r>
      <w:r w:rsidRPr="00CD56B9">
        <w:rPr>
          <w:rFonts w:eastAsia="Calibri"/>
          <w:lang w:val="en-US"/>
        </w:rPr>
        <w:t>provides financial and administrative support.</w:t>
      </w:r>
    </w:p>
    <w:p w14:paraId="37D3FBBC" w14:textId="77777777" w:rsidR="00370D78" w:rsidRPr="00CD56B9" w:rsidRDefault="00370D78" w:rsidP="00370D78">
      <w:pPr>
        <w:rPr>
          <w:lang w:val="en-US"/>
        </w:rPr>
      </w:pPr>
      <w:r w:rsidRPr="00CD56B9">
        <w:rPr>
          <w:lang w:val="en-US"/>
        </w:rPr>
        <w:lastRenderedPageBreak/>
        <w:t xml:space="preserve">The project design was informed by the UN Needs Assessment </w:t>
      </w:r>
      <w:r w:rsidR="008259FF" w:rsidRPr="00CD56B9">
        <w:rPr>
          <w:lang w:val="en-US"/>
        </w:rPr>
        <w:t>Mission, which</w:t>
      </w:r>
      <w:r w:rsidRPr="00CD56B9">
        <w:rPr>
          <w:lang w:val="en-US"/>
        </w:rPr>
        <w:t xml:space="preserve"> recommended five principal areas for UN support of assistance. These are support for electoral system and legal reform, voter registration reform, capacity and institutional building of the MEC, enhancing women’s participation and strategic Civic and Voter Education (CVE). Several initiatives of consultation were undertaken by various </w:t>
      </w:r>
      <w:r w:rsidR="00061781" w:rsidRPr="00CD56B9">
        <w:rPr>
          <w:lang w:val="en-US"/>
        </w:rPr>
        <w:t>organizations</w:t>
      </w:r>
      <w:r w:rsidRPr="00CD56B9">
        <w:rPr>
          <w:lang w:val="en-US"/>
        </w:rPr>
        <w:t xml:space="preserve"> (MEC, MESN and NICE) to address changes and election reform that have coalesced around four pillars, namely, electoral systems, election management, legal reform and Civic and Voter Education (CVE). </w:t>
      </w:r>
    </w:p>
    <w:p w14:paraId="5A6D3271" w14:textId="77777777" w:rsidR="00370D78" w:rsidRPr="00CD56B9" w:rsidRDefault="00370D78" w:rsidP="00370D78">
      <w:pPr>
        <w:rPr>
          <w:lang w:val="en-US"/>
        </w:rPr>
      </w:pPr>
      <w:r w:rsidRPr="00CD56B9">
        <w:rPr>
          <w:lang w:val="en-US"/>
        </w:rPr>
        <w:t>Technical assistance was provided to MEC in order to strengthen gender equality in the civic and voter education strategy, and the media and political parties’ codes of conduct.</w:t>
      </w:r>
      <w:r w:rsidRPr="00806C0D">
        <w:rPr>
          <w:vertAlign w:val="superscript"/>
        </w:rPr>
        <w:footnoteReference w:id="5"/>
      </w:r>
      <w:r w:rsidRPr="00CD56B9">
        <w:rPr>
          <w:lang w:val="en-US"/>
        </w:rPr>
        <w:t xml:space="preserve"> MEC was involved in gender equality/mainstreaming in electoral processes and electoral support institution; gender assessment, development of capacity building strategy and action plans for political parties and CSOs on gender issues, advocacy of political parties and media houses to supporting female electoral candidates. </w:t>
      </w:r>
    </w:p>
    <w:p w14:paraId="2A34ED0C" w14:textId="77777777" w:rsidR="00370D78" w:rsidRPr="00CD56B9" w:rsidRDefault="00370D78" w:rsidP="00370D78">
      <w:pPr>
        <w:rPr>
          <w:lang w:val="en-US"/>
        </w:rPr>
      </w:pPr>
      <w:r w:rsidRPr="00CD56B9">
        <w:rPr>
          <w:lang w:val="en-US"/>
        </w:rPr>
        <w:t xml:space="preserve">The nomination fees for female contestants running for parliamentary and </w:t>
      </w:r>
      <w:r w:rsidR="00061781" w:rsidRPr="00CD56B9">
        <w:rPr>
          <w:lang w:val="en-US"/>
        </w:rPr>
        <w:t>councilor</w:t>
      </w:r>
      <w:r w:rsidRPr="00CD56B9">
        <w:rPr>
          <w:lang w:val="en-US"/>
        </w:rPr>
        <w:t xml:space="preserve"> seats received a 25% discount to overcome structural barriers in raising funds to support their nomination. The UNDP and UN Women made substantive contributions towards increased women’s awareness and capacity to participate in politics and occupy </w:t>
      </w:r>
      <w:r w:rsidR="008259FF" w:rsidRPr="00CD56B9">
        <w:rPr>
          <w:lang w:val="en-US"/>
        </w:rPr>
        <w:t>decision-making</w:t>
      </w:r>
      <w:r w:rsidRPr="00CD56B9">
        <w:rPr>
          <w:lang w:val="en-US"/>
        </w:rPr>
        <w:t xml:space="preserve"> positions. Through the project, UN Women was engaged through the Technical Committee and at operational levels to ensure that instruments were subject to gender-sensitive reviews. </w:t>
      </w:r>
    </w:p>
    <w:p w14:paraId="4B76B096" w14:textId="77777777" w:rsidR="00370D78" w:rsidRPr="00CD56B9" w:rsidRDefault="00370D78" w:rsidP="00370D78">
      <w:pPr>
        <w:rPr>
          <w:lang w:val="en-US"/>
        </w:rPr>
      </w:pPr>
      <w:r w:rsidRPr="00CD56B9">
        <w:rPr>
          <w:rFonts w:eastAsia="+mn-ea"/>
          <w:kern w:val="24"/>
          <w:lang w:val="en-US"/>
        </w:rPr>
        <w:t xml:space="preserve">The major outstanding gaps the project seek to fill include </w:t>
      </w:r>
      <w:r w:rsidRPr="00CD56B9">
        <w:rPr>
          <w:lang w:val="en-US"/>
        </w:rPr>
        <w:t>Placement /trainings; Comprehensive delimitation exercise; Improvement in the voter registration pro</w:t>
      </w:r>
      <w:r w:rsidR="008E38B0" w:rsidRPr="00CD56B9">
        <w:rPr>
          <w:lang w:val="en-US"/>
        </w:rPr>
        <w:t>cess;</w:t>
      </w:r>
      <w:r w:rsidRPr="00CD56B9">
        <w:rPr>
          <w:lang w:val="en-US"/>
        </w:rPr>
        <w:t xml:space="preserve"> Civic and Voter Education to be incorporated in the syllabus of learning institutions; Implementation of </w:t>
      </w:r>
      <w:r w:rsidR="008E38B0" w:rsidRPr="00CD56B9">
        <w:rPr>
          <w:lang w:val="en-US"/>
        </w:rPr>
        <w:t xml:space="preserve">the </w:t>
      </w:r>
      <w:r w:rsidRPr="00CD56B9">
        <w:rPr>
          <w:lang w:val="en-US"/>
        </w:rPr>
        <w:t>Bekko Report  and Development of Gender and HIV</w:t>
      </w:r>
      <w:r w:rsidR="002B150D" w:rsidRPr="00CD56B9">
        <w:rPr>
          <w:lang w:val="en-US"/>
        </w:rPr>
        <w:t>/</w:t>
      </w:r>
      <w:r w:rsidRPr="00CD56B9">
        <w:rPr>
          <w:lang w:val="en-US"/>
        </w:rPr>
        <w:t xml:space="preserve">AIDS policies </w:t>
      </w:r>
    </w:p>
    <w:p w14:paraId="2361526B" w14:textId="77777777" w:rsidR="00370D78" w:rsidRPr="00CD56B9" w:rsidRDefault="00370D78" w:rsidP="00E46AC2">
      <w:pPr>
        <w:rPr>
          <w:rStyle w:val="Kraftigfremhvning"/>
          <w:b w:val="0"/>
          <w:i w:val="0"/>
          <w:lang w:val="en-US"/>
        </w:rPr>
      </w:pPr>
      <w:bookmarkStart w:id="15" w:name="_Toc381822027"/>
      <w:r w:rsidRPr="00CD56B9">
        <w:rPr>
          <w:b/>
          <w:lang w:val="en-US"/>
        </w:rPr>
        <w:t>Output 1.</w:t>
      </w:r>
      <w:bookmarkEnd w:id="15"/>
      <w:r w:rsidRPr="00CD56B9">
        <w:rPr>
          <w:b/>
          <w:lang w:val="en-US"/>
        </w:rPr>
        <w:t xml:space="preserve"> Electoral policy and regulatory environment is harmonized and stabilized</w:t>
      </w:r>
      <w:r w:rsidRPr="00CD56B9">
        <w:rPr>
          <w:rStyle w:val="Kraftigfremhvning"/>
          <w:b w:val="0"/>
          <w:lang w:val="en-US"/>
        </w:rPr>
        <w:t xml:space="preserve"> </w:t>
      </w:r>
    </w:p>
    <w:p w14:paraId="67A3AA3C" w14:textId="77777777" w:rsidR="00370D78" w:rsidRPr="00CD56B9" w:rsidRDefault="00370D78" w:rsidP="00370D78">
      <w:pPr>
        <w:rPr>
          <w:i/>
          <w:iCs/>
          <w:lang w:val="en-US"/>
        </w:rPr>
      </w:pPr>
      <w:r w:rsidRPr="00CD56B9">
        <w:rPr>
          <w:i/>
          <w:lang w:val="en-US"/>
        </w:rPr>
        <w:t>Indicator 1: Progress in establishing a policy framework for tripartite elections; Baseline: No policy instruments in place; Target: Board of Commissioners issue policy-level instruments</w:t>
      </w:r>
      <w:r w:rsidR="00E46AC2" w:rsidRPr="00CD56B9">
        <w:rPr>
          <w:i/>
          <w:iCs/>
          <w:lang w:val="en-US"/>
        </w:rPr>
        <w:t>; S</w:t>
      </w:r>
      <w:r w:rsidRPr="00CD56B9">
        <w:rPr>
          <w:i/>
          <w:iCs/>
          <w:lang w:val="en-US"/>
        </w:rPr>
        <w:t>tatus: Achieved</w:t>
      </w:r>
    </w:p>
    <w:p w14:paraId="0CC6B80F" w14:textId="77777777" w:rsidR="00370D78" w:rsidRPr="00CD56B9" w:rsidRDefault="00370D78" w:rsidP="00370D78">
      <w:pPr>
        <w:rPr>
          <w:i/>
          <w:iCs/>
          <w:lang w:val="en-US"/>
        </w:rPr>
      </w:pPr>
      <w:r w:rsidRPr="00CD56B9">
        <w:rPr>
          <w:i/>
          <w:lang w:val="en-US"/>
        </w:rPr>
        <w:t>Indicator 2: Number of Codes of Conduct revised and updated Baseline: 0 Target: 4 (Code of Conduct: PP, CSO, EO and Media)</w:t>
      </w:r>
      <w:r w:rsidR="00E46AC2" w:rsidRPr="00CD56B9">
        <w:rPr>
          <w:i/>
          <w:iCs/>
          <w:lang w:val="en-US"/>
        </w:rPr>
        <w:t>; S</w:t>
      </w:r>
      <w:r w:rsidRPr="00CD56B9">
        <w:rPr>
          <w:i/>
          <w:iCs/>
          <w:lang w:val="en-US"/>
        </w:rPr>
        <w:t>tatus</w:t>
      </w:r>
      <w:r w:rsidR="00E46AC2" w:rsidRPr="00CD56B9">
        <w:rPr>
          <w:i/>
          <w:iCs/>
          <w:lang w:val="en-US"/>
        </w:rPr>
        <w:t>:</w:t>
      </w:r>
      <w:r w:rsidRPr="00CD56B9">
        <w:rPr>
          <w:i/>
          <w:iCs/>
          <w:lang w:val="en-US"/>
        </w:rPr>
        <w:t xml:space="preserve"> Achieved</w:t>
      </w:r>
    </w:p>
    <w:p w14:paraId="3E8FDF61" w14:textId="77777777" w:rsidR="00370D78" w:rsidRPr="00CD56B9" w:rsidRDefault="00370D78" w:rsidP="00370D78">
      <w:pPr>
        <w:rPr>
          <w:i/>
          <w:lang w:val="en-US"/>
        </w:rPr>
      </w:pPr>
      <w:r w:rsidRPr="00CD56B9">
        <w:rPr>
          <w:i/>
          <w:lang w:val="en-US"/>
        </w:rPr>
        <w:t>Indicator 3: Progress in MEC using formalized inter-institutional arrangements; Baseline: No codified arrangements in place; Target: MEC uses codified instruments to effectively manage inter-institutional arrangements. Status: Achieved</w:t>
      </w:r>
    </w:p>
    <w:p w14:paraId="30797477" w14:textId="77777777" w:rsidR="00370D78" w:rsidRPr="00CD56B9" w:rsidRDefault="00370D78" w:rsidP="00370D78">
      <w:pPr>
        <w:rPr>
          <w:lang w:val="en-US"/>
        </w:rPr>
      </w:pPr>
      <w:r w:rsidRPr="00CD56B9">
        <w:rPr>
          <w:lang w:val="en-US"/>
        </w:rPr>
        <w:t xml:space="preserve">The reform of policies and regulations, supervising and tripartite elections was accomplished. The Constitution was amended in late 2012 to introduce tripartite elections, which also necessitated legal amendments to harmonize the electoral laws. </w:t>
      </w:r>
      <w:r w:rsidR="00E92EE6" w:rsidRPr="00CD56B9">
        <w:rPr>
          <w:lang w:val="en-US"/>
        </w:rPr>
        <w:t xml:space="preserve">The </w:t>
      </w:r>
      <w:r w:rsidRPr="00CD56B9">
        <w:rPr>
          <w:lang w:val="en-US"/>
        </w:rPr>
        <w:t>Complaints Handling Unit (CHU) was established as an inter-institutional interface for timely response to complaints, and petitions in contrast to more ad hoc past practices. The UNDP Legal Specialist and national lawyers dealt with election petitions; refinement of complaint management processes, provision of impromptu advice on emerging issues which were instrumental in maintaining a harmonized interpretation and treatment of issues arising from the election petitions.</w:t>
      </w:r>
      <w:r w:rsidRPr="00CD56B9">
        <w:rPr>
          <w:iCs/>
          <w:lang w:val="en-US"/>
        </w:rPr>
        <w:t xml:space="preserve"> </w:t>
      </w:r>
      <w:r w:rsidRPr="00CD56B9">
        <w:rPr>
          <w:lang w:val="en-US"/>
        </w:rPr>
        <w:t xml:space="preserve"> MEC uses codified instruments to effectively manage inter-institutional arrangements</w:t>
      </w:r>
      <w:r w:rsidRPr="00CD56B9">
        <w:rPr>
          <w:iCs/>
          <w:lang w:val="en-US"/>
        </w:rPr>
        <w:t>.</w:t>
      </w:r>
      <w:r w:rsidR="00E46AC2" w:rsidRPr="00CD56B9">
        <w:rPr>
          <w:iCs/>
          <w:lang w:val="en-US"/>
        </w:rPr>
        <w:t xml:space="preserve"> </w:t>
      </w:r>
      <w:r w:rsidRPr="00CD56B9">
        <w:rPr>
          <w:lang w:val="en-US"/>
        </w:rPr>
        <w:t>Codes of Conduct were updated.</w:t>
      </w:r>
      <w:r w:rsidRPr="00CD56B9" w:rsidDel="00C23446">
        <w:rPr>
          <w:lang w:val="en-US"/>
        </w:rPr>
        <w:t xml:space="preserve"> </w:t>
      </w:r>
      <w:bookmarkStart w:id="16" w:name="_Toc381822028"/>
    </w:p>
    <w:p w14:paraId="68856D7B" w14:textId="77777777" w:rsidR="00525A57" w:rsidRDefault="00525A57" w:rsidP="00370D78">
      <w:pPr>
        <w:rPr>
          <w:b/>
          <w:lang w:val="en-US"/>
        </w:rPr>
      </w:pPr>
    </w:p>
    <w:p w14:paraId="3E75C61B" w14:textId="77777777" w:rsidR="00370D78" w:rsidRPr="00CD56B9" w:rsidRDefault="00370D78" w:rsidP="00370D78">
      <w:pPr>
        <w:rPr>
          <w:b/>
          <w:lang w:val="en-US"/>
        </w:rPr>
      </w:pPr>
      <w:r w:rsidRPr="00CD56B9">
        <w:rPr>
          <w:b/>
          <w:lang w:val="en-US"/>
        </w:rPr>
        <w:lastRenderedPageBreak/>
        <w:t>Output 2</w:t>
      </w:r>
      <w:bookmarkEnd w:id="16"/>
      <w:r w:rsidRPr="00CD56B9">
        <w:rPr>
          <w:b/>
          <w:lang w:val="en-US"/>
        </w:rPr>
        <w:t>:</w:t>
      </w:r>
      <w:r w:rsidRPr="00CD56B9">
        <w:rPr>
          <w:lang w:val="en-US"/>
        </w:rPr>
        <w:t xml:space="preserve"> </w:t>
      </w:r>
      <w:r w:rsidRPr="00CD56B9">
        <w:rPr>
          <w:b/>
          <w:lang w:val="en-US"/>
        </w:rPr>
        <w:t xml:space="preserve">Technical and institutional capacity of MEC strengthened. </w:t>
      </w:r>
    </w:p>
    <w:p w14:paraId="473DE196" w14:textId="77777777" w:rsidR="00370D78" w:rsidRPr="00CD56B9" w:rsidRDefault="00E46AC2" w:rsidP="00370D78">
      <w:pPr>
        <w:rPr>
          <w:i/>
          <w:lang w:val="en-US"/>
        </w:rPr>
      </w:pPr>
      <w:r w:rsidRPr="00CD56B9">
        <w:rPr>
          <w:i/>
          <w:lang w:val="en-US"/>
        </w:rPr>
        <w:t>I</w:t>
      </w:r>
      <w:r w:rsidR="00370D78" w:rsidRPr="00CD56B9">
        <w:rPr>
          <w:i/>
          <w:lang w:val="en-US"/>
        </w:rPr>
        <w:t>ndicator 1: Percentage of agreed Strategic Plan activities achieved on schedule; Baseline: Not yet started; Target: 60%; status: Achieved</w:t>
      </w:r>
    </w:p>
    <w:p w14:paraId="2C0400EC" w14:textId="77777777" w:rsidR="00370D78" w:rsidRPr="00CD56B9" w:rsidRDefault="00370D78" w:rsidP="00370D78">
      <w:pPr>
        <w:rPr>
          <w:i/>
          <w:lang w:val="en-US"/>
        </w:rPr>
      </w:pPr>
      <w:r w:rsidRPr="00CD56B9">
        <w:rPr>
          <w:i/>
          <w:lang w:val="en-US"/>
        </w:rPr>
        <w:t>Indicator 2:  Level of MEC’s preparedness in responding to change; Baseline: Low; Target: MEC uses contingency and risk planning tools. Partially achieved</w:t>
      </w:r>
    </w:p>
    <w:p w14:paraId="30A437E0" w14:textId="77777777" w:rsidR="00370D78" w:rsidRPr="00CD56B9" w:rsidRDefault="00370D78" w:rsidP="00370D78">
      <w:pPr>
        <w:rPr>
          <w:lang w:val="en-US"/>
        </w:rPr>
      </w:pPr>
      <w:r w:rsidRPr="00CD56B9">
        <w:rPr>
          <w:lang w:val="en-US"/>
        </w:rPr>
        <w:t>This output implementation achieved almost 75% of planned activities as per strategic plan. The NECOF (National Electoral Consultative Forum) and MPLC (Multi-Party Liaison Committees) forums were maintained. While attention was on the delivery of the election</w:t>
      </w:r>
      <w:r w:rsidR="009D7830" w:rsidRPr="00CD56B9">
        <w:rPr>
          <w:lang w:val="en-US"/>
        </w:rPr>
        <w:t>s</w:t>
      </w:r>
      <w:r w:rsidRPr="00CD56B9">
        <w:rPr>
          <w:lang w:val="en-US"/>
        </w:rPr>
        <w:t>, institutional actions under the Strategic Plan; consultative initiatives on possible election reforms were undertaken with the MEC, MESN (Malawi Electoral Support Network) and NICE (National Initiative for Civic Education); Techni</w:t>
      </w:r>
      <w:r w:rsidR="009D7830" w:rsidRPr="00CD56B9">
        <w:rPr>
          <w:lang w:val="en-US"/>
        </w:rPr>
        <w:t>cal assistance</w:t>
      </w:r>
      <w:r w:rsidRPr="00CD56B9">
        <w:rPr>
          <w:lang w:val="en-US"/>
        </w:rPr>
        <w:t xml:space="preserve"> is ongoing </w:t>
      </w:r>
      <w:r w:rsidR="009D7830" w:rsidRPr="00CD56B9">
        <w:rPr>
          <w:lang w:val="en-US"/>
        </w:rPr>
        <w:t xml:space="preserve">and </w:t>
      </w:r>
      <w:r w:rsidRPr="00CD56B9">
        <w:rPr>
          <w:lang w:val="en-US"/>
        </w:rPr>
        <w:t>as a result MEC was able to respond effectively and ultimately announced the election results on schedule as required by the law. In the post-election analysis process the MEC is implementing staffing changes and reviewing its institutional arrangements.</w:t>
      </w:r>
      <w:r w:rsidRPr="00CD56B9" w:rsidDel="00C23446">
        <w:rPr>
          <w:lang w:val="en-US"/>
        </w:rPr>
        <w:t xml:space="preserve"> </w:t>
      </w:r>
      <w:bookmarkStart w:id="17" w:name="_Toc381822029"/>
    </w:p>
    <w:p w14:paraId="2700538F" w14:textId="77777777" w:rsidR="00370D78" w:rsidRPr="00CD56B9" w:rsidRDefault="00370D78" w:rsidP="00370D78">
      <w:pPr>
        <w:rPr>
          <w:b/>
          <w:lang w:val="en-US"/>
        </w:rPr>
      </w:pPr>
      <w:r w:rsidRPr="00CD56B9">
        <w:rPr>
          <w:b/>
          <w:lang w:val="en-US"/>
        </w:rPr>
        <w:t>Output 3</w:t>
      </w:r>
      <w:bookmarkEnd w:id="17"/>
      <w:r w:rsidRPr="00CD56B9">
        <w:rPr>
          <w:b/>
          <w:lang w:val="en-US"/>
        </w:rPr>
        <w:t xml:space="preserve">: Organization and management of elections enhanced.  </w:t>
      </w:r>
    </w:p>
    <w:p w14:paraId="52925DDB" w14:textId="77777777" w:rsidR="00370D78" w:rsidRPr="00CD56B9" w:rsidRDefault="00370D78" w:rsidP="00370D78">
      <w:pPr>
        <w:rPr>
          <w:i/>
          <w:lang w:val="en-US"/>
        </w:rPr>
      </w:pPr>
      <w:r w:rsidRPr="00CD56B9">
        <w:rPr>
          <w:i/>
          <w:lang w:val="en-US"/>
        </w:rPr>
        <w:t>Indicator 1: Percentage of achievement for MEC’s target of registering eligible voters.  Baseline: Not available Target: 90%; status</w:t>
      </w:r>
      <w:r w:rsidR="009D7830" w:rsidRPr="00CD56B9">
        <w:rPr>
          <w:i/>
          <w:lang w:val="en-US"/>
        </w:rPr>
        <w:t>: 93.3%</w:t>
      </w:r>
    </w:p>
    <w:p w14:paraId="54276A48" w14:textId="77777777" w:rsidR="00370D78" w:rsidRPr="00CD56B9" w:rsidRDefault="00370D78" w:rsidP="00370D78">
      <w:pPr>
        <w:rPr>
          <w:i/>
          <w:lang w:val="en-US"/>
        </w:rPr>
      </w:pPr>
      <w:r w:rsidRPr="00CD56B9">
        <w:rPr>
          <w:i/>
          <w:lang w:val="en-US"/>
        </w:rPr>
        <w:t>Indicator 2: Number of High Court challenges to MEC’s decisions on candidate nomination determinations. Available; Indicator: Percentage of null and void ballots. Baseline: PPE (2009) 4.6%; Target: PPE (2014) 3.5% or less. Status: Achieved</w:t>
      </w:r>
    </w:p>
    <w:p w14:paraId="07253030" w14:textId="77777777" w:rsidR="00370D78" w:rsidRPr="00CD56B9" w:rsidRDefault="00370D78" w:rsidP="00370D78">
      <w:pPr>
        <w:rPr>
          <w:i/>
          <w:lang w:val="en-US"/>
        </w:rPr>
      </w:pPr>
      <w:r w:rsidRPr="00CD56B9">
        <w:rPr>
          <w:i/>
          <w:lang w:val="en-US"/>
        </w:rPr>
        <w:t>Indicator 3: Percentage of milestones of the electoral calendar achieved on schedule. Baseline: Calendar not yet published. Target: 80% of milestones; 100% for by-elections. Status: Achieved</w:t>
      </w:r>
    </w:p>
    <w:p w14:paraId="38B667B9" w14:textId="77777777" w:rsidR="00370D78" w:rsidRPr="00CD56B9" w:rsidRDefault="00370D78" w:rsidP="00370D78">
      <w:pPr>
        <w:rPr>
          <w:lang w:val="en-US"/>
        </w:rPr>
      </w:pPr>
      <w:r w:rsidRPr="00CD56B9">
        <w:rPr>
          <w:lang w:val="en-US"/>
        </w:rPr>
        <w:t xml:space="preserve">Overall, this output focuses on the delivery of activities that enhance MEC’s ability to deliver elections in 2014. The final registration exceeded the target indicator of 90% at 93.3%. The six High Court challenges over candidate nomination also met the target indicator of less than ten; contentious judicial interpretations related to the definition of “public office” as a criterion for candidates, was resolved. A significant improvement was achieved in the area of null and void ballots: 2.6% of ballots were classified as null and void in the parliamentary elections against the goal of less than 3.5%, and the experience of past elections, where the rate was 4.6% in 2009. Operational milestone goals were attained including announcing the election results within the required timelines; sensitive and essential electoral materials were procured with the Basket Fund support; a joint MEC-UNDP delegation was deployed to the security printer in South Africa to approve the ballot design, oversee production and verify the packaging of materials. The payment of honoraria to poll workers via bank transfer resulted in 81,808 (almost 90% of records submitted) successful payments reported by Standard Bank and a joint Needs Assessment Mission was conducted by the UN Electoral Assistance Division and UNDP to formulate recommendations on enhancing the MEC’s organization and management of elections. </w:t>
      </w:r>
    </w:p>
    <w:p w14:paraId="48B5E638" w14:textId="77777777" w:rsidR="00370D78" w:rsidRPr="00CD56B9" w:rsidRDefault="00370D78" w:rsidP="006F6999">
      <w:pPr>
        <w:rPr>
          <w:b/>
          <w:lang w:val="en-US"/>
        </w:rPr>
      </w:pPr>
      <w:bookmarkStart w:id="18" w:name="_Toc381822030"/>
      <w:r w:rsidRPr="00CD56B9">
        <w:rPr>
          <w:b/>
          <w:lang w:val="en-US"/>
        </w:rPr>
        <w:t>Output 4</w:t>
      </w:r>
      <w:bookmarkEnd w:id="18"/>
      <w:r w:rsidRPr="00CD56B9">
        <w:rPr>
          <w:b/>
          <w:lang w:val="en-US"/>
        </w:rPr>
        <w:t>:</w:t>
      </w:r>
      <w:r w:rsidRPr="00CD56B9">
        <w:rPr>
          <w:lang w:val="en-US"/>
        </w:rPr>
        <w:t xml:space="preserve"> </w:t>
      </w:r>
      <w:r w:rsidRPr="00CD56B9">
        <w:rPr>
          <w:b/>
          <w:lang w:val="en-US"/>
        </w:rPr>
        <w:t xml:space="preserve">Effective and Efficient Management, Partnership Formation, Monitoring and Evaluation of the Project. </w:t>
      </w:r>
    </w:p>
    <w:p w14:paraId="054DCD29" w14:textId="77777777" w:rsidR="00370D78" w:rsidRPr="00CD56B9" w:rsidRDefault="00370D78" w:rsidP="00370D78">
      <w:pPr>
        <w:rPr>
          <w:i/>
          <w:lang w:val="en-US"/>
        </w:rPr>
      </w:pPr>
      <w:r w:rsidRPr="00CD56B9">
        <w:rPr>
          <w:i/>
          <w:lang w:val="en-US"/>
        </w:rPr>
        <w:t>Indicator 1: Number of DP Contribution Agreements signed by end of Q2, 2013 Baseline: 0; Target: At least 3; Status: Achieved</w:t>
      </w:r>
    </w:p>
    <w:p w14:paraId="14C45711" w14:textId="77777777" w:rsidR="00370D78" w:rsidRPr="00CD56B9" w:rsidRDefault="00370D78" w:rsidP="00370D78">
      <w:pPr>
        <w:rPr>
          <w:i/>
          <w:lang w:val="en-US"/>
        </w:rPr>
      </w:pPr>
      <w:r w:rsidRPr="00CD56B9">
        <w:rPr>
          <w:i/>
          <w:lang w:val="en-US"/>
        </w:rPr>
        <w:t>Indicator 2: Project delivery rate. Baseline: Not yet available Target: 85%; Status: Achieved</w:t>
      </w:r>
    </w:p>
    <w:p w14:paraId="4B4CF15B" w14:textId="77777777" w:rsidR="00370D78" w:rsidRPr="00CD56B9" w:rsidRDefault="00370D78" w:rsidP="00370D78">
      <w:pPr>
        <w:rPr>
          <w:i/>
          <w:lang w:val="en-US"/>
        </w:rPr>
      </w:pPr>
      <w:r w:rsidRPr="00CD56B9">
        <w:rPr>
          <w:i/>
          <w:lang w:val="en-US"/>
        </w:rPr>
        <w:lastRenderedPageBreak/>
        <w:t>Indicator 3: HACT Micro-assessment rating. Baseline: Significant High Risk Target: Medium Risk</w:t>
      </w:r>
      <w:r w:rsidRPr="00CD56B9">
        <w:rPr>
          <w:rStyle w:val="Kraftigfremhvning"/>
          <w:lang w:val="en-US"/>
        </w:rPr>
        <w:t xml:space="preserve">. </w:t>
      </w:r>
      <w:r w:rsidRPr="00CD56B9">
        <w:rPr>
          <w:i/>
          <w:lang w:val="en-US"/>
        </w:rPr>
        <w:t>Status: Achieved</w:t>
      </w:r>
    </w:p>
    <w:p w14:paraId="61D40327" w14:textId="77777777" w:rsidR="00370D78" w:rsidRPr="00CD56B9" w:rsidRDefault="00370D78" w:rsidP="00370D78">
      <w:pPr>
        <w:rPr>
          <w:lang w:val="en-US"/>
        </w:rPr>
      </w:pPr>
      <w:r w:rsidRPr="00CD56B9">
        <w:rPr>
          <w:lang w:val="en-US"/>
        </w:rPr>
        <w:t xml:space="preserve">The delivery rates proceeded in line with the required commitments and output achievements are on track and the targets likely to be met by end 2016. This output focuses on the establishment and maintenance of funds to channel international financial support, complementary to the use of national resources in support of MEC. Effective and efficient management, partnership and monitoring and evaluation of the project were fully achieved. Agreement was reached for the savings from procurement actions to be allocated to cover the cost of poll workers. Financial analysis of the contributions of the Basket Fund was made. Reporting on funding was made to all partners, including the Government of Malawi and MEC. Monitoring of cash flow was undertaken by UNDP.  </w:t>
      </w:r>
    </w:p>
    <w:p w14:paraId="1D89D9DE" w14:textId="77777777" w:rsidR="00370D78" w:rsidRPr="00CD56B9" w:rsidRDefault="00370D78" w:rsidP="00370D78">
      <w:pPr>
        <w:rPr>
          <w:lang w:val="en-US"/>
        </w:rPr>
      </w:pPr>
      <w:r w:rsidRPr="00CD56B9">
        <w:rPr>
          <w:lang w:val="en-US"/>
        </w:rPr>
        <w:t xml:space="preserve">MEC, GoM and DPs have ensured ownership and partnership, effective and efficient use of resources. The electoral process and priorities of the project together with a risk log are reviewed on a monthly basis by the Technical Committee and where appropriate, matters referred to the Steering Committee for guidance. </w:t>
      </w:r>
    </w:p>
    <w:p w14:paraId="4C77E64D" w14:textId="77777777" w:rsidR="00370D78" w:rsidRPr="00CD56B9" w:rsidRDefault="00370D78" w:rsidP="00370D78">
      <w:pPr>
        <w:rPr>
          <w:lang w:val="en-US"/>
        </w:rPr>
      </w:pPr>
      <w:r w:rsidRPr="00CD56B9">
        <w:rPr>
          <w:lang w:val="en-US"/>
        </w:rPr>
        <w:t xml:space="preserve">The project targeted gender aspects although the results achieved were regressive and below the minimum 50:50 advocated for. The gender mainstreaming in the electoral process tends to be prominent only during elections period. It </w:t>
      </w:r>
      <w:r w:rsidR="00D847ED" w:rsidRPr="00CD56B9">
        <w:rPr>
          <w:lang w:val="en-US"/>
        </w:rPr>
        <w:t xml:space="preserve">is </w:t>
      </w:r>
      <w:r w:rsidRPr="00CD56B9">
        <w:rPr>
          <w:lang w:val="en-US"/>
        </w:rPr>
        <w:t xml:space="preserve">not sustained in between elections. There is need for a comprehensive plan and civic education that promotes continuity in gender mainstreaming in all aspects relating to election cycle and processes. </w:t>
      </w:r>
    </w:p>
    <w:p w14:paraId="2ECAEAD8" w14:textId="77777777" w:rsidR="00370D78" w:rsidRPr="00CD56B9" w:rsidRDefault="00370D78" w:rsidP="00E46AC2">
      <w:pPr>
        <w:spacing w:after="0"/>
        <w:rPr>
          <w:b/>
          <w:lang w:val="en-US"/>
        </w:rPr>
      </w:pPr>
      <w:r w:rsidRPr="00CD56B9">
        <w:rPr>
          <w:b/>
          <w:lang w:val="en-US"/>
        </w:rPr>
        <w:t xml:space="preserve">Efficiency </w:t>
      </w:r>
    </w:p>
    <w:p w14:paraId="39A03643" w14:textId="77777777" w:rsidR="00370D78" w:rsidRPr="00CD56B9" w:rsidRDefault="00370D78" w:rsidP="00370D78">
      <w:pPr>
        <w:rPr>
          <w:lang w:val="en-US"/>
        </w:rPr>
      </w:pPr>
      <w:r w:rsidRPr="00CD56B9">
        <w:rPr>
          <w:lang w:val="en-US"/>
        </w:rPr>
        <w:t>A joint UN Electoral Assistance Division and UNDP Needs Assessment Mi</w:t>
      </w:r>
      <w:r w:rsidR="00D847ED" w:rsidRPr="00CD56B9">
        <w:rPr>
          <w:lang w:val="en-US"/>
        </w:rPr>
        <w:t>ssion was deployed and met</w:t>
      </w:r>
      <w:r w:rsidRPr="00CD56B9">
        <w:rPr>
          <w:lang w:val="en-US"/>
        </w:rPr>
        <w:t xml:space="preserve"> with stakeholders to formulate recommendations for priority areas of assistance; identified five priority areas of UN assistance: reform of the legal framework and electoral system; capacity building and institutional development of the MEC; reform of the voter registration system; enhancing women’s participation; and, design of a multi-year CVE strategy between the polls; activities were proposed including update of the 2008 Bekko report on </w:t>
      </w:r>
      <w:r w:rsidR="00061781" w:rsidRPr="00CD56B9">
        <w:rPr>
          <w:lang w:val="en-US"/>
        </w:rPr>
        <w:t>organizational</w:t>
      </w:r>
      <w:r w:rsidRPr="00CD56B9">
        <w:rPr>
          <w:lang w:val="en-US"/>
        </w:rPr>
        <w:t xml:space="preserve"> restructuring of the MEC and a feasibility assessment mission on voter registration systems. </w:t>
      </w:r>
    </w:p>
    <w:p w14:paraId="524E815B" w14:textId="77777777" w:rsidR="00370D78" w:rsidRDefault="00370D78" w:rsidP="00370D78">
      <w:r w:rsidRPr="00CD56B9">
        <w:rPr>
          <w:lang w:val="en-US"/>
        </w:rPr>
        <w:t xml:space="preserve">The project takes into account a number of cross cutting themes that are integrated into technical assistance throughout the electoral cycle; management is through collaboration and partnership with other UN and </w:t>
      </w:r>
      <w:r w:rsidR="00D847ED" w:rsidRPr="00CD56B9">
        <w:rPr>
          <w:lang w:val="en-US"/>
        </w:rPr>
        <w:t>non-UN</w:t>
      </w:r>
      <w:r w:rsidRPr="00CD56B9">
        <w:rPr>
          <w:lang w:val="en-US"/>
        </w:rPr>
        <w:t xml:space="preserve"> projects. It seeks complementarities and linkages with UNDP and DP supported projects within the SWAp, including political empowerment of women (PEW) which aims at increasing meaningful participation of all gender groups in decision making. </w:t>
      </w:r>
      <w:r>
        <w:t xml:space="preserve">This includes: </w:t>
      </w:r>
    </w:p>
    <w:p w14:paraId="28C551CF" w14:textId="77777777" w:rsidR="00370D78" w:rsidRPr="00CD56B9" w:rsidRDefault="00370D78" w:rsidP="00F769B0">
      <w:pPr>
        <w:pStyle w:val="Listeafsnit"/>
        <w:numPr>
          <w:ilvl w:val="0"/>
          <w:numId w:val="16"/>
        </w:numPr>
        <w:spacing w:after="0" w:line="276" w:lineRule="auto"/>
        <w:ind w:left="360"/>
        <w:rPr>
          <w:lang w:val="en-US"/>
        </w:rPr>
      </w:pPr>
      <w:r w:rsidRPr="00CD56B9">
        <w:rPr>
          <w:lang w:val="en-US"/>
        </w:rPr>
        <w:t xml:space="preserve">The Democratic Consolidation Programme (DCP) which promotes the right to development and promotion of participatory and accountable governance </w:t>
      </w:r>
      <w:r w:rsidR="00061781" w:rsidRPr="00CD56B9">
        <w:rPr>
          <w:lang w:val="en-US"/>
        </w:rPr>
        <w:t>utilizing</w:t>
      </w:r>
      <w:r w:rsidRPr="00CD56B9">
        <w:rPr>
          <w:lang w:val="en-US"/>
        </w:rPr>
        <w:t xml:space="preserve"> a rights-based approach by supporting communities and village rights committees to demand improved services , transparency and accountability; political party strengthening;</w:t>
      </w:r>
    </w:p>
    <w:p w14:paraId="34E02C32" w14:textId="77777777" w:rsidR="00370D78" w:rsidRPr="00CD56B9" w:rsidRDefault="00370D78" w:rsidP="00F769B0">
      <w:pPr>
        <w:pStyle w:val="Listeafsnit"/>
        <w:numPr>
          <w:ilvl w:val="0"/>
          <w:numId w:val="16"/>
        </w:numPr>
        <w:spacing w:after="0" w:line="276" w:lineRule="auto"/>
        <w:ind w:left="360"/>
        <w:rPr>
          <w:lang w:val="en-US"/>
        </w:rPr>
      </w:pPr>
      <w:r w:rsidRPr="00CD56B9">
        <w:rPr>
          <w:lang w:val="en-US"/>
        </w:rPr>
        <w:t xml:space="preserve">The Strengthening Political Parties Project (SPPP) which aims at strengthening political parties to effectively participate in multi-party democracy, integrating women the youth, and support the emergency of issue base debate among political parties; </w:t>
      </w:r>
    </w:p>
    <w:p w14:paraId="170C4445" w14:textId="77777777" w:rsidR="00370D78" w:rsidRPr="00CD56B9" w:rsidRDefault="00370D78" w:rsidP="00F769B0">
      <w:pPr>
        <w:pStyle w:val="Listeafsnit"/>
        <w:numPr>
          <w:ilvl w:val="0"/>
          <w:numId w:val="16"/>
        </w:numPr>
        <w:spacing w:after="0" w:line="276" w:lineRule="auto"/>
        <w:ind w:left="360"/>
        <w:rPr>
          <w:lang w:val="en-US"/>
        </w:rPr>
      </w:pPr>
      <w:r w:rsidRPr="00CD56B9">
        <w:rPr>
          <w:lang w:val="en-US"/>
        </w:rPr>
        <w:t xml:space="preserve">The National Peace Architecture (NPA) initiative which aims at establishing a national peace architecture by building capacities for dialogue and collaborative problem solving; and </w:t>
      </w:r>
    </w:p>
    <w:p w14:paraId="4CA3D731" w14:textId="77777777" w:rsidR="00370D78" w:rsidRPr="00CD56B9" w:rsidRDefault="00370D78" w:rsidP="00F769B0">
      <w:pPr>
        <w:pStyle w:val="Listeafsnit"/>
        <w:numPr>
          <w:ilvl w:val="0"/>
          <w:numId w:val="16"/>
        </w:numPr>
        <w:spacing w:after="0" w:line="276" w:lineRule="auto"/>
        <w:ind w:left="360"/>
        <w:rPr>
          <w:lang w:val="en-US"/>
        </w:rPr>
      </w:pPr>
      <w:r w:rsidRPr="00CD56B9">
        <w:rPr>
          <w:lang w:val="en-US"/>
        </w:rPr>
        <w:t>The Parliamentary Support Project (PSP), which sought to strengthen the capacity of the National Assembly to effectively perform its constitutional mandate of representation, oversight and legislation.</w:t>
      </w:r>
    </w:p>
    <w:p w14:paraId="4483619F" w14:textId="77777777" w:rsidR="00370D78" w:rsidRPr="00CD56B9" w:rsidRDefault="00370D78" w:rsidP="00370D78">
      <w:pPr>
        <w:spacing w:after="0"/>
        <w:rPr>
          <w:b/>
          <w:lang w:val="en-US"/>
        </w:rPr>
      </w:pPr>
    </w:p>
    <w:p w14:paraId="7F44DD09" w14:textId="77777777" w:rsidR="00370D78" w:rsidRPr="00CD56B9" w:rsidRDefault="00370D78" w:rsidP="00370D78">
      <w:pPr>
        <w:spacing w:after="0"/>
        <w:rPr>
          <w:b/>
          <w:lang w:val="en-US"/>
        </w:rPr>
      </w:pPr>
      <w:r w:rsidRPr="00CD56B9">
        <w:rPr>
          <w:b/>
          <w:lang w:val="en-US"/>
        </w:rPr>
        <w:t>Sustainability</w:t>
      </w:r>
    </w:p>
    <w:p w14:paraId="0FE09F07" w14:textId="6352F58B" w:rsidR="00370D78" w:rsidRPr="00CD56B9" w:rsidRDefault="00370D78" w:rsidP="00370D78">
      <w:pPr>
        <w:rPr>
          <w:lang w:val="en-US"/>
        </w:rPr>
      </w:pPr>
      <w:r w:rsidRPr="00CD56B9">
        <w:rPr>
          <w:lang w:val="en-US"/>
        </w:rPr>
        <w:t xml:space="preserve">MEC is positioned as an institution with sustainable administrative, technical and operational capacity to fulfil its mandate with minimal external technical assistance. In view of Malawi’s economic </w:t>
      </w:r>
      <w:r w:rsidR="00560421" w:rsidRPr="00CD56B9">
        <w:rPr>
          <w:lang w:val="en-US"/>
        </w:rPr>
        <w:t>situation,</w:t>
      </w:r>
      <w:r w:rsidRPr="00CD56B9">
        <w:rPr>
          <w:lang w:val="en-US"/>
        </w:rPr>
        <w:t xml:space="preserve"> financial support is considered an ongoing need in future election cycles. MEC’s operational capacity is being enhance and technical skills transfer will enable MEC to plan, design and deliver as well as respond to changes in the conditions of future electoral cycles. The </w:t>
      </w:r>
      <w:r w:rsidR="006D5EBE" w:rsidRPr="00CD56B9">
        <w:rPr>
          <w:lang w:val="en-US"/>
        </w:rPr>
        <w:t>emergence of several proposed reforms as well as growing financial constraints imposed by overall Government budget difficulties, and ‘bureaucratic’ red tape, ha</w:t>
      </w:r>
      <w:r w:rsidR="006D5EBE">
        <w:rPr>
          <w:lang w:val="en-US"/>
        </w:rPr>
        <w:t>s</w:t>
      </w:r>
      <w:r w:rsidRPr="00CD56B9">
        <w:rPr>
          <w:lang w:val="en-US"/>
        </w:rPr>
        <w:t xml:space="preserve"> led to delays for several planned activities. Worsening economic environment meant that by-election budgets were not completely funded in actual transfers. Government commitments overall were not fulfilled on funding for the elections, </w:t>
      </w:r>
      <w:r w:rsidR="00EC047D">
        <w:rPr>
          <w:lang w:val="en-US"/>
        </w:rPr>
        <w:t xml:space="preserve">and </w:t>
      </w:r>
      <w:r w:rsidRPr="00CD56B9">
        <w:rPr>
          <w:lang w:val="en-US"/>
        </w:rPr>
        <w:t xml:space="preserve">several arrears remain outstanding. </w:t>
      </w:r>
    </w:p>
    <w:p w14:paraId="374193A7" w14:textId="77777777" w:rsidR="00370D78" w:rsidRPr="00CD56B9" w:rsidRDefault="00370D78" w:rsidP="00370D78">
      <w:pPr>
        <w:rPr>
          <w:lang w:val="en-US"/>
        </w:rPr>
      </w:pPr>
      <w:r w:rsidRPr="00CD56B9">
        <w:rPr>
          <w:lang w:val="en-US"/>
        </w:rPr>
        <w:t>A major gap that needs to addressed concerns the need to widen the election cycle management approach to the stakeholders in the political parties, in civic education and in targeted gender equality support. For now, these areas only receive support up to the elections.</w:t>
      </w:r>
    </w:p>
    <w:p w14:paraId="69CA4BC7" w14:textId="77777777" w:rsidR="00370D78" w:rsidRPr="004424AF" w:rsidRDefault="00370D78" w:rsidP="00E46AC2">
      <w:pPr>
        <w:spacing w:after="0"/>
        <w:rPr>
          <w:b/>
          <w:lang w:val="en-US"/>
        </w:rPr>
      </w:pPr>
      <w:r w:rsidRPr="004424AF">
        <w:rPr>
          <w:b/>
          <w:lang w:val="en-US"/>
        </w:rPr>
        <w:t>Conclusion</w:t>
      </w:r>
    </w:p>
    <w:p w14:paraId="10C9F088" w14:textId="77777777" w:rsidR="00370D78" w:rsidRPr="00CD56B9" w:rsidRDefault="00370D78" w:rsidP="00370D78">
      <w:pPr>
        <w:rPr>
          <w:lang w:val="en-US"/>
        </w:rPr>
      </w:pPr>
      <w:r w:rsidRPr="00CD56B9">
        <w:rPr>
          <w:lang w:val="en-US"/>
        </w:rPr>
        <w:t>In summary, the project is relevant in that it addresses the issues that are in line with national priorities and aligned to government policies. There is notable progress and achievements including a reviewed strategy, skills development in staff following training workshops and conferences; draft electoral reforms and policies like ICT, recruitment, training policy are in place. Staff has gone to other EMBs on placement; and adequate legal support by international and national experts has been provided. The project involves engendering of electoral laws, policies and strategies; Elections policies and regulations are gender sensitive;</w:t>
      </w:r>
      <w:r w:rsidRPr="00CD56B9">
        <w:rPr>
          <w:rFonts w:eastAsia="+mn-ea"/>
          <w:kern w:val="24"/>
          <w:lang w:val="en-US"/>
        </w:rPr>
        <w:t xml:space="preserve"> </w:t>
      </w:r>
      <w:r w:rsidRPr="00CD56B9">
        <w:rPr>
          <w:lang w:val="en-US"/>
        </w:rPr>
        <w:t>Gender, youth and marginal groups, as well as conflict resolution and management are mainstreamed into the policy framework, planning and implementation.</w:t>
      </w:r>
    </w:p>
    <w:p w14:paraId="2E1D3FB7" w14:textId="77777777" w:rsidR="00370D78" w:rsidRPr="00CD56B9" w:rsidRDefault="00370D78" w:rsidP="00370D78">
      <w:pPr>
        <w:rPr>
          <w:lang w:val="en-US"/>
        </w:rPr>
      </w:pPr>
      <w:r w:rsidRPr="00CD56B9">
        <w:rPr>
          <w:lang w:val="en-US"/>
        </w:rPr>
        <w:t xml:space="preserve">Main challenges in implementation include inadequate </w:t>
      </w:r>
      <w:r w:rsidR="0053653D" w:rsidRPr="00CD56B9">
        <w:rPr>
          <w:lang w:val="en-US"/>
        </w:rPr>
        <w:t xml:space="preserve">access to </w:t>
      </w:r>
      <w:r w:rsidRPr="00CD56B9">
        <w:rPr>
          <w:lang w:val="en-US"/>
        </w:rPr>
        <w:t xml:space="preserve">vehicles to enable effective implementation of activities; DSA policy limits participation by stakeholders. The legal framework is a considered weak to regulate the process; MEC is unable to unilaterally issue regulations. It depends on unauthoritative Codes of Conduct. Despite efforts by the CHU, with the manual systems maintained by the Court Registrars, </w:t>
      </w:r>
      <w:r w:rsidR="00D823B7" w:rsidRPr="00CD56B9">
        <w:rPr>
          <w:lang w:val="en-US"/>
        </w:rPr>
        <w:t>it</w:t>
      </w:r>
      <w:r w:rsidRPr="00CD56B9">
        <w:rPr>
          <w:lang w:val="en-US"/>
        </w:rPr>
        <w:t xml:space="preserve"> cannot be authoritative on advising on the petitions that have been submitted.</w:t>
      </w:r>
    </w:p>
    <w:p w14:paraId="33220CB3" w14:textId="77777777" w:rsidR="001E21BB" w:rsidRPr="00CD56B9" w:rsidRDefault="00370D78" w:rsidP="00370D78">
      <w:pPr>
        <w:rPr>
          <w:lang w:val="en-US"/>
        </w:rPr>
      </w:pPr>
      <w:r w:rsidRPr="00CD56B9">
        <w:rPr>
          <w:lang w:val="en-US"/>
        </w:rPr>
        <w:t xml:space="preserve">The process of reviewing and correcting incorrect bank information details of poll workers was found to be a lengthy process and resulted in a change of approach towards cash distribution for an estimated 12,000 remaining payees. There were still outstanding audit queries to be resolved, which relates to the MEC Audit </w:t>
      </w:r>
      <w:r w:rsidR="00D823B7" w:rsidRPr="00CD56B9">
        <w:rPr>
          <w:lang w:val="en-US"/>
        </w:rPr>
        <w:t>Report, which</w:t>
      </w:r>
      <w:r w:rsidRPr="00CD56B9">
        <w:rPr>
          <w:lang w:val="en-US"/>
        </w:rPr>
        <w:t xml:space="preserve"> MoF adopted. There queries relating to among others exorbitant price quotations for ballot boxes and some mismanagement of funding on behalf of MEC. There are challenges in the development of Civic and Voter Education strategies, both for implementation in the run up to the by-elections, as well as for </w:t>
      </w:r>
      <w:r w:rsidR="00D823B7" w:rsidRPr="00CD56B9">
        <w:rPr>
          <w:lang w:val="en-US"/>
        </w:rPr>
        <w:t>longer-term</w:t>
      </w:r>
      <w:r w:rsidRPr="00CD56B9">
        <w:rPr>
          <w:lang w:val="en-US"/>
        </w:rPr>
        <w:t xml:space="preserve"> </w:t>
      </w:r>
      <w:r w:rsidR="00061781" w:rsidRPr="00CD56B9">
        <w:rPr>
          <w:lang w:val="en-US"/>
        </w:rPr>
        <w:t>endeavors</w:t>
      </w:r>
      <w:r w:rsidRPr="00CD56B9">
        <w:rPr>
          <w:lang w:val="en-US"/>
        </w:rPr>
        <w:t xml:space="preserve">. </w:t>
      </w:r>
      <w:bookmarkEnd w:id="9"/>
      <w:bookmarkEnd w:id="10"/>
      <w:bookmarkEnd w:id="11"/>
      <w:bookmarkEnd w:id="12"/>
      <w:r w:rsidRPr="00CD56B9">
        <w:rPr>
          <w:lang w:val="en-US"/>
        </w:rPr>
        <w:t>There is a lack of coordination between the consultations undertaken independently by a number of organizations (MEC, MESN and NICE).</w:t>
      </w:r>
      <w:r w:rsidR="00D823B7" w:rsidRPr="00CD56B9">
        <w:rPr>
          <w:lang w:val="en-US"/>
        </w:rPr>
        <w:t xml:space="preserve"> </w:t>
      </w:r>
      <w:r w:rsidRPr="00CD56B9">
        <w:rPr>
          <w:lang w:val="en-US"/>
        </w:rPr>
        <w:t xml:space="preserve">In the post-election environment the MEC’s perceived credibility as a non-partisan Commission is a </w:t>
      </w:r>
      <w:r w:rsidR="004A0A36" w:rsidRPr="00CD56B9">
        <w:rPr>
          <w:lang w:val="en-US"/>
        </w:rPr>
        <w:t>challenge that</w:t>
      </w:r>
      <w:r w:rsidRPr="00CD56B9">
        <w:rPr>
          <w:lang w:val="en-US"/>
        </w:rPr>
        <w:t xml:space="preserve"> </w:t>
      </w:r>
      <w:r w:rsidR="007619B1" w:rsidRPr="00CD56B9">
        <w:rPr>
          <w:lang w:val="en-US"/>
        </w:rPr>
        <w:t>needs to be</w:t>
      </w:r>
      <w:r w:rsidRPr="00CD56B9">
        <w:rPr>
          <w:lang w:val="en-US"/>
        </w:rPr>
        <w:t xml:space="preserve"> address</w:t>
      </w:r>
      <w:r w:rsidR="007619B1" w:rsidRPr="00CD56B9">
        <w:rPr>
          <w:lang w:val="en-US"/>
        </w:rPr>
        <w:t>ed</w:t>
      </w:r>
      <w:r w:rsidRPr="00CD56B9">
        <w:rPr>
          <w:lang w:val="en-US"/>
        </w:rPr>
        <w:t>.</w:t>
      </w:r>
    </w:p>
    <w:p w14:paraId="3C4DF1DD" w14:textId="77777777" w:rsidR="00B51C15" w:rsidRPr="00CD56B9" w:rsidRDefault="00370D78" w:rsidP="00370D78">
      <w:pPr>
        <w:rPr>
          <w:lang w:val="en-US"/>
        </w:rPr>
        <w:sectPr w:rsidR="00B51C15" w:rsidRPr="00CD56B9" w:rsidSect="000C1092">
          <w:pgSz w:w="12240" w:h="15840"/>
          <w:pgMar w:top="1440" w:right="1440" w:bottom="1440" w:left="1440" w:header="720" w:footer="720" w:gutter="0"/>
          <w:cols w:space="720"/>
          <w:docGrid w:linePitch="360"/>
        </w:sectPr>
      </w:pPr>
      <w:r w:rsidRPr="00CD56B9">
        <w:rPr>
          <w:lang w:val="en-US"/>
        </w:rPr>
        <w:t xml:space="preserve"> </w:t>
      </w:r>
    </w:p>
    <w:p w14:paraId="15448607" w14:textId="77777777" w:rsidR="00B51C15" w:rsidRPr="00CD56B9" w:rsidRDefault="00925C87" w:rsidP="00997A7B">
      <w:pPr>
        <w:pStyle w:val="Overskrift2"/>
        <w:numPr>
          <w:ilvl w:val="0"/>
          <w:numId w:val="0"/>
        </w:numPr>
        <w:rPr>
          <w:lang w:val="en-US"/>
        </w:rPr>
      </w:pPr>
      <w:bookmarkStart w:id="19" w:name="_Toc439245579"/>
      <w:r w:rsidRPr="00CD56B9">
        <w:rPr>
          <w:lang w:val="en-US"/>
        </w:rPr>
        <w:lastRenderedPageBreak/>
        <w:t xml:space="preserve">3.3 </w:t>
      </w:r>
      <w:r w:rsidR="00B51C15" w:rsidRPr="00CD56B9">
        <w:rPr>
          <w:lang w:val="en-US"/>
        </w:rPr>
        <w:t>Strengthening Political Parties Project 2013-2016</w:t>
      </w:r>
      <w:bookmarkEnd w:id="19"/>
    </w:p>
    <w:p w14:paraId="00D66CC0" w14:textId="77777777" w:rsidR="00925C87" w:rsidRPr="00CD56B9" w:rsidRDefault="00925C87" w:rsidP="00B51C15">
      <w:pPr>
        <w:ind w:right="26"/>
        <w:rPr>
          <w:rFonts w:cs="Arial"/>
          <w:lang w:val="en-US"/>
        </w:rPr>
      </w:pPr>
    </w:p>
    <w:p w14:paraId="3D16A9B0" w14:textId="77777777" w:rsidR="00B51C15" w:rsidRPr="00CD56B9" w:rsidRDefault="00B51C15" w:rsidP="00B51C15">
      <w:pPr>
        <w:ind w:right="26"/>
        <w:rPr>
          <w:rFonts w:cs="Arial"/>
          <w:lang w:val="en-US"/>
        </w:rPr>
      </w:pPr>
      <w:r w:rsidRPr="00CD56B9">
        <w:rPr>
          <w:rFonts w:cs="Arial"/>
          <w:lang w:val="en-US"/>
        </w:rPr>
        <w:t>The project is implemented by the Centre for Multiparty Democracy (CMD). It is designed to support attainment of political parties with clear ideologies and functional internal democracy to effectively participate in Malawi’s multiparty democracy, integrating women and youth groups in political parties’ structures and dialogue. The Strengthening Political Parties Project is a 4-year project and has five outputs:</w:t>
      </w:r>
    </w:p>
    <w:p w14:paraId="297897A9" w14:textId="77777777" w:rsidR="00B51C15" w:rsidRPr="00CD56B9" w:rsidRDefault="00B51C15" w:rsidP="00B51C15">
      <w:pPr>
        <w:ind w:right="26"/>
        <w:rPr>
          <w:rFonts w:cs="Arial"/>
          <w:b/>
          <w:lang w:val="en-US"/>
        </w:rPr>
      </w:pPr>
      <w:r w:rsidRPr="00CD56B9">
        <w:rPr>
          <w:rFonts w:cs="Arial"/>
          <w:b/>
          <w:lang w:val="en-US"/>
        </w:rPr>
        <w:t>Project outputs</w:t>
      </w:r>
      <w:r w:rsidR="00925C87" w:rsidRPr="00CD56B9">
        <w:rPr>
          <w:rFonts w:cs="Arial"/>
          <w:b/>
          <w:lang w:val="en-US"/>
        </w:rPr>
        <w:t>:</w:t>
      </w:r>
    </w:p>
    <w:p w14:paraId="125F01B8" w14:textId="77777777" w:rsidR="00B51C15" w:rsidRPr="00CD56B9" w:rsidRDefault="00B51C15" w:rsidP="00925C87">
      <w:pPr>
        <w:spacing w:after="0"/>
        <w:ind w:right="26"/>
        <w:rPr>
          <w:rFonts w:cs="Arial"/>
          <w:lang w:val="en-US"/>
        </w:rPr>
      </w:pPr>
      <w:r w:rsidRPr="00CD56B9">
        <w:rPr>
          <w:rFonts w:cs="Arial"/>
          <w:b/>
          <w:lang w:val="en-US"/>
        </w:rPr>
        <w:t>Output 1</w:t>
      </w:r>
      <w:r w:rsidRPr="00CD56B9">
        <w:rPr>
          <w:rFonts w:cs="Arial"/>
          <w:lang w:val="en-US"/>
        </w:rPr>
        <w:t xml:space="preserve">: National Assembly enacts revised Political Parties Registration and Regulation Act (PPRRA); </w:t>
      </w:r>
    </w:p>
    <w:p w14:paraId="61D1A2B8" w14:textId="77777777" w:rsidR="00B51C15" w:rsidRPr="00CD56B9" w:rsidRDefault="00B51C15" w:rsidP="00925C87">
      <w:pPr>
        <w:spacing w:after="0"/>
        <w:ind w:right="26"/>
        <w:rPr>
          <w:rFonts w:cs="Arial"/>
          <w:lang w:val="en-US"/>
        </w:rPr>
      </w:pPr>
      <w:r w:rsidRPr="00CD56B9">
        <w:rPr>
          <w:rFonts w:cs="Arial"/>
          <w:b/>
          <w:lang w:val="en-US"/>
        </w:rPr>
        <w:t>Output 2</w:t>
      </w:r>
      <w:r w:rsidRPr="00CD56B9">
        <w:rPr>
          <w:rFonts w:cs="Arial"/>
          <w:lang w:val="en-US"/>
        </w:rPr>
        <w:t xml:space="preserve">: Political Parties’ issue-based Platforms for 2014 elections developed and disseminated; </w:t>
      </w:r>
    </w:p>
    <w:p w14:paraId="425C537F" w14:textId="77777777" w:rsidR="00B51C15" w:rsidRPr="00CD56B9" w:rsidRDefault="00B51C15" w:rsidP="00925C87">
      <w:pPr>
        <w:spacing w:after="0"/>
        <w:ind w:right="26"/>
        <w:rPr>
          <w:rFonts w:cs="Arial"/>
          <w:lang w:val="en-US"/>
        </w:rPr>
      </w:pPr>
      <w:r w:rsidRPr="00CD56B9">
        <w:rPr>
          <w:rFonts w:cs="Arial"/>
          <w:b/>
          <w:lang w:val="en-US"/>
        </w:rPr>
        <w:t>Output 3</w:t>
      </w:r>
      <w:r w:rsidRPr="00CD56B9">
        <w:rPr>
          <w:rFonts w:cs="Arial"/>
          <w:lang w:val="en-US"/>
        </w:rPr>
        <w:t xml:space="preserve">: Governance/organizational structure for political parties developed to foster transparency and accountability; </w:t>
      </w:r>
    </w:p>
    <w:p w14:paraId="6AFC0321" w14:textId="77777777" w:rsidR="00B51C15" w:rsidRPr="00CD56B9" w:rsidRDefault="00B51C15" w:rsidP="00925C87">
      <w:pPr>
        <w:spacing w:after="0"/>
        <w:ind w:right="26"/>
        <w:rPr>
          <w:rFonts w:cs="Arial"/>
          <w:lang w:val="en-US"/>
        </w:rPr>
      </w:pPr>
      <w:r w:rsidRPr="00CD56B9">
        <w:rPr>
          <w:rFonts w:cs="Arial"/>
          <w:b/>
          <w:lang w:val="en-US"/>
        </w:rPr>
        <w:t>Output 4</w:t>
      </w:r>
      <w:r w:rsidRPr="00CD56B9">
        <w:rPr>
          <w:rFonts w:cs="Arial"/>
          <w:lang w:val="en-US"/>
        </w:rPr>
        <w:t>: Platform for inter-party dialogue strengthened to promote transparency and accountability as well as enhance credibility and legitimacy of political parties at all levels;</w:t>
      </w:r>
    </w:p>
    <w:p w14:paraId="6110FA94" w14:textId="77777777" w:rsidR="00B51C15" w:rsidRPr="00CD56B9" w:rsidRDefault="00B51C15" w:rsidP="00925C87">
      <w:pPr>
        <w:spacing w:after="0"/>
        <w:ind w:right="26"/>
        <w:rPr>
          <w:rFonts w:cs="Arial"/>
          <w:lang w:val="en-US"/>
        </w:rPr>
      </w:pPr>
      <w:r w:rsidRPr="00CD56B9">
        <w:rPr>
          <w:rFonts w:cs="Arial"/>
          <w:b/>
          <w:lang w:val="en-US"/>
        </w:rPr>
        <w:t>Output 5</w:t>
      </w:r>
      <w:r w:rsidRPr="00CD56B9">
        <w:rPr>
          <w:rFonts w:cs="Arial"/>
          <w:lang w:val="en-US"/>
        </w:rPr>
        <w:t>: Effective and efficient management, partnership development and monitoring and evaluation of the project.</w:t>
      </w:r>
    </w:p>
    <w:p w14:paraId="6369E7B0" w14:textId="77777777" w:rsidR="00B51C15" w:rsidRPr="00CD56B9" w:rsidRDefault="00B51C15" w:rsidP="00B51C15">
      <w:pPr>
        <w:ind w:left="720"/>
        <w:contextualSpacing/>
        <w:rPr>
          <w:rFonts w:cs="Arial"/>
          <w:lang w:val="en-US"/>
        </w:rPr>
      </w:pPr>
    </w:p>
    <w:p w14:paraId="70EA48AA" w14:textId="77777777" w:rsidR="00B51C15" w:rsidRPr="00CD56B9" w:rsidRDefault="00B51C15" w:rsidP="00B51C15">
      <w:pPr>
        <w:autoSpaceDE w:val="0"/>
        <w:autoSpaceDN w:val="0"/>
        <w:adjustRightInd w:val="0"/>
        <w:contextualSpacing/>
        <w:rPr>
          <w:rFonts w:cs="Arial"/>
          <w:b/>
          <w:lang w:val="en-US"/>
        </w:rPr>
      </w:pPr>
      <w:r w:rsidRPr="00CD56B9">
        <w:rPr>
          <w:rFonts w:cs="Arial"/>
          <w:b/>
          <w:lang w:val="en-US"/>
        </w:rPr>
        <w:t xml:space="preserve">Project Relevance </w:t>
      </w:r>
    </w:p>
    <w:p w14:paraId="66F29A04" w14:textId="77777777" w:rsidR="00B51C15" w:rsidRPr="00CD56B9" w:rsidRDefault="00B51C15" w:rsidP="009405F6">
      <w:pPr>
        <w:spacing w:after="0"/>
        <w:contextualSpacing/>
        <w:rPr>
          <w:rFonts w:cs="Arial"/>
          <w:lang w:val="en-US"/>
        </w:rPr>
      </w:pPr>
      <w:r w:rsidRPr="00CD56B9">
        <w:rPr>
          <w:rFonts w:cs="Arial"/>
          <w:lang w:val="en-US"/>
        </w:rPr>
        <w:t>The project is aligned to government and policies and UNDAF. It respond to the need for a coherent strategy to support political  parties as highlighted in MGDS II</w:t>
      </w:r>
      <w:r w:rsidR="009405F6" w:rsidRPr="00CD56B9">
        <w:rPr>
          <w:rFonts w:cs="Arial"/>
          <w:lang w:val="en-US"/>
        </w:rPr>
        <w:t>,</w:t>
      </w:r>
      <w:r w:rsidRPr="00CD56B9">
        <w:rPr>
          <w:rFonts w:cs="Arial"/>
          <w:lang w:val="en-US"/>
        </w:rPr>
        <w:t xml:space="preserve"> which identifies improved governance in the PPs as critical for </w:t>
      </w:r>
      <w:r w:rsidR="00DC0B76" w:rsidRPr="00CD56B9">
        <w:rPr>
          <w:rFonts w:cs="Arial"/>
          <w:lang w:val="en-US"/>
        </w:rPr>
        <w:t>realizing</w:t>
      </w:r>
      <w:r w:rsidRPr="00CD56B9">
        <w:rPr>
          <w:rFonts w:cs="Arial"/>
          <w:lang w:val="en-US"/>
        </w:rPr>
        <w:t xml:space="preserve"> ‘political parties with clear ideologies and functioning internal democracy’. The project is designed in alignment with the DG SWAp as a means of enhancing policy coherence and dialogue as well as improving coordination. The project seeks to contribute to democratic consolidation through assistance for institutional development of political parties. The project is aligned to the electoral cycle approach to enable political parties to function effectively in Malawi’s multiparty democracy, supporting inclusion of women and youth as well as engagement of political parties at all levels. </w:t>
      </w:r>
    </w:p>
    <w:p w14:paraId="040B79D4" w14:textId="77777777" w:rsidR="00B51C15" w:rsidRPr="00CD56B9" w:rsidRDefault="00B51C15" w:rsidP="009405F6">
      <w:pPr>
        <w:spacing w:after="0"/>
        <w:ind w:left="360"/>
        <w:contextualSpacing/>
        <w:rPr>
          <w:rFonts w:cs="Arial"/>
          <w:lang w:val="en-US"/>
        </w:rPr>
      </w:pPr>
    </w:p>
    <w:p w14:paraId="474D5C7C" w14:textId="77777777" w:rsidR="00B51C15" w:rsidRPr="00CD56B9" w:rsidRDefault="00B51C15" w:rsidP="00B51C15">
      <w:pPr>
        <w:contextualSpacing/>
        <w:rPr>
          <w:rFonts w:cs="Arial"/>
          <w:lang w:val="en-US"/>
        </w:rPr>
      </w:pPr>
      <w:r w:rsidRPr="00CD56B9">
        <w:rPr>
          <w:rFonts w:cs="Arial"/>
          <w:lang w:val="en-US"/>
        </w:rPr>
        <w:t xml:space="preserve">Below is a summary of progress registered under each output; progress registered in most instances contributes to several indicators and has, therefore, been lumped together to avoid duplication. </w:t>
      </w:r>
    </w:p>
    <w:p w14:paraId="7DE1C9CC" w14:textId="77777777" w:rsidR="00B51C15" w:rsidRPr="00CD56B9" w:rsidRDefault="00B51C15" w:rsidP="00B51C15">
      <w:pPr>
        <w:contextualSpacing/>
        <w:rPr>
          <w:rFonts w:cs="Arial"/>
          <w:bCs/>
          <w:color w:val="000000"/>
          <w:lang w:val="en-US" w:eastAsia="en-GB"/>
        </w:rPr>
      </w:pPr>
    </w:p>
    <w:p w14:paraId="5A07A59F" w14:textId="77777777" w:rsidR="00B51C15" w:rsidRPr="00CD56B9" w:rsidRDefault="00B51C15" w:rsidP="00B51C15">
      <w:pPr>
        <w:contextualSpacing/>
        <w:rPr>
          <w:rFonts w:cs="Arial"/>
          <w:b/>
          <w:lang w:val="en-US"/>
        </w:rPr>
      </w:pPr>
      <w:r w:rsidRPr="00CD56B9">
        <w:rPr>
          <w:rFonts w:cs="Arial"/>
          <w:b/>
          <w:bCs/>
          <w:color w:val="000000"/>
          <w:lang w:val="en-US" w:eastAsia="en-GB"/>
        </w:rPr>
        <w:t xml:space="preserve">Output 1: </w:t>
      </w:r>
      <w:r w:rsidRPr="00CD56B9">
        <w:rPr>
          <w:rFonts w:cs="Arial"/>
          <w:b/>
          <w:lang w:val="en-US"/>
        </w:rPr>
        <w:t>Revised Political Parties Registration and Regulation Act (PPRRA) enacted by the National Assembly by December, 2014</w:t>
      </w:r>
    </w:p>
    <w:p w14:paraId="7269B12E" w14:textId="77777777" w:rsidR="00925C87" w:rsidRPr="00CD56B9" w:rsidRDefault="00925C87" w:rsidP="00925C87">
      <w:pPr>
        <w:spacing w:after="0"/>
        <w:rPr>
          <w:rFonts w:cs="Arial"/>
          <w:i/>
          <w:lang w:val="en-US"/>
        </w:rPr>
      </w:pPr>
    </w:p>
    <w:p w14:paraId="5BBF2B8B" w14:textId="77777777" w:rsidR="00B51C15" w:rsidRPr="00CD56B9" w:rsidRDefault="00B51C15" w:rsidP="00B51C15">
      <w:pPr>
        <w:rPr>
          <w:rFonts w:cs="Arial"/>
          <w:i/>
          <w:lang w:val="en-US" w:eastAsia="en-GB"/>
        </w:rPr>
      </w:pPr>
      <w:r w:rsidRPr="00CD56B9">
        <w:rPr>
          <w:rFonts w:cs="Arial"/>
          <w:i/>
          <w:lang w:val="en-US"/>
        </w:rPr>
        <w:t xml:space="preserve">Indicator: Enacted political parties' Act that insulates </w:t>
      </w:r>
      <w:r w:rsidRPr="00CD56B9">
        <w:rPr>
          <w:rFonts w:cs="Arial"/>
          <w:i/>
          <w:lang w:val="en-US" w:eastAsia="en-GB"/>
        </w:rPr>
        <w:t>the Registrar of Political Parties</w:t>
      </w:r>
      <w:r w:rsidRPr="00CD56B9">
        <w:rPr>
          <w:rFonts w:cs="Arial"/>
          <w:i/>
          <w:lang w:val="en-US"/>
        </w:rPr>
        <w:t xml:space="preserve"> from </w:t>
      </w:r>
      <w:r w:rsidRPr="00CD56B9">
        <w:rPr>
          <w:rFonts w:cs="Arial"/>
          <w:i/>
          <w:lang w:val="en-US" w:eastAsia="en-GB"/>
        </w:rPr>
        <w:t xml:space="preserve">political manipulation among others; </w:t>
      </w:r>
      <w:r w:rsidRPr="00CD56B9">
        <w:rPr>
          <w:rFonts w:cs="Arial"/>
          <w:i/>
          <w:lang w:val="en-US"/>
        </w:rPr>
        <w:t>Baseline:</w:t>
      </w:r>
      <w:r w:rsidRPr="00CD56B9">
        <w:rPr>
          <w:rFonts w:cs="Arial"/>
          <w:bCs/>
          <w:i/>
          <w:lang w:val="en-US"/>
        </w:rPr>
        <w:t xml:space="preserve"> </w:t>
      </w:r>
      <w:r w:rsidRPr="00CD56B9">
        <w:rPr>
          <w:rFonts w:cs="Arial"/>
          <w:i/>
          <w:lang w:val="en-US"/>
        </w:rPr>
        <w:t xml:space="preserve">2nd Draft of the Political Parties Registration and Regulation Bill being refined by the Reference Group. Target: </w:t>
      </w:r>
      <w:r w:rsidR="000D74E3" w:rsidRPr="00CD56B9">
        <w:rPr>
          <w:rFonts w:cs="Arial"/>
          <w:i/>
          <w:lang w:val="en-US"/>
        </w:rPr>
        <w:t>Finalized</w:t>
      </w:r>
      <w:r w:rsidRPr="00CD56B9">
        <w:rPr>
          <w:rFonts w:cs="Arial"/>
          <w:i/>
          <w:lang w:val="en-US"/>
        </w:rPr>
        <w:t xml:space="preserve"> Political Parties bill that insulates </w:t>
      </w:r>
      <w:r w:rsidRPr="00CD56B9">
        <w:rPr>
          <w:rFonts w:cs="Arial"/>
          <w:i/>
          <w:lang w:val="en-US" w:eastAsia="en-GB"/>
        </w:rPr>
        <w:t>the Registrar of Political Parties</w:t>
      </w:r>
      <w:r w:rsidRPr="00CD56B9">
        <w:rPr>
          <w:rFonts w:cs="Arial"/>
          <w:i/>
          <w:lang w:val="en-US"/>
        </w:rPr>
        <w:t xml:space="preserve"> from </w:t>
      </w:r>
      <w:r w:rsidRPr="00CD56B9">
        <w:rPr>
          <w:rFonts w:cs="Arial"/>
          <w:i/>
          <w:lang w:val="en-US" w:eastAsia="en-GB"/>
        </w:rPr>
        <w:t xml:space="preserve">political influence; Status: Partially achieved </w:t>
      </w:r>
    </w:p>
    <w:p w14:paraId="4FF65AD2" w14:textId="77777777" w:rsidR="00B51C15" w:rsidRPr="00CD56B9" w:rsidRDefault="00B51C15" w:rsidP="00B51C15">
      <w:pPr>
        <w:rPr>
          <w:rFonts w:cs="Arial"/>
          <w:lang w:val="en-US"/>
        </w:rPr>
      </w:pPr>
      <w:r w:rsidRPr="00CD56B9">
        <w:rPr>
          <w:rFonts w:cs="Arial"/>
          <w:lang w:val="en-US"/>
        </w:rPr>
        <w:t xml:space="preserve">The work on reviewing the </w:t>
      </w:r>
      <w:r w:rsidR="00365B36" w:rsidRPr="00CD56B9">
        <w:rPr>
          <w:rFonts w:cs="Arial"/>
          <w:lang w:val="en-US"/>
        </w:rPr>
        <w:t xml:space="preserve">PPRRA </w:t>
      </w:r>
      <w:r w:rsidRPr="00CD56B9">
        <w:rPr>
          <w:rFonts w:cs="Arial"/>
          <w:lang w:val="en-US"/>
        </w:rPr>
        <w:t>was finalized and a draft bill was prepared and presented to the Attorney General and the Minister of Justice and Constitutional Affairs in January 2014. However, the tripartite elections of May 20</w:t>
      </w:r>
      <w:r w:rsidRPr="00CD56B9">
        <w:rPr>
          <w:rFonts w:cs="Arial"/>
          <w:vertAlign w:val="superscript"/>
          <w:lang w:val="en-US"/>
        </w:rPr>
        <w:t>th</w:t>
      </w:r>
      <w:r w:rsidRPr="00CD56B9">
        <w:rPr>
          <w:rFonts w:cs="Arial"/>
          <w:lang w:val="en-US"/>
        </w:rPr>
        <w:t>, 2014, ushered in a new administration and the proces</w:t>
      </w:r>
      <w:r w:rsidR="00365B36" w:rsidRPr="00CD56B9">
        <w:rPr>
          <w:rFonts w:cs="Arial"/>
          <w:lang w:val="en-US"/>
        </w:rPr>
        <w:t xml:space="preserve">s </w:t>
      </w:r>
      <w:r w:rsidRPr="00CD56B9">
        <w:rPr>
          <w:rFonts w:cs="Arial"/>
          <w:lang w:val="en-US"/>
        </w:rPr>
        <w:t xml:space="preserve">stalled. Facilitation of policy advocacy including radio programs on the draft revised Act was done. The media was engaged in a joint briefing with Secretaries General of political parties as a way of reactivating the debate on the bill; radio programs were produced and aired and generated a number of newspaper articles and radio bulletin, and leaders of political parties </w:t>
      </w:r>
      <w:r w:rsidRPr="00CD56B9">
        <w:rPr>
          <w:rFonts w:cs="Arial"/>
          <w:lang w:val="en-US"/>
        </w:rPr>
        <w:lastRenderedPageBreak/>
        <w:t>represented in the National Assembly were engaged, including leaders of the opposition with an aim of lobbying them to support the bill. Formal submission of the revised bill to the executive for clearance and formal submission to the National Assembly was facilitated by re-engaging the new administration and leadership of all political parties and several options of tabling the bill, including through a private members bill. The Legal Affairs Committee (LAC) was engaged to adopt the Draft Bill. However, the alignment of Political Parties’ Constitutions with the Revised PPRRA is pending and has t</w:t>
      </w:r>
      <w:r w:rsidR="00083DE8" w:rsidRPr="00CD56B9">
        <w:rPr>
          <w:rFonts w:cs="Arial"/>
          <w:lang w:val="en-US"/>
        </w:rPr>
        <w:t xml:space="preserve">o be </w:t>
      </w:r>
      <w:r w:rsidRPr="00CD56B9">
        <w:rPr>
          <w:rFonts w:cs="Arial"/>
          <w:lang w:val="en-US"/>
        </w:rPr>
        <w:t>carried out after the enactment of the new bill.</w:t>
      </w:r>
    </w:p>
    <w:p w14:paraId="390716A3" w14:textId="77777777" w:rsidR="00B51C15" w:rsidRPr="00CD56B9" w:rsidRDefault="00B51C15" w:rsidP="00B51C15">
      <w:pPr>
        <w:contextualSpacing/>
        <w:rPr>
          <w:rFonts w:cs="Arial"/>
          <w:b/>
          <w:lang w:val="en-US"/>
        </w:rPr>
      </w:pPr>
      <w:r w:rsidRPr="00CD56B9">
        <w:rPr>
          <w:rFonts w:cs="Arial"/>
          <w:b/>
          <w:lang w:val="en-US"/>
        </w:rPr>
        <w:t>Output 2: Political Parties’ issue-based Platforms for the 2014 Elections developed and disseminated by December, 2013</w:t>
      </w:r>
    </w:p>
    <w:p w14:paraId="5FFC37B7" w14:textId="77777777" w:rsidR="00925C87" w:rsidRPr="00CD56B9" w:rsidRDefault="00925C87" w:rsidP="00925C87">
      <w:pPr>
        <w:spacing w:after="0"/>
        <w:rPr>
          <w:rFonts w:cs="Arial"/>
          <w:i/>
          <w:lang w:val="en-US"/>
        </w:rPr>
      </w:pPr>
    </w:p>
    <w:p w14:paraId="69F252C7" w14:textId="77777777" w:rsidR="00B51C15" w:rsidRPr="00CD56B9" w:rsidRDefault="00B51C15" w:rsidP="00B51C15">
      <w:pPr>
        <w:rPr>
          <w:rFonts w:cs="Arial"/>
          <w:lang w:val="en-US"/>
        </w:rPr>
      </w:pPr>
      <w:r w:rsidRPr="00CD56B9">
        <w:rPr>
          <w:rFonts w:cs="Arial"/>
          <w:i/>
          <w:lang w:val="en-US"/>
        </w:rPr>
        <w:t>Indicator: Number of political parties’ formulating policy documents with involvement of party membership. Baseline: 0 (2009 elections); Target: 8; Status: Achieved</w:t>
      </w:r>
      <w:r w:rsidRPr="00CD56B9">
        <w:rPr>
          <w:rFonts w:cs="Arial"/>
          <w:lang w:val="en-US"/>
        </w:rPr>
        <w:t>.</w:t>
      </w:r>
    </w:p>
    <w:p w14:paraId="105E7A55" w14:textId="77777777" w:rsidR="00B51C15" w:rsidRPr="00CD56B9" w:rsidRDefault="00B51C15" w:rsidP="00B51C15">
      <w:pPr>
        <w:rPr>
          <w:rFonts w:cs="Arial"/>
          <w:lang w:val="en-US"/>
        </w:rPr>
      </w:pPr>
      <w:r w:rsidRPr="00CD56B9">
        <w:rPr>
          <w:rFonts w:cs="Arial"/>
          <w:lang w:val="en-US"/>
        </w:rPr>
        <w:t xml:space="preserve">The Political Parties issues-based platforms were developed and manifestos were revised to assist political parties to develop issue-based platforms for the 2014 Tripartite Elections. </w:t>
      </w:r>
      <w:r w:rsidRPr="00CD56B9">
        <w:rPr>
          <w:rFonts w:cs="Arial"/>
          <w:bCs/>
          <w:lang w:val="en-US"/>
        </w:rPr>
        <w:t>The project f</w:t>
      </w:r>
      <w:r w:rsidRPr="00CD56B9">
        <w:rPr>
          <w:rFonts w:cs="Arial"/>
          <w:lang w:val="en-US"/>
        </w:rPr>
        <w:t xml:space="preserve">acilitated the development of campaign messages around issues-based party platforms. The political parties underwent a series of training </w:t>
      </w:r>
      <w:r w:rsidR="00083DE8" w:rsidRPr="00CD56B9">
        <w:rPr>
          <w:rFonts w:cs="Arial"/>
          <w:lang w:val="en-US"/>
        </w:rPr>
        <w:t>sessions that</w:t>
      </w:r>
      <w:r w:rsidRPr="00CD56B9">
        <w:rPr>
          <w:rFonts w:cs="Arial"/>
          <w:lang w:val="en-US"/>
        </w:rPr>
        <w:t xml:space="preserve"> culminated in political parties developing their policy agendas (manifestos); policy positions in three areas: Food Security, Economy and Civil Service and any other two of their choice.</w:t>
      </w:r>
      <w:r w:rsidRPr="00CD56B9">
        <w:rPr>
          <w:rFonts w:cs="Arial"/>
          <w:bCs/>
          <w:lang w:val="en-US"/>
        </w:rPr>
        <w:t xml:space="preserve"> The project facilitated the p</w:t>
      </w:r>
      <w:r w:rsidRPr="00CD56B9">
        <w:rPr>
          <w:rFonts w:cs="Arial"/>
          <w:lang w:val="en-US"/>
        </w:rPr>
        <w:t xml:space="preserve">ublication and dissemination of the party manifestos and key messages to party members and </w:t>
      </w:r>
      <w:r w:rsidR="00083DE8" w:rsidRPr="00CD56B9">
        <w:rPr>
          <w:rFonts w:cs="Arial"/>
          <w:lang w:val="en-US"/>
        </w:rPr>
        <w:t xml:space="preserve">the </w:t>
      </w:r>
      <w:r w:rsidRPr="00CD56B9">
        <w:rPr>
          <w:rFonts w:cs="Arial"/>
          <w:lang w:val="en-US"/>
        </w:rPr>
        <w:t xml:space="preserve">general public at all levels with the aim to assist political parties to disseminate their policy positions to a wider audience. </w:t>
      </w:r>
      <w:r w:rsidR="00290C7D" w:rsidRPr="00CD56B9">
        <w:rPr>
          <w:rFonts w:cs="Arial"/>
          <w:lang w:val="en-US"/>
        </w:rPr>
        <w:t>In addition,</w:t>
      </w:r>
      <w:r w:rsidRPr="00CD56B9">
        <w:rPr>
          <w:rFonts w:cs="Arial"/>
          <w:lang w:val="en-US"/>
        </w:rPr>
        <w:t xml:space="preserve"> brochures were produced for each of the political parties.</w:t>
      </w:r>
      <w:r w:rsidRPr="00CD56B9">
        <w:rPr>
          <w:rFonts w:cs="Arial"/>
          <w:bCs/>
          <w:lang w:val="en-US"/>
        </w:rPr>
        <w:t xml:space="preserve"> </w:t>
      </w:r>
      <w:r w:rsidRPr="00CD56B9">
        <w:rPr>
          <w:rFonts w:cs="Arial"/>
          <w:lang w:val="en-US"/>
        </w:rPr>
        <w:t xml:space="preserve">The project also produced a newspaper manifesto insert that provided summaries key messages from all political parties that had presidential candidates. </w:t>
      </w:r>
    </w:p>
    <w:p w14:paraId="1387C0C9" w14:textId="77777777" w:rsidR="00B51C15" w:rsidRPr="00CD56B9" w:rsidRDefault="00B51C15" w:rsidP="00B51C15">
      <w:pPr>
        <w:contextualSpacing/>
        <w:rPr>
          <w:rFonts w:cs="Arial"/>
          <w:b/>
          <w:lang w:val="en-US"/>
        </w:rPr>
      </w:pPr>
      <w:r w:rsidRPr="00CD56B9">
        <w:rPr>
          <w:rFonts w:cs="Arial"/>
          <w:b/>
          <w:lang w:val="en-US"/>
        </w:rPr>
        <w:t>Output 3: Governance structure for political parties developed to foster transparency and accountability by December, 2015</w:t>
      </w:r>
    </w:p>
    <w:p w14:paraId="59FB9172" w14:textId="77777777" w:rsidR="00925C87" w:rsidRPr="00CD56B9" w:rsidRDefault="00925C87" w:rsidP="00925C87">
      <w:pPr>
        <w:spacing w:after="0"/>
        <w:rPr>
          <w:rFonts w:cs="Arial"/>
          <w:i/>
          <w:lang w:val="en-US"/>
        </w:rPr>
      </w:pPr>
    </w:p>
    <w:p w14:paraId="2307A59F" w14:textId="77777777" w:rsidR="00B51C15" w:rsidRPr="00CD56B9" w:rsidRDefault="00B51C15" w:rsidP="00B51C15">
      <w:pPr>
        <w:rPr>
          <w:rFonts w:cs="Arial"/>
          <w:i/>
          <w:lang w:val="en-US"/>
        </w:rPr>
      </w:pPr>
      <w:r w:rsidRPr="00CD56B9">
        <w:rPr>
          <w:rFonts w:cs="Arial"/>
          <w:i/>
          <w:lang w:val="en-US"/>
        </w:rPr>
        <w:t>Indicator 1: Number of political parties’ monitors’ trained on election monitoring; Baseline: 0; Target: 2316; Status: Achieved</w:t>
      </w:r>
    </w:p>
    <w:p w14:paraId="77698B1E" w14:textId="77777777" w:rsidR="00B51C15" w:rsidRPr="00CD56B9" w:rsidRDefault="00B51C15" w:rsidP="00B51C15">
      <w:pPr>
        <w:rPr>
          <w:rFonts w:cs="Arial"/>
          <w:i/>
          <w:lang w:val="en-US"/>
        </w:rPr>
      </w:pPr>
      <w:r w:rsidRPr="00CD56B9">
        <w:rPr>
          <w:rFonts w:cs="Arial"/>
          <w:i/>
          <w:lang w:val="en-US"/>
        </w:rPr>
        <w:t>Indicator 2: Number of political parties with revised party constitutions with clear mechanisms on participation, transparency and accountability. Baseline: unknown; Target: 8; Status: Partially achieved.</w:t>
      </w:r>
    </w:p>
    <w:p w14:paraId="270AED3E" w14:textId="77777777" w:rsidR="00B51C15" w:rsidRPr="00CD56B9" w:rsidRDefault="00B51C15" w:rsidP="00B51C15">
      <w:pPr>
        <w:rPr>
          <w:rFonts w:cs="Arial"/>
          <w:lang w:val="en-US"/>
        </w:rPr>
      </w:pPr>
      <w:r w:rsidRPr="00CD56B9">
        <w:rPr>
          <w:rFonts w:cs="Arial"/>
          <w:lang w:val="en-US"/>
        </w:rPr>
        <w:t>The project strengthened intra-party democracy by</w:t>
      </w:r>
      <w:r w:rsidRPr="00CD56B9">
        <w:rPr>
          <w:rFonts w:cs="Arial"/>
          <w:bCs/>
          <w:lang w:val="en-US"/>
        </w:rPr>
        <w:t xml:space="preserve"> </w:t>
      </w:r>
      <w:r w:rsidRPr="00CD56B9">
        <w:rPr>
          <w:rFonts w:cs="Arial"/>
          <w:lang w:val="en-US"/>
        </w:rPr>
        <w:t>conducting training on elections monitoring for Political Parties' monitors. A guide was produced for the training and distribution to the monitors for use as their reference materials during replication of the training.</w:t>
      </w:r>
    </w:p>
    <w:p w14:paraId="693C3A5D" w14:textId="77777777" w:rsidR="00B51C15" w:rsidRPr="00CD56B9" w:rsidRDefault="00B51C15" w:rsidP="00B51C15">
      <w:pPr>
        <w:contextualSpacing/>
        <w:rPr>
          <w:rFonts w:cs="Arial"/>
          <w:lang w:val="en-US"/>
        </w:rPr>
      </w:pPr>
      <w:r w:rsidRPr="00CD56B9">
        <w:rPr>
          <w:rFonts w:cs="Arial"/>
          <w:color w:val="000000"/>
          <w:lang w:val="en-US"/>
        </w:rPr>
        <w:t>The process of developing and implementing Financial Management / Administrative Structures and Process for Political Parties commenced.</w:t>
      </w:r>
      <w:r w:rsidRPr="00CD56B9">
        <w:rPr>
          <w:rFonts w:cs="Arial"/>
          <w:lang w:val="en-US"/>
        </w:rPr>
        <w:t xml:space="preserve"> The enactment of PPRRA will necessitate revision of political parties’ constitutions and other instruments in order for them to comply with the new legislative framework, including funding and finance management of political parties. CMD embarked on a mapping exercise to establish the status of finance administration of political parties so that it can check their state of preparedness, when the bill is enacted. The training sessions in Administrative and Financial Management for Relevant Political Party Officers are awaiting the mapping. The sessions will involve presentation of the proposed bill and the financial implications that the bill will have on the finance function of political parties. The session will also seek to collect feedback from people who are aware of the status of the political parties in as far as financing of political parties is concerned.</w:t>
      </w:r>
    </w:p>
    <w:p w14:paraId="4697EFA1" w14:textId="77777777" w:rsidR="00B51C15" w:rsidRPr="00CD56B9" w:rsidRDefault="00B51C15" w:rsidP="00B51C15">
      <w:pPr>
        <w:contextualSpacing/>
        <w:rPr>
          <w:rFonts w:cs="Arial"/>
          <w:lang w:val="en-US"/>
        </w:rPr>
      </w:pPr>
    </w:p>
    <w:p w14:paraId="4DD0D844" w14:textId="77777777" w:rsidR="00B51C15" w:rsidRPr="00CD56B9" w:rsidRDefault="00B51C15" w:rsidP="00B51C15">
      <w:pPr>
        <w:spacing w:after="0"/>
        <w:contextualSpacing/>
        <w:rPr>
          <w:rFonts w:cs="Arial"/>
          <w:b/>
          <w:lang w:val="en-US"/>
        </w:rPr>
      </w:pPr>
      <w:r w:rsidRPr="00CD56B9">
        <w:rPr>
          <w:rFonts w:cs="Arial"/>
          <w:b/>
          <w:lang w:val="en-US"/>
        </w:rPr>
        <w:lastRenderedPageBreak/>
        <w:t>Output 4: Platform for inter-party dialogue strengthened to promote transparency &amp; accountability as well as enhance credibility and legitimacy of political parties at all levels</w:t>
      </w:r>
    </w:p>
    <w:p w14:paraId="60058E4E" w14:textId="77777777" w:rsidR="00B51C15" w:rsidRPr="00CD56B9" w:rsidRDefault="00B51C15" w:rsidP="00B51C15">
      <w:pPr>
        <w:spacing w:after="0"/>
        <w:rPr>
          <w:rFonts w:cs="Arial"/>
          <w:i/>
          <w:lang w:val="en-US"/>
        </w:rPr>
      </w:pPr>
    </w:p>
    <w:p w14:paraId="50312BDD" w14:textId="77777777" w:rsidR="00B51C15" w:rsidRPr="00CD56B9" w:rsidRDefault="00B51C15" w:rsidP="00B51C15">
      <w:pPr>
        <w:spacing w:after="0"/>
        <w:rPr>
          <w:rFonts w:cs="Arial"/>
          <w:i/>
          <w:lang w:val="en-US"/>
        </w:rPr>
      </w:pPr>
      <w:r w:rsidRPr="00CD56B9">
        <w:rPr>
          <w:rFonts w:cs="Arial"/>
          <w:i/>
          <w:lang w:val="en-US"/>
        </w:rPr>
        <w:t xml:space="preserve">Indicator: Number of districts where Multiparty Liaison Committees are reactivated </w:t>
      </w:r>
    </w:p>
    <w:p w14:paraId="096C9BD9" w14:textId="77777777" w:rsidR="00B51C15" w:rsidRPr="00CD56B9" w:rsidRDefault="00B51C15" w:rsidP="00B51C15">
      <w:pPr>
        <w:rPr>
          <w:rFonts w:cs="Arial"/>
          <w:i/>
          <w:lang w:val="en-US"/>
        </w:rPr>
      </w:pPr>
      <w:r w:rsidRPr="00CD56B9">
        <w:rPr>
          <w:rFonts w:cs="Arial"/>
          <w:i/>
          <w:lang w:val="en-US"/>
        </w:rPr>
        <w:t>Baseline: 0; Target: 12; Status: Achieved</w:t>
      </w:r>
    </w:p>
    <w:p w14:paraId="26A39027" w14:textId="77777777" w:rsidR="00B51C15" w:rsidRPr="00CD56B9" w:rsidRDefault="00B51C15" w:rsidP="00B51C15">
      <w:pPr>
        <w:contextualSpacing/>
        <w:rPr>
          <w:rFonts w:cs="Arial"/>
          <w:color w:val="000000"/>
          <w:lang w:val="en-US"/>
        </w:rPr>
      </w:pPr>
      <w:r w:rsidRPr="00CD56B9">
        <w:rPr>
          <w:rFonts w:cs="Arial"/>
          <w:lang w:val="en-US"/>
        </w:rPr>
        <w:t>The interparty dialogue platforms</w:t>
      </w:r>
      <w:r w:rsidRPr="00CD56B9">
        <w:rPr>
          <w:rFonts w:cs="Arial"/>
          <w:color w:val="000000"/>
          <w:lang w:val="en-US"/>
        </w:rPr>
        <w:t xml:space="preserve"> were strengthened through facilitation of meetings of MPLCs. Most of the activities that MPLCs undertook were prior to the elections. After the elections, some MPLCs assessed their performance. </w:t>
      </w:r>
      <w:r w:rsidRPr="00CD56B9">
        <w:rPr>
          <w:rFonts w:cs="Arial"/>
          <w:lang w:val="en-US"/>
        </w:rPr>
        <w:t xml:space="preserve">The Interparty Dialogue Platform was facilitated through meetings between CMD and MEC and involved discussions on the electoral process. The Training in Conflict Transformation Skills for DCs (Chairpersons of MPLCs) was conducted and MPLCs were reactivated. </w:t>
      </w:r>
    </w:p>
    <w:p w14:paraId="6BDDE41C" w14:textId="77777777" w:rsidR="00B51C15" w:rsidRPr="00CD56B9" w:rsidRDefault="00B51C15" w:rsidP="00B51C15">
      <w:pPr>
        <w:contextualSpacing/>
        <w:rPr>
          <w:rFonts w:cs="Arial"/>
          <w:lang w:val="en-US"/>
        </w:rPr>
      </w:pPr>
    </w:p>
    <w:p w14:paraId="3A84EC00" w14:textId="77777777" w:rsidR="00B51C15" w:rsidRPr="00CD56B9" w:rsidRDefault="00B51C15" w:rsidP="00B51C15">
      <w:pPr>
        <w:contextualSpacing/>
        <w:rPr>
          <w:rFonts w:cs="Arial"/>
          <w:b/>
          <w:lang w:val="en-US"/>
        </w:rPr>
      </w:pPr>
      <w:r w:rsidRPr="00CD56B9">
        <w:rPr>
          <w:rFonts w:cs="Arial"/>
          <w:b/>
          <w:lang w:val="en-US"/>
        </w:rPr>
        <w:t>Output 5: Effective and efficient management, partnership development and monitoring and evaluation of the project</w:t>
      </w:r>
    </w:p>
    <w:p w14:paraId="185E9026" w14:textId="77777777" w:rsidR="00122E92" w:rsidRPr="00CD56B9" w:rsidRDefault="00122E92" w:rsidP="00122E92">
      <w:pPr>
        <w:spacing w:after="0"/>
        <w:rPr>
          <w:rFonts w:cs="Arial"/>
          <w:bCs/>
          <w:i/>
          <w:lang w:val="en-US"/>
        </w:rPr>
      </w:pPr>
    </w:p>
    <w:p w14:paraId="7ECCB49A" w14:textId="77777777" w:rsidR="00B51C15" w:rsidRPr="00CD56B9" w:rsidRDefault="00B51C15" w:rsidP="00B51C15">
      <w:pPr>
        <w:rPr>
          <w:rFonts w:cs="Arial"/>
          <w:bCs/>
          <w:i/>
          <w:lang w:val="en-US"/>
        </w:rPr>
      </w:pPr>
      <w:r w:rsidRPr="00CD56B9">
        <w:rPr>
          <w:rFonts w:cs="Arial"/>
          <w:bCs/>
          <w:i/>
          <w:lang w:val="en-US"/>
        </w:rPr>
        <w:t xml:space="preserve">Indicator: </w:t>
      </w:r>
      <w:r w:rsidRPr="00CD56B9">
        <w:rPr>
          <w:rFonts w:cs="Arial"/>
          <w:i/>
          <w:lang w:val="en-US"/>
        </w:rPr>
        <w:t>Timely submission of Reports (Technical &amp; Financial)</w:t>
      </w:r>
      <w:r w:rsidRPr="00CD56B9">
        <w:rPr>
          <w:rFonts w:cs="Arial"/>
          <w:bCs/>
          <w:i/>
          <w:lang w:val="en-US"/>
        </w:rPr>
        <w:t xml:space="preserve"> (Target: </w:t>
      </w:r>
      <w:r w:rsidRPr="00CD56B9">
        <w:rPr>
          <w:rFonts w:cs="Arial"/>
          <w:i/>
          <w:lang w:val="en-US"/>
        </w:rPr>
        <w:t>85% project liquidation rate; Status: Achieved</w:t>
      </w:r>
    </w:p>
    <w:p w14:paraId="0E397DFF" w14:textId="77777777" w:rsidR="00B51C15" w:rsidRPr="00CD56B9" w:rsidRDefault="007F2AC5" w:rsidP="00B51C15">
      <w:pPr>
        <w:contextualSpacing/>
        <w:rPr>
          <w:rFonts w:cs="Arial"/>
          <w:lang w:val="en-US"/>
        </w:rPr>
      </w:pPr>
      <w:r w:rsidRPr="00CD56B9">
        <w:rPr>
          <w:rFonts w:cs="Arial"/>
          <w:lang w:val="en-US"/>
        </w:rPr>
        <w:t xml:space="preserve">So far, </w:t>
      </w:r>
      <w:r w:rsidR="00B51C15" w:rsidRPr="00CD56B9">
        <w:rPr>
          <w:rFonts w:cs="Arial"/>
          <w:lang w:val="en-US"/>
        </w:rPr>
        <w:t xml:space="preserve">100% of the resources received have been transferred to IPs. </w:t>
      </w:r>
      <w:r w:rsidR="00B51C15" w:rsidRPr="00CD56B9">
        <w:rPr>
          <w:rFonts w:cs="Arial"/>
          <w:bdr w:val="none" w:sz="0" w:space="0" w:color="auto" w:frame="1"/>
          <w:lang w:val="en-US"/>
        </w:rPr>
        <w:t xml:space="preserve">The project interventions include targeted activities aimed to ensure active engagement of women, youth and other marginalized groups in all the structures and </w:t>
      </w:r>
      <w:r w:rsidR="00873E1E" w:rsidRPr="00CD56B9">
        <w:rPr>
          <w:rFonts w:cs="Arial"/>
          <w:bdr w:val="none" w:sz="0" w:space="0" w:color="auto" w:frame="1"/>
          <w:lang w:val="en-US"/>
        </w:rPr>
        <w:t>decision-making</w:t>
      </w:r>
      <w:r w:rsidR="00B51C15" w:rsidRPr="00CD56B9">
        <w:rPr>
          <w:rFonts w:cs="Arial"/>
          <w:bdr w:val="none" w:sz="0" w:space="0" w:color="auto" w:frame="1"/>
          <w:lang w:val="en-US"/>
        </w:rPr>
        <w:t xml:space="preserve"> processes of political parties. In implementing the project CMD has ensure </w:t>
      </w:r>
      <w:r w:rsidR="00DC0B76" w:rsidRPr="00CD56B9">
        <w:rPr>
          <w:rFonts w:cs="Arial"/>
          <w:bdr w:val="none" w:sz="0" w:space="0" w:color="auto" w:frame="1"/>
          <w:lang w:val="en-US"/>
        </w:rPr>
        <w:t>organized</w:t>
      </w:r>
      <w:r w:rsidR="00B51C15" w:rsidRPr="00CD56B9">
        <w:rPr>
          <w:rFonts w:cs="Arial"/>
          <w:bdr w:val="none" w:sz="0" w:space="0" w:color="auto" w:frame="1"/>
          <w:lang w:val="en-US"/>
        </w:rPr>
        <w:t xml:space="preserve"> participation of women in implementing project activities such as training and policy formulation processes.</w:t>
      </w:r>
      <w:r w:rsidR="00B51C15" w:rsidRPr="00CD56B9">
        <w:rPr>
          <w:rFonts w:cs="Arial"/>
          <w:lang w:val="en-US"/>
        </w:rPr>
        <w:t xml:space="preserve"> The project has promoted gender issues within political parties in Malawi. Its contributions are visible through the different </w:t>
      </w:r>
      <w:r w:rsidRPr="00CD56B9">
        <w:rPr>
          <w:rFonts w:cs="Arial"/>
          <w:lang w:val="en-US"/>
        </w:rPr>
        <w:t>engagements, which</w:t>
      </w:r>
      <w:r w:rsidR="00B51C15" w:rsidRPr="00CD56B9">
        <w:rPr>
          <w:rFonts w:cs="Arial"/>
          <w:lang w:val="en-US"/>
        </w:rPr>
        <w:t xml:space="preserve"> include networks on gender. For instance, since 2013, CMD is a member of the Technical Working Group on the 50:50 Campaign in the run-up to the 2014 tripartite elections. The network includes such organizations as the Ministry of Gender, Children and Social Welfare (MoG</w:t>
      </w:r>
      <w:r w:rsidR="00C171A4" w:rsidRPr="00CD56B9">
        <w:rPr>
          <w:rFonts w:cs="Arial"/>
          <w:lang w:val="en-US"/>
        </w:rPr>
        <w:t>)</w:t>
      </w:r>
      <w:r w:rsidR="00B51C15" w:rsidRPr="00CD56B9">
        <w:rPr>
          <w:rFonts w:cs="Arial"/>
          <w:lang w:val="en-US"/>
        </w:rPr>
        <w:t>, UN Women, UNDP, and the NGO-GCN.</w:t>
      </w:r>
    </w:p>
    <w:p w14:paraId="4EA35177" w14:textId="77777777" w:rsidR="00B51C15" w:rsidRPr="00CD56B9" w:rsidRDefault="00B51C15" w:rsidP="00B51C15">
      <w:pPr>
        <w:contextualSpacing/>
        <w:rPr>
          <w:rFonts w:cs="Arial"/>
          <w:lang w:val="en-US"/>
        </w:rPr>
      </w:pPr>
    </w:p>
    <w:p w14:paraId="6A79140D" w14:textId="77777777" w:rsidR="00B51C15" w:rsidRPr="00CD56B9" w:rsidRDefault="00B51C15" w:rsidP="00B51C15">
      <w:pPr>
        <w:contextualSpacing/>
        <w:rPr>
          <w:rFonts w:cs="Arial"/>
          <w:b/>
          <w:color w:val="000000"/>
          <w:lang w:val="en-US"/>
        </w:rPr>
      </w:pPr>
      <w:r w:rsidRPr="00CD56B9">
        <w:rPr>
          <w:rFonts w:cs="Arial"/>
          <w:b/>
          <w:color w:val="000000"/>
          <w:lang w:val="en-US"/>
        </w:rPr>
        <w:t>Efficiency</w:t>
      </w:r>
    </w:p>
    <w:p w14:paraId="42031E0D" w14:textId="77777777" w:rsidR="00B51C15" w:rsidRPr="00CD56B9" w:rsidRDefault="00B51C15" w:rsidP="00B51C15">
      <w:pPr>
        <w:contextualSpacing/>
        <w:rPr>
          <w:rFonts w:cs="Arial"/>
          <w:lang w:val="en-US"/>
        </w:rPr>
      </w:pPr>
      <w:r w:rsidRPr="00CD56B9">
        <w:rPr>
          <w:rFonts w:cs="Arial"/>
          <w:lang w:val="en-US"/>
        </w:rPr>
        <w:t xml:space="preserve">DFiD and UNDP provide financial and technical resources for project implementation by CMD. UNDP </w:t>
      </w:r>
      <w:r w:rsidR="00DC0B76" w:rsidRPr="00CD56B9">
        <w:rPr>
          <w:rFonts w:cs="Arial"/>
          <w:lang w:val="en-US"/>
        </w:rPr>
        <w:t>utilizes</w:t>
      </w:r>
      <w:r w:rsidRPr="00CD56B9">
        <w:rPr>
          <w:rFonts w:cs="Arial"/>
          <w:lang w:val="en-US"/>
        </w:rPr>
        <w:t xml:space="preserve"> its global experience in working with political parties and networking in supporting project implementation. </w:t>
      </w:r>
      <w:r w:rsidR="007833A1">
        <w:rPr>
          <w:rFonts w:cs="Arial"/>
          <w:lang w:val="en-US"/>
        </w:rPr>
        <w:t>To this end, CMD has requested TA from UNDP on the new SDGs as it wants to engage with the political parties on how to develop manifestos addressing the SDGs in the Malawian context.</w:t>
      </w:r>
      <w:r w:rsidR="007833A1" w:rsidRPr="00CD56B9">
        <w:rPr>
          <w:rFonts w:cs="Arial"/>
          <w:lang w:val="en-US"/>
        </w:rPr>
        <w:t xml:space="preserve"> The</w:t>
      </w:r>
      <w:r w:rsidRPr="00CD56B9">
        <w:rPr>
          <w:rFonts w:cs="Arial"/>
          <w:lang w:val="en-US"/>
        </w:rPr>
        <w:t xml:space="preserve"> project also draws on technical assistance from the Netherlands Institute for Multi-party Democratic (NIMD) and the Danish Institute for Party Democracy</w:t>
      </w:r>
      <w:r w:rsidR="00FD0E37">
        <w:rPr>
          <w:rFonts w:cs="Arial"/>
          <w:lang w:val="en-US"/>
        </w:rPr>
        <w:t xml:space="preserve"> (DIPD)</w:t>
      </w:r>
      <w:r w:rsidRPr="00CD56B9">
        <w:rPr>
          <w:rFonts w:cs="Arial"/>
          <w:lang w:val="en-US"/>
        </w:rPr>
        <w:t xml:space="preserve">. Project activities are implemented in close collaboration with relevant national partners including MEC, MoJC, the National Assembly, Office of the Registrar of Political Parties and Civil Society </w:t>
      </w:r>
      <w:r w:rsidR="00DC0B76" w:rsidRPr="00CD56B9">
        <w:rPr>
          <w:rFonts w:cs="Arial"/>
          <w:lang w:val="en-US"/>
        </w:rPr>
        <w:t>Organizations</w:t>
      </w:r>
      <w:r w:rsidRPr="00CD56B9">
        <w:rPr>
          <w:rFonts w:cs="Arial"/>
          <w:lang w:val="en-US"/>
        </w:rPr>
        <w:t>. However, in some instances delays in disbursement of funds have constrained efficient implementation of activities.</w:t>
      </w:r>
      <w:bookmarkStart w:id="20" w:name="_Toc67305292"/>
      <w:bookmarkStart w:id="21" w:name="_Toc67305394"/>
      <w:bookmarkStart w:id="22" w:name="_Toc67306162"/>
      <w:bookmarkStart w:id="23" w:name="_Toc67306484"/>
      <w:bookmarkStart w:id="24" w:name="_Toc67371174"/>
      <w:r w:rsidRPr="00CD56B9">
        <w:rPr>
          <w:rFonts w:cs="Arial"/>
          <w:lang w:val="en-US"/>
        </w:rPr>
        <w:t xml:space="preserve"> CMD has worked closely with both government and civil society </w:t>
      </w:r>
      <w:r w:rsidR="00DC0B76" w:rsidRPr="00CD56B9">
        <w:rPr>
          <w:rFonts w:cs="Arial"/>
          <w:lang w:val="en-US"/>
        </w:rPr>
        <w:t>organizations</w:t>
      </w:r>
      <w:r w:rsidRPr="00CD56B9">
        <w:rPr>
          <w:rFonts w:cs="Arial"/>
          <w:lang w:val="en-US"/>
        </w:rPr>
        <w:t xml:space="preserve"> on a number of themes and activities such as gender and women participation in politics. Key among these </w:t>
      </w:r>
      <w:r w:rsidR="00DC0B76" w:rsidRPr="00CD56B9">
        <w:rPr>
          <w:rFonts w:cs="Arial"/>
          <w:lang w:val="en-US"/>
        </w:rPr>
        <w:t>organizations</w:t>
      </w:r>
      <w:r w:rsidRPr="00CD56B9">
        <w:rPr>
          <w:rFonts w:cs="Arial"/>
          <w:lang w:val="en-US"/>
        </w:rPr>
        <w:t xml:space="preserve"> are: the Ministry of Gender, Children and Social Welfare, the UN</w:t>
      </w:r>
      <w:r w:rsidR="00054F7E" w:rsidRPr="00CD56B9">
        <w:rPr>
          <w:rFonts w:cs="Arial"/>
          <w:lang w:val="en-US"/>
        </w:rPr>
        <w:t xml:space="preserve"> </w:t>
      </w:r>
      <w:r w:rsidRPr="00CD56B9">
        <w:rPr>
          <w:rFonts w:cs="Arial"/>
          <w:lang w:val="en-US"/>
        </w:rPr>
        <w:t xml:space="preserve">Women, UNDP, the Legal Affairs Committee of Parliament, Malawi Electoral Commission (MEC), the National Democratic Institute (NDI), Malawi Electoral Support Network (MESN), Public Affairs Committee (PAC), the Catholic Commission for Justice and Peace (CCJP), National Initiative for Civic Education (NICE), the Malawi Local Government Association (MALGA), the Ministry of Local Government and Rural Development (MoLGRD), the Public Affairs Committee (PAC), the National Media Institute of Southern Africa (NAMISA), the Malawi Broadcasting Cooperation (MBC), the Times TV; Malawi Electoral Services Network (MESN), and the Mtendere Electoral Services Network (MESN). </w:t>
      </w:r>
    </w:p>
    <w:bookmarkEnd w:id="20"/>
    <w:bookmarkEnd w:id="21"/>
    <w:bookmarkEnd w:id="22"/>
    <w:bookmarkEnd w:id="23"/>
    <w:bookmarkEnd w:id="24"/>
    <w:p w14:paraId="0CA49EB6" w14:textId="77777777" w:rsidR="00B51C15" w:rsidRPr="00CD56B9" w:rsidRDefault="00B51C15" w:rsidP="00B51C15">
      <w:pPr>
        <w:contextualSpacing/>
        <w:rPr>
          <w:rFonts w:cs="Arial"/>
          <w:lang w:val="en-US"/>
        </w:rPr>
      </w:pPr>
    </w:p>
    <w:p w14:paraId="22695242" w14:textId="77777777" w:rsidR="00B51C15" w:rsidRPr="00CD56B9" w:rsidRDefault="00B51C15" w:rsidP="00B51C15">
      <w:pPr>
        <w:contextualSpacing/>
        <w:rPr>
          <w:rFonts w:cs="Arial"/>
          <w:lang w:val="en-US"/>
        </w:rPr>
      </w:pPr>
      <w:r w:rsidRPr="00CD56B9">
        <w:rPr>
          <w:rFonts w:cs="Arial"/>
          <w:lang w:val="en-US"/>
        </w:rPr>
        <w:t xml:space="preserve">The project’s efficiency is constrained by political transition and the dissemination of the revised act to key stakeholders awaits the enactment by Parliament. The political transition has led to new leaderships at nearly every level of government, and there is new policy </w:t>
      </w:r>
      <w:r w:rsidR="003C4D11" w:rsidRPr="00CD56B9">
        <w:rPr>
          <w:rFonts w:cs="Arial"/>
          <w:lang w:val="en-US"/>
        </w:rPr>
        <w:t>direction, which</w:t>
      </w:r>
      <w:r w:rsidRPr="00CD56B9">
        <w:rPr>
          <w:rFonts w:cs="Arial"/>
          <w:lang w:val="en-US"/>
        </w:rPr>
        <w:t xml:space="preserve"> impacts on the priorities of government. These changes within the government bureaucracy by way of appointment of new officials have resulted in loss of institutional memory and professional networks. Developments like these have slowed down progress on some outputs. </w:t>
      </w:r>
    </w:p>
    <w:p w14:paraId="3D8572E9" w14:textId="77777777" w:rsidR="00B51C15" w:rsidRPr="00CD56B9" w:rsidRDefault="00B51C15" w:rsidP="00B51C15">
      <w:pPr>
        <w:contextualSpacing/>
        <w:rPr>
          <w:rFonts w:cs="Arial"/>
          <w:lang w:val="en-US"/>
        </w:rPr>
      </w:pPr>
    </w:p>
    <w:p w14:paraId="439632AE" w14:textId="77777777" w:rsidR="00B51C15" w:rsidRPr="00CD56B9" w:rsidRDefault="00B51C15" w:rsidP="00B51C15">
      <w:pPr>
        <w:autoSpaceDE w:val="0"/>
        <w:autoSpaceDN w:val="0"/>
        <w:adjustRightInd w:val="0"/>
        <w:contextualSpacing/>
        <w:rPr>
          <w:rFonts w:cs="Arial"/>
          <w:b/>
          <w:lang w:val="en-US"/>
        </w:rPr>
      </w:pPr>
      <w:r w:rsidRPr="00CD56B9">
        <w:rPr>
          <w:rFonts w:cs="Arial"/>
          <w:b/>
          <w:lang w:val="en-US"/>
        </w:rPr>
        <w:t>Sustainability</w:t>
      </w:r>
    </w:p>
    <w:p w14:paraId="74231579" w14:textId="77777777" w:rsidR="00B51C15" w:rsidRPr="00CD56B9" w:rsidRDefault="00B51C15" w:rsidP="00B51C15">
      <w:pPr>
        <w:autoSpaceDE w:val="0"/>
        <w:autoSpaceDN w:val="0"/>
        <w:adjustRightInd w:val="0"/>
        <w:contextualSpacing/>
        <w:rPr>
          <w:rFonts w:cs="Arial"/>
          <w:lang w:val="en-US"/>
        </w:rPr>
      </w:pPr>
      <w:r w:rsidRPr="00CD56B9">
        <w:rPr>
          <w:rFonts w:cs="Arial"/>
          <w:lang w:val="en-US"/>
        </w:rPr>
        <w:t xml:space="preserve">The project interventions are designed to equip political parties with structures and skills that enable recruitment, </w:t>
      </w:r>
      <w:r w:rsidR="007726E6" w:rsidRPr="00CD56B9">
        <w:rPr>
          <w:rFonts w:cs="Arial"/>
          <w:lang w:val="en-US"/>
        </w:rPr>
        <w:t>mobilization</w:t>
      </w:r>
      <w:r w:rsidRPr="00CD56B9">
        <w:rPr>
          <w:rFonts w:cs="Arial"/>
          <w:lang w:val="en-US"/>
        </w:rPr>
        <w:t xml:space="preserve"> and engagement of their membership and expand their resource base. The project lays a foundation for political parties to better manage their affairs, but there is a need for continuous support in area and the enactment of the PPRR Bill is crucial to sustain the support rendered. The CMD is also strengthening its administrative structures and capacity to function as a platform for dialogue, knowledge dissemination and experience in political party issues. To sustain it</w:t>
      </w:r>
      <w:r w:rsidR="00FD0E37">
        <w:rPr>
          <w:rFonts w:cs="Arial"/>
          <w:lang w:val="en-US"/>
        </w:rPr>
        <w:t>s</w:t>
      </w:r>
      <w:r w:rsidRPr="00CD56B9">
        <w:rPr>
          <w:rFonts w:cs="Arial"/>
          <w:lang w:val="en-US"/>
        </w:rPr>
        <w:t xml:space="preserve"> work, a continuation of the collaborative partnerships with the GoM, UNDP and UK Department for International Development is key for its work. There is a project board comprising all stakeholders including government and civil society </w:t>
      </w:r>
      <w:r w:rsidR="007726E6" w:rsidRPr="00CD56B9">
        <w:rPr>
          <w:rFonts w:cs="Arial"/>
          <w:lang w:val="en-US"/>
        </w:rPr>
        <w:t>organizations</w:t>
      </w:r>
      <w:r w:rsidRPr="00CD56B9">
        <w:rPr>
          <w:rFonts w:cs="Arial"/>
          <w:lang w:val="en-US"/>
        </w:rPr>
        <w:t xml:space="preserve">, which maintains oversight and dissemination of project results. </w:t>
      </w:r>
    </w:p>
    <w:p w14:paraId="00FBC21D" w14:textId="77777777" w:rsidR="00B51C15" w:rsidRPr="00CD56B9" w:rsidRDefault="00B51C15" w:rsidP="00B51C15">
      <w:pPr>
        <w:autoSpaceDE w:val="0"/>
        <w:autoSpaceDN w:val="0"/>
        <w:adjustRightInd w:val="0"/>
        <w:ind w:left="720"/>
        <w:contextualSpacing/>
        <w:rPr>
          <w:rFonts w:cs="Arial"/>
          <w:lang w:val="en-US"/>
        </w:rPr>
      </w:pPr>
    </w:p>
    <w:p w14:paraId="55528F73" w14:textId="77777777" w:rsidR="00B51C15" w:rsidRPr="00CD56B9" w:rsidRDefault="00B51C15" w:rsidP="00B51C15">
      <w:pPr>
        <w:autoSpaceDE w:val="0"/>
        <w:autoSpaceDN w:val="0"/>
        <w:adjustRightInd w:val="0"/>
        <w:contextualSpacing/>
        <w:rPr>
          <w:rFonts w:cs="Arial"/>
          <w:b/>
          <w:lang w:val="en-US"/>
        </w:rPr>
      </w:pPr>
      <w:r w:rsidRPr="00CD56B9">
        <w:rPr>
          <w:rFonts w:cs="Arial"/>
          <w:b/>
          <w:lang w:val="en-US"/>
        </w:rPr>
        <w:t>Conclusion</w:t>
      </w:r>
    </w:p>
    <w:p w14:paraId="5B562277" w14:textId="77777777" w:rsidR="00DE427B" w:rsidRPr="00CD56B9" w:rsidRDefault="00B51C15" w:rsidP="00B51C15">
      <w:pPr>
        <w:rPr>
          <w:rFonts w:cs="Arial"/>
          <w:lang w:val="en-US"/>
        </w:rPr>
      </w:pPr>
      <w:r w:rsidRPr="00CD56B9">
        <w:rPr>
          <w:rFonts w:cs="Arial"/>
          <w:lang w:val="en-US"/>
        </w:rPr>
        <w:t xml:space="preserve">The project continues to register steady progress towards achieving its intended objectives. Crucially, CMD has been positioning itself as a major player and interlocutor in as far as working with political parties is concerned, </w:t>
      </w:r>
      <w:r w:rsidR="00621604" w:rsidRPr="00CD56B9">
        <w:rPr>
          <w:rFonts w:cs="Arial"/>
          <w:lang w:val="en-US"/>
        </w:rPr>
        <w:t>and</w:t>
      </w:r>
      <w:r w:rsidRPr="00CD56B9">
        <w:rPr>
          <w:rFonts w:cs="Arial"/>
          <w:lang w:val="en-US"/>
        </w:rPr>
        <w:t xml:space="preserve"> as a facilitator of an interparty dialogue platform. This is evidenced from the critical role it played in facilitating an interface between political parties and the Malawi Electoral Commission in the run up to and during the May 2014 elections. It is expected that proactive and intensive lobbying will enable achievement of all outputs by 2016. However, the main challenges in implementation revolved around the tripartite elections. The elections consumed considerable amount of time at various stages, and in some cases this affected timely decisions of key stakeholders to the project. The new leadership at various levels of both the executive and legislative arms of government has slowed progress as there has been considerable loss of institutional memory and also uncertainty on the part of the bureaucracy to move on certain commitments. At a local level, the </w:t>
      </w:r>
      <w:r w:rsidR="00621604" w:rsidRPr="00CD56B9">
        <w:rPr>
          <w:rFonts w:cs="Arial"/>
          <w:lang w:val="en-US"/>
        </w:rPr>
        <w:t>nine-year</w:t>
      </w:r>
      <w:r w:rsidRPr="00CD56B9">
        <w:rPr>
          <w:rFonts w:cs="Arial"/>
          <w:lang w:val="en-US"/>
        </w:rPr>
        <w:t xml:space="preserve"> absence of </w:t>
      </w:r>
      <w:r w:rsidR="007726E6" w:rsidRPr="00CD56B9">
        <w:rPr>
          <w:rFonts w:cs="Arial"/>
          <w:lang w:val="en-US"/>
        </w:rPr>
        <w:t>councilors</w:t>
      </w:r>
      <w:r w:rsidRPr="00CD56B9">
        <w:rPr>
          <w:rFonts w:cs="Arial"/>
          <w:lang w:val="en-US"/>
        </w:rPr>
        <w:t xml:space="preserve"> has undermined traditions and culture of local government. The lower structures of the councils, in particular the Area Development Committees (ADCs) and Village Development Committees (VDCs) are to be reconstituted. The process of establishing new committees is likely to be a long with potential to slow down progress of strengthening party-political activities.</w:t>
      </w:r>
    </w:p>
    <w:p w14:paraId="127525EC" w14:textId="77777777" w:rsidR="000C0EB1" w:rsidRPr="00CD56B9" w:rsidRDefault="00B51C15" w:rsidP="00B51C15">
      <w:pPr>
        <w:rPr>
          <w:rFonts w:cs="Arial"/>
          <w:lang w:val="en-US"/>
        </w:rPr>
        <w:sectPr w:rsidR="000C0EB1" w:rsidRPr="00CD56B9" w:rsidSect="000C1092">
          <w:pgSz w:w="12240" w:h="15840"/>
          <w:pgMar w:top="1440" w:right="1440" w:bottom="1440" w:left="1440" w:header="720" w:footer="720" w:gutter="0"/>
          <w:cols w:space="720"/>
          <w:docGrid w:linePitch="360"/>
        </w:sectPr>
      </w:pPr>
      <w:r w:rsidRPr="00CD56B9">
        <w:rPr>
          <w:rFonts w:cs="Arial"/>
          <w:lang w:val="en-US"/>
        </w:rPr>
        <w:t xml:space="preserve"> </w:t>
      </w:r>
    </w:p>
    <w:p w14:paraId="333C776C" w14:textId="77777777" w:rsidR="00D64700" w:rsidRPr="00CD56B9" w:rsidRDefault="006855C1" w:rsidP="00997A7B">
      <w:pPr>
        <w:pStyle w:val="Overskrift2"/>
        <w:numPr>
          <w:ilvl w:val="0"/>
          <w:numId w:val="0"/>
        </w:numPr>
        <w:rPr>
          <w:lang w:val="en-US"/>
        </w:rPr>
      </w:pPr>
      <w:bookmarkStart w:id="25" w:name="_Toc439245580"/>
      <w:r w:rsidRPr="00CD56B9">
        <w:rPr>
          <w:lang w:val="en-US"/>
        </w:rPr>
        <w:lastRenderedPageBreak/>
        <w:t xml:space="preserve">3.4 </w:t>
      </w:r>
      <w:r w:rsidR="00D64700" w:rsidRPr="00CD56B9">
        <w:rPr>
          <w:lang w:val="en-US"/>
        </w:rPr>
        <w:t>Strengthening Parliament Programme</w:t>
      </w:r>
      <w:bookmarkEnd w:id="25"/>
    </w:p>
    <w:p w14:paraId="31BE35EA" w14:textId="77777777" w:rsidR="00D64700" w:rsidRPr="00CD56B9" w:rsidRDefault="00D64700" w:rsidP="00D64700">
      <w:pPr>
        <w:spacing w:after="0"/>
        <w:rPr>
          <w:lang w:val="en-US"/>
        </w:rPr>
      </w:pPr>
    </w:p>
    <w:p w14:paraId="69271704" w14:textId="77777777" w:rsidR="00D64700" w:rsidRPr="00CD56B9" w:rsidRDefault="00D64700" w:rsidP="00D64700">
      <w:pPr>
        <w:pStyle w:val="Listeafsnit"/>
        <w:spacing w:after="0"/>
        <w:ind w:left="0"/>
        <w:rPr>
          <w:rFonts w:cs="Arial"/>
          <w:lang w:val="en-US"/>
        </w:rPr>
      </w:pPr>
      <w:r w:rsidRPr="00CD56B9">
        <w:rPr>
          <w:rFonts w:cs="Arial"/>
          <w:lang w:val="en-US"/>
        </w:rPr>
        <w:t xml:space="preserve">The Democratic Governance Sector Strategy advocates for the formulation and implementation of an independent but coordinated parliamentary support programme, which respects and promotes parliamentary autonomy, independence and separation of powers. It notes, </w:t>
      </w:r>
    </w:p>
    <w:p w14:paraId="1BAAD976" w14:textId="77777777" w:rsidR="00D64700" w:rsidRPr="00CD56B9" w:rsidRDefault="00D64700" w:rsidP="00D64700">
      <w:pPr>
        <w:pStyle w:val="Listeafsnit"/>
        <w:spacing w:after="0"/>
        <w:ind w:right="946"/>
        <w:rPr>
          <w:rFonts w:cs="Arial"/>
          <w:lang w:val="en-US"/>
        </w:rPr>
      </w:pPr>
      <w:r w:rsidRPr="00CD56B9">
        <w:rPr>
          <w:rFonts w:cs="Arial"/>
          <w:i/>
          <w:lang w:val="en-US"/>
        </w:rPr>
        <w:t>“...The strengthening of legislative capabilities is crucial to achieving other results in this strategy. The strategy requires a significant investment in legislative reforms but these will not happen without improved capacities in parliament. However, parliamentary reforms will be a subject of an independent and separate parliamentary strengthening programme which will organically link to the KRA 6”.</w:t>
      </w:r>
      <w:r w:rsidRPr="00CD56B9">
        <w:rPr>
          <w:rFonts w:cs="Arial"/>
          <w:lang w:val="en-US"/>
        </w:rPr>
        <w:t xml:space="preserve"> (GoM DG Sector Strategy, 2013: 81 - 82)</w:t>
      </w:r>
    </w:p>
    <w:p w14:paraId="046531A7" w14:textId="77777777" w:rsidR="00D64700" w:rsidRPr="00CD56B9" w:rsidRDefault="00D64700" w:rsidP="00D64700">
      <w:pPr>
        <w:spacing w:after="0"/>
        <w:rPr>
          <w:rFonts w:cs="Arial"/>
          <w:lang w:val="en-US"/>
        </w:rPr>
      </w:pPr>
    </w:p>
    <w:p w14:paraId="392E8678" w14:textId="77777777" w:rsidR="00D64700" w:rsidRPr="00CD56B9" w:rsidRDefault="00D64700" w:rsidP="00D64700">
      <w:pPr>
        <w:spacing w:after="0"/>
        <w:rPr>
          <w:rFonts w:cs="Arial"/>
          <w:lang w:val="en-US"/>
        </w:rPr>
      </w:pPr>
      <w:r w:rsidRPr="00CD56B9">
        <w:rPr>
          <w:rFonts w:cs="Arial"/>
          <w:lang w:val="en-US"/>
        </w:rPr>
        <w:t>The comprehensive parliamentary strengthening programme has not yet been developed. There is need for broader consultations in the form and content to ensure complementarily.  The previous Parliamentary Support Project aimed at strengthening the capacity of the National Assembly to effectively perform its constitutional mandate of oversight and legislation.  The activities have included training of staff on legislative review and formulation of oversight reports and promotion of innovative and integrated application of ICT to enhance optimization of the ICT/information benefits of accessing other legislative environments. The analysis below is a reflection of the previous support as well as the Youth Parliament.</w:t>
      </w:r>
    </w:p>
    <w:p w14:paraId="48E98947" w14:textId="77777777" w:rsidR="00D64700" w:rsidRPr="00CD56B9" w:rsidRDefault="00D64700" w:rsidP="00D64700">
      <w:pPr>
        <w:spacing w:after="0"/>
        <w:rPr>
          <w:rFonts w:cs="Arial"/>
          <w:lang w:val="en-US"/>
        </w:rPr>
      </w:pPr>
    </w:p>
    <w:p w14:paraId="424440E9" w14:textId="77777777" w:rsidR="00D64700" w:rsidRPr="00CD56B9" w:rsidRDefault="00D64700" w:rsidP="00D64700">
      <w:pPr>
        <w:spacing w:after="0"/>
        <w:rPr>
          <w:rFonts w:cs="Arial"/>
          <w:lang w:val="en-US"/>
        </w:rPr>
      </w:pPr>
      <w:r w:rsidRPr="00CD56B9">
        <w:rPr>
          <w:rFonts w:cs="Arial"/>
          <w:lang w:val="en-US"/>
        </w:rPr>
        <w:t>Strengthening Parliament Programme was aligned to government policies and UNDAF. The constitution establishes the National Assembly in chapter VI. It is charged with three main functions, namely, oversight, representation and legislation. In 2010, the Parliament developed a Strategic Plan for the period 2010 - 2015 with the aim to enhance institutional capacity of Parliament to deliver its core functions. The plan is aligned with key sectoral strategies and policies as highlighted in the MGDS, which emphasizes good governance for sustainable economic development. The strengthening of Parliament capacity for oversight and legislation was reflected in the previous UNDAF for Malawi, Outcome 5: good governance, gender equality and rights based approach to development and UNDP CPAP Outcome 4: informed public actively claiming good governance and human rights by 2011.</w:t>
      </w:r>
    </w:p>
    <w:p w14:paraId="4F7AF57F" w14:textId="77777777" w:rsidR="00D64700" w:rsidRPr="00CD56B9" w:rsidRDefault="00D64700" w:rsidP="00D64700">
      <w:pPr>
        <w:spacing w:after="0"/>
        <w:rPr>
          <w:rFonts w:cs="Arial"/>
          <w:lang w:val="en-US"/>
        </w:rPr>
      </w:pPr>
    </w:p>
    <w:p w14:paraId="3B28F496" w14:textId="77777777" w:rsidR="00D64700" w:rsidRPr="00CD56B9" w:rsidRDefault="00D64700" w:rsidP="00D64700">
      <w:pPr>
        <w:rPr>
          <w:rFonts w:cs="Arial"/>
          <w:lang w:val="en-US"/>
        </w:rPr>
      </w:pPr>
      <w:r w:rsidRPr="00CD56B9">
        <w:rPr>
          <w:rFonts w:cs="Arial"/>
          <w:lang w:val="en-US"/>
        </w:rPr>
        <w:t>Gender mainstreaming is integrated in the Strengthening Parliament Programme through policy and sensitization of MPs on the same  in order to increase the capacity of the women caucus, capacity building through seminar/workshop; holding forums, networks, seminars and training was conducted for house leadership, presiding officers and business committee, clerks and senior staff on legislative process; strengthen the leadership and representative roles of MPs through training and production of handbook for MPs on representation; increase the outreach work of parliament through open air sensitization meetings; programme of constituency based activities, development of IEC material, interface with civil society, and training for CSO and media.</w:t>
      </w:r>
    </w:p>
    <w:p w14:paraId="2D3BE41A" w14:textId="77777777" w:rsidR="00D64700" w:rsidRPr="00CD56B9" w:rsidRDefault="00D64700" w:rsidP="00D64700">
      <w:pPr>
        <w:rPr>
          <w:rFonts w:cs="Arial"/>
          <w:lang w:val="en-US"/>
        </w:rPr>
      </w:pPr>
      <w:r w:rsidRPr="00CD56B9">
        <w:rPr>
          <w:rFonts w:cs="Arial"/>
          <w:lang w:val="en-US"/>
        </w:rPr>
        <w:t>The youth Parliament is currently a co-financed project with UNICEF. The Parliament is involved in the identification of school youth and those out of school. The aspects on gender and people with disabilities are included.</w:t>
      </w:r>
    </w:p>
    <w:p w14:paraId="6DAA8977" w14:textId="77777777" w:rsidR="00D64700" w:rsidRPr="00CD56B9" w:rsidRDefault="00D64700" w:rsidP="00D64700">
      <w:pPr>
        <w:spacing w:after="0"/>
        <w:rPr>
          <w:rFonts w:cs="Arial"/>
          <w:b/>
          <w:lang w:val="en-US"/>
        </w:rPr>
      </w:pPr>
      <w:r w:rsidRPr="00CD56B9">
        <w:rPr>
          <w:rFonts w:cs="Arial"/>
          <w:b/>
          <w:lang w:val="en-US"/>
        </w:rPr>
        <w:t>UNDP’s Experience in Malawi through Strengthening Parliament Project:</w:t>
      </w:r>
    </w:p>
    <w:p w14:paraId="42689A22" w14:textId="77777777" w:rsidR="00D64700" w:rsidRPr="003D6C93" w:rsidRDefault="00D64700" w:rsidP="00D64700">
      <w:pPr>
        <w:pStyle w:val="Listeafsnit"/>
        <w:spacing w:after="0"/>
        <w:ind w:left="0"/>
        <w:rPr>
          <w:rFonts w:cs="Arial"/>
        </w:rPr>
      </w:pPr>
      <w:r w:rsidRPr="00CD56B9">
        <w:rPr>
          <w:rFonts w:cs="Arial"/>
          <w:lang w:val="en-US"/>
        </w:rPr>
        <w:t xml:space="preserve">UNDP’s previous programmes of support to parliament in Malawi recorded significant results. </w:t>
      </w:r>
      <w:r w:rsidRPr="003D6C93">
        <w:rPr>
          <w:rFonts w:cs="Arial"/>
        </w:rPr>
        <w:t xml:space="preserve">Key results include: </w:t>
      </w:r>
    </w:p>
    <w:p w14:paraId="41EDE697" w14:textId="77777777" w:rsidR="00D64700" w:rsidRPr="00CD56B9" w:rsidRDefault="00D64700" w:rsidP="00F769B0">
      <w:pPr>
        <w:pStyle w:val="Listeafsnit"/>
        <w:numPr>
          <w:ilvl w:val="0"/>
          <w:numId w:val="24"/>
        </w:numPr>
        <w:spacing w:before="120" w:after="0" w:line="276" w:lineRule="auto"/>
        <w:rPr>
          <w:rFonts w:cs="Arial"/>
          <w:lang w:val="en-US"/>
        </w:rPr>
      </w:pPr>
      <w:r w:rsidRPr="00CD56B9">
        <w:rPr>
          <w:rFonts w:cs="Arial"/>
          <w:i/>
          <w:lang w:val="en-US"/>
        </w:rPr>
        <w:t>Capacity development</w:t>
      </w:r>
      <w:r w:rsidRPr="00CD56B9">
        <w:rPr>
          <w:rFonts w:cs="Arial"/>
          <w:lang w:val="en-US"/>
        </w:rPr>
        <w:t>: There have been several capacity development initiatives since 2004 presidential elections such as</w:t>
      </w:r>
    </w:p>
    <w:p w14:paraId="5EB3F955" w14:textId="77777777" w:rsidR="00D64700" w:rsidRPr="00CD56B9" w:rsidRDefault="00D64700" w:rsidP="00F769B0">
      <w:pPr>
        <w:pStyle w:val="Listeafsnit"/>
        <w:numPr>
          <w:ilvl w:val="0"/>
          <w:numId w:val="25"/>
        </w:numPr>
        <w:spacing w:before="120" w:after="0" w:line="276" w:lineRule="auto"/>
        <w:rPr>
          <w:rFonts w:cs="Arial"/>
          <w:lang w:val="en-US"/>
        </w:rPr>
      </w:pPr>
      <w:r w:rsidRPr="00CD56B9">
        <w:rPr>
          <w:rFonts w:cs="Arial"/>
          <w:lang w:val="en-US"/>
        </w:rPr>
        <w:lastRenderedPageBreak/>
        <w:t>Orientation programmes: UNDP supported the orientation of members of parliament through the University of Malawi for the 2004 – 2009 period</w:t>
      </w:r>
    </w:p>
    <w:p w14:paraId="397120D9" w14:textId="77777777" w:rsidR="00D64700" w:rsidRPr="00CD56B9" w:rsidRDefault="00D64700" w:rsidP="00F769B0">
      <w:pPr>
        <w:pStyle w:val="Listeafsnit"/>
        <w:numPr>
          <w:ilvl w:val="0"/>
          <w:numId w:val="25"/>
        </w:numPr>
        <w:spacing w:before="120" w:after="0" w:line="276" w:lineRule="auto"/>
        <w:rPr>
          <w:rFonts w:cs="Arial"/>
          <w:lang w:val="en-US"/>
        </w:rPr>
      </w:pPr>
      <w:r w:rsidRPr="00CD56B9">
        <w:rPr>
          <w:rFonts w:cs="Arial"/>
          <w:lang w:val="en-US"/>
        </w:rPr>
        <w:t>UNDP also supported the development of training modules that are currently being used for MPs orientation. Parliament is now conducting these orientation sessions at no cost to UNDP.</w:t>
      </w:r>
    </w:p>
    <w:p w14:paraId="4405FF0C" w14:textId="77777777" w:rsidR="00D64700" w:rsidRPr="00CD56B9" w:rsidRDefault="00D64700" w:rsidP="00F769B0">
      <w:pPr>
        <w:pStyle w:val="Listeafsnit"/>
        <w:numPr>
          <w:ilvl w:val="0"/>
          <w:numId w:val="25"/>
        </w:numPr>
        <w:spacing w:before="120" w:after="0" w:line="276" w:lineRule="auto"/>
        <w:rPr>
          <w:rFonts w:cs="Arial"/>
          <w:lang w:val="en-US"/>
        </w:rPr>
      </w:pPr>
      <w:r w:rsidRPr="00CD56B9">
        <w:rPr>
          <w:rFonts w:cs="Arial"/>
          <w:lang w:val="en-US"/>
        </w:rPr>
        <w:t>UNDP, in collaboration with the National Forum for Peaceful Settlement of Conflicts (NAFPESCO), introduced all MPs to conflict management and conflict sensitivity.</w:t>
      </w:r>
    </w:p>
    <w:p w14:paraId="35163D83" w14:textId="77777777" w:rsidR="00D64700" w:rsidRPr="00CD56B9" w:rsidRDefault="00D64700" w:rsidP="00F769B0">
      <w:pPr>
        <w:pStyle w:val="Listeafsnit"/>
        <w:numPr>
          <w:ilvl w:val="0"/>
          <w:numId w:val="25"/>
        </w:numPr>
        <w:spacing w:before="120" w:after="0" w:line="276" w:lineRule="auto"/>
        <w:rPr>
          <w:rFonts w:cs="Arial"/>
          <w:lang w:val="en-US"/>
        </w:rPr>
      </w:pPr>
      <w:r w:rsidRPr="00CD56B9">
        <w:rPr>
          <w:rFonts w:cs="Arial"/>
          <w:lang w:val="en-US"/>
        </w:rPr>
        <w:t>UNDP further supported trainings for Parliamentary Service Commission in corporate governance to clarify roles between the elected MPs and the Secretariat. Understanding of their responsibilities as Members of Parliament improved such that there was minimal unnecessary interruption of duties of Parliamentary staff by MPs.</w:t>
      </w:r>
    </w:p>
    <w:p w14:paraId="31428F60" w14:textId="77777777" w:rsidR="00D64700" w:rsidRPr="00CD56B9" w:rsidRDefault="00D64700" w:rsidP="00F769B0">
      <w:pPr>
        <w:pStyle w:val="Listeafsnit"/>
        <w:numPr>
          <w:ilvl w:val="0"/>
          <w:numId w:val="25"/>
        </w:numPr>
        <w:spacing w:before="120" w:after="0" w:line="276" w:lineRule="auto"/>
        <w:rPr>
          <w:rFonts w:cs="Arial"/>
          <w:lang w:val="en-US"/>
        </w:rPr>
      </w:pPr>
      <w:r w:rsidRPr="00CD56B9">
        <w:rPr>
          <w:rFonts w:cs="Arial"/>
          <w:lang w:val="en-US"/>
        </w:rPr>
        <w:t xml:space="preserve">Monitoring and Evaluation trainings for Parliamentary staff were also supported and staff became more aware of the need of monitoring and evaluating results, unlike in the past when staff were more concerned with activity implementation on both government ORT and project. </w:t>
      </w:r>
    </w:p>
    <w:p w14:paraId="618325F9" w14:textId="77777777" w:rsidR="00D64700" w:rsidRPr="00CD56B9" w:rsidRDefault="00D64700" w:rsidP="00F769B0">
      <w:pPr>
        <w:pStyle w:val="Listeafsnit"/>
        <w:numPr>
          <w:ilvl w:val="0"/>
          <w:numId w:val="24"/>
        </w:numPr>
        <w:spacing w:before="120" w:after="0" w:line="276" w:lineRule="auto"/>
        <w:rPr>
          <w:rFonts w:cs="Arial"/>
          <w:lang w:val="en-US"/>
        </w:rPr>
      </w:pPr>
      <w:r w:rsidRPr="00CD56B9">
        <w:rPr>
          <w:rFonts w:cs="Arial"/>
          <w:i/>
          <w:lang w:val="en-US"/>
        </w:rPr>
        <w:t>Strategic Plan</w:t>
      </w:r>
      <w:r w:rsidRPr="00CD56B9">
        <w:rPr>
          <w:rFonts w:cs="Arial"/>
          <w:lang w:val="en-US"/>
        </w:rPr>
        <w:t>: UNDP supported the development of the 2010-2015 strategic plan that has guided parliamentary development to date</w:t>
      </w:r>
    </w:p>
    <w:p w14:paraId="7F54A1F6" w14:textId="77777777" w:rsidR="00D64700" w:rsidRPr="003D6C93" w:rsidRDefault="00D64700" w:rsidP="00F769B0">
      <w:pPr>
        <w:pStyle w:val="Listeafsnit"/>
        <w:numPr>
          <w:ilvl w:val="0"/>
          <w:numId w:val="24"/>
        </w:numPr>
        <w:spacing w:before="120" w:after="0" w:line="276" w:lineRule="auto"/>
        <w:rPr>
          <w:rFonts w:cs="Arial"/>
        </w:rPr>
      </w:pPr>
      <w:r w:rsidRPr="00CD56B9">
        <w:rPr>
          <w:rFonts w:cs="Arial"/>
          <w:i/>
          <w:lang w:val="en-US"/>
        </w:rPr>
        <w:t>Standing Orders</w:t>
      </w:r>
      <w:r w:rsidRPr="00CD56B9">
        <w:rPr>
          <w:rFonts w:cs="Arial"/>
          <w:lang w:val="en-US"/>
        </w:rPr>
        <w:t xml:space="preserve">: Support was also provided for the review and initial drafting of the new </w:t>
      </w:r>
      <w:bookmarkStart w:id="26" w:name="OLE_LINK1"/>
      <w:bookmarkStart w:id="27" w:name="OLE_LINK2"/>
      <w:r w:rsidRPr="00CD56B9">
        <w:rPr>
          <w:rFonts w:cs="Arial"/>
          <w:lang w:val="en-US"/>
        </w:rPr>
        <w:t xml:space="preserve">Standing Orders </w:t>
      </w:r>
      <w:bookmarkEnd w:id="26"/>
      <w:bookmarkEnd w:id="27"/>
      <w:r w:rsidRPr="00CD56B9">
        <w:rPr>
          <w:rFonts w:cs="Arial"/>
          <w:lang w:val="en-US"/>
        </w:rPr>
        <w:t xml:space="preserve">aligned to the developments in a multi-party Parliament. </w:t>
      </w:r>
      <w:r w:rsidRPr="003D6C93">
        <w:rPr>
          <w:rFonts w:cs="Arial"/>
        </w:rPr>
        <w:t>The new Standing Orders were adopted in 2014.</w:t>
      </w:r>
    </w:p>
    <w:p w14:paraId="6CD658C5" w14:textId="77777777" w:rsidR="00D64700" w:rsidRPr="00CD56B9" w:rsidRDefault="00D64700" w:rsidP="00F769B0">
      <w:pPr>
        <w:pStyle w:val="Listeafsnit"/>
        <w:numPr>
          <w:ilvl w:val="0"/>
          <w:numId w:val="24"/>
        </w:numPr>
        <w:spacing w:before="120" w:after="0" w:line="276" w:lineRule="auto"/>
        <w:rPr>
          <w:rFonts w:cs="Arial"/>
          <w:lang w:val="en-US"/>
        </w:rPr>
      </w:pPr>
      <w:r w:rsidRPr="00CD56B9">
        <w:rPr>
          <w:rFonts w:cs="Arial"/>
          <w:lang w:val="en-US"/>
        </w:rPr>
        <w:t>UNDP also assisted in drafting a Code of Conduct for Members of Parliament and Staff, with some elements incorporated in the Standing Orders approved in 2014.</w:t>
      </w:r>
    </w:p>
    <w:p w14:paraId="761867E3" w14:textId="77777777" w:rsidR="00D64700" w:rsidRPr="00CD56B9" w:rsidRDefault="00D64700" w:rsidP="00D64700">
      <w:pPr>
        <w:spacing w:before="240" w:after="0"/>
        <w:rPr>
          <w:rFonts w:cs="Arial"/>
          <w:lang w:val="en-US"/>
        </w:rPr>
      </w:pPr>
      <w:r w:rsidRPr="00CD56B9">
        <w:rPr>
          <w:rFonts w:cs="Arial"/>
          <w:lang w:val="en-US"/>
        </w:rPr>
        <w:t xml:space="preserve">There is renewed interest for coherent and coordinated support to the Parliament as demonstrated by the outcome of the Heads of Missions meeting in which the EU, UNDP, RNE, USA, DFID and Irish Aid recommended more technical consultations. The scope of the analysis includes the oversight, legislative and representative roles; the committee system; powers and institutions; structural economy; influences and political party system and; administrative issues such as the organizational structures, individual staff and dynamics. </w:t>
      </w:r>
    </w:p>
    <w:p w14:paraId="21566614" w14:textId="77777777" w:rsidR="00D64700" w:rsidRPr="00CD56B9" w:rsidRDefault="00D64700" w:rsidP="00D64700">
      <w:pPr>
        <w:spacing w:after="0"/>
        <w:rPr>
          <w:rFonts w:cs="Arial"/>
          <w:lang w:val="en-US"/>
        </w:rPr>
      </w:pPr>
    </w:p>
    <w:p w14:paraId="0A96D56D" w14:textId="77777777" w:rsidR="00D64700" w:rsidRPr="00CD56B9" w:rsidRDefault="00D64700" w:rsidP="00D64700">
      <w:pPr>
        <w:spacing w:after="0"/>
        <w:rPr>
          <w:rFonts w:cs="Arial"/>
          <w:lang w:val="en-US"/>
        </w:rPr>
      </w:pPr>
      <w:r w:rsidRPr="00CD56B9">
        <w:rPr>
          <w:rFonts w:cs="Arial"/>
          <w:lang w:val="en-US"/>
        </w:rPr>
        <w:t>The DG SWAp Sector Coordination Committee – on 6</w:t>
      </w:r>
      <w:r w:rsidRPr="00CD56B9">
        <w:rPr>
          <w:rFonts w:cs="Arial"/>
          <w:vertAlign w:val="superscript"/>
          <w:lang w:val="en-US"/>
        </w:rPr>
        <w:t>th</w:t>
      </w:r>
      <w:r w:rsidRPr="00CD56B9">
        <w:rPr>
          <w:rFonts w:cs="Arial"/>
          <w:lang w:val="en-US"/>
        </w:rPr>
        <w:t xml:space="preserve"> August 2015 approved establishment of the Policy and Administration Sub-Committee with membership from Executive, Parliament, Judiciary, Independent Commissions, Non-State Actors and Development Partners. The Sub-Committee has delegated authority to engage the Executive, Parliament, Judiciary and Independent Commissions for purposes of streamlining and sequencing legislative, policy and institutional reform agenda as well as developing linkages with the forthcoming national development strategy and public sector reforms. </w:t>
      </w:r>
    </w:p>
    <w:p w14:paraId="57866700" w14:textId="77777777" w:rsidR="00D64700" w:rsidRPr="00CD56B9" w:rsidRDefault="00D64700" w:rsidP="00D64700">
      <w:pPr>
        <w:pStyle w:val="Listeafsnit"/>
        <w:spacing w:after="0"/>
        <w:ind w:left="0"/>
        <w:rPr>
          <w:rFonts w:cs="Arial"/>
          <w:b/>
          <w:lang w:val="en-US"/>
        </w:rPr>
      </w:pPr>
    </w:p>
    <w:p w14:paraId="5A2A51E0" w14:textId="77777777" w:rsidR="00D64700" w:rsidRPr="00CD56B9" w:rsidRDefault="00D64700" w:rsidP="00D64700">
      <w:pPr>
        <w:pStyle w:val="Listeafsnit"/>
        <w:spacing w:after="0"/>
        <w:ind w:left="0"/>
        <w:rPr>
          <w:rFonts w:cs="Arial"/>
          <w:b/>
          <w:lang w:val="en-US"/>
        </w:rPr>
      </w:pPr>
      <w:r w:rsidRPr="00CD56B9">
        <w:rPr>
          <w:rFonts w:cs="Arial"/>
          <w:b/>
          <w:lang w:val="en-US"/>
        </w:rPr>
        <w:t>Sustainability</w:t>
      </w:r>
    </w:p>
    <w:p w14:paraId="2493E747" w14:textId="77777777" w:rsidR="00D64700" w:rsidRPr="00CD56B9" w:rsidRDefault="00D64700" w:rsidP="00D64700">
      <w:pPr>
        <w:spacing w:after="0"/>
        <w:rPr>
          <w:rFonts w:cs="Arial"/>
          <w:lang w:val="en-US"/>
        </w:rPr>
      </w:pPr>
      <w:r w:rsidRPr="00CD56B9">
        <w:rPr>
          <w:rFonts w:cs="Arial"/>
          <w:lang w:val="en-US"/>
        </w:rPr>
        <w:t>A strong aspect of the previous support is the anchoring of the capacity development support at the committee secretariats. While the MP turnover during elections is around 70%, committee structures and support staff are permanent. Involving the secretariats in capacity development is the right way to ensure sustainable outcomes across election terms.</w:t>
      </w:r>
    </w:p>
    <w:p w14:paraId="591C4DA8" w14:textId="77777777" w:rsidR="00D64700" w:rsidRPr="00CD56B9" w:rsidRDefault="00D64700" w:rsidP="00D64700">
      <w:pPr>
        <w:spacing w:after="0"/>
        <w:rPr>
          <w:rFonts w:cs="Arial"/>
          <w:lang w:val="en-US"/>
        </w:rPr>
      </w:pPr>
      <w:r w:rsidRPr="00CD56B9">
        <w:rPr>
          <w:rFonts w:cs="Arial"/>
          <w:lang w:val="en-US"/>
        </w:rPr>
        <w:t xml:space="preserve"> </w:t>
      </w:r>
    </w:p>
    <w:p w14:paraId="2DDC0F15" w14:textId="77777777" w:rsidR="00D64700" w:rsidRPr="00CD56B9" w:rsidRDefault="00D64700" w:rsidP="00D64700">
      <w:pPr>
        <w:spacing w:after="0"/>
        <w:rPr>
          <w:rFonts w:cs="Arial"/>
          <w:b/>
          <w:lang w:val="en-US"/>
        </w:rPr>
      </w:pPr>
      <w:r w:rsidRPr="00CD56B9">
        <w:rPr>
          <w:rFonts w:cs="Arial"/>
          <w:b/>
          <w:lang w:val="en-US"/>
        </w:rPr>
        <w:t>Conclusion</w:t>
      </w:r>
    </w:p>
    <w:p w14:paraId="6E3B656E" w14:textId="77777777" w:rsidR="006856C9" w:rsidRPr="00CD56B9" w:rsidRDefault="00D64700" w:rsidP="00D64700">
      <w:pPr>
        <w:pStyle w:val="Listeafsnit"/>
        <w:spacing w:after="0"/>
        <w:ind w:left="0"/>
        <w:rPr>
          <w:rFonts w:cs="Arial"/>
          <w:lang w:val="en-US"/>
        </w:rPr>
        <w:sectPr w:rsidR="006856C9" w:rsidRPr="00CD56B9" w:rsidSect="000C1092">
          <w:pgSz w:w="12240" w:h="15840"/>
          <w:pgMar w:top="1440" w:right="1440" w:bottom="1440" w:left="1440" w:header="720" w:footer="720" w:gutter="0"/>
          <w:cols w:space="720"/>
          <w:docGrid w:linePitch="360"/>
        </w:sectPr>
      </w:pPr>
      <w:r w:rsidRPr="00CD56B9">
        <w:rPr>
          <w:rFonts w:cs="Arial"/>
          <w:lang w:val="en-US"/>
        </w:rPr>
        <w:t xml:space="preserve">UNDP’s previous programmes of support to the Parliament in Malawi recorded significant results. Strengthening Parliament Programme is aligned to key sectoral strategies and policies as </w:t>
      </w:r>
      <w:r w:rsidRPr="00CD56B9">
        <w:rPr>
          <w:rFonts w:cs="Arial"/>
          <w:lang w:val="en-US"/>
        </w:rPr>
        <w:lastRenderedPageBreak/>
        <w:t xml:space="preserve">highlighted in </w:t>
      </w:r>
      <w:r w:rsidR="00FF4E3A" w:rsidRPr="00CD56B9">
        <w:rPr>
          <w:rFonts w:cs="Arial"/>
          <w:lang w:val="en-US"/>
        </w:rPr>
        <w:t>MGDS, which</w:t>
      </w:r>
      <w:r w:rsidRPr="00CD56B9">
        <w:rPr>
          <w:rFonts w:cs="Arial"/>
          <w:lang w:val="en-US"/>
        </w:rPr>
        <w:t xml:space="preserve"> emphasizes good governance for sustainable economic development. The strengthening of Parliament capacity for oversight and legislation is reflected in UNDAF. Gender mainstreaming is integrated in the Strengthening Parliament Programme through policy and sensitization of MPs on the same. Youth Parliament is currently a co-financed project with UNICEF and the Parliament is eager to continue this innovation as a means of democratic education and providing democratic space for the youth.</w:t>
      </w:r>
    </w:p>
    <w:p w14:paraId="77AF0DC4" w14:textId="77777777" w:rsidR="006856C9" w:rsidRPr="00CD56B9" w:rsidRDefault="006C31FE" w:rsidP="00997A7B">
      <w:pPr>
        <w:pStyle w:val="Overskrift2"/>
        <w:numPr>
          <w:ilvl w:val="0"/>
          <w:numId w:val="0"/>
        </w:numPr>
        <w:rPr>
          <w:lang w:val="en-US"/>
        </w:rPr>
      </w:pPr>
      <w:bookmarkStart w:id="28" w:name="_Toc439245581"/>
      <w:r w:rsidRPr="00CD56B9">
        <w:rPr>
          <w:lang w:val="en-US"/>
        </w:rPr>
        <w:lastRenderedPageBreak/>
        <w:t>3.5</w:t>
      </w:r>
      <w:r w:rsidR="007A02AF" w:rsidRPr="00CD56B9">
        <w:rPr>
          <w:lang w:val="en-US"/>
        </w:rPr>
        <w:t xml:space="preserve"> </w:t>
      </w:r>
      <w:r w:rsidR="006856C9" w:rsidRPr="00CD56B9">
        <w:rPr>
          <w:lang w:val="en-US"/>
        </w:rPr>
        <w:t>Malawi Human Rights Support Project (MHRSP) 2012-2014</w:t>
      </w:r>
      <w:bookmarkEnd w:id="28"/>
    </w:p>
    <w:p w14:paraId="11B00C1F" w14:textId="77777777" w:rsidR="006856C9" w:rsidRPr="00CD56B9" w:rsidRDefault="006856C9" w:rsidP="00A5554F">
      <w:pPr>
        <w:spacing w:after="0"/>
        <w:rPr>
          <w:rFonts w:cs="Arial"/>
          <w:lang w:val="en-US"/>
        </w:rPr>
      </w:pPr>
    </w:p>
    <w:p w14:paraId="29CDB4BD" w14:textId="77777777" w:rsidR="00A5554F" w:rsidRPr="00DB1187" w:rsidRDefault="00A5554F" w:rsidP="00A5554F">
      <w:pPr>
        <w:rPr>
          <w:rFonts w:cs="Arial"/>
          <w:lang w:val="en-US"/>
        </w:rPr>
      </w:pPr>
      <w:r w:rsidRPr="005B4669">
        <w:rPr>
          <w:rFonts w:cs="Arial"/>
          <w:lang w:val="en-GB"/>
        </w:rPr>
        <w:t xml:space="preserve">The Malawi Human Rights Support Project (MHRSP) is implemented by the Malawi Human Rights Commission (MHRC) with the support from UNDP. The Project started in 2012 and is expected to be completed in the 2016.  </w:t>
      </w:r>
      <w:r w:rsidRPr="00483BE8">
        <w:rPr>
          <w:rFonts w:cs="Arial"/>
          <w:lang w:val="en-US"/>
        </w:rPr>
        <w:t xml:space="preserve">The goal of the project is to support the promotion and protection of human rights by strengthening mechanisms and institutions that promote norms and good practices and foster democratic accountability. It seeks to support the establishment of inclusive and sustainable frameworks and strategies for coordinated and integrated human rights promotion and protection in a responsive way to national priorities and within the global and regional </w:t>
      </w:r>
      <w:r w:rsidRPr="000F01EB">
        <w:rPr>
          <w:rFonts w:cs="Arial"/>
          <w:lang w:val="en-US"/>
        </w:rPr>
        <w:t>context. The project represents a concrete response by the UN System to assist Malawi to embed democratic governance through respect for the principles and standards of human rights as entrenched in the Constitution of Malawi and in international and regional human ri</w:t>
      </w:r>
      <w:r w:rsidRPr="00DB1187">
        <w:rPr>
          <w:rFonts w:cs="Arial"/>
          <w:lang w:val="en-US"/>
        </w:rPr>
        <w:t>ghts instruments.</w:t>
      </w:r>
    </w:p>
    <w:p w14:paraId="539B8855" w14:textId="77777777" w:rsidR="00A5554F" w:rsidRPr="00DB1187" w:rsidRDefault="00A5554F" w:rsidP="00A5554F">
      <w:pPr>
        <w:rPr>
          <w:rFonts w:cs="Arial"/>
          <w:b/>
          <w:lang w:val="en-US"/>
        </w:rPr>
      </w:pPr>
      <w:r w:rsidRPr="00DB1187">
        <w:rPr>
          <w:rFonts w:cs="Arial"/>
          <w:b/>
          <w:lang w:val="en-US"/>
        </w:rPr>
        <w:t>Project outputs:</w:t>
      </w:r>
    </w:p>
    <w:p w14:paraId="10C9FE46" w14:textId="77777777" w:rsidR="00A5554F" w:rsidRPr="00DB1187" w:rsidRDefault="00A5554F" w:rsidP="00A5554F">
      <w:pPr>
        <w:tabs>
          <w:tab w:val="left" w:pos="900"/>
          <w:tab w:val="left" w:pos="3240"/>
        </w:tabs>
        <w:spacing w:after="0"/>
        <w:rPr>
          <w:rFonts w:eastAsia="Times New Roman" w:cs="Arial"/>
          <w:bCs/>
          <w:color w:val="000000"/>
          <w:lang w:val="fr-FR" w:eastAsia="en-GB"/>
        </w:rPr>
      </w:pPr>
      <w:r w:rsidRPr="00DB1187">
        <w:rPr>
          <w:rFonts w:eastAsia="Times New Roman" w:cs="Arial"/>
          <w:b/>
          <w:bCs/>
          <w:color w:val="000000"/>
          <w:lang w:val="fr-FR" w:eastAsia="en-GB"/>
        </w:rPr>
        <w:t>Output 1</w:t>
      </w:r>
      <w:r w:rsidRPr="00DB1187">
        <w:rPr>
          <w:rFonts w:eastAsia="Times New Roman" w:cs="Arial"/>
          <w:bCs/>
          <w:color w:val="000000"/>
          <w:lang w:val="fr-FR" w:eastAsia="en-GB"/>
        </w:rPr>
        <w:t xml:space="preserve">: A </w:t>
      </w:r>
      <w:r w:rsidRPr="005B4669">
        <w:rPr>
          <w:rFonts w:eastAsia="Times New Roman" w:cs="Arial"/>
          <w:bCs/>
          <w:color w:val="000000"/>
          <w:lang w:val="en-GB" w:eastAsia="en-GB"/>
        </w:rPr>
        <w:t>gender</w:t>
      </w:r>
      <w:r w:rsidRPr="00DB1187">
        <w:rPr>
          <w:rFonts w:eastAsia="Times New Roman" w:cs="Arial"/>
          <w:bCs/>
          <w:color w:val="000000"/>
          <w:lang w:val="fr-FR" w:eastAsia="en-GB"/>
        </w:rPr>
        <w:t xml:space="preserve"> responsive national human rights action plan </w:t>
      </w:r>
      <w:r w:rsidRPr="005B4669">
        <w:rPr>
          <w:rFonts w:eastAsia="Times New Roman" w:cs="Arial"/>
          <w:bCs/>
          <w:color w:val="000000"/>
          <w:lang w:val="en-GB" w:eastAsia="en-GB"/>
        </w:rPr>
        <w:t>developed</w:t>
      </w:r>
      <w:r w:rsidRPr="00DB1187">
        <w:rPr>
          <w:rFonts w:eastAsia="Times New Roman" w:cs="Arial"/>
          <w:bCs/>
          <w:color w:val="000000"/>
          <w:lang w:val="fr-FR" w:eastAsia="en-GB"/>
        </w:rPr>
        <w:t xml:space="preserve"> in a participatory manner and implemented </w:t>
      </w:r>
    </w:p>
    <w:p w14:paraId="302C6B4B" w14:textId="77777777" w:rsidR="00A5554F" w:rsidRPr="00DB1187" w:rsidRDefault="00A5554F" w:rsidP="00A5554F">
      <w:pPr>
        <w:tabs>
          <w:tab w:val="center" w:pos="4153"/>
          <w:tab w:val="center" w:pos="4819"/>
          <w:tab w:val="right" w:pos="8306"/>
          <w:tab w:val="right" w:pos="9638"/>
        </w:tabs>
        <w:spacing w:after="0"/>
        <w:contextualSpacing/>
        <w:rPr>
          <w:rFonts w:cs="Arial"/>
          <w:lang w:val="en-US"/>
        </w:rPr>
      </w:pPr>
      <w:r w:rsidRPr="00DB1187">
        <w:rPr>
          <w:rFonts w:cs="Arial"/>
          <w:b/>
          <w:bCs/>
          <w:color w:val="000000"/>
          <w:lang w:val="en-US" w:eastAsia="en-GB"/>
        </w:rPr>
        <w:t>Output 2</w:t>
      </w:r>
      <w:r w:rsidRPr="00DB1187">
        <w:rPr>
          <w:rFonts w:cs="Arial"/>
          <w:bCs/>
          <w:color w:val="000000"/>
          <w:lang w:val="en-US" w:eastAsia="en-GB"/>
        </w:rPr>
        <w:t>: Strengthened leadership and technical capacities of the Malawi Human Rights Commission and the Ombudsman to deliver on their human rights mandates effectively</w:t>
      </w:r>
    </w:p>
    <w:p w14:paraId="331CE800" w14:textId="77777777" w:rsidR="00A5554F" w:rsidRPr="00DB1187" w:rsidRDefault="00A5554F" w:rsidP="00A5554F">
      <w:pPr>
        <w:spacing w:after="0"/>
        <w:rPr>
          <w:rFonts w:cs="Arial"/>
          <w:bCs/>
          <w:color w:val="000000"/>
          <w:lang w:val="en-US" w:eastAsia="en-GB"/>
        </w:rPr>
      </w:pPr>
      <w:r w:rsidRPr="00DB1187">
        <w:rPr>
          <w:rFonts w:cs="Arial"/>
          <w:b/>
          <w:bCs/>
          <w:color w:val="000000"/>
          <w:lang w:val="en-US" w:eastAsia="en-GB"/>
        </w:rPr>
        <w:t>Output 3</w:t>
      </w:r>
      <w:r w:rsidRPr="00DB1187">
        <w:rPr>
          <w:rFonts w:cs="Arial"/>
          <w:bCs/>
          <w:color w:val="000000"/>
          <w:lang w:val="en-US" w:eastAsia="en-GB"/>
        </w:rPr>
        <w:t>: Malawi’s engagement on the state party reporting and UPR is improved in a participatory and consultative manner</w:t>
      </w:r>
    </w:p>
    <w:p w14:paraId="76FD13F9" w14:textId="77777777" w:rsidR="00A5554F" w:rsidRPr="00DB1187" w:rsidRDefault="00A5554F" w:rsidP="00A5554F">
      <w:pPr>
        <w:tabs>
          <w:tab w:val="left" w:pos="0"/>
          <w:tab w:val="left" w:pos="90"/>
        </w:tabs>
        <w:spacing w:after="0"/>
        <w:rPr>
          <w:rFonts w:eastAsia="Times New Roman" w:cs="Arial"/>
          <w:bCs/>
          <w:color w:val="000000"/>
          <w:lang w:val="fr-FR" w:eastAsia="en-GB"/>
        </w:rPr>
      </w:pPr>
      <w:r w:rsidRPr="00DB1187">
        <w:rPr>
          <w:rFonts w:eastAsia="Times New Roman" w:cs="Arial"/>
          <w:b/>
          <w:bCs/>
          <w:color w:val="000000"/>
          <w:lang w:val="fr-FR" w:eastAsia="en-GB"/>
        </w:rPr>
        <w:t>Output 4</w:t>
      </w:r>
      <w:r w:rsidRPr="00DB1187">
        <w:rPr>
          <w:rFonts w:eastAsia="Times New Roman" w:cs="Arial"/>
          <w:bCs/>
          <w:color w:val="000000"/>
          <w:lang w:val="fr-FR" w:eastAsia="en-GB"/>
        </w:rPr>
        <w:t>: Strengthened partnership between Malawi Human Rights Commission, Office of the Ombudsman and Non-State Actors on Human Rights through the establishment and institutionalization of an interface mechanism </w:t>
      </w:r>
    </w:p>
    <w:p w14:paraId="65F43EB3" w14:textId="77777777" w:rsidR="00A5554F" w:rsidRPr="00DB1187" w:rsidRDefault="00A5554F" w:rsidP="00A5554F">
      <w:pPr>
        <w:rPr>
          <w:rFonts w:cs="Arial"/>
          <w:bCs/>
          <w:color w:val="000000"/>
          <w:lang w:val="en-US" w:eastAsia="en-GB"/>
        </w:rPr>
      </w:pPr>
      <w:r w:rsidRPr="00DB1187">
        <w:rPr>
          <w:rFonts w:cs="Arial"/>
          <w:b/>
          <w:bCs/>
          <w:color w:val="000000"/>
          <w:lang w:val="en-US" w:eastAsia="en-GB"/>
        </w:rPr>
        <w:t>Output 5</w:t>
      </w:r>
      <w:r w:rsidRPr="00DB1187">
        <w:rPr>
          <w:rFonts w:cs="Arial"/>
          <w:bCs/>
          <w:color w:val="000000"/>
          <w:lang w:val="en-US" w:eastAsia="en-GB"/>
        </w:rPr>
        <w:t>: Effective and efficient management, partnership formation and monitoring and evaluation of the Programme</w:t>
      </w:r>
    </w:p>
    <w:p w14:paraId="661653FC" w14:textId="77777777" w:rsidR="00A5554F" w:rsidRPr="00DB1187" w:rsidRDefault="00A5554F" w:rsidP="00A5554F">
      <w:pPr>
        <w:autoSpaceDE w:val="0"/>
        <w:autoSpaceDN w:val="0"/>
        <w:adjustRightInd w:val="0"/>
        <w:spacing w:after="0"/>
        <w:contextualSpacing/>
        <w:rPr>
          <w:rFonts w:cs="Arial"/>
          <w:b/>
          <w:lang w:val="en-US"/>
        </w:rPr>
      </w:pPr>
      <w:r w:rsidRPr="00DB1187">
        <w:rPr>
          <w:rFonts w:cs="Arial"/>
          <w:b/>
          <w:lang w:val="en-US"/>
        </w:rPr>
        <w:t xml:space="preserve">Relevance </w:t>
      </w:r>
    </w:p>
    <w:p w14:paraId="01A0C72A" w14:textId="77777777" w:rsidR="00A5554F" w:rsidRPr="005B4669" w:rsidRDefault="00A5554F" w:rsidP="00A5554F">
      <w:pPr>
        <w:spacing w:after="200"/>
        <w:rPr>
          <w:rFonts w:cs="Arial"/>
          <w:lang w:val="en-GB"/>
        </w:rPr>
      </w:pPr>
      <w:r w:rsidRPr="00DB1187">
        <w:rPr>
          <w:rFonts w:cs="Arial"/>
          <w:lang w:val="en-US"/>
        </w:rPr>
        <w:t>The project is aligned to the Constitution, MGDS II and the UNDAF. The constitution provides for national growth and development in which citizens are to be met through democratic governance and protection of fundamental human rights and freedoms. MGDS II reinforces the importance of human rights as a prerequisite for poverty reduction. The UNDAF 2012-2016 outcome 4.1 responds to the need for improved coherence within the UN support to development efforts through a rights-based approach. The project is designed to support state party reporting and advocacy for implementation of all UN Human Rights Mechanisms recommendations and enhanced working relationship between constitutional bodies and civil society organizations on human rights. The project is situated in the context of ongoing efforts by Government of Malawi to establish a Sector Wide approach to democratic governance to enhance policy coherence and dialogue as well as improving overall coordination of the sector. The project is designed to complement similar on-going and planned activities of other development partners in the area of Human Rights such as the European Union’s democratic governance programme, the Tilitonse fund for civil society and UN Agencies through such as UN Women, the UNICEF which advocates protection of children’s rights and UNFPA which promotes the right of every woman a, man and child to enjoy a life of health and equal opportunity. Therefore, the</w:t>
      </w:r>
      <w:r w:rsidRPr="005B4669">
        <w:rPr>
          <w:rFonts w:cs="Arial"/>
          <w:lang w:val="en-GB"/>
        </w:rPr>
        <w:t xml:space="preserve"> project is relevant as it is derived from the legal provision in the both the Constitution and Laws of Malawi on human rights promotion and protection, and Malawi Growth and Development Strategy. It addresses human rights knowledge and skills gaps on the parts of both the claim holders and duty bearers. The project affects the capabilities of claim holders including women rural populations by empowering them to demand and exercise their rights and corresponding duties. It also affects the capabilities of duty bearers to be effectively responsive on the 4 four core obligations, namely, to respect, to protect, to promote and to fulfill human rights. </w:t>
      </w:r>
    </w:p>
    <w:p w14:paraId="100536DB" w14:textId="77777777" w:rsidR="00A5554F" w:rsidRPr="000F01EB" w:rsidRDefault="00A5554F" w:rsidP="00A5554F">
      <w:pPr>
        <w:autoSpaceDE w:val="0"/>
        <w:autoSpaceDN w:val="0"/>
        <w:adjustRightInd w:val="0"/>
        <w:contextualSpacing/>
        <w:rPr>
          <w:rFonts w:cs="Arial"/>
          <w:b/>
          <w:lang w:val="en-US"/>
        </w:rPr>
      </w:pPr>
      <w:r w:rsidRPr="000F01EB">
        <w:rPr>
          <w:rFonts w:cs="Arial"/>
          <w:b/>
          <w:lang w:val="en-US"/>
        </w:rPr>
        <w:lastRenderedPageBreak/>
        <w:t>Effectiveness</w:t>
      </w:r>
    </w:p>
    <w:p w14:paraId="33162390" w14:textId="77777777" w:rsidR="00A5554F" w:rsidRPr="00DB1187" w:rsidRDefault="00A5554F" w:rsidP="00A5554F">
      <w:pPr>
        <w:rPr>
          <w:rFonts w:cs="Arial"/>
          <w:lang w:val="en-US"/>
        </w:rPr>
      </w:pPr>
      <w:r w:rsidRPr="00DB1187">
        <w:rPr>
          <w:rFonts w:cs="Arial"/>
          <w:lang w:val="en-US"/>
        </w:rPr>
        <w:t xml:space="preserve">Below is a summary of progress registered under each output; progress registered in most instances contributes to several indicators and has, therefore, been lumped together to avoid duplication. </w:t>
      </w:r>
    </w:p>
    <w:p w14:paraId="735F0C89" w14:textId="77777777" w:rsidR="00A5554F" w:rsidRPr="00DB1187" w:rsidRDefault="00A5554F" w:rsidP="00A5554F">
      <w:pPr>
        <w:tabs>
          <w:tab w:val="left" w:pos="900"/>
          <w:tab w:val="left" w:pos="3240"/>
        </w:tabs>
        <w:spacing w:after="0"/>
        <w:rPr>
          <w:rFonts w:eastAsia="Times New Roman" w:cs="Arial"/>
          <w:b/>
          <w:bCs/>
          <w:color w:val="000000"/>
          <w:lang w:val="fr-FR" w:eastAsia="en-GB"/>
        </w:rPr>
      </w:pPr>
      <w:r w:rsidRPr="00DB1187">
        <w:rPr>
          <w:rFonts w:eastAsia="Times New Roman" w:cs="Arial"/>
          <w:b/>
          <w:bCs/>
          <w:color w:val="000000"/>
          <w:lang w:val="fr-FR" w:eastAsia="en-GB"/>
        </w:rPr>
        <w:t xml:space="preserve">Output 1: A gender responsive national human rights action plan developed in a participatory manner and </w:t>
      </w:r>
      <w:r w:rsidRPr="005B4669">
        <w:rPr>
          <w:rFonts w:eastAsia="Times New Roman" w:cs="Arial"/>
          <w:b/>
          <w:bCs/>
          <w:color w:val="000000"/>
          <w:lang w:val="en-GB" w:eastAsia="en-GB"/>
        </w:rPr>
        <w:t>implemented</w:t>
      </w:r>
      <w:r w:rsidRPr="00DB1187">
        <w:rPr>
          <w:rFonts w:eastAsia="Times New Roman" w:cs="Arial"/>
          <w:b/>
          <w:bCs/>
          <w:color w:val="000000"/>
          <w:lang w:val="fr-FR" w:eastAsia="en-GB"/>
        </w:rPr>
        <w:t xml:space="preserve"> </w:t>
      </w:r>
    </w:p>
    <w:p w14:paraId="2070D553" w14:textId="77777777" w:rsidR="00A5554F" w:rsidRPr="00DB1187" w:rsidRDefault="00A5554F" w:rsidP="00A5554F">
      <w:pPr>
        <w:spacing w:after="0"/>
        <w:rPr>
          <w:rFonts w:cs="Arial"/>
          <w:bCs/>
          <w:i/>
          <w:color w:val="000000"/>
          <w:lang w:val="en-US" w:eastAsia="en-GB"/>
        </w:rPr>
      </w:pPr>
    </w:p>
    <w:p w14:paraId="23B4A274" w14:textId="77777777" w:rsidR="00A5554F" w:rsidRPr="00DB1187" w:rsidRDefault="00A5554F" w:rsidP="00A5554F">
      <w:pPr>
        <w:rPr>
          <w:rFonts w:cs="Arial"/>
          <w:i/>
          <w:color w:val="000000"/>
          <w:lang w:val="en-US" w:eastAsia="en-GB"/>
        </w:rPr>
      </w:pPr>
      <w:r w:rsidRPr="00DB1187">
        <w:rPr>
          <w:rFonts w:cs="Arial"/>
          <w:bCs/>
          <w:i/>
          <w:color w:val="000000"/>
          <w:lang w:val="en-US" w:eastAsia="en-GB"/>
        </w:rPr>
        <w:t>Indicator 1</w:t>
      </w:r>
      <w:r w:rsidRPr="00DB1187">
        <w:rPr>
          <w:rFonts w:cs="Arial"/>
          <w:i/>
          <w:color w:val="000000"/>
          <w:lang w:val="en-US" w:eastAsia="en-GB"/>
        </w:rPr>
        <w:t xml:space="preserve">: Number of institutions involved in the formulation of the National Human Rights Action Plan </w:t>
      </w:r>
      <w:r w:rsidRPr="00DB1187">
        <w:rPr>
          <w:rFonts w:cs="Arial"/>
          <w:bCs/>
          <w:i/>
          <w:color w:val="000000"/>
          <w:lang w:val="en-US" w:eastAsia="en-GB"/>
        </w:rPr>
        <w:t>(Baseline</w:t>
      </w:r>
      <w:r w:rsidRPr="00DB1187">
        <w:rPr>
          <w:rFonts w:cs="Arial"/>
          <w:i/>
          <w:color w:val="000000"/>
          <w:lang w:val="en-US" w:eastAsia="en-GB"/>
        </w:rPr>
        <w:t xml:space="preserve">: 0; </w:t>
      </w:r>
      <w:r w:rsidRPr="00DB1187">
        <w:rPr>
          <w:rFonts w:cs="Arial"/>
          <w:bCs/>
          <w:i/>
          <w:color w:val="000000"/>
          <w:lang w:val="en-US" w:eastAsia="en-GB"/>
        </w:rPr>
        <w:t>Target</w:t>
      </w:r>
      <w:r w:rsidRPr="00DB1187">
        <w:rPr>
          <w:rFonts w:cs="Arial"/>
          <w:i/>
          <w:color w:val="000000"/>
          <w:lang w:val="en-US" w:eastAsia="en-GB"/>
        </w:rPr>
        <w:t>: 10): Status: Partially achieved</w:t>
      </w:r>
    </w:p>
    <w:p w14:paraId="63C8F2B0" w14:textId="77777777" w:rsidR="00A5554F" w:rsidRPr="00DB1187" w:rsidRDefault="00A5554F" w:rsidP="00A5554F">
      <w:pPr>
        <w:rPr>
          <w:rFonts w:cs="Arial"/>
          <w:lang w:val="en-US" w:eastAsia="en-GB"/>
        </w:rPr>
      </w:pPr>
      <w:r w:rsidRPr="00DB1187">
        <w:rPr>
          <w:rFonts w:cs="Arial"/>
          <w:lang w:val="en-US" w:eastAsia="en-GB"/>
        </w:rPr>
        <w:t>A concept note on the National Human Rights Action Plan was finalized and after a preliminary technical review of the NAP 2004 -2011, the project finalized the concept note that provides, among others, the methodology and roadmap for the review process.</w:t>
      </w:r>
    </w:p>
    <w:p w14:paraId="2F132CC5" w14:textId="77777777" w:rsidR="00A5554F" w:rsidRPr="00DB1187" w:rsidRDefault="00A5554F" w:rsidP="00A5554F">
      <w:pPr>
        <w:rPr>
          <w:rFonts w:cs="Arial"/>
          <w:color w:val="000000"/>
          <w:lang w:val="en-US"/>
        </w:rPr>
      </w:pPr>
      <w:r w:rsidRPr="00DB1187">
        <w:rPr>
          <w:rFonts w:cs="Arial"/>
          <w:color w:val="000000"/>
          <w:lang w:val="en-US" w:eastAsia="en-GB"/>
        </w:rPr>
        <w:t xml:space="preserve">The National Human Rights Action Plan was developed through MoJCA constituted Steering and Technical Committees and involved ten institutions. </w:t>
      </w:r>
      <w:r w:rsidRPr="00DB1187">
        <w:rPr>
          <w:rFonts w:cs="Arial"/>
          <w:lang w:val="en-US"/>
        </w:rPr>
        <w:t>However, it is expected that the NAP will be finalized and launched by 2016. The survey on Gend</w:t>
      </w:r>
      <w:r w:rsidRPr="00DB1187">
        <w:rPr>
          <w:rFonts w:cs="Arial"/>
          <w:color w:val="000000"/>
          <w:lang w:val="en-US" w:eastAsia="en-GB"/>
        </w:rPr>
        <w:t>er and Human Rights in Malawi</w:t>
      </w:r>
      <w:r w:rsidRPr="00DB1187">
        <w:rPr>
          <w:rFonts w:cs="Arial"/>
          <w:lang w:val="en-US"/>
        </w:rPr>
        <w:t xml:space="preserve"> was conducted and finalized by MHRC and its findings </w:t>
      </w:r>
      <w:r w:rsidRPr="005B4669">
        <w:rPr>
          <w:rFonts w:cs="Arial"/>
          <w:lang w:val="en-GB"/>
        </w:rPr>
        <w:t>informed the process of developing the new Nation Action Plan for the Protection and Promotion of Human Rights in Malawi</w:t>
      </w:r>
      <w:r w:rsidRPr="00483BE8">
        <w:rPr>
          <w:rFonts w:cs="Arial"/>
          <w:color w:val="000000"/>
          <w:lang w:val="en-US"/>
        </w:rPr>
        <w:t xml:space="preserve"> The survey report examines </w:t>
      </w:r>
      <w:r w:rsidRPr="00483BE8">
        <w:rPr>
          <w:rFonts w:cs="Arial"/>
          <w:lang w:val="en-US"/>
        </w:rPr>
        <w:t>the current situation of women in decision making processes, participation and leadership at different levels; the impact of cultural beliefs on women decision making, the effectiveness of the primary justice system towards women; extent</w:t>
      </w:r>
      <w:r w:rsidRPr="000F01EB">
        <w:rPr>
          <w:rFonts w:cs="Arial"/>
          <w:lang w:val="en-US"/>
        </w:rPr>
        <w:t xml:space="preserve"> to which women have access to information; women representation in local governance structures and the plight of women in such issues as gender based violence. </w:t>
      </w:r>
    </w:p>
    <w:p w14:paraId="0DA94B73" w14:textId="77777777" w:rsidR="00A5554F" w:rsidRPr="00DB1187" w:rsidRDefault="00A5554F" w:rsidP="00A5554F">
      <w:pPr>
        <w:tabs>
          <w:tab w:val="center" w:pos="4153"/>
          <w:tab w:val="center" w:pos="4819"/>
          <w:tab w:val="right" w:pos="8306"/>
          <w:tab w:val="right" w:pos="9638"/>
        </w:tabs>
        <w:spacing w:after="60"/>
        <w:contextualSpacing/>
        <w:rPr>
          <w:rFonts w:cs="Arial"/>
          <w:lang w:val="en-US"/>
        </w:rPr>
      </w:pPr>
      <w:r w:rsidRPr="00DB1187">
        <w:rPr>
          <w:rFonts w:cs="Arial"/>
          <w:b/>
          <w:bCs/>
          <w:color w:val="000000"/>
          <w:lang w:val="en-US" w:eastAsia="en-GB"/>
        </w:rPr>
        <w:t>Output 2: Strengthened leadership and technical capacities of the Malawi Human Rights Commission and the Ombudsman to deliver on their human rights mandates effectively</w:t>
      </w:r>
    </w:p>
    <w:p w14:paraId="32C03200" w14:textId="77777777" w:rsidR="00A5554F" w:rsidRPr="00DB1187" w:rsidRDefault="00A5554F" w:rsidP="00A5554F">
      <w:pPr>
        <w:spacing w:after="0"/>
        <w:rPr>
          <w:rFonts w:cs="Arial"/>
          <w:i/>
          <w:color w:val="000000"/>
          <w:lang w:val="en-US" w:eastAsia="en-GB"/>
        </w:rPr>
      </w:pPr>
    </w:p>
    <w:p w14:paraId="124AFED2" w14:textId="77777777" w:rsidR="00A5554F" w:rsidRPr="00DB1187" w:rsidRDefault="00A5554F" w:rsidP="00A5554F">
      <w:pPr>
        <w:rPr>
          <w:rFonts w:cs="Arial"/>
          <w:i/>
          <w:color w:val="000000"/>
          <w:lang w:val="en-US" w:eastAsia="en-GB"/>
        </w:rPr>
      </w:pPr>
      <w:r w:rsidRPr="00DB1187">
        <w:rPr>
          <w:rFonts w:cs="Arial"/>
          <w:i/>
          <w:color w:val="000000"/>
          <w:lang w:val="en-US" w:eastAsia="en-GB"/>
        </w:rPr>
        <w:t>Indicator: % of human rights violation cases completed. (Baseline: Partially developed 65% for MHRC and 20% for OO; Target: 68% cases completed for MHRC and 25% for OO): Status- partially achieved</w:t>
      </w:r>
    </w:p>
    <w:p w14:paraId="621E8971" w14:textId="00A2B063" w:rsidR="00A5554F" w:rsidRPr="00DB1187" w:rsidRDefault="00A5554F" w:rsidP="00A5554F">
      <w:pPr>
        <w:rPr>
          <w:rFonts w:cs="Arial"/>
          <w:bCs/>
          <w:color w:val="000000"/>
          <w:lang w:val="en-US" w:eastAsia="en-GB"/>
        </w:rPr>
      </w:pPr>
      <w:r w:rsidRPr="00DB1187">
        <w:rPr>
          <w:rFonts w:cs="Arial"/>
          <w:color w:val="000000"/>
          <w:lang w:val="en-US" w:eastAsia="en-GB"/>
        </w:rPr>
        <w:t>A h</w:t>
      </w:r>
      <w:r w:rsidRPr="00DB1187">
        <w:rPr>
          <w:rFonts w:cs="Arial"/>
          <w:bCs/>
          <w:color w:val="000000"/>
          <w:lang w:val="en-US" w:eastAsia="en-GB"/>
        </w:rPr>
        <w:t xml:space="preserve">uman rights architecture with clearly defined roles for institutions </w:t>
      </w:r>
      <w:r w:rsidR="00361B7D">
        <w:rPr>
          <w:rFonts w:cs="Arial"/>
          <w:bCs/>
          <w:color w:val="000000"/>
          <w:lang w:val="en-US" w:eastAsia="en-GB"/>
        </w:rPr>
        <w:t>was</w:t>
      </w:r>
      <w:r>
        <w:rPr>
          <w:rFonts w:cs="Arial"/>
          <w:bCs/>
          <w:color w:val="000000"/>
          <w:lang w:val="en-US" w:eastAsia="en-GB"/>
        </w:rPr>
        <w:t xml:space="preserve"> </w:t>
      </w:r>
      <w:r w:rsidRPr="00DB1187">
        <w:rPr>
          <w:rFonts w:cs="Arial"/>
          <w:bCs/>
          <w:color w:val="000000"/>
          <w:lang w:val="en-US" w:eastAsia="en-GB"/>
        </w:rPr>
        <w:t>established. T</w:t>
      </w:r>
      <w:r w:rsidRPr="00DB1187">
        <w:rPr>
          <w:rFonts w:cs="Arial"/>
          <w:lang w:val="en-US"/>
        </w:rPr>
        <w:t>he Human Rights Commission Act was reviewed</w:t>
      </w:r>
      <w:r>
        <w:rPr>
          <w:rFonts w:cs="Arial"/>
          <w:lang w:val="en-US"/>
        </w:rPr>
        <w:t xml:space="preserve"> </w:t>
      </w:r>
      <w:r w:rsidRPr="005B4669">
        <w:rPr>
          <w:rFonts w:cs="Arial"/>
          <w:lang w:val="en-GB"/>
        </w:rPr>
        <w:t>to meet international standards. The proposed amendment is at Cabinet level, through the MoJCA. Further, MHRC promulgated Regulations to the Human Rights Commission Act to strengthen its enabling framework. These Regulations are in force and being applied.</w:t>
      </w:r>
      <w:r w:rsidRPr="00483BE8">
        <w:rPr>
          <w:rFonts w:cs="Arial"/>
          <w:lang w:val="en-US"/>
        </w:rPr>
        <w:t xml:space="preserve"> The OO on its part conducted a desk review of the Ombudsman Act. </w:t>
      </w:r>
      <w:r w:rsidRPr="000F01EB">
        <w:rPr>
          <w:rFonts w:cs="Arial"/>
          <w:bCs/>
          <w:color w:val="000000"/>
          <w:lang w:val="en-US" w:eastAsia="en-GB"/>
        </w:rPr>
        <w:t xml:space="preserve">Technical capacity for Malawi Human Rights Commission was strengthened and </w:t>
      </w:r>
      <w:r w:rsidRPr="000F01EB">
        <w:rPr>
          <w:rFonts w:cs="Arial"/>
          <w:color w:val="000000"/>
          <w:lang w:val="en-US" w:eastAsia="en-GB"/>
        </w:rPr>
        <w:t>MHRC were involved in several activities on promotion and protection of human rights during 2014 the elections period. The leader</w:t>
      </w:r>
      <w:r w:rsidRPr="00DB1187">
        <w:rPr>
          <w:rFonts w:cs="Arial"/>
          <w:color w:val="000000"/>
          <w:lang w:val="en-US" w:eastAsia="en-GB"/>
        </w:rPr>
        <w:t xml:space="preserve">ship and technical capacities of the Malawi Human Rights Commission and the Ombudsman to deliver on their human rights mandates was strengthened. </w:t>
      </w:r>
      <w:r w:rsidRPr="00DB1187">
        <w:rPr>
          <w:rFonts w:cs="Arial"/>
          <w:lang w:val="en-US"/>
        </w:rPr>
        <w:t xml:space="preserve">The review and development of performance management systems for the OO was completed and the report was finalized. The OO carried out civic education activities in the northern, central and southern regions. The public was sensitized on the roles and functions of the OO and administrative malpractices. In terms of case management, this seems to be too little progress and this requires implementing institutions to work together towards a coordinated approach to managing the caseload. Progress is held back by high staff turnover, poor recruitment powers and the general capacity to deliver on their mandates. </w:t>
      </w:r>
    </w:p>
    <w:p w14:paraId="39CE6453" w14:textId="77777777" w:rsidR="00525A57" w:rsidRDefault="00525A57" w:rsidP="00A5554F">
      <w:pPr>
        <w:rPr>
          <w:rFonts w:cs="Arial"/>
          <w:b/>
          <w:bCs/>
          <w:i/>
          <w:color w:val="000000"/>
          <w:lang w:val="en-US" w:eastAsia="en-GB"/>
        </w:rPr>
      </w:pPr>
    </w:p>
    <w:p w14:paraId="488B9502" w14:textId="77777777" w:rsidR="00A5554F" w:rsidRPr="00DB1187" w:rsidRDefault="00A5554F" w:rsidP="00A5554F">
      <w:pPr>
        <w:rPr>
          <w:rFonts w:cs="Arial"/>
          <w:b/>
          <w:bCs/>
          <w:i/>
          <w:color w:val="000000"/>
          <w:lang w:val="en-US" w:eastAsia="en-GB"/>
        </w:rPr>
      </w:pPr>
      <w:r w:rsidRPr="00DB1187">
        <w:rPr>
          <w:rFonts w:cs="Arial"/>
          <w:b/>
          <w:bCs/>
          <w:i/>
          <w:color w:val="000000"/>
          <w:lang w:val="en-US" w:eastAsia="en-GB"/>
        </w:rPr>
        <w:lastRenderedPageBreak/>
        <w:t>Output 3: Malawi’s engagement on the state party reporting and UPR is improved in a participatory and consultative manner</w:t>
      </w:r>
    </w:p>
    <w:p w14:paraId="2DE04937" w14:textId="77777777" w:rsidR="00A5554F" w:rsidRPr="00DB1187" w:rsidRDefault="00A5554F" w:rsidP="00A5554F">
      <w:pPr>
        <w:rPr>
          <w:rFonts w:cs="Arial"/>
          <w:i/>
          <w:color w:val="000000"/>
          <w:lang w:val="en-US" w:eastAsia="en-GB"/>
        </w:rPr>
      </w:pPr>
      <w:r w:rsidRPr="00DB1187">
        <w:rPr>
          <w:rFonts w:cs="Arial"/>
          <w:i/>
          <w:color w:val="000000"/>
          <w:lang w:val="en-US" w:eastAsia="en-GB"/>
        </w:rPr>
        <w:t>Indicator: No. of UPR recommendations implemented (Baseline: 0% {2011}; Target: 10% of accepted recommendations implemented); Status:  Achieved</w:t>
      </w:r>
    </w:p>
    <w:p w14:paraId="10659481" w14:textId="77777777" w:rsidR="00A5554F" w:rsidRPr="00DB1187" w:rsidRDefault="00A5554F" w:rsidP="00A5554F">
      <w:pPr>
        <w:rPr>
          <w:rFonts w:cs="Arial"/>
          <w:color w:val="000000"/>
          <w:lang w:val="en-US" w:eastAsia="en-GB"/>
        </w:rPr>
      </w:pPr>
      <w:r w:rsidRPr="00DB1187">
        <w:rPr>
          <w:rFonts w:cs="Arial"/>
          <w:color w:val="000000"/>
          <w:lang w:val="en-US" w:eastAsia="en-GB"/>
        </w:rPr>
        <w:t xml:space="preserve">This output was achieved evidenced by improved implementation of UPR and timely submission of state party reports. </w:t>
      </w:r>
      <w:r w:rsidRPr="00DB1187">
        <w:rPr>
          <w:rFonts w:cs="Arial"/>
          <w:lang w:val="en-US"/>
        </w:rPr>
        <w:t xml:space="preserve">The </w:t>
      </w:r>
      <w:r w:rsidRPr="00DB1187">
        <w:rPr>
          <w:rFonts w:cs="Arial"/>
          <w:bCs/>
          <w:color w:val="000000"/>
          <w:lang w:val="en-US" w:eastAsia="en-GB"/>
        </w:rPr>
        <w:t>State Party Reporting is done in</w:t>
      </w:r>
      <w:r w:rsidRPr="00DB1187">
        <w:rPr>
          <w:rFonts w:cs="Arial"/>
          <w:color w:val="000000"/>
          <w:lang w:val="en-US" w:eastAsia="en-GB"/>
        </w:rPr>
        <w:t xml:space="preserve"> responses to issues raised by the Human Rights Committee on the International Covenant on Civil and Political Rights (ICCPR). The project collected data and drafted reports on the Convention Against Torture and International Covenant on Economic, Social and Cultural Rights for presentation to the National consultation workshops. The project is also supporting the drafting of the state party report on the Convention on the Rights of People with Disabilities in cooperation with the Department of Disabilities. Data collection has been completed and the report is expected to be submitted to the UN Human Rights Committee in 2015.</w:t>
      </w:r>
    </w:p>
    <w:p w14:paraId="23FEE451" w14:textId="77777777" w:rsidR="00A5554F" w:rsidRPr="00DB1187" w:rsidRDefault="00A5554F" w:rsidP="00A5554F">
      <w:pPr>
        <w:tabs>
          <w:tab w:val="left" w:pos="0"/>
          <w:tab w:val="left" w:pos="90"/>
        </w:tabs>
        <w:spacing w:after="0"/>
        <w:rPr>
          <w:rFonts w:eastAsia="Times New Roman" w:cs="Arial"/>
          <w:b/>
          <w:bCs/>
          <w:i/>
          <w:color w:val="000000"/>
          <w:lang w:val="fr-FR" w:eastAsia="en-GB"/>
        </w:rPr>
      </w:pPr>
      <w:r w:rsidRPr="00DB1187">
        <w:rPr>
          <w:rFonts w:eastAsia="Times New Roman" w:cs="Arial"/>
          <w:b/>
          <w:bCs/>
          <w:i/>
          <w:color w:val="000000"/>
          <w:lang w:val="fr-FR" w:eastAsia="en-GB"/>
        </w:rPr>
        <w:t>Output 4: Strengthened partnership between Malawi Human Rights Commission, Office of the Ombudsman and Non-State Actors on Human Rights through the establishment and institutionalization of an interface mechanism </w:t>
      </w:r>
    </w:p>
    <w:p w14:paraId="0489CDE6" w14:textId="77777777" w:rsidR="00A5554F" w:rsidRPr="00DB1187" w:rsidRDefault="00A5554F" w:rsidP="00A5554F">
      <w:pPr>
        <w:spacing w:after="0"/>
        <w:rPr>
          <w:rFonts w:cs="Arial"/>
          <w:i/>
          <w:color w:val="000000"/>
          <w:lang w:val="en-US" w:eastAsia="en-GB"/>
        </w:rPr>
      </w:pPr>
    </w:p>
    <w:p w14:paraId="35AC9532" w14:textId="77777777" w:rsidR="00A5554F" w:rsidRPr="00DB1187" w:rsidRDefault="00A5554F" w:rsidP="00A5554F">
      <w:pPr>
        <w:rPr>
          <w:rFonts w:cs="Arial"/>
          <w:i/>
          <w:color w:val="000000"/>
          <w:lang w:val="en-US" w:eastAsia="en-GB"/>
        </w:rPr>
      </w:pPr>
      <w:r w:rsidRPr="00DB1187">
        <w:rPr>
          <w:rFonts w:cs="Arial"/>
          <w:i/>
          <w:color w:val="000000"/>
          <w:lang w:val="en-US" w:eastAsia="en-GB"/>
        </w:rPr>
        <w:t xml:space="preserve">Indicator: Improved human rights awareness. Baseline: 50% [Justice Baseline survey 2011] </w:t>
      </w:r>
      <w:r w:rsidRPr="00DB1187">
        <w:rPr>
          <w:rFonts w:cs="Arial"/>
          <w:i/>
          <w:iCs/>
          <w:color w:val="000000"/>
          <w:lang w:val="en-US" w:eastAsia="en-GB"/>
        </w:rPr>
        <w:t>Target: 60%. Status: Achieved</w:t>
      </w:r>
    </w:p>
    <w:p w14:paraId="38E4722F" w14:textId="78067FDD" w:rsidR="00A5554F" w:rsidRPr="00DB1187" w:rsidRDefault="00A5554F" w:rsidP="00A5554F">
      <w:pPr>
        <w:rPr>
          <w:rFonts w:cs="Arial"/>
          <w:bCs/>
          <w:color w:val="000000"/>
          <w:lang w:val="en-US" w:eastAsia="en-GB"/>
        </w:rPr>
      </w:pPr>
      <w:r w:rsidRPr="00DB1187">
        <w:rPr>
          <w:rFonts w:cs="Arial"/>
          <w:bCs/>
          <w:color w:val="000000"/>
          <w:lang w:val="en-US" w:eastAsia="en-GB"/>
        </w:rPr>
        <w:t>This output was fully achieved as there is a degree of s</w:t>
      </w:r>
      <w:r w:rsidRPr="00DB1187">
        <w:rPr>
          <w:rFonts w:cs="Arial"/>
          <w:color w:val="000000"/>
          <w:lang w:val="en-US" w:eastAsia="en-GB"/>
        </w:rPr>
        <w:t xml:space="preserve">trengthened partnership between MHRC, OO and Non-State Actors on Human Rights and </w:t>
      </w:r>
      <w:r w:rsidR="00361B7D" w:rsidRPr="00DB1187">
        <w:rPr>
          <w:rFonts w:cs="Arial"/>
          <w:color w:val="000000"/>
          <w:lang w:val="en-US" w:eastAsia="en-GB"/>
        </w:rPr>
        <w:t>institutionalized</w:t>
      </w:r>
      <w:r w:rsidRPr="00DB1187">
        <w:rPr>
          <w:rFonts w:cs="Arial"/>
          <w:color w:val="000000"/>
          <w:lang w:val="en-US" w:eastAsia="en-GB"/>
        </w:rPr>
        <w:t xml:space="preserve"> interface mechanism. These include workshops, which were conducted with stakeholders in human rights in order to establish partnership and the human rights coordination forum;</w:t>
      </w:r>
      <w:r w:rsidRPr="00DB1187">
        <w:rPr>
          <w:rFonts w:cs="Arial"/>
          <w:bCs/>
          <w:color w:val="000000"/>
          <w:lang w:val="en-US" w:eastAsia="en-GB"/>
        </w:rPr>
        <w:t xml:space="preserve"> </w:t>
      </w:r>
      <w:r w:rsidR="00423A21">
        <w:rPr>
          <w:rFonts w:cs="Arial"/>
          <w:bCs/>
          <w:color w:val="000000"/>
          <w:lang w:val="en-US" w:eastAsia="en-GB"/>
        </w:rPr>
        <w:t>d</w:t>
      </w:r>
      <w:r w:rsidRPr="00DB1187">
        <w:rPr>
          <w:rFonts w:cs="Arial"/>
          <w:bCs/>
          <w:color w:val="000000"/>
          <w:lang w:val="en-US" w:eastAsia="en-GB"/>
        </w:rPr>
        <w:t>rafted Human Rights Awareness Strategy; Trained head teachers and mapping exercise for Establishing Human Rights Forum.</w:t>
      </w:r>
      <w:r w:rsidRPr="00DB1187">
        <w:rPr>
          <w:rFonts w:cs="Arial"/>
          <w:color w:val="000000"/>
          <w:lang w:val="en-US" w:eastAsia="en-GB"/>
        </w:rPr>
        <w:t xml:space="preserve">  A summary of the achievements include open air sensitization meetings on human rights; commemoration of the International Human Rights Day the commission, awareness activities , high level panel discussion on police reforms; a video documentary on human rights accountability and  public debates on various emerging human rights issues. </w:t>
      </w:r>
    </w:p>
    <w:p w14:paraId="2EFD58CE" w14:textId="77777777" w:rsidR="00A5554F" w:rsidRPr="00DB1187" w:rsidRDefault="00A5554F" w:rsidP="00A5554F">
      <w:pPr>
        <w:rPr>
          <w:rFonts w:cs="Arial"/>
          <w:b/>
          <w:bCs/>
          <w:i/>
          <w:color w:val="000000"/>
          <w:lang w:val="en-US" w:eastAsia="en-GB"/>
        </w:rPr>
      </w:pPr>
      <w:r w:rsidRPr="00DB1187">
        <w:rPr>
          <w:rFonts w:cs="Arial"/>
          <w:b/>
          <w:bCs/>
          <w:i/>
          <w:color w:val="000000"/>
          <w:lang w:val="en-US" w:eastAsia="en-GB"/>
        </w:rPr>
        <w:t>Output 5: Effective and efficient management, partnership formation and monitoring and evaluation of the Programme</w:t>
      </w:r>
    </w:p>
    <w:p w14:paraId="4844A79C" w14:textId="77777777" w:rsidR="00A5554F" w:rsidRPr="00DB1187" w:rsidRDefault="00A5554F" w:rsidP="00A5554F">
      <w:pPr>
        <w:rPr>
          <w:rFonts w:cs="Arial"/>
          <w:i/>
          <w:color w:val="000000"/>
          <w:lang w:val="en-US" w:eastAsia="en-GB"/>
        </w:rPr>
      </w:pPr>
      <w:r w:rsidRPr="00DB1187">
        <w:rPr>
          <w:rFonts w:cs="Arial"/>
          <w:i/>
          <w:color w:val="000000"/>
          <w:lang w:val="en-US" w:eastAsia="en-GB"/>
        </w:rPr>
        <w:t>Indicator: % of activities successfully implemented; Target for 2013: 10%: Status achieved</w:t>
      </w:r>
    </w:p>
    <w:p w14:paraId="0CDEDE2C" w14:textId="77777777" w:rsidR="00A5554F" w:rsidRPr="00DB1187" w:rsidRDefault="00A5554F" w:rsidP="00A5554F">
      <w:pPr>
        <w:rPr>
          <w:rFonts w:cs="Arial"/>
          <w:lang w:val="en-US"/>
        </w:rPr>
      </w:pPr>
      <w:r w:rsidRPr="00DB1187">
        <w:rPr>
          <w:rFonts w:cs="Arial"/>
          <w:bCs/>
          <w:color w:val="000000"/>
          <w:lang w:val="en-US" w:eastAsia="en-GB"/>
        </w:rPr>
        <w:t>Human rights-based and results-based monitoring and evaluation</w:t>
      </w:r>
      <w:r w:rsidRPr="00DB1187">
        <w:rPr>
          <w:rFonts w:cs="Arial"/>
          <w:lang w:val="en-US"/>
        </w:rPr>
        <w:t xml:space="preserve"> were accomplished through were steering meetings, monitoring field visits and spot-checks by UNDP. One monitoring visit was conducted for training of head teachers by the Malawi Institute of Education. Two monitoring visits were done for the OO activities while another monitoring visit was conducted in the Southern Region. The progress on activity implementation indicates that 2014 recorded progress especially in the Ministry of Justice and Constitutional Affairs resulting in progress on producing state party reports and the national UPR report. </w:t>
      </w:r>
      <w:r w:rsidRPr="00DB1187">
        <w:rPr>
          <w:rFonts w:cs="Arial"/>
          <w:i/>
          <w:lang w:val="en-US"/>
        </w:rPr>
        <w:t xml:space="preserve"> </w:t>
      </w:r>
    </w:p>
    <w:p w14:paraId="5CFDF0EF" w14:textId="77777777" w:rsidR="00A5554F" w:rsidRPr="00DB1187" w:rsidRDefault="00A5554F" w:rsidP="00A5554F">
      <w:pPr>
        <w:autoSpaceDE w:val="0"/>
        <w:autoSpaceDN w:val="0"/>
        <w:adjustRightInd w:val="0"/>
        <w:spacing w:after="0"/>
        <w:contextualSpacing/>
        <w:rPr>
          <w:rFonts w:cs="Arial"/>
          <w:b/>
          <w:lang w:val="en-US"/>
        </w:rPr>
      </w:pPr>
      <w:r w:rsidRPr="00DB1187">
        <w:rPr>
          <w:rFonts w:cs="Arial"/>
          <w:b/>
          <w:lang w:val="en-US"/>
        </w:rPr>
        <w:t xml:space="preserve">Efficiency </w:t>
      </w:r>
    </w:p>
    <w:p w14:paraId="1510EE72" w14:textId="2C644696" w:rsidR="00A5554F" w:rsidRPr="00DB1187" w:rsidRDefault="00A5554F" w:rsidP="00A5554F">
      <w:pPr>
        <w:rPr>
          <w:rFonts w:cs="Arial"/>
          <w:lang w:val="en-US"/>
        </w:rPr>
      </w:pPr>
      <w:r w:rsidRPr="00DB1187">
        <w:rPr>
          <w:rFonts w:cs="Arial"/>
          <w:lang w:val="en-US"/>
        </w:rPr>
        <w:t xml:space="preserve">There are several factors constraining the project efficiency. The delays in disbursement resulted in late commencement in the implementation of activities. The interventions in areas of human rights have been ad hoc.  Furthermore, weak synergies tend characterize the stakeholders that are responsible for the promotion of human rights such as the ACB, the Law Commission MEC and the OO. These institutions have relatively similar mandates and programmes relating to investigation of human rights abuse, promoting human rights based approaches, civic education and ineffective coordination leads to duplication and a constrain on institutional and technical </w:t>
      </w:r>
      <w:r w:rsidRPr="00DB1187">
        <w:rPr>
          <w:rFonts w:cs="Arial"/>
          <w:lang w:val="en-US"/>
        </w:rPr>
        <w:lastRenderedPageBreak/>
        <w:t>capacities and</w:t>
      </w:r>
      <w:r>
        <w:rPr>
          <w:rFonts w:cs="Arial"/>
          <w:lang w:val="en-US"/>
        </w:rPr>
        <w:t xml:space="preserve"> funding. </w:t>
      </w:r>
      <w:r w:rsidRPr="00483BE8">
        <w:rPr>
          <w:rFonts w:cs="Arial"/>
          <w:lang w:val="en-US"/>
        </w:rPr>
        <w:t xml:space="preserve"> The MHRC is perceived by some respondents as non-transformational and reactive in responding to emerging human rights issues, such as LGBT rights</w:t>
      </w:r>
      <w:r w:rsidR="00942A76">
        <w:rPr>
          <w:rFonts w:cs="Arial"/>
          <w:lang w:val="en-US"/>
        </w:rPr>
        <w:t>.</w:t>
      </w:r>
      <w:r w:rsidRPr="005B4669">
        <w:rPr>
          <w:rFonts w:cs="Arial"/>
          <w:lang w:val="en-GB"/>
        </w:rPr>
        <w:t xml:space="preserve"> However,</w:t>
      </w:r>
      <w:r w:rsidRPr="00483BE8">
        <w:rPr>
          <w:rFonts w:cs="Arial"/>
          <w:lang w:val="en-US"/>
        </w:rPr>
        <w:t xml:space="preserve"> MHRC has timely responded to</w:t>
      </w:r>
      <w:r w:rsidRPr="005B4669">
        <w:rPr>
          <w:rFonts w:cs="Arial"/>
          <w:lang w:val="en-GB"/>
        </w:rPr>
        <w:t xml:space="preserve"> several emerging issues in the course of the project phase. The issues include gender-based violence, elections-related violence,  threats on right to life through shootings of police by civilians and vice versa, xenophobia, disaster preparedness and responsiveness, allegations of hunger in prisons, child rights, disability issues such as the  killings of albinos. MHRC has also monitored various processes and held accountability engagements with relevant duty bearers where appropriate, and has facilitated access to remedies in line with its mandate. </w:t>
      </w:r>
    </w:p>
    <w:p w14:paraId="45985B4A" w14:textId="2BDEE2B9" w:rsidR="00A5554F" w:rsidRPr="00DB1187" w:rsidRDefault="00A5554F" w:rsidP="00A5554F">
      <w:pPr>
        <w:rPr>
          <w:rFonts w:cs="Arial"/>
          <w:lang w:val="en-US"/>
        </w:rPr>
      </w:pPr>
      <w:r w:rsidRPr="00483BE8">
        <w:rPr>
          <w:rFonts w:cs="Arial"/>
          <w:lang w:val="en-US"/>
        </w:rPr>
        <w:t>Furthermore, the project has established strategic partnership with other programmes that contribute to the improvement of enjoyment of citizens especially women, youth and other vulnerable and marginalized groups. The synergies are built around ongoing UNDP intervent</w:t>
      </w:r>
      <w:r w:rsidRPr="000F01EB">
        <w:rPr>
          <w:rFonts w:cs="Arial"/>
          <w:lang w:val="en-US"/>
        </w:rPr>
        <w:t>ions in gender and capacity building and complement activities including those and planned by other UN agencies and development partners. The partnership includes the European Union’s democratic governance programme, the Tilitonse fund for civil society. UNDP further collaborates with other UN Agencies th</w:t>
      </w:r>
      <w:r w:rsidRPr="00DB1187">
        <w:rPr>
          <w:rFonts w:cs="Arial"/>
          <w:lang w:val="en-US"/>
        </w:rPr>
        <w:t xml:space="preserve">rough UNDAF outcome 4.1 such as UN Women, the UNICEF which advocates protection of children’s rights and UNFPA which promotes the right of every woman a, man and child to enjoy a life of health and equal opportunity. UNDP is the forefront in the provision of technical and financial support in strengthening capacities of Human rights institutions. The Project has also built synergies with other UNDP supported programmes in democratic governance including the Democracy Consolidation Programme (DCP). The project </w:t>
      </w:r>
      <w:r w:rsidR="00942A76">
        <w:rPr>
          <w:rFonts w:cs="Arial"/>
          <w:lang w:val="en-US"/>
        </w:rPr>
        <w:t xml:space="preserve">has </w:t>
      </w:r>
      <w:r w:rsidRPr="00DB1187">
        <w:rPr>
          <w:rFonts w:cs="Arial"/>
          <w:lang w:val="en-US"/>
        </w:rPr>
        <w:t>link</w:t>
      </w:r>
      <w:r w:rsidR="00423A21">
        <w:rPr>
          <w:rFonts w:cs="Arial"/>
          <w:lang w:val="en-US"/>
        </w:rPr>
        <w:t xml:space="preserve">s </w:t>
      </w:r>
      <w:r w:rsidRPr="00DB1187">
        <w:rPr>
          <w:rFonts w:cs="Arial"/>
          <w:lang w:val="en-US"/>
        </w:rPr>
        <w:t xml:space="preserve">with </w:t>
      </w:r>
      <w:r w:rsidR="0000361D" w:rsidRPr="00DB1187">
        <w:rPr>
          <w:rFonts w:cs="Arial"/>
          <w:lang w:val="en-US"/>
        </w:rPr>
        <w:t>organizations</w:t>
      </w:r>
      <w:r w:rsidRPr="00DB1187">
        <w:rPr>
          <w:rFonts w:cs="Arial"/>
          <w:lang w:val="en-US"/>
        </w:rPr>
        <w:t xml:space="preserve"> like National Initiative for Civic Education (NICE) that have stable grass-root structures for project implementation in many districts. The project also supports the Malawi Institute of Education in training primary school head teachers on the use of source book on human rights and democracy. </w:t>
      </w:r>
    </w:p>
    <w:p w14:paraId="00F2F17D" w14:textId="77777777" w:rsidR="00A5554F" w:rsidRPr="00DB1187" w:rsidRDefault="00A5554F" w:rsidP="00A5554F">
      <w:pPr>
        <w:autoSpaceDE w:val="0"/>
        <w:autoSpaceDN w:val="0"/>
        <w:adjustRightInd w:val="0"/>
        <w:spacing w:after="0"/>
        <w:contextualSpacing/>
        <w:rPr>
          <w:rFonts w:cs="Arial"/>
          <w:b/>
          <w:lang w:val="en-US"/>
        </w:rPr>
      </w:pPr>
      <w:r w:rsidRPr="00DB1187">
        <w:rPr>
          <w:rFonts w:cs="Arial"/>
          <w:b/>
          <w:lang w:val="en-US"/>
        </w:rPr>
        <w:t>Sustainability</w:t>
      </w:r>
    </w:p>
    <w:p w14:paraId="03270674" w14:textId="20AC960C" w:rsidR="00A5554F" w:rsidRPr="00483BE8" w:rsidRDefault="00A5554F" w:rsidP="00A5554F">
      <w:pPr>
        <w:rPr>
          <w:rFonts w:cs="Arial"/>
          <w:lang w:val="en-US"/>
        </w:rPr>
      </w:pPr>
      <w:r w:rsidRPr="00DB1187">
        <w:rPr>
          <w:rFonts w:cs="Arial"/>
          <w:lang w:val="en-US"/>
        </w:rPr>
        <w:t xml:space="preserve">The project is implemented under the National Implementation Modality (NIM) with the MHRC acting as implementing partner. Though there are several responsible parties implementing project activities, cooperation of the Ministry of Justice and Constitutional Affairs ensures sustainability as Government owns the process of promotion and protection of human rights for better lives for Malawians. However, the implementing institutions especially MHRC and OO do not possess </w:t>
      </w:r>
      <w:r w:rsidR="00361B7D">
        <w:rPr>
          <w:rFonts w:cs="Arial"/>
          <w:lang w:val="en-US"/>
        </w:rPr>
        <w:t>adequate</w:t>
      </w:r>
      <w:r w:rsidRPr="00DB1187">
        <w:rPr>
          <w:rFonts w:cs="Arial"/>
          <w:lang w:val="en-US"/>
        </w:rPr>
        <w:t xml:space="preserve"> capacity to fulfill their mandates. Government funding for the Office of the Ombudsman has been declining over the years and implementation of the project activities are affected and impact negatively on desired results.</w:t>
      </w:r>
      <w:r w:rsidRPr="005B4669">
        <w:rPr>
          <w:rFonts w:cs="Arial"/>
          <w:lang w:val="en-GB"/>
        </w:rPr>
        <w:t xml:space="preserve"> There is need for a thorough assessment to identify specific capacity gaps and determine how best the gaps can be addressed within the available means and resources. The aim is to ensure attraction and retention of adequate quality and quantity of personnel and provision of appropriate technical and financial assistance to enhance protection and promotion of human rights.</w:t>
      </w:r>
    </w:p>
    <w:p w14:paraId="0B2F52E8" w14:textId="77777777" w:rsidR="00A5554F" w:rsidRPr="00483BE8" w:rsidRDefault="00A5554F" w:rsidP="00A5554F">
      <w:pPr>
        <w:autoSpaceDE w:val="0"/>
        <w:autoSpaceDN w:val="0"/>
        <w:adjustRightInd w:val="0"/>
        <w:contextualSpacing/>
        <w:rPr>
          <w:rFonts w:cs="Arial"/>
          <w:b/>
          <w:lang w:val="en-US"/>
        </w:rPr>
      </w:pPr>
      <w:r w:rsidRPr="00483BE8">
        <w:rPr>
          <w:rFonts w:cs="Arial"/>
          <w:b/>
          <w:lang w:val="en-US"/>
        </w:rPr>
        <w:t>Conclusion</w:t>
      </w:r>
    </w:p>
    <w:p w14:paraId="318C4730" w14:textId="77777777" w:rsidR="00A5554F" w:rsidRPr="00DB1187" w:rsidRDefault="00A5554F" w:rsidP="00A5554F">
      <w:pPr>
        <w:rPr>
          <w:rFonts w:cs="Arial"/>
          <w:lang w:val="en-US"/>
        </w:rPr>
      </w:pPr>
      <w:r w:rsidRPr="00483BE8">
        <w:rPr>
          <w:rFonts w:cs="Arial"/>
          <w:lang w:val="en-US"/>
        </w:rPr>
        <w:t>The achievements registered by the project include the finalized</w:t>
      </w:r>
      <w:r w:rsidRPr="000F01EB">
        <w:rPr>
          <w:rFonts w:cs="Arial"/>
          <w:lang w:val="en-US"/>
        </w:rPr>
        <w:t xml:space="preserve"> Gender and Human Rights</w:t>
      </w:r>
      <w:r w:rsidRPr="00DB1187">
        <w:rPr>
          <w:rFonts w:cs="Arial"/>
          <w:lang w:val="en-US"/>
        </w:rPr>
        <w:t xml:space="preserve"> Study and the draft  National Action Plan (NAP); reviewed of  Human Rights Commission Act; provided oversight role in promoting transparency, accountability, objectivity and 2014 tripartite elections monitoring at constituency level and the main tally center; investigated cases of human rights violations relating to elections irregularities; on-spot investigations, civic education by OO; Universal Periodic Review Mechanism (UPR) and state party reports. However, the project experienced some challenges especially in coordination of project activities. The MHRC and OO experience high turnover of personnel and loss of technical capacity. The situation is compounded by low institutional and technical capacities as well as poor funding and infrastructural decay in human rights institutions accounting for a lack of pro-activeness and meaningful impact in the </w:t>
      </w:r>
      <w:r w:rsidRPr="00DB1187">
        <w:rPr>
          <w:rFonts w:cs="Arial"/>
          <w:lang w:val="en-US"/>
        </w:rPr>
        <w:lastRenderedPageBreak/>
        <w:t>area of human rights.</w:t>
      </w:r>
      <w:r w:rsidRPr="005B4669">
        <w:rPr>
          <w:rFonts w:cs="Arial"/>
          <w:lang w:val="en-GB"/>
        </w:rPr>
        <w:t xml:space="preserve"> Despite the challenges facing the delivery of MHRC mandate, the achievements registered in the project show that there is considerable progress and that MHRC needs support in terms of skills and equipment to improve its capacity.  </w:t>
      </w:r>
    </w:p>
    <w:p w14:paraId="6D93D0C7" w14:textId="77777777" w:rsidR="006C31FE" w:rsidRPr="00CD56B9" w:rsidRDefault="006C31FE" w:rsidP="006856C9">
      <w:pPr>
        <w:rPr>
          <w:rFonts w:cs="Arial"/>
          <w:lang w:val="en-US"/>
        </w:rPr>
        <w:sectPr w:rsidR="006C31FE" w:rsidRPr="00CD56B9" w:rsidSect="000C1092">
          <w:pgSz w:w="12240" w:h="15840"/>
          <w:pgMar w:top="1440" w:right="1440" w:bottom="1440" w:left="1440" w:header="720" w:footer="720" w:gutter="0"/>
          <w:cols w:space="720"/>
          <w:docGrid w:linePitch="360"/>
        </w:sectPr>
      </w:pPr>
    </w:p>
    <w:p w14:paraId="5ABD48F2" w14:textId="77777777" w:rsidR="006C31FE" w:rsidRPr="00CD56B9" w:rsidRDefault="006C31FE" w:rsidP="00997A7B">
      <w:pPr>
        <w:pStyle w:val="Overskrift2"/>
        <w:numPr>
          <w:ilvl w:val="0"/>
          <w:numId w:val="0"/>
        </w:numPr>
        <w:rPr>
          <w:lang w:val="en-US"/>
        </w:rPr>
      </w:pPr>
      <w:bookmarkStart w:id="29" w:name="_Toc439245582"/>
      <w:r w:rsidRPr="00CD56B9">
        <w:rPr>
          <w:lang w:val="en-US"/>
        </w:rPr>
        <w:lastRenderedPageBreak/>
        <w:t>3.6 Social Cohesion Support Project</w:t>
      </w:r>
      <w:bookmarkEnd w:id="29"/>
      <w:r w:rsidRPr="00CD56B9">
        <w:rPr>
          <w:lang w:val="en-US"/>
        </w:rPr>
        <w:t xml:space="preserve"> </w:t>
      </w:r>
    </w:p>
    <w:p w14:paraId="2AA4400F" w14:textId="77777777" w:rsidR="006C31FE" w:rsidRPr="00AD7D84" w:rsidRDefault="006C31FE" w:rsidP="006C31FE">
      <w:pPr>
        <w:pStyle w:val="Brdtekst"/>
        <w:rPr>
          <w:rFonts w:ascii="Arial" w:hAnsi="Arial" w:cs="Arial"/>
          <w:b/>
          <w:color w:val="000000"/>
          <w:sz w:val="22"/>
          <w:szCs w:val="22"/>
          <w:u w:val="single"/>
        </w:rPr>
      </w:pPr>
    </w:p>
    <w:p w14:paraId="7A3A589C" w14:textId="77777777" w:rsidR="006C31FE" w:rsidRPr="00CD56B9" w:rsidRDefault="006C31FE" w:rsidP="006C31FE">
      <w:pPr>
        <w:rPr>
          <w:rFonts w:cs="Arial"/>
          <w:lang w:val="en-US"/>
        </w:rPr>
      </w:pPr>
      <w:r w:rsidRPr="00CD56B9">
        <w:rPr>
          <w:rFonts w:cs="Arial"/>
          <w:lang w:val="en-US"/>
        </w:rPr>
        <w:t xml:space="preserve">The project is designed to support the Government of Malawi in its efforts to establish a National Peace Architecture (NPA) that will provide a </w:t>
      </w:r>
      <w:r w:rsidRPr="00CD56B9">
        <w:rPr>
          <w:rFonts w:cs="Arial"/>
          <w:color w:val="000000"/>
          <w:lang w:val="en-US"/>
        </w:rPr>
        <w:t xml:space="preserve">structure and mechanisms for collaborative dialogue, </w:t>
      </w:r>
      <w:r w:rsidRPr="00CD56B9">
        <w:rPr>
          <w:rFonts w:cs="Arial"/>
          <w:lang w:val="en-US"/>
        </w:rPr>
        <w:t xml:space="preserve">peace building and conflict prevention. </w:t>
      </w:r>
    </w:p>
    <w:p w14:paraId="2B665EB8" w14:textId="77777777" w:rsidR="006C31FE" w:rsidRPr="00CD56B9" w:rsidRDefault="006C31FE" w:rsidP="006C31FE">
      <w:pPr>
        <w:rPr>
          <w:rFonts w:cs="Arial"/>
          <w:b/>
          <w:lang w:val="en-US"/>
        </w:rPr>
      </w:pPr>
      <w:r w:rsidRPr="00CD56B9">
        <w:rPr>
          <w:rFonts w:cs="Arial"/>
          <w:b/>
          <w:lang w:val="en-US"/>
        </w:rPr>
        <w:t>Project Outputs</w:t>
      </w:r>
      <w:r w:rsidRPr="00CD56B9">
        <w:rPr>
          <w:rFonts w:cs="Arial"/>
          <w:lang w:val="en-US"/>
        </w:rPr>
        <w:t xml:space="preserve">: </w:t>
      </w:r>
    </w:p>
    <w:p w14:paraId="114C910A" w14:textId="77777777" w:rsidR="006C31FE" w:rsidRPr="00CD56B9" w:rsidRDefault="006C31FE" w:rsidP="006C31FE">
      <w:pPr>
        <w:spacing w:after="0"/>
        <w:rPr>
          <w:rFonts w:cs="Arial"/>
          <w:lang w:val="en-US"/>
        </w:rPr>
      </w:pPr>
      <w:r w:rsidRPr="00CD56B9">
        <w:rPr>
          <w:rFonts w:cs="Arial"/>
          <w:b/>
          <w:lang w:val="en-US"/>
        </w:rPr>
        <w:t>Output 1:</w:t>
      </w:r>
      <w:r w:rsidRPr="00AD7D84">
        <w:rPr>
          <w:rFonts w:cs="Arial"/>
          <w:lang w:val="en-ZA"/>
        </w:rPr>
        <w:t xml:space="preserve"> </w:t>
      </w:r>
      <w:r w:rsidRPr="00CD56B9">
        <w:rPr>
          <w:rFonts w:cs="Arial"/>
          <w:lang w:val="en-US"/>
        </w:rPr>
        <w:t>Consensus among government and civic actors reached on the parameters of national peace architecture and on a strategic plan for the establishment of the architecture</w:t>
      </w:r>
    </w:p>
    <w:p w14:paraId="4164D817" w14:textId="77777777" w:rsidR="006C31FE" w:rsidRPr="00CD56B9" w:rsidRDefault="006C31FE" w:rsidP="006C31FE">
      <w:pPr>
        <w:spacing w:after="0"/>
        <w:rPr>
          <w:rFonts w:cs="Arial"/>
          <w:lang w:val="en-US"/>
        </w:rPr>
      </w:pPr>
      <w:r w:rsidRPr="00CD56B9">
        <w:rPr>
          <w:rFonts w:cs="Arial"/>
          <w:b/>
          <w:lang w:val="en-US"/>
        </w:rPr>
        <w:t xml:space="preserve">Output 2: </w:t>
      </w:r>
      <w:r w:rsidRPr="00CD56B9">
        <w:rPr>
          <w:rFonts w:cs="Arial"/>
          <w:lang w:val="en-US"/>
        </w:rPr>
        <w:t>Potentially violent disputes resolved through mediation, and consensus on key national priorities reached, through facilitation and advocacy by the Public Affairs Committee</w:t>
      </w:r>
    </w:p>
    <w:p w14:paraId="54C2D1AE" w14:textId="77777777" w:rsidR="006C31FE" w:rsidRPr="00CD56B9" w:rsidRDefault="006C31FE" w:rsidP="006C31FE">
      <w:pPr>
        <w:spacing w:after="0"/>
        <w:rPr>
          <w:rFonts w:cs="Arial"/>
          <w:lang w:val="en-US"/>
        </w:rPr>
      </w:pPr>
      <w:r w:rsidRPr="00CD56B9">
        <w:rPr>
          <w:rFonts w:cs="Arial"/>
          <w:b/>
          <w:color w:val="000000"/>
          <w:lang w:val="en-US"/>
        </w:rPr>
        <w:t xml:space="preserve">Output 3: </w:t>
      </w:r>
      <w:r w:rsidRPr="00CD56B9">
        <w:rPr>
          <w:rFonts w:cs="Arial"/>
          <w:lang w:val="en-US"/>
        </w:rPr>
        <w:t>Civic capacities for conflict prevention extended and applied through development of conflict-and-gender-sensitive reporting by media, and through the enhancement of the capabilities of women’s networks for conflict resolution and for advocacy for peace</w:t>
      </w:r>
    </w:p>
    <w:p w14:paraId="50F2EC8E" w14:textId="77777777" w:rsidR="006C31FE" w:rsidRPr="00CD56B9" w:rsidRDefault="006C31FE" w:rsidP="006C31FE">
      <w:pPr>
        <w:spacing w:after="0"/>
        <w:rPr>
          <w:rFonts w:cs="Arial"/>
          <w:lang w:val="en-US"/>
        </w:rPr>
      </w:pPr>
      <w:r w:rsidRPr="00CD56B9">
        <w:rPr>
          <w:rFonts w:cs="Arial"/>
          <w:b/>
          <w:lang w:val="en-US"/>
        </w:rPr>
        <w:t xml:space="preserve">Output 4: </w:t>
      </w:r>
      <w:r w:rsidRPr="00CD56B9">
        <w:rPr>
          <w:rFonts w:cs="Arial"/>
          <w:lang w:val="en-US"/>
        </w:rPr>
        <w:t>Programme management and support capacities acquired and implemented</w:t>
      </w:r>
    </w:p>
    <w:p w14:paraId="1269F674" w14:textId="77777777" w:rsidR="006C31FE" w:rsidRPr="00CD56B9" w:rsidRDefault="006C31FE" w:rsidP="006C31FE">
      <w:pPr>
        <w:spacing w:after="0"/>
        <w:rPr>
          <w:rFonts w:cs="Arial"/>
          <w:color w:val="000000"/>
          <w:lang w:val="en-US"/>
        </w:rPr>
      </w:pPr>
    </w:p>
    <w:p w14:paraId="06208514" w14:textId="77777777" w:rsidR="006C31FE" w:rsidRPr="00CD56B9" w:rsidRDefault="006C31FE" w:rsidP="006C31FE">
      <w:pPr>
        <w:rPr>
          <w:rFonts w:cs="Arial"/>
          <w:lang w:val="en-US"/>
        </w:rPr>
      </w:pPr>
      <w:r w:rsidRPr="00CD56B9">
        <w:rPr>
          <w:rFonts w:cs="Arial"/>
          <w:color w:val="000000"/>
          <w:lang w:val="en-US"/>
        </w:rPr>
        <w:t>It is envisaged that the NPA will provide for coordinated mechanisms and strategies to ensure that Malawi remains a peaceful and cohesive nation for development.</w:t>
      </w:r>
    </w:p>
    <w:p w14:paraId="289E07F0" w14:textId="77777777" w:rsidR="006C31FE" w:rsidRPr="00CD56B9" w:rsidRDefault="006C31FE" w:rsidP="006C31FE">
      <w:pPr>
        <w:rPr>
          <w:rFonts w:cs="Arial"/>
          <w:bCs/>
          <w:lang w:val="en-US"/>
        </w:rPr>
      </w:pPr>
      <w:r w:rsidRPr="00CD56B9">
        <w:rPr>
          <w:rFonts w:cs="Arial"/>
          <w:lang w:val="en-US"/>
        </w:rPr>
        <w:t>The project is well aligned to government policies and UNDAF. It operationalize s</w:t>
      </w:r>
      <w:r w:rsidRPr="00CD56B9">
        <w:rPr>
          <w:rFonts w:cs="Arial"/>
          <w:color w:val="000000"/>
          <w:lang w:val="en-US"/>
        </w:rPr>
        <w:t>ection 13(l) of the constitution of Malawi which only provides for the adoption of mechanisms for peaceful settlement of conflict through, among other strategies, conciliation, negotiation, and mediation in the absence of a policy and institutional framework. The project is also aligned to both the Malawi Vision 20/20 that seeks a democratically mature, secure and peaceful Malawi by the year 2020 and theme 5.3.4 of MGDS II, which acknowledges that peace and security are essential prerequisites for socio-economic and political prosperity</w:t>
      </w:r>
      <w:r w:rsidRPr="00CD56B9">
        <w:rPr>
          <w:rFonts w:cs="Arial"/>
          <w:lang w:val="en-US"/>
        </w:rPr>
        <w:t>. The establishment of the NPA is in compliance to Malawi’s commitment to the 2014 Lesotho Declaration and the 2001 African Union (AU) Heads of State Memorandum of Understanding (MoU) on Security, Stability, Development and Cooperation in Africa which was to “Establish, by 2004, national institutions or mechanisms for prevention, management and resolution of conflicts at community and national levels with active involvement of civil society organizations (CSOs) and community based organizations (CBOs)”.</w:t>
      </w:r>
    </w:p>
    <w:p w14:paraId="51A35A74" w14:textId="77777777" w:rsidR="006C31FE" w:rsidRPr="00CD56B9" w:rsidRDefault="006C31FE" w:rsidP="006C31FE">
      <w:pPr>
        <w:rPr>
          <w:rFonts w:cs="Arial"/>
          <w:lang w:val="en-US"/>
        </w:rPr>
      </w:pPr>
      <w:r w:rsidRPr="00CD56B9">
        <w:rPr>
          <w:rFonts w:cs="Arial"/>
          <w:lang w:val="en-US"/>
        </w:rPr>
        <w:t>The project design recognizes existing conflict prevention mechanisms in the country; both formal and informal mechanisms. It addresses major gaps, which include the reactive rather than pro-active approach to conflict management in the country, absence of an enabling policy and legislation and poor coordination of the various mechanisms to ensure efficiency. While the processes towards the establishment of the NPA are on-going, support through the Office of President and Cabinet (OPC), responds to emerging issues. For instance, the project extended its support to the Public Affairs committee (PAC), an independent and existing structure to provide ‘insider mediation’ and spaces for dialogue, necessitated by a highly polarized political environment prior to the May 2014 elections and the deteriorating socio-economy worsened by revelations of theft and mismanagement of public resources at the seat of government in 2013</w:t>
      </w:r>
      <w:r w:rsidR="00722F71" w:rsidRPr="00CD56B9">
        <w:rPr>
          <w:rFonts w:cs="Arial"/>
          <w:lang w:val="en-US"/>
        </w:rPr>
        <w:t xml:space="preserve"> (the c</w:t>
      </w:r>
      <w:r w:rsidRPr="00CD56B9">
        <w:rPr>
          <w:rFonts w:cs="Arial"/>
          <w:lang w:val="en-US"/>
        </w:rPr>
        <w:t>ash</w:t>
      </w:r>
      <w:r w:rsidR="00722F71" w:rsidRPr="00CD56B9">
        <w:rPr>
          <w:rFonts w:cs="Arial"/>
          <w:lang w:val="en-US"/>
        </w:rPr>
        <w:t>gate s</w:t>
      </w:r>
      <w:r w:rsidRPr="00CD56B9">
        <w:rPr>
          <w:rFonts w:cs="Arial"/>
          <w:lang w:val="en-US"/>
        </w:rPr>
        <w:t xml:space="preserve">candal). The project responded by supporting the Public Affairs Committee (PAC) to manage the existing potentially violent conflict situations in the country, with a particular focus on mitigating electoral-related violence in the tripartite elections. </w:t>
      </w:r>
    </w:p>
    <w:p w14:paraId="02D1ECEF" w14:textId="77777777" w:rsidR="006C31FE" w:rsidRPr="00CD56B9" w:rsidRDefault="006C31FE" w:rsidP="006C31FE">
      <w:pPr>
        <w:rPr>
          <w:rFonts w:cs="Arial"/>
          <w:lang w:val="en-US"/>
        </w:rPr>
      </w:pPr>
      <w:r w:rsidRPr="00CD56B9">
        <w:rPr>
          <w:rFonts w:cs="Arial"/>
          <w:lang w:val="en-US"/>
        </w:rPr>
        <w:t xml:space="preserve">The operationalization of the NPA is a long-term process and adopts an incremental approach in the designing as well as the ensuring a home-grown, effective and well-coordinated mechanism for proactive conflict prevention and resolution in the country. </w:t>
      </w:r>
    </w:p>
    <w:p w14:paraId="4A7B49AA" w14:textId="77777777" w:rsidR="006C31FE" w:rsidRPr="00CD56B9" w:rsidRDefault="006C31FE" w:rsidP="006C31FE">
      <w:pPr>
        <w:rPr>
          <w:rFonts w:cs="Arial"/>
          <w:lang w:val="en-US"/>
        </w:rPr>
      </w:pPr>
      <w:r w:rsidRPr="00CD56B9">
        <w:rPr>
          <w:rFonts w:cs="Arial"/>
          <w:lang w:val="en-US"/>
        </w:rPr>
        <w:lastRenderedPageBreak/>
        <w:t>The project design was based on intensive consultations country with people from all walks of life including women, youth and people with disabilities. It has</w:t>
      </w:r>
      <w:r w:rsidRPr="00CD56B9">
        <w:rPr>
          <w:rFonts w:cs="Arial"/>
          <w:b/>
          <w:lang w:val="en-US"/>
        </w:rPr>
        <w:t xml:space="preserve"> </w:t>
      </w:r>
      <w:r w:rsidRPr="00CD56B9">
        <w:rPr>
          <w:rFonts w:cs="Arial"/>
          <w:lang w:val="en-US"/>
        </w:rPr>
        <w:t>attempted to mainstream gender. For instance, output 1 incorporates gender aspect as reflected in the proposed membership to NPC: The NPC will comprise fifteen members - with the following minimum demographic representations: six men, six women, and two youth (male and female), and one person with disability. At least seven of the members shall be women. Furthermore, output 2: civic capacities for conflict prevention involve development of conflict and gender sensitive reporting by media and through the enhancement of capabilities of women’s networks for conflict resolution and for advocacy for peace.</w:t>
      </w:r>
      <w:r w:rsidRPr="00AD7D84">
        <w:rPr>
          <w:rFonts w:cs="Arial"/>
          <w:vertAlign w:val="superscript"/>
        </w:rPr>
        <w:footnoteReference w:id="6"/>
      </w:r>
      <w:r w:rsidRPr="00CD56B9">
        <w:rPr>
          <w:rFonts w:cs="Arial"/>
          <w:lang w:val="en-US"/>
        </w:rPr>
        <w:t xml:space="preserve"> </w:t>
      </w:r>
    </w:p>
    <w:p w14:paraId="76C5EB7A" w14:textId="77777777" w:rsidR="006C31FE" w:rsidRPr="00CD56B9" w:rsidRDefault="006C31FE" w:rsidP="006C31FE">
      <w:pPr>
        <w:rPr>
          <w:rFonts w:cs="Arial"/>
          <w:b/>
          <w:lang w:val="en-US"/>
        </w:rPr>
      </w:pPr>
      <w:r w:rsidRPr="00CD56B9">
        <w:rPr>
          <w:rFonts w:cs="Arial"/>
          <w:b/>
          <w:lang w:val="en-US"/>
        </w:rPr>
        <w:t>Output 1:</w:t>
      </w:r>
      <w:r w:rsidRPr="00AD7D84">
        <w:rPr>
          <w:rFonts w:cs="Arial"/>
          <w:b/>
          <w:lang w:val="en-ZA"/>
        </w:rPr>
        <w:t xml:space="preserve"> </w:t>
      </w:r>
      <w:r w:rsidRPr="00CD56B9">
        <w:rPr>
          <w:rFonts w:cs="Arial"/>
          <w:b/>
          <w:lang w:val="en-US"/>
        </w:rPr>
        <w:t>Consensus among government and civic actors reached on the parameters of national peace architecture and on a strategic plan for the establishment of the architecture</w:t>
      </w:r>
    </w:p>
    <w:p w14:paraId="21E7ADAB" w14:textId="77777777" w:rsidR="006C31FE" w:rsidRPr="00CD56B9" w:rsidRDefault="006C31FE" w:rsidP="006C31FE">
      <w:pPr>
        <w:rPr>
          <w:rFonts w:cs="Arial"/>
          <w:i/>
          <w:lang w:val="en-US"/>
        </w:rPr>
      </w:pPr>
      <w:r w:rsidRPr="00CD56B9">
        <w:rPr>
          <w:rFonts w:cs="Arial"/>
          <w:i/>
          <w:lang w:val="en-US"/>
        </w:rPr>
        <w:t>Indicator: Progress towards developing the draft Strategic Plan on NPA by December 2014; Baseline: NPA Report; Target: Strategic Plan on NPA by December 2014. Status: Partially achieved.</w:t>
      </w:r>
    </w:p>
    <w:p w14:paraId="4FFE46D2" w14:textId="77777777" w:rsidR="006C31FE" w:rsidRPr="00CD56B9" w:rsidRDefault="006C31FE" w:rsidP="006C31FE">
      <w:pPr>
        <w:rPr>
          <w:rFonts w:cs="Arial"/>
          <w:lang w:val="en-US"/>
        </w:rPr>
      </w:pPr>
      <w:r w:rsidRPr="00CD56B9">
        <w:rPr>
          <w:rFonts w:cs="Arial"/>
          <w:lang w:val="en-US"/>
        </w:rPr>
        <w:t xml:space="preserve">UNDP provides support for a five-year strategic plan, and a draft policy to guide the establishment and operationalization of the NPA were developed and submitted to UNDP and OPC for perusal. A communication strategy was developed, regional consultations technical meetings were organized with various stakeholders representing various sectors and groups in the society. Furthermore, senior government officials and civil society leaders were also engaged in separate meetings. These meetings contributed to increased understanding and appreciation on the need for the NPA in Malawi, and the reaffirmation of the government’s and NSA commitment and support to the process of establishing the NPA. The process is on-going as some activities such as piloting NPA in three districts, conduct of NPA advocacy and Public awareness campaigns, target sensitization meetings on NPA Bill, Regional Interface meetings with chiefs on conflict management and NPA, establishment of Peace District Peace Committees as well as training of District Peace Committees all await the necessary legislation as government is engaging key stakeholders on the NPA with the aim of soliciting their buy-in and support to the process. </w:t>
      </w:r>
    </w:p>
    <w:p w14:paraId="68EFCDFD" w14:textId="77777777" w:rsidR="006C31FE" w:rsidRPr="00CD56B9" w:rsidRDefault="006C31FE" w:rsidP="006C31FE">
      <w:pPr>
        <w:rPr>
          <w:rFonts w:cs="Arial"/>
          <w:b/>
          <w:lang w:val="en-US"/>
        </w:rPr>
      </w:pPr>
      <w:r w:rsidRPr="00CD56B9">
        <w:rPr>
          <w:rFonts w:cs="Arial"/>
          <w:b/>
          <w:lang w:val="en-US"/>
        </w:rPr>
        <w:t>Output 2: Potentially violent disputes resolved through mediation, and consensus on key national priorities reached, through facilitation and advocacy by the Public Affairs Committee</w:t>
      </w:r>
    </w:p>
    <w:p w14:paraId="52BE4BBC" w14:textId="77777777" w:rsidR="006C31FE" w:rsidRPr="00CD56B9" w:rsidRDefault="006C31FE" w:rsidP="006C31FE">
      <w:pPr>
        <w:rPr>
          <w:rFonts w:cs="Arial"/>
          <w:i/>
          <w:color w:val="000000"/>
          <w:lang w:val="en-US"/>
        </w:rPr>
      </w:pPr>
      <w:r w:rsidRPr="00CD56B9">
        <w:rPr>
          <w:rFonts w:cs="Arial"/>
          <w:i/>
          <w:color w:val="000000"/>
          <w:lang w:val="en-US"/>
        </w:rPr>
        <w:t>Indicator: Number of Stakeholder engagements facilitated by PAC on Peaceful elections; Baseline: 2; Target: 5; Status: Achieved</w:t>
      </w:r>
    </w:p>
    <w:p w14:paraId="696C498E" w14:textId="1804FEBD" w:rsidR="006C31FE" w:rsidRPr="00CD56B9" w:rsidRDefault="006C31FE" w:rsidP="006C31FE">
      <w:pPr>
        <w:contextualSpacing/>
        <w:rPr>
          <w:rFonts w:cs="Arial"/>
          <w:lang w:val="en-US"/>
        </w:rPr>
      </w:pPr>
      <w:r w:rsidRPr="00CD56B9">
        <w:rPr>
          <w:rFonts w:cs="Arial"/>
          <w:lang w:val="en-US"/>
        </w:rPr>
        <w:t>Through</w:t>
      </w:r>
      <w:r w:rsidRPr="00CD56B9">
        <w:rPr>
          <w:rFonts w:cs="Arial"/>
          <w:color w:val="000000"/>
          <w:lang w:val="en-US"/>
        </w:rPr>
        <w:t xml:space="preserve"> UNDP, support PAC facilitated a number of stakeholder engagements towards peaceful elections that exceeded the target. These engagements included capacity building in mediation and dialogue facilitation, provision of platforms for national dialogue, coordination and interaction of conflict prevention and management efforts, strengthening capacities of youth and women in peace building, conflict early warning monitoring and reporting. PAC  also conducted ‘insider mediation’, dialogue facilitation and advocacy in the run up to the 2014 tripartite elections; </w:t>
      </w:r>
      <w:r w:rsidRPr="00CD56B9">
        <w:rPr>
          <w:rFonts w:cs="Arial"/>
          <w:lang w:val="en-US"/>
        </w:rPr>
        <w:t xml:space="preserve">shuttle diplomacy, prior to the elections which culminated in all the twelve presidential candidates committing themselves to peaceful conduct before, during and after the elections. Furthermore, PAC </w:t>
      </w:r>
      <w:r w:rsidRPr="00CD56B9">
        <w:rPr>
          <w:rFonts w:cs="Arial"/>
          <w:color w:val="000000"/>
          <w:lang w:val="en-US"/>
        </w:rPr>
        <w:t>facilitated the signing of the Lilongwe Peace Declaration through shuttle diplomacy, a goodwill document signed by all 12 presidential candidates in the 2014 tripartite elections, committing to peace during the elections.</w:t>
      </w:r>
      <w:r w:rsidRPr="00CD56B9">
        <w:rPr>
          <w:rFonts w:cs="Arial"/>
          <w:lang w:val="en-US"/>
        </w:rPr>
        <w:t xml:space="preserve"> </w:t>
      </w:r>
      <w:r w:rsidR="006D5EBE" w:rsidRPr="00CD56B9">
        <w:rPr>
          <w:rFonts w:cs="Arial"/>
          <w:lang w:val="en-US"/>
        </w:rPr>
        <w:t>A pool of mediators/dialogue facilitators was</w:t>
      </w:r>
      <w:r w:rsidRPr="00CD56B9">
        <w:rPr>
          <w:rFonts w:cs="Arial"/>
          <w:lang w:val="en-US"/>
        </w:rPr>
        <w:t xml:space="preserve"> trained and they facilitated dialogue among the four leading presidential candidates during the immediate </w:t>
      </w:r>
      <w:r w:rsidRPr="00CD56B9">
        <w:rPr>
          <w:rFonts w:cs="Arial"/>
          <w:lang w:val="en-US"/>
        </w:rPr>
        <w:lastRenderedPageBreak/>
        <w:t>post-voting election impasse. One key success of the insider mediators was that, for the first time in Malawi’s history, women were part of a high-level mediation/shuttle diplomacy panel to engage a sitting President and Presidents of leading political parties in reducing tensions. PAC also took lead in the facilitation of a national debate on inclusivity and federalism, after calls for a change of government system to a federation came in the post-election period.</w:t>
      </w:r>
    </w:p>
    <w:p w14:paraId="7A4EB9C1" w14:textId="77777777" w:rsidR="006C31FE" w:rsidRPr="00CD56B9" w:rsidRDefault="006C31FE" w:rsidP="006C31FE">
      <w:pPr>
        <w:spacing w:after="0"/>
        <w:rPr>
          <w:rFonts w:cs="Arial"/>
          <w:b/>
          <w:color w:val="000000"/>
          <w:lang w:val="en-US"/>
        </w:rPr>
      </w:pPr>
    </w:p>
    <w:p w14:paraId="393913E7" w14:textId="77777777" w:rsidR="006C31FE" w:rsidRPr="00CD56B9" w:rsidRDefault="006C31FE" w:rsidP="006C31FE">
      <w:pPr>
        <w:rPr>
          <w:rFonts w:cs="Arial"/>
          <w:b/>
          <w:lang w:val="en-US"/>
        </w:rPr>
      </w:pPr>
      <w:r w:rsidRPr="00CD56B9">
        <w:rPr>
          <w:rFonts w:cs="Arial"/>
          <w:b/>
          <w:color w:val="000000"/>
          <w:lang w:val="en-US"/>
        </w:rPr>
        <w:t xml:space="preserve">Output 3: </w:t>
      </w:r>
      <w:r w:rsidRPr="00CD56B9">
        <w:rPr>
          <w:rFonts w:cs="Arial"/>
          <w:b/>
          <w:lang w:val="en-US"/>
        </w:rPr>
        <w:t>Civic capacities for conflict prevention extended and applied through development of conflict and gender sensitive reporting by media, and through the enhancement of the capabilities of women’s networks for conflict resolution and for advocacy for peace</w:t>
      </w:r>
    </w:p>
    <w:p w14:paraId="5DBD693F" w14:textId="77777777" w:rsidR="006C31FE" w:rsidRPr="00CD56B9" w:rsidRDefault="006C31FE" w:rsidP="006C31FE">
      <w:pPr>
        <w:rPr>
          <w:rFonts w:cs="Arial"/>
          <w:i/>
          <w:color w:val="000000"/>
          <w:lang w:val="en-US"/>
        </w:rPr>
      </w:pPr>
      <w:r w:rsidRPr="00CD56B9">
        <w:rPr>
          <w:rFonts w:cs="Arial"/>
          <w:i/>
          <w:color w:val="000000"/>
          <w:lang w:val="en-US"/>
        </w:rPr>
        <w:t>Indicator: Number of Media Editors and Journalists trained in gender and conflict sensitive reporting. Baseline: 0 Target: 30. Status: Achieved</w:t>
      </w:r>
    </w:p>
    <w:p w14:paraId="467B780B" w14:textId="77777777" w:rsidR="006C31FE" w:rsidRPr="00CD56B9" w:rsidRDefault="006C31FE" w:rsidP="006C31FE">
      <w:pPr>
        <w:rPr>
          <w:rFonts w:cs="Arial"/>
          <w:b/>
          <w:lang w:val="en-US"/>
        </w:rPr>
      </w:pPr>
      <w:r w:rsidRPr="00CD56B9">
        <w:rPr>
          <w:rFonts w:cs="Arial"/>
          <w:color w:val="000000"/>
          <w:lang w:val="en-US"/>
        </w:rPr>
        <w:t xml:space="preserve">A conflict and gender sensitive reporting training was conducted for </w:t>
      </w:r>
      <w:r w:rsidRPr="00CD56B9">
        <w:rPr>
          <w:rFonts w:cs="Arial"/>
          <w:lang w:val="en-US"/>
        </w:rPr>
        <w:t xml:space="preserve">35 journalists. The training generated a common understanding of conflict and gender sensitivity and enhanced the participants’ skills in this particular area of reporting. </w:t>
      </w:r>
      <w:r w:rsidRPr="00CD56B9">
        <w:rPr>
          <w:rFonts w:cs="Arial"/>
          <w:color w:val="000000"/>
          <w:lang w:val="en-US"/>
        </w:rPr>
        <w:t>With the aim of enhancing the skills of Malawian journalists in this area to enable them play</w:t>
      </w:r>
      <w:r w:rsidRPr="00CD56B9">
        <w:rPr>
          <w:rFonts w:cs="Arial"/>
          <w:lang w:val="en-US"/>
        </w:rPr>
        <w:t xml:space="preserve"> critical role in entrenching a culture of openness and transparency necessary in any democratic society, and to be a positive social force that unites rather than divides. UNDP also supported the development of guidelines for media houses and journalists in conflict and gender sensitive reporting and a Chiefs training in Conflict Management. It should be noted that the activities related to the enhancement of women capacities for conflict resolution and peace advocacy were supported and implemented through output 2.</w:t>
      </w:r>
    </w:p>
    <w:p w14:paraId="09B915E4" w14:textId="77777777" w:rsidR="006C31FE" w:rsidRPr="00CD56B9" w:rsidRDefault="006C31FE" w:rsidP="006C31FE">
      <w:pPr>
        <w:rPr>
          <w:rFonts w:cs="Arial"/>
          <w:b/>
          <w:lang w:val="en-US"/>
        </w:rPr>
      </w:pPr>
      <w:r w:rsidRPr="00CD56B9">
        <w:rPr>
          <w:rFonts w:cs="Arial"/>
          <w:b/>
          <w:lang w:val="en-US"/>
        </w:rPr>
        <w:t>Output 4: Programme management and support capacities acquired and implemented</w:t>
      </w:r>
    </w:p>
    <w:p w14:paraId="1C8981C7" w14:textId="77777777" w:rsidR="006C31FE" w:rsidRPr="00CD56B9" w:rsidRDefault="006C31FE" w:rsidP="006C31FE">
      <w:pPr>
        <w:rPr>
          <w:rFonts w:cs="Arial"/>
          <w:i/>
          <w:color w:val="000000"/>
          <w:lang w:val="en-US"/>
        </w:rPr>
      </w:pPr>
      <w:r w:rsidRPr="00CD56B9">
        <w:rPr>
          <w:rFonts w:cs="Arial"/>
          <w:i/>
          <w:color w:val="000000"/>
          <w:lang w:val="en-US"/>
        </w:rPr>
        <w:t xml:space="preserve">Indicator: Project Delivery Rate; Baseline: 65%; Target: 85%. Status: </w:t>
      </w:r>
      <w:r w:rsidRPr="00CD56B9">
        <w:rPr>
          <w:rFonts w:cs="Arial"/>
          <w:i/>
          <w:lang w:val="en-US"/>
        </w:rPr>
        <w:t>Achieved</w:t>
      </w:r>
    </w:p>
    <w:p w14:paraId="624480BD" w14:textId="77777777" w:rsidR="006C31FE" w:rsidRDefault="006C31FE" w:rsidP="006C31FE">
      <w:pPr>
        <w:pStyle w:val="Brdtekst"/>
        <w:rPr>
          <w:rFonts w:ascii="Arial" w:hAnsi="Arial" w:cs="Arial"/>
          <w:sz w:val="22"/>
          <w:szCs w:val="22"/>
        </w:rPr>
      </w:pPr>
      <w:r w:rsidRPr="00AD7D84">
        <w:rPr>
          <w:rFonts w:ascii="Arial" w:hAnsi="Arial" w:cs="Arial"/>
          <w:sz w:val="22"/>
          <w:szCs w:val="22"/>
        </w:rPr>
        <w:t xml:space="preserve">The project registered an overall delivery rate of 86%, which exceeded the targeted 85% for 2014. The support from the Bureau for Crisis Prevention and Recovery (BCPR) allowed for the continued technical support of Peace and Development Advisor (PDA) to the project, which provided project assurance, coordination and management capacities. </w:t>
      </w:r>
    </w:p>
    <w:p w14:paraId="790BBD81" w14:textId="77777777" w:rsidR="006C31FE" w:rsidRPr="00AD7D84" w:rsidRDefault="006C31FE" w:rsidP="006C31FE">
      <w:pPr>
        <w:pStyle w:val="Brdtekst"/>
        <w:rPr>
          <w:rFonts w:ascii="Arial" w:hAnsi="Arial" w:cs="Arial"/>
          <w:sz w:val="22"/>
          <w:szCs w:val="22"/>
        </w:rPr>
      </w:pPr>
    </w:p>
    <w:p w14:paraId="5271FED0" w14:textId="77777777" w:rsidR="006C31FE" w:rsidRPr="00CD56B9" w:rsidRDefault="006C31FE" w:rsidP="006C31FE">
      <w:pPr>
        <w:autoSpaceDE w:val="0"/>
        <w:autoSpaceDN w:val="0"/>
        <w:adjustRightInd w:val="0"/>
        <w:contextualSpacing/>
        <w:rPr>
          <w:rFonts w:cs="Arial"/>
          <w:lang w:val="en-US"/>
        </w:rPr>
      </w:pPr>
      <w:r w:rsidRPr="00CD56B9">
        <w:rPr>
          <w:rFonts w:eastAsia="+mn-ea" w:cs="Arial"/>
          <w:color w:val="000000"/>
          <w:kern w:val="24"/>
          <w:lang w:val="en-US"/>
        </w:rPr>
        <w:t>The NPA process was linked to UNSCR</w:t>
      </w:r>
      <w:r w:rsidRPr="00CD56B9">
        <w:rPr>
          <w:rFonts w:cs="Arial"/>
          <w:lang w:val="en-US"/>
        </w:rPr>
        <w:t xml:space="preserve"> 1325, which advocates women peace and security. The issues affecting women participation were well established and the implementation of measures to increase women's participation in decision-making were recognized as reflected in the proposal that NPA membership should comprise fifteen members - with the following minimum demographic representations: six men, six women, and two youth (male and female), and one person with disability. At least seven of the members shall be women at all levels.</w:t>
      </w:r>
    </w:p>
    <w:p w14:paraId="7A4962A0" w14:textId="77777777" w:rsidR="006C31FE" w:rsidRPr="00CD56B9" w:rsidRDefault="006C31FE" w:rsidP="006C31FE">
      <w:pPr>
        <w:spacing w:after="0"/>
        <w:rPr>
          <w:rFonts w:eastAsia="Calibri" w:cs="Arial"/>
          <w:lang w:val="en-US"/>
        </w:rPr>
      </w:pPr>
    </w:p>
    <w:p w14:paraId="6C5997FF" w14:textId="1B8B2337" w:rsidR="006C31FE" w:rsidRPr="00CD56B9" w:rsidRDefault="006C31FE" w:rsidP="006C31FE">
      <w:pPr>
        <w:rPr>
          <w:rFonts w:cs="Arial"/>
          <w:lang w:val="en-US"/>
        </w:rPr>
      </w:pPr>
      <w:r w:rsidRPr="00CD56B9">
        <w:rPr>
          <w:rFonts w:eastAsia="Calibri" w:cs="Arial"/>
          <w:lang w:val="en-US"/>
        </w:rPr>
        <w:t>A gender-inclusive team  of  ‘insider mediators’  was established to  tackle  national  disputes  and  play  a  preventive  diplomacy  role  before, during  and  after  the  electoral  process.</w:t>
      </w:r>
      <w:r w:rsidRPr="00AD7D84">
        <w:rPr>
          <w:rFonts w:cs="Arial"/>
          <w:vertAlign w:val="superscript"/>
        </w:rPr>
        <w:footnoteReference w:id="7"/>
      </w:r>
      <w:r w:rsidRPr="00CD56B9">
        <w:rPr>
          <w:rFonts w:cs="Arial"/>
          <w:lang w:val="en-US"/>
        </w:rPr>
        <w:t xml:space="preserve"> Fourteen PAC leaders (ten Men and four Women) were exposed to a simulation </w:t>
      </w:r>
      <w:r w:rsidR="003F4020" w:rsidRPr="00CD56B9">
        <w:rPr>
          <w:rFonts w:cs="Arial"/>
          <w:lang w:val="en-US"/>
        </w:rPr>
        <w:t>and mediation training</w:t>
      </w:r>
      <w:r w:rsidRPr="00CD56B9">
        <w:rPr>
          <w:rFonts w:cs="Arial"/>
          <w:lang w:val="en-US"/>
        </w:rPr>
        <w:t xml:space="preserve"> with an aim of developing election-related scenarios and building capacities </w:t>
      </w:r>
      <w:r w:rsidR="003F4020" w:rsidRPr="00CD56B9">
        <w:rPr>
          <w:rFonts w:cs="Arial"/>
          <w:lang w:val="en-US"/>
        </w:rPr>
        <w:t>in mediation</w:t>
      </w:r>
      <w:r w:rsidRPr="00CD56B9">
        <w:rPr>
          <w:rFonts w:cs="Arial"/>
          <w:lang w:val="en-US"/>
        </w:rPr>
        <w:t xml:space="preserve"> and dialogue facilitation. 29 women were trained in basic peace building and conflict transformation skills. Capacity of ‘women in faith’ network was built to be able to promote peace-building groups in their own religions and communities. The training led to the formation of three regional teams of Women in Faith Peace networks, which were engaged in sensitization exercises, sharing the knowledge and skills. The networks also monitored violence during the elections period. Another </w:t>
      </w:r>
      <w:r w:rsidRPr="00CD56B9">
        <w:rPr>
          <w:rFonts w:cs="Arial"/>
          <w:lang w:val="en-US"/>
        </w:rPr>
        <w:lastRenderedPageBreak/>
        <w:t>achievement from the formation of the networks was the inclusion of two women in the six member-core national mediation team, representing 33.3%.</w:t>
      </w:r>
    </w:p>
    <w:p w14:paraId="442905DA" w14:textId="77777777" w:rsidR="006C31FE" w:rsidRPr="00CD56B9" w:rsidRDefault="006C31FE" w:rsidP="006C31FE">
      <w:pPr>
        <w:autoSpaceDE w:val="0"/>
        <w:autoSpaceDN w:val="0"/>
        <w:adjustRightInd w:val="0"/>
        <w:spacing w:after="0"/>
        <w:rPr>
          <w:rFonts w:cs="Arial"/>
          <w:b/>
          <w:lang w:val="en-US"/>
        </w:rPr>
      </w:pPr>
      <w:r w:rsidRPr="00CD56B9">
        <w:rPr>
          <w:rFonts w:cs="Arial"/>
          <w:b/>
          <w:lang w:val="en-US"/>
        </w:rPr>
        <w:t xml:space="preserve">Efficiency </w:t>
      </w:r>
    </w:p>
    <w:p w14:paraId="42A8FB0C" w14:textId="52AFEA8D" w:rsidR="006C31FE" w:rsidRPr="00CD56B9" w:rsidRDefault="006C31FE" w:rsidP="00140B8B">
      <w:pPr>
        <w:rPr>
          <w:lang w:val="en-US"/>
        </w:rPr>
      </w:pPr>
      <w:r w:rsidRPr="00CD56B9">
        <w:rPr>
          <w:lang w:val="en-US"/>
        </w:rPr>
        <w:t>The project is efficiently executed with the delivery rate estimated at 86 percent. In the 2014, the project received funding from two sources; TRAC (USD 215,000) covering activities in the OPC work plan and BCPR (USD 682,000) covering activities in the PAC work plan. Generally, the project is in compliance with the UNDP requirements and the delays in implementing the project activities are beyond project control. There are adequate controls in place to ensure proper accountability of donor funds. These controls appear to have been properly designed and operated efficiently and effectively.</w:t>
      </w:r>
    </w:p>
    <w:p w14:paraId="67B3D665" w14:textId="77777777" w:rsidR="006C31FE" w:rsidRPr="00CD56B9" w:rsidRDefault="006C31FE" w:rsidP="006C31FE">
      <w:pPr>
        <w:autoSpaceDE w:val="0"/>
        <w:autoSpaceDN w:val="0"/>
        <w:adjustRightInd w:val="0"/>
        <w:spacing w:after="0"/>
        <w:rPr>
          <w:rFonts w:cs="Arial"/>
          <w:b/>
          <w:lang w:val="en-US"/>
        </w:rPr>
      </w:pPr>
      <w:r w:rsidRPr="00CD56B9">
        <w:rPr>
          <w:rFonts w:cs="Arial"/>
          <w:b/>
          <w:lang w:val="en-US"/>
        </w:rPr>
        <w:t>Sustainability</w:t>
      </w:r>
    </w:p>
    <w:p w14:paraId="7934D520" w14:textId="77777777" w:rsidR="006C31FE" w:rsidRPr="00CD56B9" w:rsidRDefault="006C31FE" w:rsidP="00140B8B">
      <w:pPr>
        <w:rPr>
          <w:lang w:val="en-US"/>
        </w:rPr>
      </w:pPr>
      <w:r w:rsidRPr="00CD56B9">
        <w:rPr>
          <w:lang w:val="en-US"/>
        </w:rPr>
        <w:t>There is government ownership to results; buy-ins through multi-stakeholder engagements, and acceptance and buy-in to the establishment of the NPA was obtained. There is strong support and push for NPA from both government and civil society. The process of developing a strategic plan that will guide the establishment and operationalization of the NPA was based on regional consultations to inform the process was held.  Factors that supported this success were: the political backing (both from the previous People’s Party-PP and the current Democratic Progressive Party-DPP governments) towards the establishment of the NPA; PAC’s convening power which enabled it to engage high-level stakeholders at critical moments, and the interfaith approach which provided credibility to the organization. There is great potential that results can be sustained as evidenced by efforts to provide government funding as well as involving other stakeholders.</w:t>
      </w:r>
    </w:p>
    <w:p w14:paraId="7AE1372A" w14:textId="77777777" w:rsidR="006C31FE" w:rsidRPr="00CD56B9" w:rsidRDefault="006C31FE" w:rsidP="006C31FE">
      <w:pPr>
        <w:autoSpaceDE w:val="0"/>
        <w:autoSpaceDN w:val="0"/>
        <w:adjustRightInd w:val="0"/>
        <w:spacing w:after="0"/>
        <w:rPr>
          <w:rFonts w:cs="Arial"/>
          <w:b/>
          <w:lang w:val="en-US"/>
        </w:rPr>
      </w:pPr>
      <w:r w:rsidRPr="00CD56B9">
        <w:rPr>
          <w:rFonts w:cs="Arial"/>
          <w:b/>
          <w:lang w:val="en-US"/>
        </w:rPr>
        <w:t>Conclusion</w:t>
      </w:r>
    </w:p>
    <w:p w14:paraId="2D0E40EB" w14:textId="41C5FB4D" w:rsidR="006C31FE" w:rsidRPr="00CD56B9" w:rsidRDefault="006C31FE" w:rsidP="006C31FE">
      <w:pPr>
        <w:rPr>
          <w:rFonts w:cs="Arial"/>
          <w:lang w:val="en-US"/>
        </w:rPr>
      </w:pPr>
      <w:r w:rsidRPr="00CD56B9">
        <w:rPr>
          <w:rFonts w:cs="Arial"/>
          <w:lang w:val="en-US"/>
        </w:rPr>
        <w:t xml:space="preserve">The project </w:t>
      </w:r>
      <w:r w:rsidR="00423A21">
        <w:rPr>
          <w:rFonts w:cs="Arial"/>
          <w:lang w:val="en-US"/>
        </w:rPr>
        <w:t>has made</w:t>
      </w:r>
      <w:r w:rsidRPr="00CD56B9">
        <w:rPr>
          <w:rFonts w:cs="Arial"/>
          <w:lang w:val="en-US"/>
        </w:rPr>
        <w:t xml:space="preserve"> several major achievements in relation to its objectives and there is great likelihood that by 2016 the project will have accomplished its objectives as capacity is available. The project is relevant and well aligned to government policies and UNDAF. It</w:t>
      </w:r>
      <w:r w:rsidRPr="00CD56B9">
        <w:rPr>
          <w:rFonts w:cs="Arial"/>
          <w:color w:val="000000"/>
          <w:lang w:val="en-US"/>
        </w:rPr>
        <w:t xml:space="preserve"> addresses critical gaps that include a mechanism or structure for collaborative dialogue, conflict prevention and peaceful settlement of disputes and coordinated mechanisms and strategies to ensure that Malawi remains a peaceful and cohesive nation for development.</w:t>
      </w:r>
      <w:r w:rsidRPr="00CD56B9">
        <w:rPr>
          <w:rFonts w:cs="Arial"/>
          <w:lang w:val="en-US"/>
        </w:rPr>
        <w:t xml:space="preserve"> There is progress towards the draft NPA and Strategic Plan; the signing of the LPD that contributed to, and strengthened the commitment to peaceful conduct of the 2014 tripartite elections; successful shuttle diplomacy and dialogue facilitation during the stalemate of election results; enhanced civic capacities and increased participation of women and youth in peace building and conflict early warning monitoring and reporting; enhanced knowledge and skills in conflict management; continued buy-in and commitment from government and civil society to the establishment of the NPA; and improved coordination and collaboration among the IPs, and also the interagency coordination.</w:t>
      </w:r>
    </w:p>
    <w:p w14:paraId="16DD3830" w14:textId="77777777" w:rsidR="006C31FE" w:rsidRPr="00CD56B9" w:rsidRDefault="006C31FE" w:rsidP="006C31FE">
      <w:pPr>
        <w:rPr>
          <w:rFonts w:cs="Arial"/>
          <w:lang w:val="en-US"/>
        </w:rPr>
      </w:pPr>
      <w:r w:rsidRPr="00CD56B9">
        <w:rPr>
          <w:rFonts w:cs="Arial"/>
          <w:lang w:val="en-US"/>
        </w:rPr>
        <w:t>Another contributing factor to the success was the good partnerships with relevant players (women, youth and media) during the implementation of the activities. For example, all gender-related components in the project were implemented in collaboration with UN Women who provided technical expertise. Good partnerships and inter-agency collaboration is very critical to the achievement of results. This was experienced in 2014, yielded positive results of reduced transaction costs, and maximized use of existing technical expertise within the UN system. For all gender related activities, UNDP partnered with UN Women during the planning, implementation and evaluation processes.</w:t>
      </w:r>
    </w:p>
    <w:p w14:paraId="3FC1417C" w14:textId="2597C5F1" w:rsidR="006C31FE" w:rsidRDefault="006C31FE" w:rsidP="006C31FE">
      <w:pPr>
        <w:pStyle w:val="Brdtekst"/>
        <w:rPr>
          <w:rFonts w:ascii="Arial" w:hAnsi="Arial" w:cs="Arial"/>
          <w:sz w:val="22"/>
          <w:szCs w:val="22"/>
        </w:rPr>
      </w:pPr>
      <w:r w:rsidRPr="00AD7D84">
        <w:rPr>
          <w:rFonts w:ascii="Arial" w:hAnsi="Arial" w:cs="Arial"/>
          <w:sz w:val="22"/>
          <w:szCs w:val="22"/>
        </w:rPr>
        <w:t>Despite the good progress in terms of delivery of resources, the project did not hold a S</w:t>
      </w:r>
      <w:r>
        <w:rPr>
          <w:rFonts w:ascii="Arial" w:hAnsi="Arial" w:cs="Arial"/>
          <w:sz w:val="22"/>
          <w:szCs w:val="22"/>
        </w:rPr>
        <w:t xml:space="preserve">teering Committee (SC) meeting and </w:t>
      </w:r>
      <w:r w:rsidRPr="00AD7D84">
        <w:rPr>
          <w:rFonts w:ascii="Arial" w:hAnsi="Arial" w:cs="Arial"/>
          <w:sz w:val="22"/>
          <w:szCs w:val="22"/>
        </w:rPr>
        <w:t xml:space="preserve">PAC is not included in its design. </w:t>
      </w:r>
      <w:r w:rsidR="00942A76">
        <w:rPr>
          <w:rFonts w:ascii="Arial" w:hAnsi="Arial" w:cs="Arial"/>
          <w:sz w:val="22"/>
          <w:szCs w:val="22"/>
        </w:rPr>
        <w:t>The</w:t>
      </w:r>
      <w:r w:rsidRPr="00AD7D84">
        <w:rPr>
          <w:rFonts w:ascii="Arial" w:hAnsi="Arial" w:cs="Arial"/>
          <w:sz w:val="22"/>
          <w:szCs w:val="22"/>
        </w:rPr>
        <w:t xml:space="preserve"> activities of Women Network Group, the UN Women and the Ministry of Gender </w:t>
      </w:r>
      <w:r w:rsidR="00942A76">
        <w:rPr>
          <w:rFonts w:ascii="Arial" w:hAnsi="Arial" w:cs="Arial"/>
          <w:sz w:val="22"/>
          <w:szCs w:val="22"/>
        </w:rPr>
        <w:t xml:space="preserve">also </w:t>
      </w:r>
      <w:r w:rsidRPr="00AD7D84">
        <w:rPr>
          <w:rFonts w:ascii="Arial" w:hAnsi="Arial" w:cs="Arial"/>
          <w:sz w:val="22"/>
          <w:szCs w:val="22"/>
        </w:rPr>
        <w:t>need up scaling to ensure that the participation of women in the NPA processes is improved</w:t>
      </w:r>
      <w:r>
        <w:rPr>
          <w:rFonts w:ascii="Arial" w:hAnsi="Arial" w:cs="Arial"/>
          <w:sz w:val="22"/>
          <w:szCs w:val="22"/>
        </w:rPr>
        <w:t>.</w:t>
      </w:r>
    </w:p>
    <w:p w14:paraId="73FA06CA" w14:textId="77777777" w:rsidR="006C31FE" w:rsidRPr="00AD7D84" w:rsidRDefault="006C31FE" w:rsidP="006C31FE">
      <w:pPr>
        <w:pStyle w:val="Brdtekst"/>
        <w:rPr>
          <w:rFonts w:ascii="Arial" w:hAnsi="Arial" w:cs="Arial"/>
          <w:sz w:val="22"/>
          <w:szCs w:val="22"/>
        </w:rPr>
      </w:pPr>
    </w:p>
    <w:p w14:paraId="59E35DEE" w14:textId="4A918518" w:rsidR="006C31FE" w:rsidRPr="00CD56B9" w:rsidRDefault="006C31FE" w:rsidP="006C31FE">
      <w:pPr>
        <w:contextualSpacing/>
        <w:rPr>
          <w:rFonts w:cs="Arial"/>
          <w:bCs/>
          <w:lang w:val="en-US"/>
        </w:rPr>
      </w:pPr>
      <w:r w:rsidRPr="00CD56B9">
        <w:rPr>
          <w:rFonts w:cs="Arial"/>
          <w:bCs/>
          <w:lang w:val="en-US"/>
        </w:rPr>
        <w:t xml:space="preserve">Overall, there is need for continued support to Government’s efforts </w:t>
      </w:r>
      <w:r w:rsidRPr="00CD56B9">
        <w:rPr>
          <w:rFonts w:cs="Arial"/>
          <w:lang w:val="en-US"/>
        </w:rPr>
        <w:t xml:space="preserve">towards the establishment of the NPA and </w:t>
      </w:r>
      <w:r w:rsidRPr="00CD56B9">
        <w:rPr>
          <w:rFonts w:cs="Arial"/>
          <w:bCs/>
          <w:lang w:val="en-US"/>
        </w:rPr>
        <w:t>priority areas include support the creation of a conducive policy environment and legal framework for the establishment of the NPA, finalization of the Strategic Plan and draft Policy; Drafting the NPA Bill; and the piloting of the NPA structures in three districts and supporting initiatives aimed at increasing the participation of youth and women, particularly young women and women in conflict prevention initiatives.</w:t>
      </w:r>
    </w:p>
    <w:p w14:paraId="029758B1" w14:textId="77777777" w:rsidR="0053741E" w:rsidRPr="00CD56B9" w:rsidRDefault="0053741E" w:rsidP="006856C9">
      <w:pPr>
        <w:rPr>
          <w:rFonts w:cs="Arial"/>
          <w:lang w:val="en-US"/>
        </w:rPr>
        <w:sectPr w:rsidR="0053741E" w:rsidRPr="00CD56B9" w:rsidSect="000C1092">
          <w:pgSz w:w="12240" w:h="15840"/>
          <w:pgMar w:top="1440" w:right="1440" w:bottom="1440" w:left="1440" w:header="720" w:footer="720" w:gutter="0"/>
          <w:cols w:space="720"/>
          <w:docGrid w:linePitch="360"/>
        </w:sectPr>
      </w:pPr>
    </w:p>
    <w:p w14:paraId="033240FE" w14:textId="77777777" w:rsidR="004B76F5" w:rsidRPr="00CD56B9" w:rsidRDefault="00B324FA" w:rsidP="00997A7B">
      <w:pPr>
        <w:pStyle w:val="Overskrift2"/>
        <w:numPr>
          <w:ilvl w:val="0"/>
          <w:numId w:val="0"/>
        </w:numPr>
        <w:rPr>
          <w:lang w:val="en-US"/>
        </w:rPr>
      </w:pPr>
      <w:bookmarkStart w:id="30" w:name="_Toc382904764"/>
      <w:bookmarkStart w:id="31" w:name="_Toc439245583"/>
      <w:r w:rsidRPr="00CD56B9">
        <w:rPr>
          <w:lang w:val="en-US"/>
        </w:rPr>
        <w:lastRenderedPageBreak/>
        <w:t xml:space="preserve">3.7 </w:t>
      </w:r>
      <w:r w:rsidR="004B76F5" w:rsidRPr="00CD56B9">
        <w:rPr>
          <w:lang w:val="en-US"/>
        </w:rPr>
        <w:t>The Democracy Consolidation Programme (DCP IV) 2012-2016</w:t>
      </w:r>
      <w:bookmarkEnd w:id="31"/>
    </w:p>
    <w:p w14:paraId="39F3F6B7" w14:textId="77777777" w:rsidR="00B324FA" w:rsidRPr="00CD56B9" w:rsidRDefault="00B324FA" w:rsidP="00140B8B">
      <w:pPr>
        <w:spacing w:after="0"/>
        <w:rPr>
          <w:rFonts w:cs="Arial"/>
          <w:lang w:val="en-US"/>
        </w:rPr>
      </w:pPr>
    </w:p>
    <w:p w14:paraId="5F4C9BEC" w14:textId="4BABBBB1" w:rsidR="004B76F5" w:rsidRPr="00CD56B9" w:rsidRDefault="004B76F5" w:rsidP="004B76F5">
      <w:pPr>
        <w:rPr>
          <w:rFonts w:cs="Arial"/>
          <w:lang w:val="en-US"/>
        </w:rPr>
      </w:pPr>
      <w:r w:rsidRPr="00CD56B9">
        <w:rPr>
          <w:rFonts w:cs="Arial"/>
          <w:lang w:val="en-US"/>
        </w:rPr>
        <w:t>The goal of the programme is “</w:t>
      </w:r>
      <w:r w:rsidR="00423A21">
        <w:rPr>
          <w:rFonts w:cs="Arial"/>
          <w:lang w:val="en-US"/>
        </w:rPr>
        <w:t>g</w:t>
      </w:r>
      <w:r w:rsidRPr="00CD56B9">
        <w:rPr>
          <w:rFonts w:cs="Arial"/>
          <w:lang w:val="en-US"/>
        </w:rPr>
        <w:t xml:space="preserve">roup villages progressively enjoying the right to development through demanding good governance and performance of correlative duties.” The programme is implemented at scale and operates in 22 out of 28 Districts. It focuses on the development of capacity (knowledge and skills) of the grassroots to demand the right to development at all levels, the advancement of fair markets, and the performance of duties at all levels. It contributes to the realization of the right to development through community-driven demand for democracy, good governance, and human rights. </w:t>
      </w:r>
    </w:p>
    <w:p w14:paraId="19068FF1" w14:textId="77777777" w:rsidR="004B76F5" w:rsidRPr="00CD56B9" w:rsidRDefault="004B76F5" w:rsidP="004B76F5">
      <w:pPr>
        <w:autoSpaceDE w:val="0"/>
        <w:autoSpaceDN w:val="0"/>
        <w:adjustRightInd w:val="0"/>
        <w:rPr>
          <w:rFonts w:cs="Arial"/>
          <w:lang w:val="en-US"/>
        </w:rPr>
      </w:pPr>
      <w:r w:rsidRPr="00CD56B9">
        <w:rPr>
          <w:rFonts w:cs="Arial"/>
          <w:b/>
          <w:lang w:val="en-US"/>
        </w:rPr>
        <w:t>Programme Outputs</w:t>
      </w:r>
      <w:r w:rsidRPr="00CD56B9">
        <w:rPr>
          <w:rFonts w:cs="Arial"/>
          <w:lang w:val="en-US"/>
        </w:rPr>
        <w:t>:</w:t>
      </w:r>
    </w:p>
    <w:p w14:paraId="2BCCD6E9" w14:textId="77777777" w:rsidR="004B76F5" w:rsidRPr="00CD56B9" w:rsidRDefault="004B76F5" w:rsidP="00A94A0E">
      <w:pPr>
        <w:autoSpaceDE w:val="0"/>
        <w:autoSpaceDN w:val="0"/>
        <w:adjustRightInd w:val="0"/>
        <w:spacing w:after="0"/>
        <w:rPr>
          <w:rFonts w:cs="Arial"/>
          <w:lang w:val="en-US"/>
        </w:rPr>
      </w:pPr>
      <w:r w:rsidRPr="00CD56B9">
        <w:rPr>
          <w:rFonts w:cs="Arial"/>
          <w:b/>
          <w:lang w:val="en-US"/>
        </w:rPr>
        <w:t>Output 1</w:t>
      </w:r>
      <w:r w:rsidRPr="00CD56B9">
        <w:rPr>
          <w:rFonts w:cs="Arial"/>
          <w:lang w:val="en-US"/>
        </w:rPr>
        <w:t>: At least 70% of Group Villages in 28 districts effectively demanding progressive accessibility and acceptability of basic social services, basic services, and good governance.</w:t>
      </w:r>
    </w:p>
    <w:p w14:paraId="6C5D719F" w14:textId="77777777" w:rsidR="004B76F5" w:rsidRPr="00CD56B9" w:rsidRDefault="004B76F5" w:rsidP="00A94A0E">
      <w:pPr>
        <w:autoSpaceDE w:val="0"/>
        <w:autoSpaceDN w:val="0"/>
        <w:adjustRightInd w:val="0"/>
        <w:spacing w:after="0"/>
        <w:rPr>
          <w:rFonts w:cs="Arial"/>
          <w:lang w:val="en-US"/>
        </w:rPr>
      </w:pPr>
      <w:r w:rsidRPr="00CD56B9">
        <w:rPr>
          <w:rFonts w:cs="Arial"/>
          <w:b/>
          <w:lang w:val="en-US"/>
        </w:rPr>
        <w:t>Output 2</w:t>
      </w:r>
      <w:r w:rsidRPr="00CD56B9">
        <w:rPr>
          <w:rFonts w:cs="Arial"/>
          <w:lang w:val="en-US"/>
        </w:rPr>
        <w:t>: At least 70% of Group Villages in 28 districts demanding fair labour practices and markets and consumer protection.</w:t>
      </w:r>
    </w:p>
    <w:p w14:paraId="57DCDDD1" w14:textId="77777777" w:rsidR="004B76F5" w:rsidRPr="00CD56B9" w:rsidRDefault="004B76F5" w:rsidP="00A94A0E">
      <w:pPr>
        <w:autoSpaceDE w:val="0"/>
        <w:autoSpaceDN w:val="0"/>
        <w:adjustRightInd w:val="0"/>
        <w:spacing w:after="0"/>
        <w:rPr>
          <w:rFonts w:cs="Arial"/>
          <w:lang w:val="en-US"/>
        </w:rPr>
      </w:pPr>
      <w:r w:rsidRPr="00CD56B9">
        <w:rPr>
          <w:rFonts w:cs="Arial"/>
          <w:b/>
          <w:lang w:val="en-US"/>
        </w:rPr>
        <w:t>Output 3</w:t>
      </w:r>
      <w:r w:rsidRPr="00CD56B9">
        <w:rPr>
          <w:rFonts w:cs="Arial"/>
          <w:lang w:val="en-US"/>
        </w:rPr>
        <w:t>: Community members facilitating voter education for the right to development and good governance.</w:t>
      </w:r>
    </w:p>
    <w:p w14:paraId="4F367AE9" w14:textId="77777777" w:rsidR="004B76F5" w:rsidRPr="00CD56B9" w:rsidRDefault="004B76F5" w:rsidP="00A94A0E">
      <w:pPr>
        <w:autoSpaceDE w:val="0"/>
        <w:autoSpaceDN w:val="0"/>
        <w:adjustRightInd w:val="0"/>
        <w:rPr>
          <w:rFonts w:cs="Arial"/>
          <w:lang w:val="en-US"/>
        </w:rPr>
      </w:pPr>
      <w:r w:rsidRPr="00CD56B9">
        <w:rPr>
          <w:rFonts w:cs="Arial"/>
          <w:b/>
          <w:lang w:val="en-US"/>
        </w:rPr>
        <w:t>Output 4</w:t>
      </w:r>
      <w:r w:rsidRPr="00CD56B9">
        <w:rPr>
          <w:rFonts w:cs="Arial"/>
          <w:lang w:val="en-US"/>
        </w:rPr>
        <w:t>: Effective and efficient management, partnership formation and monitoring and evaluation of the Programme.</w:t>
      </w:r>
    </w:p>
    <w:p w14:paraId="78160A44" w14:textId="77777777" w:rsidR="004B76F5" w:rsidRPr="00CD56B9" w:rsidRDefault="004B76F5" w:rsidP="004B76F5">
      <w:pPr>
        <w:autoSpaceDE w:val="0"/>
        <w:autoSpaceDN w:val="0"/>
        <w:adjustRightInd w:val="0"/>
        <w:contextualSpacing/>
        <w:rPr>
          <w:rFonts w:cs="Arial"/>
          <w:b/>
          <w:lang w:val="en-US"/>
        </w:rPr>
      </w:pPr>
      <w:r w:rsidRPr="00CD56B9">
        <w:rPr>
          <w:rFonts w:cs="Arial"/>
          <w:b/>
          <w:lang w:val="en-US"/>
        </w:rPr>
        <w:t xml:space="preserve">Relevance </w:t>
      </w:r>
    </w:p>
    <w:p w14:paraId="0094D9CE" w14:textId="77777777" w:rsidR="004B76F5" w:rsidRPr="00CD56B9" w:rsidRDefault="004B76F5" w:rsidP="004B76F5">
      <w:pPr>
        <w:autoSpaceDE w:val="0"/>
        <w:autoSpaceDN w:val="0"/>
        <w:adjustRightInd w:val="0"/>
        <w:contextualSpacing/>
        <w:rPr>
          <w:rFonts w:cs="Arial"/>
          <w:lang w:val="en-US"/>
        </w:rPr>
      </w:pPr>
      <w:r w:rsidRPr="00CD56B9">
        <w:rPr>
          <w:rFonts w:cs="Arial"/>
          <w:lang w:val="en-US"/>
        </w:rPr>
        <w:t>The programme is aligned to section 30 of the Constitution of Malawi and the overarching national development policies and strategic goals. These include the Vision 2020 and the Malawi Growth and Development Strategy (MGDS II) {2011- 2016) which underline the promotion of good governance and realisation of the right to development. The</w:t>
      </w:r>
      <w:r w:rsidRPr="00CD56B9">
        <w:rPr>
          <w:rFonts w:cs="Arial"/>
          <w:color w:val="000000"/>
          <w:lang w:val="en-US"/>
        </w:rPr>
        <w:t xml:space="preserve"> MGDS II’s sub-theme 3 (Governance) seeks to secure the key elements of democratic governance through promotion of justice and rule of law, human rights, elections, peace and security and public sector management. The programme is also reflected in the Democratic Governance Policy Framework Paper (DGPFP), which states the aim to create human rights awareness in Malawi “in order to empower all people of Malawi to demand and protect their rights and hold all duty bearer individuals and institutions</w:t>
      </w:r>
      <w:r w:rsidRPr="00CD56B9">
        <w:rPr>
          <w:rFonts w:cs="Arial"/>
          <w:lang w:val="en-US"/>
        </w:rPr>
        <w:t xml:space="preserve"> </w:t>
      </w:r>
      <w:r w:rsidRPr="00CD56B9">
        <w:rPr>
          <w:rFonts w:cs="Arial"/>
          <w:color w:val="000000"/>
          <w:lang w:val="en-US"/>
        </w:rPr>
        <w:t>accountable.”</w:t>
      </w:r>
      <w:r w:rsidRPr="00CD56B9">
        <w:rPr>
          <w:rFonts w:cs="Arial"/>
          <w:lang w:val="en-US"/>
        </w:rPr>
        <w:t xml:space="preserve"> </w:t>
      </w:r>
    </w:p>
    <w:p w14:paraId="69745421" w14:textId="77777777" w:rsidR="00A94A0E" w:rsidRPr="00CD56B9" w:rsidRDefault="00A94A0E" w:rsidP="00A94A0E">
      <w:pPr>
        <w:autoSpaceDE w:val="0"/>
        <w:autoSpaceDN w:val="0"/>
        <w:adjustRightInd w:val="0"/>
        <w:spacing w:after="0"/>
        <w:rPr>
          <w:rFonts w:cs="Arial"/>
          <w:color w:val="000000"/>
          <w:lang w:val="en-US"/>
        </w:rPr>
      </w:pPr>
    </w:p>
    <w:p w14:paraId="2ECC5AD8" w14:textId="77777777" w:rsidR="004B76F5" w:rsidRPr="00CD56B9" w:rsidRDefault="004B76F5" w:rsidP="004B76F5">
      <w:pPr>
        <w:autoSpaceDE w:val="0"/>
        <w:autoSpaceDN w:val="0"/>
        <w:adjustRightInd w:val="0"/>
        <w:rPr>
          <w:rFonts w:cs="Arial"/>
          <w:lang w:val="en-US"/>
        </w:rPr>
      </w:pPr>
      <w:r w:rsidRPr="00CD56B9">
        <w:rPr>
          <w:rFonts w:cs="Arial"/>
          <w:color w:val="000000"/>
          <w:lang w:val="en-US"/>
        </w:rPr>
        <w:t>The programme is also aligned to</w:t>
      </w:r>
      <w:r w:rsidRPr="00CD56B9">
        <w:rPr>
          <w:rFonts w:cs="Arial"/>
          <w:lang w:val="en-US"/>
        </w:rPr>
        <w:t xml:space="preserve"> the UNDAF 2012-2016 Key Priority 4: National institutions effectively support transparency, accountability, participatory democracy and human rights by 2016 and the UNDAF Outcome 4.1. The two UNDAF Outcome Indicators relevant to DCP IV are increased proportion of people holding duty bearers accountable from 40% to 65% by 2016 and the increased voter turnout from 70% in 2009 to 90% in 2014.</w:t>
      </w:r>
    </w:p>
    <w:p w14:paraId="70C5E223" w14:textId="77777777" w:rsidR="004B76F5" w:rsidRPr="00CD56B9" w:rsidRDefault="004B76F5" w:rsidP="004B76F5">
      <w:pPr>
        <w:rPr>
          <w:rFonts w:cs="Arial"/>
          <w:lang w:val="en-US"/>
        </w:rPr>
      </w:pPr>
      <w:r w:rsidRPr="00CD56B9">
        <w:rPr>
          <w:rFonts w:cs="Arial"/>
          <w:lang w:val="en-US"/>
        </w:rPr>
        <w:t xml:space="preserve">The Programme Steering Committee comprises representatives of various categories of stakeholders including the OPC; Line Ministries such as the Ministry of Local Government and Rural Development and the Ministry of Justice, human rights constitutional bodies such as the Malawi Human Rights Commission and the National Assembly and civil society organizations. </w:t>
      </w:r>
    </w:p>
    <w:p w14:paraId="72815877" w14:textId="77777777" w:rsidR="004B76F5" w:rsidRPr="00CD56B9" w:rsidRDefault="004B76F5" w:rsidP="004B76F5">
      <w:pPr>
        <w:autoSpaceDE w:val="0"/>
        <w:autoSpaceDN w:val="0"/>
        <w:adjustRightInd w:val="0"/>
        <w:rPr>
          <w:rFonts w:cs="Arial"/>
          <w:lang w:val="en-US"/>
        </w:rPr>
      </w:pPr>
      <w:r w:rsidRPr="00CD56B9">
        <w:rPr>
          <w:rFonts w:cs="Arial"/>
          <w:lang w:val="en-US"/>
        </w:rPr>
        <w:t xml:space="preserve">The programme is implemented in partnership with 15 civil society organizations selected through an open and competitive process and public bodies including the Ministry of Local Government and Rural Development. The Implementing Partners (IPs) falls in two broad categories: district based IPs, which creates local structures to lead communities in programme activities; and media based programmes which complement the district based programmes through the provision of an alternative medium for right-holders to express their views and make demands to relevant duty bearers. </w:t>
      </w:r>
    </w:p>
    <w:p w14:paraId="672BC1E4" w14:textId="77777777" w:rsidR="004B76F5" w:rsidRPr="00CD56B9" w:rsidRDefault="004B76F5" w:rsidP="004B76F5">
      <w:pPr>
        <w:pStyle w:val="Listeafsnit"/>
        <w:spacing w:after="0"/>
        <w:ind w:left="0"/>
        <w:rPr>
          <w:rFonts w:cs="Arial"/>
          <w:lang w:val="en-US"/>
        </w:rPr>
      </w:pPr>
      <w:r w:rsidRPr="00CD56B9">
        <w:rPr>
          <w:rFonts w:cs="Arial"/>
          <w:lang w:val="en-US"/>
        </w:rPr>
        <w:lastRenderedPageBreak/>
        <w:t>The electoral campaign period presented a unique set of opportunities during which Parliamentary candidates are more responsive to demands by communities. This has led to continuous engagement with duty bearers to foster a better understanding of programme purpose and improved relations. There has been continuous capacity building of volunteer structures and motivation and retention of programme staff to ensure sustainability of programmes. Furthermore</w:t>
      </w:r>
      <w:r w:rsidR="00423A21">
        <w:rPr>
          <w:rFonts w:cs="Arial"/>
          <w:lang w:val="en-US"/>
        </w:rPr>
        <w:t>,</w:t>
      </w:r>
      <w:r w:rsidRPr="00CD56B9">
        <w:rPr>
          <w:rFonts w:cs="Arial"/>
          <w:lang w:val="en-US"/>
        </w:rPr>
        <w:t xml:space="preserve"> effective networking and collaboration among stakeholders was intensified at district level results for timely and effective realization of programme objectives. Thus, the programme design has been adequate to address problems/objectives.</w:t>
      </w:r>
    </w:p>
    <w:p w14:paraId="14BA40FD" w14:textId="77777777" w:rsidR="004B76F5" w:rsidRPr="00CD56B9" w:rsidRDefault="004B76F5" w:rsidP="004B76F5">
      <w:pPr>
        <w:pStyle w:val="Listeafsnit"/>
        <w:spacing w:after="0"/>
        <w:ind w:left="0"/>
        <w:rPr>
          <w:rFonts w:cs="Arial"/>
          <w:lang w:val="en-US"/>
        </w:rPr>
      </w:pPr>
    </w:p>
    <w:p w14:paraId="485BF8BC" w14:textId="77777777" w:rsidR="004B76F5" w:rsidRPr="00CD56B9" w:rsidRDefault="004B76F5" w:rsidP="004B76F5">
      <w:pPr>
        <w:pStyle w:val="Listeafsnit"/>
        <w:spacing w:after="0"/>
        <w:ind w:left="0"/>
        <w:rPr>
          <w:rFonts w:cs="Arial"/>
          <w:lang w:val="en-US"/>
        </w:rPr>
      </w:pPr>
      <w:r w:rsidRPr="00CD56B9">
        <w:rPr>
          <w:rFonts w:eastAsia="MyriadPro-Regular" w:cs="Arial"/>
          <w:lang w:val="en-US"/>
        </w:rPr>
        <w:t xml:space="preserve">The democratic governance seeks to advance women’s legal rights and empowerment, strengthen their access to justice, </w:t>
      </w:r>
      <w:r w:rsidR="00201AC5" w:rsidRPr="00CD56B9">
        <w:rPr>
          <w:rFonts w:eastAsia="MyriadPro-Regular" w:cs="Arial"/>
          <w:lang w:val="en-US"/>
        </w:rPr>
        <w:t>ensure</w:t>
      </w:r>
      <w:r w:rsidRPr="00CD56B9">
        <w:rPr>
          <w:rFonts w:eastAsia="MyriadPro-Regular" w:cs="Arial"/>
          <w:lang w:val="en-US"/>
        </w:rPr>
        <w:t xml:space="preserve"> gender responsive and equitable service delivery, and promote their equal participation in decision-making.</w:t>
      </w:r>
      <w:r w:rsidRPr="00CD56B9">
        <w:rPr>
          <w:rFonts w:cs="Arial"/>
          <w:lang w:val="en-US"/>
        </w:rPr>
        <w:t xml:space="preserve"> UNDP intervention contributes to empowering communities to demand for better services through training, community sensitization campaigns, addressing gender imbalances and promotion of participation of vulnerable groups, slightly over 50 % of Community Rights Committee (CRCs) and around 70% of the Radio Listening Clubs (RLC) membership is now made up of women, with many taking up leadership positions. </w:t>
      </w:r>
    </w:p>
    <w:p w14:paraId="0B622170" w14:textId="77777777" w:rsidR="004B76F5" w:rsidRPr="00CD56B9" w:rsidRDefault="004B76F5" w:rsidP="004B76F5">
      <w:pPr>
        <w:autoSpaceDE w:val="0"/>
        <w:autoSpaceDN w:val="0"/>
        <w:adjustRightInd w:val="0"/>
        <w:contextualSpacing/>
        <w:rPr>
          <w:rFonts w:cs="Arial"/>
          <w:lang w:val="en-US"/>
        </w:rPr>
      </w:pPr>
    </w:p>
    <w:p w14:paraId="4EA970B2" w14:textId="77777777" w:rsidR="004B76F5" w:rsidRPr="00CD56B9" w:rsidRDefault="004B76F5" w:rsidP="004B76F5">
      <w:pPr>
        <w:autoSpaceDE w:val="0"/>
        <w:autoSpaceDN w:val="0"/>
        <w:adjustRightInd w:val="0"/>
        <w:contextualSpacing/>
        <w:rPr>
          <w:rFonts w:cs="Arial"/>
          <w:lang w:val="en-US"/>
        </w:rPr>
      </w:pPr>
      <w:r w:rsidRPr="00CD56B9">
        <w:rPr>
          <w:rFonts w:cs="Arial"/>
          <w:lang w:val="en-US"/>
        </w:rPr>
        <w:t xml:space="preserve">The major gaps addressed relate to prioritization of the needs of disadvantaged groups; enhancing active participation of women in programme structures and development initiatives; promotion of activities that improve economic status of women. The loss of programme resources due to exchange differentials and slow response by UNDP affect the speed of activity delivery; mutual trust and cordial relations between programme staff, Community Based Facilitators (CBFs), Community Rights Committees (CRCs) and Radio Listening Clubs (RLCs) members as well as traditional and other opinion leaders at local level. The programme continues to consolidate results achieved earlier using the transfer of knowledge and skills on governance and human rights to the citizenry; Use of animation, group working and other interactive methods (CBFs, CRCs and RLCs) complemented by radio and print media; Particular focus on vulnerable groups, Women, children, youth, people living with disabilities and HIV/AIDs; and </w:t>
      </w:r>
      <w:r w:rsidRPr="00CD56B9">
        <w:rPr>
          <w:rFonts w:cs="Arial"/>
          <w:bCs/>
          <w:iCs/>
          <w:lang w:val="en-US"/>
        </w:rPr>
        <w:t>continued engagement with local councils</w:t>
      </w:r>
      <w:r w:rsidRPr="00CD56B9">
        <w:rPr>
          <w:rFonts w:cs="Arial"/>
          <w:lang w:val="en-US"/>
        </w:rPr>
        <w:t>.</w:t>
      </w:r>
    </w:p>
    <w:p w14:paraId="5555408B" w14:textId="77777777" w:rsidR="004B76F5" w:rsidRPr="00CD56B9" w:rsidRDefault="004B76F5" w:rsidP="004B76F5">
      <w:pPr>
        <w:pStyle w:val="Listeafsnit"/>
        <w:spacing w:after="0"/>
        <w:ind w:left="0"/>
        <w:rPr>
          <w:rFonts w:cs="Arial"/>
          <w:lang w:val="en-US"/>
        </w:rPr>
      </w:pPr>
      <w:r w:rsidRPr="00CD56B9">
        <w:rPr>
          <w:rFonts w:cs="Arial"/>
          <w:lang w:val="en-US"/>
        </w:rPr>
        <w:t xml:space="preserve">The Programme  has been effective in the achievement of results  as it has provided financial and technical support to Civil Society Organisations (CSOs) and public institutions to implement various activities across the country; signed funding agreements ;strengthened the capacity of programme grassroots structures, (CBFs, CRCs and RLCs) in various target districts; community outreach meetings; interface dialogues with duty bearers. This is evidenced by benefits to the communities such as: withdrawal of 2524 Children (1145 girls) from child labour and their return to their homes and, most of them, re-enrolled in schools; increased participation of vulnerable groups and reduction of gender imbalance and the result is that slightly over 50 % of CRCs and around 70% of the RLC membership is now made up of women, with many taking up leadership positions; success stories of Intervention by villagers to stop corruption, mediation and counselling and appropriate case handling and Media coverage and community activities. </w:t>
      </w:r>
    </w:p>
    <w:p w14:paraId="4299F335" w14:textId="77777777" w:rsidR="004B76F5" w:rsidRPr="00CD56B9" w:rsidRDefault="004B76F5" w:rsidP="004B76F5">
      <w:pPr>
        <w:pStyle w:val="Listeafsnit"/>
        <w:spacing w:after="0"/>
        <w:rPr>
          <w:rFonts w:cs="Arial"/>
          <w:lang w:val="en-US"/>
        </w:rPr>
      </w:pPr>
    </w:p>
    <w:p w14:paraId="27140282" w14:textId="77777777" w:rsidR="004B76F5" w:rsidRPr="00CD56B9" w:rsidRDefault="004B76F5" w:rsidP="004B76F5">
      <w:pPr>
        <w:contextualSpacing/>
        <w:rPr>
          <w:rFonts w:cs="Arial"/>
          <w:lang w:val="en-US"/>
        </w:rPr>
      </w:pPr>
      <w:r w:rsidRPr="00CD56B9">
        <w:rPr>
          <w:rFonts w:cs="Arial"/>
          <w:lang w:val="en-US"/>
        </w:rPr>
        <w:t xml:space="preserve">Below is a summary of progress registered under each output; progress registered in most instances contributes to several indicators and has, therefore, been lumped together to avoid duplication. </w:t>
      </w:r>
    </w:p>
    <w:p w14:paraId="45B10F4A" w14:textId="77777777" w:rsidR="004B76F5" w:rsidRPr="00CD56B9" w:rsidRDefault="004B76F5" w:rsidP="004B76F5">
      <w:pPr>
        <w:ind w:left="360"/>
        <w:contextualSpacing/>
        <w:rPr>
          <w:rFonts w:cs="Arial"/>
          <w:lang w:val="en-US"/>
        </w:rPr>
      </w:pPr>
      <w:r w:rsidRPr="00CD56B9">
        <w:rPr>
          <w:rFonts w:cs="Arial"/>
          <w:lang w:val="en-US"/>
        </w:rPr>
        <w:t xml:space="preserve"> </w:t>
      </w:r>
    </w:p>
    <w:p w14:paraId="31E53AA5" w14:textId="77777777" w:rsidR="00525A57" w:rsidRDefault="00525A57" w:rsidP="00A94A0E">
      <w:pPr>
        <w:contextualSpacing/>
        <w:rPr>
          <w:rFonts w:cs="Arial"/>
          <w:b/>
          <w:bCs/>
          <w:lang w:val="en-US"/>
        </w:rPr>
      </w:pPr>
    </w:p>
    <w:p w14:paraId="527A8FDC" w14:textId="77777777" w:rsidR="00525A57" w:rsidRDefault="00525A57" w:rsidP="00A94A0E">
      <w:pPr>
        <w:contextualSpacing/>
        <w:rPr>
          <w:rFonts w:cs="Arial"/>
          <w:b/>
          <w:bCs/>
          <w:lang w:val="en-US"/>
        </w:rPr>
      </w:pPr>
    </w:p>
    <w:p w14:paraId="34A47076" w14:textId="77777777" w:rsidR="004B76F5" w:rsidRPr="00CD56B9" w:rsidRDefault="004B76F5" w:rsidP="00A94A0E">
      <w:pPr>
        <w:contextualSpacing/>
        <w:rPr>
          <w:rFonts w:cs="Arial"/>
          <w:b/>
          <w:lang w:val="en-US"/>
        </w:rPr>
      </w:pPr>
      <w:r w:rsidRPr="00CD56B9">
        <w:rPr>
          <w:rFonts w:cs="Arial"/>
          <w:b/>
          <w:bCs/>
          <w:lang w:val="en-US"/>
        </w:rPr>
        <w:lastRenderedPageBreak/>
        <w:t xml:space="preserve">Output 1:  </w:t>
      </w:r>
      <w:r w:rsidRPr="00CD56B9">
        <w:rPr>
          <w:rFonts w:cs="Arial"/>
          <w:b/>
          <w:lang w:val="en-US"/>
        </w:rPr>
        <w:t>At least 70% of Group Villages effectively demanding progressive accessibility and acceptability of basic social services, basic services and good governance especially for women, children, you</w:t>
      </w:r>
      <w:r w:rsidR="00A94A0E" w:rsidRPr="00CD56B9">
        <w:rPr>
          <w:rFonts w:cs="Arial"/>
          <w:b/>
          <w:lang w:val="en-US"/>
        </w:rPr>
        <w:t>th and people with disabilities</w:t>
      </w:r>
    </w:p>
    <w:p w14:paraId="237B2BE5" w14:textId="77777777" w:rsidR="004B76F5" w:rsidRPr="00CD56B9" w:rsidRDefault="004B76F5" w:rsidP="004B76F5">
      <w:pPr>
        <w:contextualSpacing/>
        <w:rPr>
          <w:rFonts w:cs="Arial"/>
          <w:lang w:val="en-US"/>
        </w:rPr>
      </w:pPr>
    </w:p>
    <w:p w14:paraId="474FBF8A" w14:textId="77777777" w:rsidR="004B76F5" w:rsidRPr="00CD56B9" w:rsidRDefault="004B76F5" w:rsidP="004B76F5">
      <w:pPr>
        <w:contextualSpacing/>
        <w:rPr>
          <w:rFonts w:cs="Arial"/>
          <w:i/>
          <w:lang w:val="en-US"/>
        </w:rPr>
      </w:pPr>
      <w:r w:rsidRPr="00CD56B9">
        <w:rPr>
          <w:rFonts w:cs="Arial"/>
          <w:i/>
          <w:lang w:val="en-US"/>
        </w:rPr>
        <w:t>Baseline (2014): 60%. Target: 70%: 728 out of 2,471 CRCs (69%); in 19 districts; 59 out of 61 RLCs (97%: Status: Achieved</w:t>
      </w:r>
    </w:p>
    <w:p w14:paraId="5973F8AF" w14:textId="77777777" w:rsidR="004B76F5" w:rsidRPr="00CD56B9" w:rsidRDefault="004B76F5" w:rsidP="004B76F5">
      <w:pPr>
        <w:pStyle w:val="Listeafsnit"/>
        <w:spacing w:after="0"/>
        <w:ind w:left="0"/>
        <w:rPr>
          <w:rFonts w:cs="Arial"/>
          <w:lang w:val="en-US"/>
        </w:rPr>
      </w:pPr>
      <w:r w:rsidRPr="00CD56B9">
        <w:rPr>
          <w:rFonts w:cs="Arial"/>
          <w:lang w:val="en-US"/>
        </w:rPr>
        <w:t>The selection process of IPs was completed and a ToT on governance and right to development for Executive Directors, Programme Managers and Paralegal Officers was held from 15</w:t>
      </w:r>
      <w:r w:rsidRPr="00CD56B9">
        <w:rPr>
          <w:rFonts w:cs="Arial"/>
          <w:vertAlign w:val="superscript"/>
          <w:lang w:val="en-US"/>
        </w:rPr>
        <w:t>th</w:t>
      </w:r>
      <w:r w:rsidRPr="00CD56B9">
        <w:rPr>
          <w:rFonts w:cs="Arial"/>
          <w:lang w:val="en-US"/>
        </w:rPr>
        <w:t xml:space="preserve"> to 18</w:t>
      </w:r>
      <w:r w:rsidRPr="00CD56B9">
        <w:rPr>
          <w:rFonts w:cs="Arial"/>
          <w:vertAlign w:val="superscript"/>
          <w:lang w:val="en-US"/>
        </w:rPr>
        <w:t>th</w:t>
      </w:r>
      <w:r w:rsidRPr="00CD56B9">
        <w:rPr>
          <w:rFonts w:cs="Arial"/>
          <w:lang w:val="en-US"/>
        </w:rPr>
        <w:t xml:space="preserve"> December 2014. Selection of CRCs, refresher training on the right to development and HRBA was launched in the districts; CRCs dialoguing with duty bearers was fully achieved as it reached out to various duty bearers, especially local government service providers aimed at addressing various challenges impacting negatively on the quality of life for right holders. The various cases were registered and processed by the District Paralegal Offices, Radio programmes on governance and RtD were produced and broadcast exceeded the target and circulation of Boma Lathu resumed in July 2014.  </w:t>
      </w:r>
      <w:r w:rsidRPr="00CD56B9">
        <w:rPr>
          <w:rFonts w:cs="Arial"/>
          <w:iCs/>
          <w:lang w:val="en-US"/>
        </w:rPr>
        <w:t>By 2015 at least 70 % of Group villages in 28 districts are effectively demanding progressive accessibility and acceptability of basic social services for women, children and people with disabilities</w:t>
      </w:r>
      <w:r w:rsidRPr="00CD56B9">
        <w:rPr>
          <w:rFonts w:cs="Arial"/>
          <w:lang w:val="en-US"/>
        </w:rPr>
        <w:t>.</w:t>
      </w:r>
    </w:p>
    <w:p w14:paraId="51182C76" w14:textId="77777777" w:rsidR="004B76F5" w:rsidRPr="00CD56B9" w:rsidRDefault="004B76F5" w:rsidP="004B76F5">
      <w:pPr>
        <w:ind w:left="360"/>
        <w:contextualSpacing/>
        <w:rPr>
          <w:rFonts w:cs="Arial"/>
          <w:bCs/>
          <w:lang w:val="en-US"/>
        </w:rPr>
      </w:pPr>
    </w:p>
    <w:p w14:paraId="276E915F" w14:textId="77777777" w:rsidR="004B76F5" w:rsidRPr="00CD56B9" w:rsidRDefault="004B76F5" w:rsidP="00A94A0E">
      <w:pPr>
        <w:contextualSpacing/>
        <w:rPr>
          <w:rFonts w:cs="Arial"/>
          <w:b/>
          <w:lang w:val="en-US"/>
        </w:rPr>
      </w:pPr>
      <w:r w:rsidRPr="00CD56B9">
        <w:rPr>
          <w:rFonts w:cs="Arial"/>
          <w:b/>
          <w:bCs/>
          <w:lang w:val="en-US"/>
        </w:rPr>
        <w:t>Output 2:  At</w:t>
      </w:r>
      <w:r w:rsidRPr="00CD56B9">
        <w:rPr>
          <w:rFonts w:cs="Arial"/>
          <w:b/>
          <w:lang w:val="en-US"/>
        </w:rPr>
        <w:t xml:space="preserve"> least 70% of Group Villages in 28 districts demanding fair labour practices, markets and consumer protection especially for women, youth, children and people with disabilities</w:t>
      </w:r>
    </w:p>
    <w:p w14:paraId="57CBAF92" w14:textId="77777777" w:rsidR="004B76F5" w:rsidRPr="00CD56B9" w:rsidRDefault="004B76F5" w:rsidP="004B76F5">
      <w:pPr>
        <w:contextualSpacing/>
        <w:rPr>
          <w:rFonts w:cs="Arial"/>
          <w:lang w:val="en-US"/>
        </w:rPr>
      </w:pPr>
    </w:p>
    <w:p w14:paraId="3C1B4782" w14:textId="77777777" w:rsidR="004B76F5" w:rsidRPr="00CD56B9" w:rsidRDefault="004B76F5" w:rsidP="004B76F5">
      <w:pPr>
        <w:contextualSpacing/>
        <w:rPr>
          <w:rFonts w:cs="Arial"/>
          <w:i/>
          <w:lang w:val="en-US"/>
        </w:rPr>
      </w:pPr>
      <w:r w:rsidRPr="00CD56B9">
        <w:rPr>
          <w:rFonts w:cs="Arial"/>
          <w:i/>
          <w:lang w:val="en-US"/>
        </w:rPr>
        <w:t>Baseline (2014):  65%; target 70%;</w:t>
      </w:r>
      <w:r w:rsidRPr="00CD56B9">
        <w:rPr>
          <w:rFonts w:eastAsia="Calibri" w:cs="Arial"/>
          <w:i/>
          <w:color w:val="000000"/>
          <w:kern w:val="24"/>
          <w:lang w:val="en-US"/>
        </w:rPr>
        <w:t xml:space="preserve"> </w:t>
      </w:r>
      <w:r w:rsidRPr="00CD56B9">
        <w:rPr>
          <w:rFonts w:cs="Arial"/>
          <w:i/>
          <w:lang w:val="en-US"/>
        </w:rPr>
        <w:t>2,113 out of 2,471 CRC</w:t>
      </w:r>
      <w:r w:rsidR="004311E6" w:rsidRPr="00CD56B9">
        <w:rPr>
          <w:rFonts w:cs="Arial"/>
          <w:i/>
          <w:lang w:val="en-US"/>
        </w:rPr>
        <w:t>s</w:t>
      </w:r>
      <w:r w:rsidRPr="00CD56B9">
        <w:rPr>
          <w:rFonts w:cs="Arial"/>
          <w:i/>
          <w:lang w:val="en-US"/>
        </w:rPr>
        <w:t xml:space="preserve"> (85%), Status: Achieved </w:t>
      </w:r>
    </w:p>
    <w:p w14:paraId="7D932D66" w14:textId="77777777" w:rsidR="004B76F5" w:rsidRPr="00CD56B9" w:rsidRDefault="004B76F5" w:rsidP="004B76F5">
      <w:pPr>
        <w:spacing w:after="0"/>
        <w:contextualSpacing/>
        <w:rPr>
          <w:rFonts w:cs="Arial"/>
          <w:lang w:val="en-US"/>
        </w:rPr>
      </w:pPr>
    </w:p>
    <w:p w14:paraId="1241A6D5" w14:textId="77777777" w:rsidR="004B76F5" w:rsidRPr="00CD56B9" w:rsidRDefault="004B76F5" w:rsidP="004B76F5">
      <w:pPr>
        <w:contextualSpacing/>
        <w:rPr>
          <w:rFonts w:cs="Arial"/>
          <w:lang w:val="en-US"/>
        </w:rPr>
      </w:pPr>
      <w:r w:rsidRPr="00CD56B9">
        <w:rPr>
          <w:rFonts w:cs="Arial"/>
          <w:lang w:val="en-US"/>
        </w:rPr>
        <w:t xml:space="preserve">This output was fully achieved as there was an increase in the number of CBFs that were trained as trainers on fair trade, labour and consumer rights. The trained replicated the training at the community level in the new districts. </w:t>
      </w:r>
    </w:p>
    <w:p w14:paraId="7BA9E7C2" w14:textId="77777777" w:rsidR="004B76F5" w:rsidRPr="00CD56B9" w:rsidRDefault="004B76F5" w:rsidP="004B76F5">
      <w:pPr>
        <w:spacing w:before="40"/>
        <w:contextualSpacing/>
        <w:rPr>
          <w:rFonts w:cs="Arial"/>
          <w:lang w:val="en-US"/>
        </w:rPr>
      </w:pPr>
    </w:p>
    <w:p w14:paraId="402CE806" w14:textId="77777777" w:rsidR="004B76F5" w:rsidRPr="00CD56B9" w:rsidRDefault="004B76F5" w:rsidP="00A94A0E">
      <w:pPr>
        <w:contextualSpacing/>
        <w:rPr>
          <w:rFonts w:cs="Arial"/>
          <w:b/>
          <w:lang w:val="en-US"/>
        </w:rPr>
      </w:pPr>
      <w:r w:rsidRPr="00CD56B9">
        <w:rPr>
          <w:rFonts w:cs="Arial"/>
          <w:b/>
          <w:bCs/>
          <w:lang w:val="en-US"/>
        </w:rPr>
        <w:t xml:space="preserve">Output 3: </w:t>
      </w:r>
      <w:r w:rsidRPr="00CD56B9">
        <w:rPr>
          <w:rFonts w:cs="Arial"/>
          <w:b/>
          <w:lang w:val="en-US"/>
        </w:rPr>
        <w:t>Community members facilitating voter education for the right to development and good governance</w:t>
      </w:r>
    </w:p>
    <w:p w14:paraId="15CE1369" w14:textId="77777777" w:rsidR="004B76F5" w:rsidRPr="00CD56B9" w:rsidRDefault="004B76F5" w:rsidP="004B76F5">
      <w:pPr>
        <w:spacing w:after="0"/>
        <w:contextualSpacing/>
        <w:rPr>
          <w:rFonts w:cs="Arial"/>
          <w:lang w:val="en-US"/>
        </w:rPr>
      </w:pPr>
    </w:p>
    <w:p w14:paraId="1DCB65D5" w14:textId="77777777" w:rsidR="004B76F5" w:rsidRPr="00CD56B9" w:rsidRDefault="004B76F5" w:rsidP="004B76F5">
      <w:pPr>
        <w:contextualSpacing/>
        <w:rPr>
          <w:rFonts w:cs="Arial"/>
          <w:i/>
          <w:lang w:val="en-US"/>
        </w:rPr>
      </w:pPr>
      <w:r w:rsidRPr="00CD56B9">
        <w:rPr>
          <w:rFonts w:cs="Arial"/>
          <w:bCs/>
          <w:i/>
          <w:kern w:val="24"/>
          <w:lang w:val="en-US"/>
        </w:rPr>
        <w:t>Indicator: % of public who are knowledgeable about electoral processes;</w:t>
      </w:r>
      <w:r w:rsidRPr="00CD56B9">
        <w:rPr>
          <w:rFonts w:cs="Arial"/>
          <w:i/>
          <w:lang w:val="en-US"/>
        </w:rPr>
        <w:t xml:space="preserve"> Baseline: NA; Target: NA; status: Partially achieved</w:t>
      </w:r>
    </w:p>
    <w:p w14:paraId="1F0E692F" w14:textId="77777777" w:rsidR="004B76F5" w:rsidRPr="00CD56B9" w:rsidRDefault="004B76F5" w:rsidP="004B76F5">
      <w:pPr>
        <w:pStyle w:val="Listeafsnit"/>
        <w:spacing w:after="0"/>
        <w:ind w:left="0"/>
        <w:rPr>
          <w:rFonts w:cs="Arial"/>
          <w:bCs/>
          <w:kern w:val="24"/>
          <w:lang w:val="en-US"/>
        </w:rPr>
      </w:pPr>
      <w:r w:rsidRPr="00CD56B9">
        <w:rPr>
          <w:rFonts w:cs="Arial"/>
          <w:lang w:val="en-US"/>
        </w:rPr>
        <w:t>This output was not funded and as a result, it was partially achieved. Despite the absence of election specific funding, CBEs, CRCs and RLCs actively participated, either on their own or in partnership with other accredited organisations to fighting electoral malpractices, raise awareness and encourage community participation to vote in the 2014 tripartite elections for candidates of their choice without inducement or coercion.  Duty bearers were engaged to resolve conflicts promptly. Parliamentary Election Candidates were made to sign social contracts with the communities (CRC &amp; RLC) in 45 constituencies from across the country. Some CRCs also facilitated constituency and ward level debates to enable candidates explain their plans and visions as well as enable voters put across their aspirations.</w:t>
      </w:r>
    </w:p>
    <w:p w14:paraId="06E5EA86" w14:textId="77777777" w:rsidR="004B76F5" w:rsidRPr="00CD56B9" w:rsidRDefault="004B76F5" w:rsidP="004B76F5">
      <w:pPr>
        <w:contextualSpacing/>
        <w:rPr>
          <w:rFonts w:cs="Arial"/>
          <w:bCs/>
          <w:lang w:val="en-US"/>
        </w:rPr>
      </w:pPr>
    </w:p>
    <w:p w14:paraId="3D62BDDE" w14:textId="77777777" w:rsidR="004B76F5" w:rsidRPr="00CD56B9" w:rsidRDefault="004B76F5" w:rsidP="004B76F5">
      <w:pPr>
        <w:contextualSpacing/>
        <w:rPr>
          <w:rFonts w:cs="Arial"/>
          <w:b/>
          <w:bCs/>
          <w:lang w:val="en-US"/>
        </w:rPr>
      </w:pPr>
      <w:r w:rsidRPr="00CD56B9">
        <w:rPr>
          <w:rFonts w:cs="Arial"/>
          <w:b/>
          <w:bCs/>
          <w:lang w:val="en-US"/>
        </w:rPr>
        <w:t xml:space="preserve">Output 4: </w:t>
      </w:r>
      <w:r w:rsidRPr="00CD56B9">
        <w:rPr>
          <w:rFonts w:cs="Arial"/>
          <w:b/>
          <w:lang w:val="en-US"/>
        </w:rPr>
        <w:t>Right to development-centred effective and efficient management, partnership formation and monitoring and evaluation of the Programme</w:t>
      </w:r>
    </w:p>
    <w:p w14:paraId="101AC76A" w14:textId="77777777" w:rsidR="004B76F5" w:rsidRPr="00CD56B9" w:rsidRDefault="004B76F5" w:rsidP="004B76F5">
      <w:pPr>
        <w:contextualSpacing/>
        <w:rPr>
          <w:rFonts w:cs="Arial"/>
          <w:lang w:val="en-US"/>
        </w:rPr>
      </w:pPr>
    </w:p>
    <w:p w14:paraId="6E60F835" w14:textId="77777777" w:rsidR="004B76F5" w:rsidRPr="00CD56B9" w:rsidRDefault="004B76F5" w:rsidP="004B76F5">
      <w:pPr>
        <w:contextualSpacing/>
        <w:rPr>
          <w:rFonts w:cs="Arial"/>
          <w:i/>
          <w:lang w:val="en-US"/>
        </w:rPr>
      </w:pPr>
      <w:r w:rsidRPr="00CD56B9">
        <w:rPr>
          <w:rFonts w:cs="Arial"/>
          <w:i/>
          <w:lang w:val="en-US"/>
        </w:rPr>
        <w:t>Baseline:</w:t>
      </w:r>
      <w:r w:rsidRPr="00CD56B9">
        <w:rPr>
          <w:rFonts w:cs="Arial"/>
          <w:bCs/>
          <w:i/>
          <w:lang w:val="en-US"/>
        </w:rPr>
        <w:t xml:space="preserve"> 15</w:t>
      </w:r>
      <w:r w:rsidRPr="00CD56B9">
        <w:rPr>
          <w:rFonts w:cs="Arial"/>
          <w:i/>
          <w:lang w:val="en-US"/>
        </w:rPr>
        <w:t>; Target 17;</w:t>
      </w:r>
      <w:r w:rsidRPr="00CD56B9">
        <w:rPr>
          <w:rFonts w:cs="Arial"/>
          <w:bCs/>
          <w:i/>
          <w:lang w:val="en-US"/>
        </w:rPr>
        <w:t xml:space="preserve"> Status: A</w:t>
      </w:r>
      <w:r w:rsidRPr="00CD56B9">
        <w:rPr>
          <w:rFonts w:cs="Arial"/>
          <w:i/>
          <w:lang w:val="en-US"/>
        </w:rPr>
        <w:t xml:space="preserve">chieved. </w:t>
      </w:r>
    </w:p>
    <w:p w14:paraId="191F0D21" w14:textId="77777777" w:rsidR="004B76F5" w:rsidRPr="00CD56B9" w:rsidRDefault="004B76F5" w:rsidP="004B76F5">
      <w:pPr>
        <w:ind w:firstLine="360"/>
        <w:contextualSpacing/>
        <w:rPr>
          <w:rFonts w:cs="Arial"/>
          <w:lang w:val="en-US"/>
        </w:rPr>
      </w:pPr>
    </w:p>
    <w:p w14:paraId="574778D6" w14:textId="77777777" w:rsidR="004B76F5" w:rsidRPr="00CD56B9" w:rsidRDefault="004B76F5" w:rsidP="004B76F5">
      <w:pPr>
        <w:contextualSpacing/>
        <w:rPr>
          <w:rFonts w:cs="Arial"/>
          <w:lang w:val="en-US"/>
        </w:rPr>
      </w:pPr>
      <w:r w:rsidRPr="00CD56B9">
        <w:rPr>
          <w:rFonts w:cs="Arial"/>
          <w:lang w:val="en-US"/>
        </w:rPr>
        <w:lastRenderedPageBreak/>
        <w:t xml:space="preserve">The IPs networked with other </w:t>
      </w:r>
      <w:r w:rsidR="00F870F1" w:rsidRPr="00CD56B9">
        <w:rPr>
          <w:rFonts w:cs="Arial"/>
          <w:lang w:val="en-US"/>
        </w:rPr>
        <w:t>organizations</w:t>
      </w:r>
      <w:r w:rsidRPr="00CD56B9">
        <w:rPr>
          <w:rFonts w:cs="Arial"/>
          <w:lang w:val="en-US"/>
        </w:rPr>
        <w:t xml:space="preserve"> at various levels, including District Executive Committee (DEC), OXFAM, Malawi Electoral Support Network (MESN) and National Initiative for Civic Education (NICE). Stakeholder Consultative Forum (SCF) was held for District Paralegal Officers and Programme Managers to share experiences and discuss the Programme implementation strategy, reporting guidelines and addressing common challenges. </w:t>
      </w:r>
    </w:p>
    <w:p w14:paraId="6BF39F61" w14:textId="77777777" w:rsidR="004B76F5" w:rsidRPr="00CD56B9" w:rsidRDefault="004B76F5" w:rsidP="004B76F5">
      <w:pPr>
        <w:spacing w:after="0"/>
        <w:contextualSpacing/>
        <w:rPr>
          <w:rFonts w:cs="Arial"/>
          <w:lang w:val="en-US"/>
        </w:rPr>
      </w:pPr>
    </w:p>
    <w:p w14:paraId="7C362CD1" w14:textId="77777777" w:rsidR="004B76F5" w:rsidRPr="00CD56B9" w:rsidRDefault="004B76F5" w:rsidP="004B76F5">
      <w:pPr>
        <w:contextualSpacing/>
        <w:rPr>
          <w:rFonts w:cs="Arial"/>
          <w:lang w:val="en-US"/>
        </w:rPr>
      </w:pPr>
      <w:r w:rsidRPr="00CD56B9">
        <w:rPr>
          <w:rFonts w:cs="Arial"/>
          <w:lang w:val="en-US"/>
        </w:rPr>
        <w:t xml:space="preserve">In summary, the output achievements are on track and targets likely to be met by end 2016 as evidenced by  the achievements notably, improved capacity of volunteer structures on governance and human rights with strong women involvement, trainings which increase in critical mass at local level demanding compliance with GG &amp; HR principles and fulfilment of RtD (1,728 out of 2,471 CRCs (69%) and 59 out of 61 RLCs (97%) dialogued with various duty bearers; improved access to justice by rights holders especially vulnerable groups (2,584 handled (1,438 – 55.9% were female};  and improved enjoyment of economic rights through engaging in IGAs, fighting labour and trade exploitation, etc. </w:t>
      </w:r>
    </w:p>
    <w:p w14:paraId="45625360" w14:textId="77777777" w:rsidR="004B76F5" w:rsidRPr="00CD56B9" w:rsidRDefault="004B76F5" w:rsidP="004B76F5">
      <w:pPr>
        <w:spacing w:after="0"/>
        <w:rPr>
          <w:rFonts w:cs="Arial"/>
          <w:lang w:val="en-US"/>
        </w:rPr>
      </w:pPr>
    </w:p>
    <w:p w14:paraId="682550AE" w14:textId="77777777" w:rsidR="004B76F5" w:rsidRPr="00CD56B9" w:rsidRDefault="004B76F5" w:rsidP="004B76F5">
      <w:pPr>
        <w:rPr>
          <w:rFonts w:cs="Arial"/>
          <w:lang w:val="en-US"/>
        </w:rPr>
      </w:pPr>
      <w:r w:rsidRPr="00CD56B9">
        <w:rPr>
          <w:rFonts w:cs="Arial"/>
          <w:lang w:val="en-US"/>
        </w:rPr>
        <w:t xml:space="preserve">Gender mainstreaming is well approached since by design, gender mainstreaming guides implementation across all programme activities.  The activities give attention to the needs and challenges facing vulnerable groups, namely; women, the elderly, people with disabilities and those infected and affected by HIV/Aids, youth and children.  </w:t>
      </w:r>
    </w:p>
    <w:p w14:paraId="7A9515FF" w14:textId="77777777" w:rsidR="004B76F5" w:rsidRPr="00CD56B9" w:rsidRDefault="004B76F5" w:rsidP="004B76F5">
      <w:pPr>
        <w:autoSpaceDE w:val="0"/>
        <w:autoSpaceDN w:val="0"/>
        <w:adjustRightInd w:val="0"/>
        <w:contextualSpacing/>
        <w:rPr>
          <w:rFonts w:cs="Arial"/>
          <w:b/>
          <w:lang w:val="en-US"/>
        </w:rPr>
      </w:pPr>
      <w:r w:rsidRPr="00CD56B9">
        <w:rPr>
          <w:rFonts w:cs="Arial"/>
          <w:b/>
          <w:lang w:val="en-US"/>
        </w:rPr>
        <w:t xml:space="preserve">Efficiency </w:t>
      </w:r>
    </w:p>
    <w:p w14:paraId="4479E254" w14:textId="77777777" w:rsidR="004B76F5" w:rsidRPr="00CD56B9" w:rsidRDefault="004B76F5" w:rsidP="004B76F5">
      <w:pPr>
        <w:autoSpaceDE w:val="0"/>
        <w:autoSpaceDN w:val="0"/>
        <w:adjustRightInd w:val="0"/>
        <w:rPr>
          <w:rFonts w:cs="Arial"/>
          <w:lang w:val="en-US"/>
        </w:rPr>
      </w:pPr>
      <w:r w:rsidRPr="00CD56B9">
        <w:rPr>
          <w:rFonts w:cs="Arial"/>
          <w:lang w:val="en-US"/>
        </w:rPr>
        <w:t>The programme is efficiently managed in view of the Delivery Rate of 70% with a total of actual payments (Govt. Disbursements Plus Direct Payments) made during the period against the approved 2015 Budget and with 70.3% of  Delivery Rate of Total actual payments (Govt. Disbursements only) made during the period against Available Resources in 2015. Over time, resources for the programme have been provided by the Government of Malawi, UNDP, Norway, Sweden, the Netherlands</w:t>
      </w:r>
      <w:r w:rsidR="00ED42D3">
        <w:rPr>
          <w:rFonts w:cs="Arial"/>
          <w:lang w:val="en-US"/>
        </w:rPr>
        <w:t>, Irish Aid</w:t>
      </w:r>
      <w:r w:rsidRPr="00CD56B9">
        <w:rPr>
          <w:rFonts w:cs="Arial"/>
          <w:lang w:val="en-US"/>
        </w:rPr>
        <w:t xml:space="preserve"> and Finland. In line with the Harmonized Approach to Cash Transfer (HACT), disbursement goes directly to the implementing partner on a quarterly basis upon receipt of a satisfactory financial and progress report for the preceding quarter.  For 2015, the annual budget is MWK 709,963,263; the PO received was MWK 497,728,169 and MWK 484,335,649 was spent. Direct payments made during the year amounted to MWK 12,467,792.</w:t>
      </w:r>
    </w:p>
    <w:p w14:paraId="12EC92C0" w14:textId="77777777" w:rsidR="004B76F5" w:rsidRPr="00CD56B9" w:rsidRDefault="004B76F5" w:rsidP="004B76F5">
      <w:pPr>
        <w:autoSpaceDE w:val="0"/>
        <w:autoSpaceDN w:val="0"/>
        <w:adjustRightInd w:val="0"/>
        <w:contextualSpacing/>
        <w:rPr>
          <w:rFonts w:cs="Arial"/>
          <w:lang w:val="en-US"/>
        </w:rPr>
      </w:pPr>
      <w:r w:rsidRPr="00CD56B9">
        <w:rPr>
          <w:rFonts w:cs="Arial"/>
          <w:lang w:val="en-US"/>
        </w:rPr>
        <w:t>The programme involves the transfer of knowledge and skills on governance and human rights, with special emphasis on the right to development, fair trade, labour and consumer rights using animation, group working and other interactive methods; creation of local programme structures like district officers, CBFs, CRCs and RLCs to lead the masses in making assessments of community challenges and making demands from relevant duty bearers and free paralegal services as a redress mechanism for vulnerable groups.</w:t>
      </w:r>
    </w:p>
    <w:p w14:paraId="18C68840" w14:textId="77777777" w:rsidR="004B76F5" w:rsidRPr="00CD56B9" w:rsidRDefault="004B76F5" w:rsidP="004B76F5">
      <w:pPr>
        <w:autoSpaceDE w:val="0"/>
        <w:autoSpaceDN w:val="0"/>
        <w:adjustRightInd w:val="0"/>
        <w:spacing w:after="0"/>
        <w:rPr>
          <w:rFonts w:cs="Arial"/>
          <w:lang w:val="en-US"/>
        </w:rPr>
      </w:pPr>
    </w:p>
    <w:p w14:paraId="1365B115" w14:textId="77777777" w:rsidR="004B76F5" w:rsidRPr="00CD56B9" w:rsidRDefault="004B76F5" w:rsidP="004B76F5">
      <w:pPr>
        <w:autoSpaceDE w:val="0"/>
        <w:autoSpaceDN w:val="0"/>
        <w:adjustRightInd w:val="0"/>
        <w:rPr>
          <w:rFonts w:cs="Arial"/>
          <w:lang w:val="en-US"/>
        </w:rPr>
      </w:pPr>
      <w:r w:rsidRPr="00CD56B9">
        <w:rPr>
          <w:rFonts w:cs="Arial"/>
          <w:lang w:val="en-US"/>
        </w:rPr>
        <w:t xml:space="preserve">The UNDP </w:t>
      </w:r>
      <w:r w:rsidR="00361B7D">
        <w:rPr>
          <w:rFonts w:cs="Arial"/>
          <w:lang w:val="en-US"/>
        </w:rPr>
        <w:t xml:space="preserve">provides </w:t>
      </w:r>
      <w:r w:rsidRPr="00CD56B9">
        <w:rPr>
          <w:rFonts w:cs="Arial"/>
          <w:lang w:val="en-US"/>
        </w:rPr>
        <w:t>support services as requested by Government. It also provides services in the areas of identification, assistance with and/or recruitm</w:t>
      </w:r>
      <w:r w:rsidR="00FA47C2">
        <w:rPr>
          <w:rFonts w:cs="Arial"/>
          <w:lang w:val="en-US"/>
        </w:rPr>
        <w:t>ent of long-term or short-term t</w:t>
      </w:r>
      <w:r w:rsidRPr="00CD56B9">
        <w:rPr>
          <w:rFonts w:cs="Arial"/>
          <w:lang w:val="en-US"/>
        </w:rPr>
        <w:t>echnical personnel, Procurement of specific goods and services, Identification and facilitation of training activities. Providing relevant information and technical advice obtained through UN global information systems, UN Knowledge Networks. Delays in UN funds transfers followed by requests for quick disbursement has a negative impact on programme activities and proper work planning.</w:t>
      </w:r>
    </w:p>
    <w:p w14:paraId="3F471E16" w14:textId="77777777" w:rsidR="004B76F5" w:rsidRPr="00CD56B9" w:rsidRDefault="004B76F5" w:rsidP="004B76F5">
      <w:pPr>
        <w:autoSpaceDE w:val="0"/>
        <w:autoSpaceDN w:val="0"/>
        <w:adjustRightInd w:val="0"/>
        <w:rPr>
          <w:rFonts w:cs="Arial"/>
          <w:lang w:val="en-US"/>
        </w:rPr>
      </w:pPr>
      <w:r w:rsidRPr="00CD56B9">
        <w:rPr>
          <w:rFonts w:cs="Arial"/>
          <w:lang w:val="en-US"/>
        </w:rPr>
        <w:t xml:space="preserve">Other challenges that negatively affected the implementation include the Judiciary workers industrial action which affected the speedy provision of redress for cases that required court intervention; inadequate funding </w:t>
      </w:r>
      <w:r w:rsidR="00F870F1">
        <w:rPr>
          <w:rFonts w:cs="Arial"/>
          <w:lang w:val="en-US"/>
        </w:rPr>
        <w:t xml:space="preserve">to line Ministries, blamed on </w:t>
      </w:r>
      <w:r w:rsidR="00045FB4" w:rsidRPr="00CD56B9">
        <w:rPr>
          <w:rFonts w:cs="Arial"/>
          <w:lang w:val="en-US"/>
        </w:rPr>
        <w:t>c</w:t>
      </w:r>
      <w:r w:rsidR="00F870F1">
        <w:rPr>
          <w:rFonts w:cs="Arial"/>
          <w:lang w:val="en-US"/>
        </w:rPr>
        <w:t>ashgate</w:t>
      </w:r>
      <w:r w:rsidRPr="00CD56B9">
        <w:rPr>
          <w:rFonts w:cs="Arial"/>
          <w:lang w:val="en-US"/>
        </w:rPr>
        <w:t xml:space="preserve"> by the central Government which adversely affected service delivery delaying responsive actions by the local authorities and operative factors such as unresponsive duty bearers due lack of resources in public institutions; </w:t>
      </w:r>
      <w:r w:rsidRPr="00CD56B9">
        <w:rPr>
          <w:rFonts w:cs="Arial"/>
          <w:lang w:val="en-US"/>
        </w:rPr>
        <w:lastRenderedPageBreak/>
        <w:t>increased political sensitivity occasioned by the tripartite elections; busy schedules and failure to hold a steering committee meetings.</w:t>
      </w:r>
    </w:p>
    <w:p w14:paraId="698A24C5" w14:textId="77777777" w:rsidR="004B76F5" w:rsidRPr="00CD56B9" w:rsidRDefault="004B76F5" w:rsidP="004B76F5">
      <w:pPr>
        <w:autoSpaceDE w:val="0"/>
        <w:autoSpaceDN w:val="0"/>
        <w:adjustRightInd w:val="0"/>
        <w:contextualSpacing/>
        <w:rPr>
          <w:rFonts w:cs="Arial"/>
          <w:b/>
          <w:lang w:val="en-US"/>
        </w:rPr>
      </w:pPr>
      <w:r w:rsidRPr="00CD56B9">
        <w:rPr>
          <w:rFonts w:cs="Arial"/>
          <w:b/>
          <w:lang w:val="en-US"/>
        </w:rPr>
        <w:t>Sustainability</w:t>
      </w:r>
    </w:p>
    <w:p w14:paraId="73B18C6E" w14:textId="77777777" w:rsidR="004B76F5" w:rsidRPr="00CD56B9" w:rsidRDefault="004B76F5" w:rsidP="004B76F5">
      <w:pPr>
        <w:autoSpaceDE w:val="0"/>
        <w:autoSpaceDN w:val="0"/>
        <w:adjustRightInd w:val="0"/>
        <w:rPr>
          <w:rFonts w:cs="Arial"/>
          <w:lang w:val="en-US"/>
        </w:rPr>
      </w:pPr>
      <w:r w:rsidRPr="00CD56B9">
        <w:rPr>
          <w:rFonts w:cs="Arial"/>
          <w:lang w:val="en-US"/>
        </w:rPr>
        <w:t xml:space="preserve">The sustainability is guaranteed by Government ownership and the project’s phased approach in implementation which focuses on transfer of knowledge and skills, animation, group working, and other interactive methods supported by radio and print media. The organization and management scheme of the Programme is based on a tripartite arrangement of the Malawi Government, the UNDP, and other development partners. The Key structures include the Office of the President and Cabinet (OPC) as the implementing partner, which uses existing structures, such as the DCP Steering Committee to play a coordinating role for this Programme Support Document and the Programme Management Office (PMO), and Stakeholders’ Consultative Forum (SCF). </w:t>
      </w:r>
    </w:p>
    <w:p w14:paraId="7D654341" w14:textId="164C4434" w:rsidR="004B76F5" w:rsidRPr="00CD56B9" w:rsidRDefault="004B76F5" w:rsidP="004B76F5">
      <w:pPr>
        <w:autoSpaceDE w:val="0"/>
        <w:autoSpaceDN w:val="0"/>
        <w:adjustRightInd w:val="0"/>
        <w:rPr>
          <w:rFonts w:cs="Arial"/>
          <w:lang w:val="en-US"/>
        </w:rPr>
      </w:pPr>
      <w:r w:rsidRPr="00CD56B9">
        <w:rPr>
          <w:rFonts w:cs="Arial"/>
          <w:lang w:val="en-US"/>
        </w:rPr>
        <w:t>Another indicator of sustainable programme outcome is the fact that other CSO</w:t>
      </w:r>
      <w:r w:rsidR="004821C1">
        <w:rPr>
          <w:rFonts w:cs="Arial"/>
          <w:lang w:val="en-US"/>
        </w:rPr>
        <w:t>s</w:t>
      </w:r>
      <w:r w:rsidRPr="00CD56B9">
        <w:rPr>
          <w:rFonts w:cs="Arial"/>
          <w:lang w:val="en-US"/>
        </w:rPr>
        <w:t xml:space="preserve"> are </w:t>
      </w:r>
      <w:r w:rsidR="004821C1">
        <w:rPr>
          <w:rFonts w:cs="Arial"/>
          <w:lang w:val="en-US"/>
        </w:rPr>
        <w:t xml:space="preserve">taking up </w:t>
      </w:r>
      <w:r w:rsidR="00FA47C2">
        <w:rPr>
          <w:rFonts w:cs="Arial"/>
          <w:lang w:val="en-US"/>
        </w:rPr>
        <w:t xml:space="preserve">the </w:t>
      </w:r>
      <w:r w:rsidRPr="00CD56B9">
        <w:rPr>
          <w:rFonts w:cs="Arial"/>
          <w:lang w:val="en-US"/>
        </w:rPr>
        <w:t xml:space="preserve">approach </w:t>
      </w:r>
      <w:r w:rsidR="004821C1">
        <w:rPr>
          <w:rFonts w:cs="Arial"/>
          <w:lang w:val="en-US"/>
        </w:rPr>
        <w:t>of</w:t>
      </w:r>
      <w:r w:rsidRPr="00CD56B9">
        <w:rPr>
          <w:rFonts w:cs="Arial"/>
          <w:lang w:val="en-US"/>
        </w:rPr>
        <w:t xml:space="preserve"> the DCP and are implementing similar programs in the same districts. </w:t>
      </w:r>
    </w:p>
    <w:p w14:paraId="30D21903" w14:textId="77777777" w:rsidR="004B76F5" w:rsidRPr="00CD56B9" w:rsidRDefault="004B76F5" w:rsidP="004B76F5">
      <w:pPr>
        <w:autoSpaceDE w:val="0"/>
        <w:autoSpaceDN w:val="0"/>
        <w:adjustRightInd w:val="0"/>
        <w:contextualSpacing/>
        <w:rPr>
          <w:rFonts w:cs="Arial"/>
          <w:b/>
          <w:lang w:val="en-US"/>
        </w:rPr>
      </w:pPr>
      <w:r w:rsidRPr="00CD56B9">
        <w:rPr>
          <w:rFonts w:cs="Arial"/>
          <w:b/>
          <w:lang w:val="en-US"/>
        </w:rPr>
        <w:t>Conclusion</w:t>
      </w:r>
    </w:p>
    <w:p w14:paraId="0716606F" w14:textId="77777777" w:rsidR="00C236A6" w:rsidRPr="00CD56B9" w:rsidRDefault="004B76F5" w:rsidP="004B76F5">
      <w:pPr>
        <w:autoSpaceDE w:val="0"/>
        <w:autoSpaceDN w:val="0"/>
        <w:adjustRightInd w:val="0"/>
        <w:contextualSpacing/>
        <w:rPr>
          <w:rFonts w:cs="Arial"/>
          <w:lang w:val="en-US"/>
        </w:rPr>
      </w:pPr>
      <w:r w:rsidRPr="00CD56B9">
        <w:rPr>
          <w:rFonts w:cs="Arial"/>
          <w:lang w:val="en-US"/>
        </w:rPr>
        <w:t xml:space="preserve">In conclusion, the Programme is relevant in addressing the challenges outlined in the situation analysis. It contributes to the attainment of Vision 2020, theme 5 of MGDS II and Outcome 4.1 of the current UNDAF. The programme continues to register commendable progress with many communities transforming from </w:t>
      </w:r>
      <w:r w:rsidR="00453862">
        <w:rPr>
          <w:rFonts w:cs="Arial"/>
          <w:lang w:val="en-US"/>
        </w:rPr>
        <w:t>muted</w:t>
      </w:r>
      <w:r w:rsidRPr="00CD56B9">
        <w:rPr>
          <w:rFonts w:cs="Arial"/>
          <w:lang w:val="en-US"/>
        </w:rPr>
        <w:t xml:space="preserve"> to active citizens demanding delivery of quality and affordable basic social services, respect for human rights in the delivery of public services as well as transparency and accountability. The election of </w:t>
      </w:r>
      <w:r w:rsidR="00EB34C7" w:rsidRPr="00CD56B9">
        <w:rPr>
          <w:rFonts w:cs="Arial"/>
          <w:lang w:val="en-US"/>
        </w:rPr>
        <w:t>councilors</w:t>
      </w:r>
      <w:r w:rsidRPr="00CD56B9">
        <w:rPr>
          <w:rFonts w:cs="Arial"/>
          <w:lang w:val="en-US"/>
        </w:rPr>
        <w:t xml:space="preserve">, after a long absence, present an opportunity to grass root volunteers as they will now have a voice in the decision making fora at district level. </w:t>
      </w:r>
    </w:p>
    <w:p w14:paraId="007E3BB9" w14:textId="77777777" w:rsidR="00B82880" w:rsidRPr="00CD56B9" w:rsidRDefault="00B82880" w:rsidP="004B76F5">
      <w:pPr>
        <w:autoSpaceDE w:val="0"/>
        <w:autoSpaceDN w:val="0"/>
        <w:adjustRightInd w:val="0"/>
        <w:contextualSpacing/>
        <w:rPr>
          <w:rFonts w:cs="Arial"/>
          <w:lang w:val="en-US"/>
        </w:rPr>
        <w:sectPr w:rsidR="00B82880" w:rsidRPr="00CD56B9" w:rsidSect="000C1092">
          <w:pgSz w:w="12240" w:h="15840"/>
          <w:pgMar w:top="1440" w:right="1440" w:bottom="1440" w:left="1440" w:header="720" w:footer="720" w:gutter="0"/>
          <w:cols w:space="720"/>
          <w:docGrid w:linePitch="360"/>
        </w:sectPr>
      </w:pPr>
    </w:p>
    <w:p w14:paraId="05C5E0EE" w14:textId="77777777" w:rsidR="00C236A6" w:rsidRPr="00CD56B9" w:rsidRDefault="00C236A6" w:rsidP="00997A7B">
      <w:pPr>
        <w:pStyle w:val="Overskrift2"/>
        <w:numPr>
          <w:ilvl w:val="0"/>
          <w:numId w:val="0"/>
        </w:numPr>
        <w:rPr>
          <w:lang w:val="en-US"/>
        </w:rPr>
      </w:pPr>
      <w:bookmarkStart w:id="32" w:name="_Toc439245584"/>
      <w:r w:rsidRPr="00CD56B9">
        <w:rPr>
          <w:lang w:val="en-US"/>
        </w:rPr>
        <w:lastRenderedPageBreak/>
        <w:t>3.8 Integrated Rural Development (IRD) Project</w:t>
      </w:r>
      <w:bookmarkEnd w:id="32"/>
    </w:p>
    <w:p w14:paraId="1352D133" w14:textId="77777777" w:rsidR="00C236A6" w:rsidRPr="00CD56B9" w:rsidRDefault="00C236A6" w:rsidP="00C236A6">
      <w:pPr>
        <w:spacing w:after="0"/>
        <w:rPr>
          <w:lang w:val="en-US"/>
        </w:rPr>
      </w:pPr>
    </w:p>
    <w:p w14:paraId="6B303C1E" w14:textId="77777777" w:rsidR="00C236A6" w:rsidRPr="00CD56B9" w:rsidRDefault="00C236A6" w:rsidP="00C236A6">
      <w:pPr>
        <w:spacing w:after="0"/>
        <w:rPr>
          <w:lang w:val="en-US"/>
        </w:rPr>
      </w:pPr>
      <w:r w:rsidRPr="00CD56B9">
        <w:rPr>
          <w:lang w:val="en-US"/>
        </w:rPr>
        <w:t xml:space="preserve">The establishment of an IRD framework at district level to stimulate economic growth in the rural areas and to improve living conditions of the most impoverished sections of </w:t>
      </w:r>
      <w:r w:rsidR="00201AC5" w:rsidRPr="00CD56B9">
        <w:rPr>
          <w:lang w:val="en-US"/>
        </w:rPr>
        <w:t>society</w:t>
      </w:r>
      <w:r w:rsidRPr="00CD56B9">
        <w:rPr>
          <w:lang w:val="en-US"/>
        </w:rPr>
        <w:t xml:space="preserve"> has been approached on several occasions over the years with early policy attempts dating back </w:t>
      </w:r>
      <w:r w:rsidR="002C7C33" w:rsidRPr="00CD56B9">
        <w:rPr>
          <w:lang w:val="en-US"/>
        </w:rPr>
        <w:t xml:space="preserve">as early as </w:t>
      </w:r>
      <w:r w:rsidRPr="00CD56B9">
        <w:rPr>
          <w:lang w:val="en-US"/>
        </w:rPr>
        <w:t xml:space="preserve">the seventies and the eighties. Previously, such attempts were not successful.  </w:t>
      </w:r>
    </w:p>
    <w:p w14:paraId="347F3A60" w14:textId="77777777" w:rsidR="00C236A6" w:rsidRPr="00CD56B9" w:rsidRDefault="00C236A6" w:rsidP="00C236A6">
      <w:pPr>
        <w:spacing w:after="0"/>
        <w:rPr>
          <w:lang w:val="en-US"/>
        </w:rPr>
      </w:pPr>
    </w:p>
    <w:p w14:paraId="0FEF3B16" w14:textId="77777777" w:rsidR="00C236A6" w:rsidRPr="00CD56B9" w:rsidRDefault="00C236A6" w:rsidP="00C236A6">
      <w:pPr>
        <w:spacing w:after="0"/>
        <w:rPr>
          <w:lang w:val="en-US"/>
        </w:rPr>
      </w:pPr>
      <w:r w:rsidRPr="00CD56B9">
        <w:rPr>
          <w:lang w:val="en-US"/>
        </w:rPr>
        <w:t>The Malawi Growth and Development Strategy (MGDS II) puts the IRD approach back on the development agenda. It recognizes that broad based economic growth can only be attained if the rural poor fully participate in social, political and economic activities. IRD is therefore one of nine key priority areas identified to transform rural areas into socially, politically and economically viable enclaves that contribute positively to the reduction of poverty and overall sustainable development in Malawi</w:t>
      </w:r>
    </w:p>
    <w:p w14:paraId="67BA7609" w14:textId="77777777" w:rsidR="00C236A6" w:rsidRPr="00CD56B9" w:rsidRDefault="00C236A6" w:rsidP="00C236A6">
      <w:pPr>
        <w:spacing w:after="0"/>
        <w:rPr>
          <w:lang w:val="en-US"/>
        </w:rPr>
      </w:pPr>
    </w:p>
    <w:p w14:paraId="774F1633" w14:textId="77777777" w:rsidR="00C236A6" w:rsidRPr="00CD56B9" w:rsidRDefault="00C236A6" w:rsidP="00C236A6">
      <w:pPr>
        <w:spacing w:after="0"/>
        <w:rPr>
          <w:lang w:val="en-US"/>
        </w:rPr>
      </w:pPr>
      <w:r w:rsidRPr="00CD56B9">
        <w:rPr>
          <w:lang w:val="en-US"/>
        </w:rPr>
        <w:t>Against this backdrop, UNDP and Irish Aid support the MoLGRD in the development of an IRD strategy. The project has three outputs:</w:t>
      </w:r>
    </w:p>
    <w:p w14:paraId="3013A80D" w14:textId="77777777" w:rsidR="00C236A6" w:rsidRPr="00CD56B9" w:rsidRDefault="00C236A6" w:rsidP="00C236A6">
      <w:pPr>
        <w:spacing w:after="0"/>
        <w:rPr>
          <w:b/>
          <w:lang w:val="en-US"/>
        </w:rPr>
      </w:pPr>
    </w:p>
    <w:p w14:paraId="7D22C892" w14:textId="77777777" w:rsidR="00C236A6" w:rsidRDefault="00C236A6" w:rsidP="00C236A6">
      <w:pPr>
        <w:pStyle w:val="Ingenafstand"/>
        <w:spacing w:line="276" w:lineRule="auto"/>
      </w:pPr>
      <w:r w:rsidRPr="007D09E8">
        <w:rPr>
          <w:b/>
        </w:rPr>
        <w:t>Output 1</w:t>
      </w:r>
      <w:r>
        <w:t>: Gender responsive IRD strategy document approved and disseminated widely</w:t>
      </w:r>
    </w:p>
    <w:p w14:paraId="3A757EAD" w14:textId="77777777" w:rsidR="00C236A6" w:rsidRDefault="00C236A6" w:rsidP="00C236A6">
      <w:pPr>
        <w:pStyle w:val="Ingenafstand"/>
        <w:spacing w:line="276" w:lineRule="auto"/>
      </w:pPr>
      <w:r w:rsidRPr="007D09E8">
        <w:rPr>
          <w:b/>
        </w:rPr>
        <w:t>Output 2</w:t>
      </w:r>
      <w:r w:rsidRPr="007D09E8">
        <w:t xml:space="preserve">: </w:t>
      </w:r>
      <w:r>
        <w:t>MoLGRD strengthened to manage IRD interventions</w:t>
      </w:r>
    </w:p>
    <w:p w14:paraId="48899394" w14:textId="77777777" w:rsidR="00C236A6" w:rsidRDefault="00C236A6" w:rsidP="00C236A6">
      <w:pPr>
        <w:pStyle w:val="Ingenafstand"/>
        <w:spacing w:line="276" w:lineRule="auto"/>
      </w:pPr>
      <w:r w:rsidRPr="007D09E8">
        <w:rPr>
          <w:b/>
        </w:rPr>
        <w:t>Output 3</w:t>
      </w:r>
      <w:r w:rsidRPr="007D09E8">
        <w:t xml:space="preserve">: </w:t>
      </w:r>
      <w:r>
        <w:t>Formulation of national programme for strengthening local governance and promoting integrated rural development supported.</w:t>
      </w:r>
    </w:p>
    <w:p w14:paraId="60EF81B6" w14:textId="77777777" w:rsidR="00C236A6" w:rsidRPr="00CD56B9" w:rsidRDefault="00C236A6" w:rsidP="00C236A6">
      <w:pPr>
        <w:spacing w:after="0"/>
        <w:rPr>
          <w:lang w:val="en-US"/>
        </w:rPr>
      </w:pPr>
    </w:p>
    <w:p w14:paraId="5F500100" w14:textId="77777777" w:rsidR="00C236A6" w:rsidRPr="00CD56B9" w:rsidRDefault="00C236A6" w:rsidP="00C236A6">
      <w:pPr>
        <w:spacing w:after="0"/>
        <w:rPr>
          <w:lang w:val="en-US"/>
        </w:rPr>
      </w:pPr>
      <w:r w:rsidRPr="00CD56B9">
        <w:rPr>
          <w:lang w:val="en-US"/>
        </w:rPr>
        <w:t>The project should mainly be seen as support to the development of the strategy itself, but the project document also links up to the wider attempts of implementing the devolution strategy and the Local government Act of 1998 and the ability of MoLGRD to manage this process. Such support has been provided in the past, also involving other DPs such as GiZ, the WB and UNCDF, but has been abandoned again due lack of progress, cancellation of local elect</w:t>
      </w:r>
      <w:r w:rsidR="00C42C62" w:rsidRPr="00CD56B9">
        <w:rPr>
          <w:lang w:val="en-US"/>
        </w:rPr>
        <w:t>ions in 2005 and 2009 and also in the aftermath of cash</w:t>
      </w:r>
      <w:r w:rsidRPr="00CD56B9">
        <w:rPr>
          <w:lang w:val="en-US"/>
        </w:rPr>
        <w:t>gate.</w:t>
      </w:r>
    </w:p>
    <w:p w14:paraId="1B434DB2" w14:textId="77777777" w:rsidR="00C236A6" w:rsidRPr="00CD56B9" w:rsidRDefault="00C236A6" w:rsidP="00C236A6">
      <w:pPr>
        <w:spacing w:after="0"/>
        <w:rPr>
          <w:lang w:val="en-US"/>
        </w:rPr>
      </w:pPr>
    </w:p>
    <w:p w14:paraId="00086056" w14:textId="77777777" w:rsidR="00C236A6" w:rsidRPr="00CD56B9" w:rsidRDefault="00C236A6" w:rsidP="003F5938">
      <w:pPr>
        <w:rPr>
          <w:lang w:val="en-US"/>
        </w:rPr>
      </w:pPr>
      <w:r w:rsidRPr="00CD56B9">
        <w:rPr>
          <w:lang w:val="en-US"/>
        </w:rPr>
        <w:t>In May 2014, during the ‘t</w:t>
      </w:r>
      <w:r w:rsidRPr="00CD56B9">
        <w:rPr>
          <w:rFonts w:cs="Arial"/>
          <w:lang w:val="en-US"/>
        </w:rPr>
        <w:t xml:space="preserve">ripartite” elections, local </w:t>
      </w:r>
      <w:r w:rsidR="003F5938" w:rsidRPr="00CD56B9">
        <w:rPr>
          <w:rFonts w:cs="Arial"/>
          <w:lang w:val="en-US"/>
        </w:rPr>
        <w:t>councillors</w:t>
      </w:r>
      <w:r w:rsidRPr="00CD56B9">
        <w:rPr>
          <w:rFonts w:cs="Arial"/>
          <w:lang w:val="en-US"/>
        </w:rPr>
        <w:t xml:space="preserve"> were once again elected after a nine-year absence, providing a</w:t>
      </w:r>
      <w:r w:rsidRPr="00CD56B9">
        <w:rPr>
          <w:lang w:val="en-US"/>
        </w:rPr>
        <w:t xml:space="preserve"> renewed opportunity to strengthen local governance and accountability. In addition, in February 2015, the Government of Malawi (GOM) publicly announced a Public Sector Reform (PSR) agenda that includes enhancing decentralization as well as other key reforms. To this end, the MoLGRD has drafted a LG reform strategy, which is currently under scrutiny in Parliament. It attempts to reinstate the devolution process by piloting fiscal, functional and civil service reforms in six districts. USAid will be supporting this process through the Local Government Accountability and Performance Project (LGAP). The IRD strategy is part of the broader attempt by the MoLGRD to reinstate the objectives of the devolution policy in Malawi in correspondence with MDGS II.</w:t>
      </w:r>
    </w:p>
    <w:p w14:paraId="5C647F55" w14:textId="77777777" w:rsidR="00C236A6" w:rsidRPr="00CD56B9" w:rsidRDefault="00C236A6" w:rsidP="003F5938">
      <w:pPr>
        <w:rPr>
          <w:lang w:val="en-US"/>
        </w:rPr>
      </w:pPr>
      <w:r w:rsidRPr="00CD56B9">
        <w:rPr>
          <w:lang w:val="en-US"/>
        </w:rPr>
        <w:t>The six pilot districts are Lilongwe Rural, Blantyre Rural, Zomba Rural, Mulanje, Kasungu, and M’mbelwa. Administrative decentralization would include devolved human resources from the ministries to the districts, so that district staff are hired and managed by district governments (rather than reporting to line ministries) in coordination with the Local Government Service Commission.</w:t>
      </w:r>
    </w:p>
    <w:p w14:paraId="1675D3A6" w14:textId="77777777" w:rsidR="00C236A6" w:rsidRPr="00CD56B9" w:rsidRDefault="00C236A6" w:rsidP="00C236A6">
      <w:pPr>
        <w:rPr>
          <w:lang w:val="en-US"/>
        </w:rPr>
      </w:pPr>
      <w:r w:rsidRPr="00CD56B9">
        <w:rPr>
          <w:lang w:val="en-US"/>
        </w:rPr>
        <w:t xml:space="preserve">The FY 15/16 National Budget devolves 5 billion MWK of the Development Budget to district councils. While still modest, previous councils received almost no development grants, greatly limiting their ability to provide services and implement development plans. Increased central transfers are intended to provide councils with the funds necessary to implement District Development Plans. The draft plan also seeks to ensure transparency and accountability for these </w:t>
      </w:r>
      <w:r w:rsidRPr="00CD56B9">
        <w:rPr>
          <w:lang w:val="en-US"/>
        </w:rPr>
        <w:lastRenderedPageBreak/>
        <w:t xml:space="preserve">funds, including robust monitoring by the National Local Government Finance Committee (NLGFC) and National Audit Office. Reforms </w:t>
      </w:r>
      <w:r w:rsidR="00A162EA" w:rsidRPr="00CD56B9">
        <w:rPr>
          <w:lang w:val="en-US"/>
        </w:rPr>
        <w:t>of</w:t>
      </w:r>
      <w:r w:rsidRPr="00CD56B9">
        <w:rPr>
          <w:lang w:val="en-US"/>
        </w:rPr>
        <w:t xml:space="preserve"> the Local Government Act and Chiefs Act have undergone stakeholder consultations, including a two-day workshop supported by PAC and the MoLGRD is currently working on </w:t>
      </w:r>
      <w:r w:rsidR="00A162EA" w:rsidRPr="00CD56B9">
        <w:rPr>
          <w:lang w:val="en-US"/>
        </w:rPr>
        <w:t xml:space="preserve">the </w:t>
      </w:r>
      <w:r w:rsidRPr="00CD56B9">
        <w:rPr>
          <w:lang w:val="en-US"/>
        </w:rPr>
        <w:t>legal drafting.</w:t>
      </w:r>
    </w:p>
    <w:p w14:paraId="41453A68" w14:textId="06E13CA3" w:rsidR="00C236A6" w:rsidRPr="00CD56B9" w:rsidRDefault="00C236A6" w:rsidP="00C236A6">
      <w:pPr>
        <w:spacing w:after="0"/>
        <w:rPr>
          <w:lang w:val="en-US"/>
        </w:rPr>
      </w:pPr>
      <w:r w:rsidRPr="00CD56B9">
        <w:rPr>
          <w:lang w:val="en-US"/>
        </w:rPr>
        <w:t>The UNDAF Outcome 4.1 focuses on IRD though</w:t>
      </w:r>
      <w:r w:rsidR="00361B7D">
        <w:rPr>
          <w:lang w:val="en-US"/>
        </w:rPr>
        <w:t>,</w:t>
      </w:r>
      <w:r w:rsidRPr="00CD56B9">
        <w:rPr>
          <w:lang w:val="en-US"/>
        </w:rPr>
        <w:t xml:space="preserve"> and anticipates a rollout of the IRD concept to all 28 districts within the current programme cycle (which corresponds to the timeline in the reform plan). The project was originally designed for a duration of eighteen months, but has been extended and the IRD strategy itself is not expected to be finalized before mid-2016. </w:t>
      </w:r>
    </w:p>
    <w:p w14:paraId="17DE7CFA" w14:textId="77777777" w:rsidR="00C236A6" w:rsidRPr="00CD56B9" w:rsidRDefault="00C236A6" w:rsidP="00C236A6">
      <w:pPr>
        <w:spacing w:after="0"/>
        <w:rPr>
          <w:lang w:val="en-US"/>
        </w:rPr>
      </w:pPr>
    </w:p>
    <w:p w14:paraId="4D6D4A74" w14:textId="77777777" w:rsidR="00C236A6" w:rsidRPr="00CD56B9" w:rsidRDefault="00C236A6" w:rsidP="00C236A6">
      <w:pPr>
        <w:rPr>
          <w:b/>
          <w:lang w:val="en-US"/>
        </w:rPr>
      </w:pPr>
      <w:r w:rsidRPr="00CD56B9">
        <w:rPr>
          <w:b/>
          <w:lang w:val="en-US"/>
        </w:rPr>
        <w:t>Output 1</w:t>
      </w:r>
      <w:r w:rsidRPr="00CD56B9">
        <w:rPr>
          <w:lang w:val="en-US"/>
        </w:rPr>
        <w:t xml:space="preserve">: </w:t>
      </w:r>
      <w:r w:rsidRPr="00CD56B9">
        <w:rPr>
          <w:b/>
          <w:lang w:val="en-US"/>
        </w:rPr>
        <w:t>Gender responsive IRD strategy document approved and disseminated widely</w:t>
      </w:r>
    </w:p>
    <w:p w14:paraId="74CE107D" w14:textId="77777777" w:rsidR="00C236A6" w:rsidRPr="00CD56B9" w:rsidRDefault="00C236A6" w:rsidP="00C236A6">
      <w:pPr>
        <w:rPr>
          <w:i/>
          <w:lang w:val="en-US"/>
        </w:rPr>
      </w:pPr>
      <w:r w:rsidRPr="00CD56B9">
        <w:rPr>
          <w:i/>
          <w:lang w:val="en-US"/>
        </w:rPr>
        <w:t xml:space="preserve">Indicator: Progress towards developing the gender responsive IRD Strategy. Baseline: Conceptualization. Target: Approved strategy by December 2014. Status: Strategy still under preparation. </w:t>
      </w:r>
    </w:p>
    <w:p w14:paraId="205B8F23" w14:textId="75754C14" w:rsidR="00C236A6" w:rsidRPr="00CD56B9" w:rsidRDefault="00C236A6" w:rsidP="00C236A6">
      <w:pPr>
        <w:rPr>
          <w:lang w:val="en-US"/>
        </w:rPr>
      </w:pPr>
      <w:r w:rsidRPr="00CD56B9">
        <w:rPr>
          <w:lang w:val="en-US"/>
        </w:rPr>
        <w:t xml:space="preserve">The IRD strategy has been under development for quite some time and several inputs have been made to MoLGRD during the last years, e.g. the Integrated Rural Development Strategy Preparatory Study </w:t>
      </w:r>
      <w:r w:rsidR="00D82EFB">
        <w:rPr>
          <w:lang w:val="en-US"/>
        </w:rPr>
        <w:t>in</w:t>
      </w:r>
      <w:r w:rsidRPr="00CD56B9">
        <w:rPr>
          <w:lang w:val="en-US"/>
        </w:rPr>
        <w:t>2010</w:t>
      </w:r>
      <w:r w:rsidR="00D82EFB">
        <w:rPr>
          <w:lang w:val="en-US"/>
        </w:rPr>
        <w:t>.</w:t>
      </w:r>
      <w:r w:rsidRPr="00CD56B9">
        <w:rPr>
          <w:lang w:val="en-US"/>
        </w:rPr>
        <w:t xml:space="preserve">. The MoLGRD admits that it is difficult to develop the concept given the incomplete rollout of the devolution process, but is now confident that the strategy can be completed and approved by mid-2016. During the design process some officials and </w:t>
      </w:r>
      <w:r w:rsidR="009E0C9C" w:rsidRPr="00CD56B9">
        <w:rPr>
          <w:lang w:val="en-US"/>
        </w:rPr>
        <w:t>councilors</w:t>
      </w:r>
      <w:r w:rsidRPr="00CD56B9">
        <w:rPr>
          <w:lang w:val="en-US"/>
        </w:rPr>
        <w:t xml:space="preserve"> have been trained in the concept, but the MoLGRD concurs that such trainings may have been premature, and should await the conclusion of the strategy. Certainly, the visit by the MTE team to Lilongwe District </w:t>
      </w:r>
      <w:r w:rsidR="00D82EFB">
        <w:rPr>
          <w:lang w:val="en-US"/>
        </w:rPr>
        <w:t xml:space="preserve">and discussion with the District Planning and Development Officer (DPD) </w:t>
      </w:r>
      <w:r w:rsidRPr="00CD56B9">
        <w:rPr>
          <w:lang w:val="en-US"/>
        </w:rPr>
        <w:t xml:space="preserve">confirmed that the training </w:t>
      </w:r>
      <w:r w:rsidR="00D82EFB">
        <w:rPr>
          <w:lang w:val="en-US"/>
        </w:rPr>
        <w:t>which was</w:t>
      </w:r>
      <w:r w:rsidRPr="00CD56B9">
        <w:rPr>
          <w:lang w:val="en-US"/>
        </w:rPr>
        <w:t xml:space="preserve"> rendered exclusively to the DC, has not been disseminated among </w:t>
      </w:r>
      <w:r w:rsidR="009E0C9C" w:rsidRPr="00CD56B9">
        <w:rPr>
          <w:lang w:val="en-US"/>
        </w:rPr>
        <w:t>councilors</w:t>
      </w:r>
      <w:r w:rsidRPr="00CD56B9">
        <w:rPr>
          <w:lang w:val="en-US"/>
        </w:rPr>
        <w:t xml:space="preserve"> and planning staff</w:t>
      </w:r>
      <w:r w:rsidR="00D82EFB">
        <w:rPr>
          <w:lang w:val="en-US"/>
        </w:rPr>
        <w:t>. The</w:t>
      </w:r>
      <w:r w:rsidRPr="00CD56B9">
        <w:rPr>
          <w:lang w:val="en-US"/>
        </w:rPr>
        <w:t xml:space="preserve"> </w:t>
      </w:r>
      <w:r w:rsidR="00D82EFB">
        <w:rPr>
          <w:lang w:val="en-US"/>
        </w:rPr>
        <w:t>DPD</w:t>
      </w:r>
      <w:r w:rsidRPr="00CD56B9">
        <w:rPr>
          <w:lang w:val="en-US"/>
        </w:rPr>
        <w:t xml:space="preserve"> admitted that he had never heard of any efforts to introduce the IRD in his district</w:t>
      </w:r>
      <w:r w:rsidRPr="00CD56B9">
        <w:rPr>
          <w:i/>
          <w:lang w:val="en-US"/>
        </w:rPr>
        <w:t xml:space="preserve">. </w:t>
      </w:r>
      <w:r w:rsidRPr="00CD56B9">
        <w:rPr>
          <w:lang w:val="en-US"/>
        </w:rPr>
        <w:t xml:space="preserve">He also considered it pointless unless substantial funding is transferred for such planning purposes. The district already has a </w:t>
      </w:r>
      <w:r w:rsidR="00EE0982" w:rsidRPr="00CD56B9">
        <w:rPr>
          <w:lang w:val="en-US"/>
        </w:rPr>
        <w:t>well-drafted</w:t>
      </w:r>
      <w:r w:rsidRPr="00CD56B9">
        <w:rPr>
          <w:lang w:val="en-US"/>
        </w:rPr>
        <w:t xml:space="preserve"> development plan, which even includes off-budget CSO contributions, but the plan cannot be </w:t>
      </w:r>
      <w:r w:rsidR="00747162" w:rsidRPr="00CD56B9">
        <w:rPr>
          <w:lang w:val="en-US"/>
        </w:rPr>
        <w:t>realized,</w:t>
      </w:r>
      <w:r w:rsidRPr="00CD56B9">
        <w:rPr>
          <w:lang w:val="en-US"/>
        </w:rPr>
        <w:t xml:space="preserve"> as funds for development cannot be mobilized.  </w:t>
      </w:r>
    </w:p>
    <w:p w14:paraId="738EF1C7" w14:textId="77777777" w:rsidR="00C236A6" w:rsidRPr="00CD56B9" w:rsidRDefault="00C236A6" w:rsidP="00C236A6">
      <w:pPr>
        <w:rPr>
          <w:lang w:val="en-US"/>
        </w:rPr>
      </w:pPr>
      <w:r w:rsidRPr="00CD56B9">
        <w:rPr>
          <w:lang w:val="en-US"/>
        </w:rPr>
        <w:t xml:space="preserve">The project has effectively and systematically applied a gender mainstreaming approach. The objective of the project was to produce a </w:t>
      </w:r>
      <w:r w:rsidR="00946024" w:rsidRPr="00CD56B9">
        <w:rPr>
          <w:lang w:val="en-US"/>
        </w:rPr>
        <w:t xml:space="preserve">fully engendered </w:t>
      </w:r>
      <w:r w:rsidRPr="00CD56B9">
        <w:rPr>
          <w:lang w:val="en-US"/>
        </w:rPr>
        <w:t xml:space="preserve">policy and Institutional framework for IRD </w:t>
      </w:r>
      <w:r w:rsidR="00946024" w:rsidRPr="00CD56B9">
        <w:rPr>
          <w:lang w:val="en-US"/>
        </w:rPr>
        <w:t xml:space="preserve">covering </w:t>
      </w:r>
      <w:r w:rsidRPr="00CD56B9">
        <w:rPr>
          <w:lang w:val="en-US"/>
        </w:rPr>
        <w:t>planning, coordination, implementation and monitoring and evaluation. A gender assessment of the IRD sector was undertaken (2014) which provided evidence based information to assist the Ministry of Local Government and Rural Development in finalizing the Integrated Rural Development Strategy (IRDS).  Based on the assessment, gender has been effectively mainstreamed in the IRD framework with the following core focus areas: Gender is a core pillar of the framework; increased meaningful participation of all gender groups in IRD activities; reduced gender based violence at all levels; enhanced gender mainstreaming across all sectors</w:t>
      </w:r>
    </w:p>
    <w:p w14:paraId="4DDE44BF" w14:textId="77777777" w:rsidR="00C236A6" w:rsidRPr="00CD56B9" w:rsidRDefault="00C236A6" w:rsidP="00C236A6">
      <w:pPr>
        <w:rPr>
          <w:b/>
          <w:lang w:val="en-US"/>
        </w:rPr>
      </w:pPr>
      <w:r w:rsidRPr="00CD56B9">
        <w:rPr>
          <w:b/>
          <w:lang w:val="en-US"/>
        </w:rPr>
        <w:t xml:space="preserve">Output 2: MoLGRD strengthened to manage the medium term programme for supporting Local governance and promoting IRD </w:t>
      </w:r>
    </w:p>
    <w:p w14:paraId="63002B20" w14:textId="77777777" w:rsidR="00C236A6" w:rsidRPr="00CD56B9" w:rsidRDefault="00C236A6" w:rsidP="00C236A6">
      <w:pPr>
        <w:rPr>
          <w:i/>
          <w:lang w:val="en-US"/>
        </w:rPr>
      </w:pPr>
      <w:r w:rsidRPr="00CD56B9">
        <w:rPr>
          <w:i/>
          <w:lang w:val="en-US"/>
        </w:rPr>
        <w:t>Indicator: Level of MoLGRD leadership in supporting Local governance and promoting IRD. Baseline: Low. Target: High (by December 2014). Status: Partially achieved.</w:t>
      </w:r>
    </w:p>
    <w:p w14:paraId="18835F5E" w14:textId="77777777" w:rsidR="00C236A6" w:rsidRPr="00CD56B9" w:rsidRDefault="00C236A6" w:rsidP="00C236A6">
      <w:pPr>
        <w:rPr>
          <w:lang w:val="en-US"/>
        </w:rPr>
      </w:pPr>
      <w:r w:rsidRPr="00CD56B9">
        <w:rPr>
          <w:lang w:val="en-US"/>
        </w:rPr>
        <w:t>Part of this output concerns the operations of the SWG on decentralization and IRD. The SWG is active and conducts its meetings according to its TOR. It is co-chaired by USA</w:t>
      </w:r>
      <w:r w:rsidR="00CA5033">
        <w:rPr>
          <w:lang w:val="en-US"/>
        </w:rPr>
        <w:t>ID</w:t>
      </w:r>
      <w:r w:rsidRPr="00CD56B9">
        <w:rPr>
          <w:lang w:val="en-US"/>
        </w:rPr>
        <w:t xml:space="preserve">. Through the support rendered by UNDP, the MoLGRD seems to have achieved a good understanding of the IRD concept itself. The key </w:t>
      </w:r>
      <w:r w:rsidR="003F5938" w:rsidRPr="00CD56B9">
        <w:rPr>
          <w:lang w:val="en-US"/>
        </w:rPr>
        <w:t>revelation</w:t>
      </w:r>
      <w:r w:rsidRPr="00CD56B9">
        <w:rPr>
          <w:lang w:val="en-US"/>
        </w:rPr>
        <w:t xml:space="preserve"> has been its study tour to Tanzania to study the experience with IRD at district level, which seems to have induced a new level of confidence of key MoLGRD officials about the ramifications of the IRD concept. As mentioned above, this seems not to be the </w:t>
      </w:r>
      <w:r w:rsidRPr="00CD56B9">
        <w:rPr>
          <w:lang w:val="en-US"/>
        </w:rPr>
        <w:lastRenderedPageBreak/>
        <w:t xml:space="preserve">case at the operational level in the districts, though and the MoLGRD is now looking to move the whole devolution process forward and to bring the DPs back on board. The IRD strategy is an integrated part of the reform plan. However, the initial comments from the Parliament indicate reservations towards the idea of piloting the LG reform in six districts, only. </w:t>
      </w:r>
    </w:p>
    <w:p w14:paraId="02EE4C7A" w14:textId="77777777" w:rsidR="00C236A6" w:rsidRPr="00CD56B9" w:rsidRDefault="00C236A6" w:rsidP="00C236A6">
      <w:pPr>
        <w:rPr>
          <w:b/>
          <w:lang w:val="en-US"/>
        </w:rPr>
      </w:pPr>
      <w:r w:rsidRPr="00CD56B9">
        <w:rPr>
          <w:b/>
          <w:lang w:val="en-US"/>
        </w:rPr>
        <w:t>Output 3: Formulation of national programme for strengthening local governance and promoting integrated rural development supported.</w:t>
      </w:r>
    </w:p>
    <w:p w14:paraId="0AF8A80F" w14:textId="77777777" w:rsidR="00C236A6" w:rsidRPr="00CD56B9" w:rsidRDefault="00C236A6" w:rsidP="00C236A6">
      <w:pPr>
        <w:rPr>
          <w:i/>
          <w:lang w:val="en-US"/>
        </w:rPr>
      </w:pPr>
      <w:r w:rsidRPr="00CD56B9">
        <w:rPr>
          <w:i/>
          <w:lang w:val="en-US"/>
        </w:rPr>
        <w:t>Indicator: Formulation of a medium term programme for supporting local governance and promoting IRD. Baseline: 0. Target: 1 (by December 2014). Status: Partially achieved.</w:t>
      </w:r>
    </w:p>
    <w:p w14:paraId="005402B9" w14:textId="77777777" w:rsidR="00C236A6" w:rsidRPr="00CD56B9" w:rsidRDefault="00C236A6" w:rsidP="00C236A6">
      <w:pPr>
        <w:rPr>
          <w:lang w:val="en-US"/>
        </w:rPr>
      </w:pPr>
      <w:r w:rsidRPr="00CD56B9">
        <w:rPr>
          <w:lang w:val="en-US"/>
        </w:rPr>
        <w:t xml:space="preserve">MoLGRD has indeed prepared a medium term programme for rolling out the devolution process, as mentioned above. The reform programme is a. o. based on an evaluation of the previous NDP II as anticipated by the IRD project support document. This evaluation was completed by December 2014 and provides useful insights into previous support to devolution on Malawi and the major challenges of devolution in the country. While the LG reform plan has been formulated and is currently tabled in Parliament, the rollout of the IRD strategy is still awaiting the completion of the strategy itself by mid-2016. </w:t>
      </w:r>
    </w:p>
    <w:p w14:paraId="31F93150" w14:textId="77777777" w:rsidR="00C236A6" w:rsidRPr="00CD56B9" w:rsidRDefault="00C236A6" w:rsidP="00C236A6">
      <w:pPr>
        <w:spacing w:after="0"/>
        <w:rPr>
          <w:b/>
          <w:lang w:val="en-US"/>
        </w:rPr>
      </w:pPr>
      <w:r w:rsidRPr="00CD56B9">
        <w:rPr>
          <w:b/>
          <w:lang w:val="en-US"/>
        </w:rPr>
        <w:t>Efficiency</w:t>
      </w:r>
    </w:p>
    <w:p w14:paraId="3FE5AAE6" w14:textId="54A42BDC" w:rsidR="00C236A6" w:rsidRPr="00CD56B9" w:rsidRDefault="00C236A6" w:rsidP="00C236A6">
      <w:pPr>
        <w:rPr>
          <w:lang w:val="en-US"/>
        </w:rPr>
      </w:pPr>
      <w:r w:rsidRPr="00CD56B9">
        <w:rPr>
          <w:lang w:val="en-US"/>
        </w:rPr>
        <w:t xml:space="preserve">The development of the IRD strategy has been moving at a very slow speed for quite some years even before the present IRD project was launched. The study tour to Tanzania seems to have induced a good understanding of the IRD concept within MoLGRD itself, but the training rendered at seven districts does not appear to have had any impact </w:t>
      </w:r>
      <w:r w:rsidR="00E80E69" w:rsidRPr="00CD56B9">
        <w:rPr>
          <w:lang w:val="en-US"/>
        </w:rPr>
        <w:t>on the ground</w:t>
      </w:r>
      <w:r w:rsidRPr="00CD56B9">
        <w:rPr>
          <w:lang w:val="en-US"/>
        </w:rPr>
        <w:t xml:space="preserve">. Partly because the DC level, which benefitted from the training, is faced with frequent transfers and perhaps not stable enough as an entry point for capacity development, if cadres at the level below the DC are not included as well. The experience from Lilongwe District suggests that no knowledge gained from the Tanzania study tour was ever disseminated to the district council or the staff. Another problem </w:t>
      </w:r>
      <w:r w:rsidR="00D82EFB">
        <w:rPr>
          <w:lang w:val="en-US"/>
        </w:rPr>
        <w:t>is</w:t>
      </w:r>
      <w:r w:rsidRPr="00CD56B9">
        <w:rPr>
          <w:lang w:val="en-US"/>
        </w:rPr>
        <w:t xml:space="preserve"> that the timing of the piloting at district level is premature, as it took place before the IRD concept ha</w:t>
      </w:r>
      <w:r w:rsidR="00D82EFB">
        <w:rPr>
          <w:lang w:val="en-US"/>
        </w:rPr>
        <w:t>d</w:t>
      </w:r>
      <w:r w:rsidRPr="00CD56B9">
        <w:rPr>
          <w:lang w:val="en-US"/>
        </w:rPr>
        <w:t xml:space="preserve"> been </w:t>
      </w:r>
      <w:r w:rsidR="00D82EFB">
        <w:rPr>
          <w:lang w:val="en-US"/>
        </w:rPr>
        <w:t>e</w:t>
      </w:r>
      <w:r w:rsidRPr="00CD56B9">
        <w:rPr>
          <w:lang w:val="en-US"/>
        </w:rPr>
        <w:t xml:space="preserve">stablished and adopted. In other words, the training took place without being embedded in any policy or strategy.  </w:t>
      </w:r>
    </w:p>
    <w:p w14:paraId="68DA1CDF" w14:textId="77777777" w:rsidR="00C236A6" w:rsidRPr="00CD56B9" w:rsidRDefault="00C236A6" w:rsidP="00C236A6">
      <w:pPr>
        <w:spacing w:after="0"/>
        <w:rPr>
          <w:b/>
          <w:lang w:val="en-US"/>
        </w:rPr>
      </w:pPr>
      <w:r w:rsidRPr="00CD56B9">
        <w:rPr>
          <w:b/>
          <w:lang w:val="en-US"/>
        </w:rPr>
        <w:t>Sustainability</w:t>
      </w:r>
    </w:p>
    <w:p w14:paraId="12927AF8" w14:textId="047BDF98" w:rsidR="00C236A6" w:rsidRPr="00CD56B9" w:rsidRDefault="00C236A6" w:rsidP="00C236A6">
      <w:pPr>
        <w:rPr>
          <w:lang w:val="en-US"/>
        </w:rPr>
      </w:pPr>
      <w:r w:rsidRPr="00CD56B9">
        <w:rPr>
          <w:lang w:val="en-US"/>
        </w:rPr>
        <w:t>The MTE team is not convinced that the IRD strategy is the most optimal focus area at the present stage of the devolution process in Malawi. The challenges facing the IRD strategy is best illustrated by the evidence from the NDP II evaluation (UNDP, Dec 2014) on the Millennium Village Project in the villages of Mwandama and Gumulira. While significant achievements in accelerating MDG objectives were made through the application of substantial project support (funding, technical assistance), these achievements were quickly rolled back once the project ended. The data gathered from this experience is similar to many other area based projects, which may achieve significant gains while being implemented, only to see these vanishing when the project stops. The reasons for this are well-known today as such projects never really address fundamental weaknesses in the LG system</w:t>
      </w:r>
      <w:r w:rsidR="00AC7D0A">
        <w:rPr>
          <w:lang w:val="en-US"/>
        </w:rPr>
        <w:t>. The reasons</w:t>
      </w:r>
      <w:r w:rsidR="00CA5033">
        <w:rPr>
          <w:lang w:val="en-US"/>
        </w:rPr>
        <w:t xml:space="preserve"> includ</w:t>
      </w:r>
      <w:r w:rsidR="00AC7D0A">
        <w:rPr>
          <w:lang w:val="en-US"/>
        </w:rPr>
        <w:t>e</w:t>
      </w:r>
      <w:r w:rsidR="00CA5033">
        <w:rPr>
          <w:lang w:val="en-US"/>
        </w:rPr>
        <w:t xml:space="preserve"> u</w:t>
      </w:r>
      <w:r w:rsidRPr="00CD56B9">
        <w:rPr>
          <w:lang w:val="en-US"/>
        </w:rPr>
        <w:t xml:space="preserve">nderfunding of district development plans, sectors operating in silo structures which is not conducive for area-based approaches at district level, fragmented fiscal transfers and ambiguous human resource links, ambiguity and overlaps in functional responsibilities, dysfunctional district councils, capacity gaps, muted accountability links to the lower levels of local government (area and village committees) and the population per se, etc. </w:t>
      </w:r>
    </w:p>
    <w:p w14:paraId="18843B69" w14:textId="77777777" w:rsidR="00C236A6" w:rsidRPr="00CD56B9" w:rsidRDefault="00C236A6" w:rsidP="00C236A6">
      <w:pPr>
        <w:rPr>
          <w:lang w:val="en-US"/>
        </w:rPr>
      </w:pPr>
      <w:r w:rsidRPr="00CD56B9">
        <w:rPr>
          <w:lang w:val="en-US"/>
        </w:rPr>
        <w:lastRenderedPageBreak/>
        <w:t>International research on support to local governments in local economic development has reached similar conclusions</w:t>
      </w:r>
      <w:r>
        <w:rPr>
          <w:rStyle w:val="Fodnotehenvisning"/>
        </w:rPr>
        <w:footnoteReference w:id="8"/>
      </w:r>
      <w:r w:rsidRPr="00CD56B9">
        <w:rPr>
          <w:lang w:val="en-US"/>
        </w:rPr>
        <w:t xml:space="preserve">. </w:t>
      </w:r>
      <w:r w:rsidR="00C341F8" w:rsidRPr="00CD56B9">
        <w:rPr>
          <w:lang w:val="en-US"/>
        </w:rPr>
        <w:t>In reality, l</w:t>
      </w:r>
      <w:r w:rsidRPr="00CD56B9">
        <w:rPr>
          <w:lang w:val="en-US"/>
        </w:rPr>
        <w:t xml:space="preserve">ocal governments only have few tools at their disposal to promote local economic development </w:t>
      </w:r>
      <w:r w:rsidR="00747162" w:rsidRPr="00CD56B9">
        <w:rPr>
          <w:lang w:val="en-US"/>
        </w:rPr>
        <w:t>and simulate growth (simple spat</w:t>
      </w:r>
      <w:r w:rsidRPr="00CD56B9">
        <w:rPr>
          <w:lang w:val="en-US"/>
        </w:rPr>
        <w:t xml:space="preserve">ial plans, basic services, fast tracking of admin services like permits). Most stimuli need to be </w:t>
      </w:r>
      <w:r w:rsidR="009E0C9C" w:rsidRPr="00CD56B9">
        <w:rPr>
          <w:lang w:val="en-US"/>
        </w:rPr>
        <w:t>mobilized</w:t>
      </w:r>
      <w:r w:rsidRPr="00CD56B9">
        <w:rPr>
          <w:lang w:val="en-US"/>
        </w:rPr>
        <w:t xml:space="preserve"> outside the jurisdiction of local governments and it is difficult for local councils to coordinate such inputs among the many stakeholders, especially from central level stakeholders. While ad-hoc based development projects may be able to achieve this by adding substantial resources in particular districts, the achievements of international support to sustain such efforts beyond project support have been very modest, indeed.</w:t>
      </w:r>
    </w:p>
    <w:p w14:paraId="23E7F148" w14:textId="77777777" w:rsidR="00C236A6" w:rsidRPr="00CD56B9" w:rsidRDefault="00C236A6" w:rsidP="00C236A6">
      <w:pPr>
        <w:rPr>
          <w:lang w:val="en-US"/>
        </w:rPr>
      </w:pPr>
      <w:r w:rsidRPr="00CD56B9">
        <w:rPr>
          <w:lang w:val="en-US"/>
        </w:rPr>
        <w:t xml:space="preserve">It should also be considered that the IRD experience, which the MoLGRD witnessed in Tanzania, is embedded in a more advanced LG system. Tanzania has been pursuing a local government reform for a number of years now with the support of DPs. While this reform process has faced its own problems, is has nonetheless addressed some of the capacity gaps mentioned here. Above all, significant funds for local development have been transferred to the subnational levels, embedded within an elaborated performance-based grant system, </w:t>
      </w:r>
      <w:r w:rsidR="009E0C9C" w:rsidRPr="00CD56B9">
        <w:rPr>
          <w:lang w:val="en-US"/>
        </w:rPr>
        <w:t>channeling</w:t>
      </w:r>
      <w:r w:rsidRPr="00CD56B9">
        <w:rPr>
          <w:lang w:val="en-US"/>
        </w:rPr>
        <w:t xml:space="preserve"> more than 25% of the total public expenditures through the local government system (38 USD/capita in 2010). Currently, only a few percent goes to the districts in Malawi, which also face many other challenges and the system does not appear very conducive for the introduction of the IRD concept. While the attempt to revive the devolution process seeks to address many of the issues mentioned above, it might take years to achieve significant and lasting change, where districts can be expected to sustain a complex concept like IRD. Now, the devolution process first has to get a green light and the DPs brought back to the table as well. </w:t>
      </w:r>
    </w:p>
    <w:p w14:paraId="14200B3C" w14:textId="77777777" w:rsidR="00C236A6" w:rsidRPr="00CD56B9" w:rsidRDefault="00C236A6" w:rsidP="00C236A6">
      <w:pPr>
        <w:spacing w:after="0"/>
        <w:rPr>
          <w:b/>
          <w:lang w:val="en-US"/>
        </w:rPr>
      </w:pPr>
      <w:r w:rsidRPr="00CD56B9">
        <w:rPr>
          <w:b/>
          <w:lang w:val="en-US"/>
        </w:rPr>
        <w:t>Conclusion</w:t>
      </w:r>
    </w:p>
    <w:p w14:paraId="2C5BB97E" w14:textId="0E46A444" w:rsidR="00F65DA9" w:rsidRPr="00CD56B9" w:rsidRDefault="00C236A6" w:rsidP="00C236A6">
      <w:pPr>
        <w:rPr>
          <w:lang w:val="en-US"/>
        </w:rPr>
      </w:pPr>
      <w:r w:rsidRPr="00CD56B9">
        <w:rPr>
          <w:lang w:val="en-US"/>
        </w:rPr>
        <w:t xml:space="preserve">While the development of the IRD strategy is delayed, the support rendered through the IRD project appears to be on track according to its design, provided the time schedule laid out for the devolution process and the finalization of the IRD strategy is realized as planned. The process of devolution and the implementation of the IRD concept face many </w:t>
      </w:r>
      <w:r w:rsidR="00FC437F" w:rsidRPr="00CD56B9">
        <w:rPr>
          <w:lang w:val="en-US"/>
        </w:rPr>
        <w:t>obstacles</w:t>
      </w:r>
      <w:r w:rsidRPr="00CD56B9">
        <w:rPr>
          <w:lang w:val="en-US"/>
        </w:rPr>
        <w:t xml:space="preserve">, however and the sustainability of the IRD </w:t>
      </w:r>
      <w:r w:rsidR="00FC437F" w:rsidRPr="00CD56B9">
        <w:rPr>
          <w:lang w:val="en-US"/>
        </w:rPr>
        <w:t xml:space="preserve">strategy </w:t>
      </w:r>
      <w:r w:rsidRPr="00CD56B9">
        <w:rPr>
          <w:lang w:val="en-US"/>
        </w:rPr>
        <w:t xml:space="preserve">faces serious </w:t>
      </w:r>
      <w:r w:rsidR="00E819D7">
        <w:rPr>
          <w:lang w:val="en-US"/>
        </w:rPr>
        <w:t xml:space="preserve">sustainability </w:t>
      </w:r>
      <w:r w:rsidRPr="00CD56B9">
        <w:rPr>
          <w:lang w:val="en-US"/>
        </w:rPr>
        <w:t>questions. While it might succeed if implemented within a more mature local government system, it current</w:t>
      </w:r>
      <w:r w:rsidR="00FC437F" w:rsidRPr="00CD56B9">
        <w:rPr>
          <w:lang w:val="en-US"/>
        </w:rPr>
        <w:t>ly</w:t>
      </w:r>
      <w:r w:rsidRPr="00CD56B9">
        <w:rPr>
          <w:lang w:val="en-US"/>
        </w:rPr>
        <w:t xml:space="preserve"> risk</w:t>
      </w:r>
      <w:r w:rsidR="00E819D7">
        <w:rPr>
          <w:lang w:val="en-US"/>
        </w:rPr>
        <w:t>s</w:t>
      </w:r>
      <w:r w:rsidRPr="00CD56B9">
        <w:rPr>
          <w:lang w:val="en-US"/>
        </w:rPr>
        <w:t xml:space="preserve"> </w:t>
      </w:r>
      <w:r w:rsidR="00FC437F" w:rsidRPr="00CD56B9">
        <w:rPr>
          <w:lang w:val="en-US"/>
        </w:rPr>
        <w:t>being</w:t>
      </w:r>
      <w:r w:rsidRPr="00CD56B9">
        <w:rPr>
          <w:lang w:val="en-US"/>
        </w:rPr>
        <w:t xml:space="preserve"> embedded in a system without sufficient reforms in governance, fiscal and human resources, clear-cut functional assignments etc.; reform</w:t>
      </w:r>
      <w:r w:rsidR="00747F48">
        <w:rPr>
          <w:lang w:val="en-US"/>
        </w:rPr>
        <w:t>s</w:t>
      </w:r>
      <w:r w:rsidRPr="00CD56B9">
        <w:rPr>
          <w:lang w:val="en-US"/>
        </w:rPr>
        <w:t xml:space="preserve"> </w:t>
      </w:r>
      <w:r w:rsidR="00FC437F" w:rsidRPr="00CD56B9">
        <w:rPr>
          <w:lang w:val="en-US"/>
        </w:rPr>
        <w:t xml:space="preserve">areas, </w:t>
      </w:r>
      <w:r w:rsidRPr="00CD56B9">
        <w:rPr>
          <w:lang w:val="en-US"/>
        </w:rPr>
        <w:t xml:space="preserve">which </w:t>
      </w:r>
      <w:r w:rsidR="00747F48">
        <w:rPr>
          <w:lang w:val="en-US"/>
        </w:rPr>
        <w:t>are</w:t>
      </w:r>
      <w:r w:rsidRPr="00CD56B9">
        <w:rPr>
          <w:lang w:val="en-US"/>
        </w:rPr>
        <w:t xml:space="preserve"> preconditions for </w:t>
      </w:r>
      <w:r w:rsidR="00FC437F" w:rsidRPr="00CD56B9">
        <w:rPr>
          <w:lang w:val="en-US"/>
        </w:rPr>
        <w:t xml:space="preserve">sustaining </w:t>
      </w:r>
      <w:r w:rsidRPr="00CD56B9">
        <w:rPr>
          <w:lang w:val="en-US"/>
        </w:rPr>
        <w:t>the IRD strategy</w:t>
      </w:r>
      <w:r w:rsidR="00FC437F" w:rsidRPr="00CD56B9">
        <w:rPr>
          <w:lang w:val="en-US"/>
        </w:rPr>
        <w:t xml:space="preserve">. </w:t>
      </w:r>
      <w:r w:rsidR="00F26834">
        <w:rPr>
          <w:lang w:val="en-US"/>
        </w:rPr>
        <w:t xml:space="preserve">The current stage of the </w:t>
      </w:r>
      <w:r w:rsidR="00E819D7">
        <w:rPr>
          <w:lang w:val="en-US"/>
        </w:rPr>
        <w:t xml:space="preserve">devolution </w:t>
      </w:r>
      <w:r w:rsidRPr="00CD56B9">
        <w:rPr>
          <w:lang w:val="en-US"/>
        </w:rPr>
        <w:t xml:space="preserve">process </w:t>
      </w:r>
      <w:r w:rsidR="00F26834">
        <w:rPr>
          <w:lang w:val="en-US"/>
        </w:rPr>
        <w:t>make</w:t>
      </w:r>
      <w:r w:rsidR="00747F48">
        <w:rPr>
          <w:lang w:val="en-US"/>
        </w:rPr>
        <w:t>s</w:t>
      </w:r>
      <w:r w:rsidR="00F26834">
        <w:rPr>
          <w:lang w:val="en-US"/>
        </w:rPr>
        <w:t xml:space="preserve"> a successful implementation of the </w:t>
      </w:r>
      <w:r w:rsidRPr="00CD56B9">
        <w:rPr>
          <w:lang w:val="en-US"/>
        </w:rPr>
        <w:t xml:space="preserve">IRD strategy </w:t>
      </w:r>
      <w:r w:rsidR="00747F48">
        <w:rPr>
          <w:lang w:val="en-US"/>
        </w:rPr>
        <w:t>difficult</w:t>
      </w:r>
      <w:r w:rsidRPr="00CD56B9">
        <w:rPr>
          <w:lang w:val="en-US"/>
        </w:rPr>
        <w:t>.</w:t>
      </w:r>
    </w:p>
    <w:p w14:paraId="55E7CF32" w14:textId="77777777" w:rsidR="00E225B9" w:rsidRPr="00CD56B9" w:rsidRDefault="00E225B9" w:rsidP="00C236A6">
      <w:pPr>
        <w:rPr>
          <w:lang w:val="en-US"/>
        </w:rPr>
        <w:sectPr w:rsidR="00E225B9" w:rsidRPr="00CD56B9" w:rsidSect="000C1092">
          <w:pgSz w:w="12240" w:h="15840"/>
          <w:pgMar w:top="1440" w:right="1440" w:bottom="1440" w:left="1440" w:header="720" w:footer="720" w:gutter="0"/>
          <w:cols w:space="720"/>
          <w:docGrid w:linePitch="360"/>
        </w:sectPr>
      </w:pPr>
    </w:p>
    <w:p w14:paraId="39048263" w14:textId="59D109D2" w:rsidR="002B6044" w:rsidRPr="00CD56B9" w:rsidRDefault="002B6044" w:rsidP="002B6044">
      <w:pPr>
        <w:pStyle w:val="Overskrift1"/>
        <w:spacing w:before="0"/>
        <w:rPr>
          <w:lang w:val="en-US"/>
        </w:rPr>
      </w:pPr>
      <w:bookmarkStart w:id="33" w:name="_Toc439245585"/>
      <w:r w:rsidRPr="00CD56B9">
        <w:rPr>
          <w:lang w:val="en-US"/>
        </w:rPr>
        <w:lastRenderedPageBreak/>
        <w:t xml:space="preserve">4. </w:t>
      </w:r>
      <w:r w:rsidR="007D70EF">
        <w:rPr>
          <w:lang w:val="en-US"/>
        </w:rPr>
        <w:t xml:space="preserve">Assessment of </w:t>
      </w:r>
      <w:r w:rsidR="00C25AD1" w:rsidRPr="00CD56B9">
        <w:rPr>
          <w:lang w:val="en-US"/>
        </w:rPr>
        <w:t>UNDAF Outcome 4.1</w:t>
      </w:r>
      <w:bookmarkEnd w:id="33"/>
      <w:r w:rsidR="00C25AD1" w:rsidRPr="00CD56B9">
        <w:rPr>
          <w:lang w:val="en-US"/>
        </w:rPr>
        <w:t xml:space="preserve"> </w:t>
      </w:r>
    </w:p>
    <w:p w14:paraId="7D0AE5E7" w14:textId="77777777" w:rsidR="007150DF" w:rsidRPr="00CD56B9" w:rsidRDefault="007150DF" w:rsidP="007150DF">
      <w:pPr>
        <w:spacing w:before="240" w:after="0"/>
        <w:rPr>
          <w:lang w:val="en-US"/>
        </w:rPr>
      </w:pPr>
      <w:r w:rsidRPr="00CD56B9">
        <w:rPr>
          <w:lang w:val="en-US"/>
        </w:rPr>
        <w:t xml:space="preserve">The revised UNDAF Outcome 4.1 </w:t>
      </w:r>
      <w:r w:rsidR="00B75CDD">
        <w:rPr>
          <w:lang w:val="en-US"/>
        </w:rPr>
        <w:t xml:space="preserve">is centered on </w:t>
      </w:r>
      <w:r w:rsidRPr="00CD56B9">
        <w:rPr>
          <w:lang w:val="en-US"/>
        </w:rPr>
        <w:t>support to three focal areas, wh</w:t>
      </w:r>
      <w:r w:rsidR="00B75CDD">
        <w:rPr>
          <w:lang w:val="en-US"/>
        </w:rPr>
        <w:t xml:space="preserve">ich are pivotal for brining transformation in </w:t>
      </w:r>
      <w:r w:rsidRPr="00CD56B9">
        <w:rPr>
          <w:lang w:val="en-US"/>
        </w:rPr>
        <w:t xml:space="preserve">democratic governance in Malawi: Support to the sector wide approach to democratic governance, the establishment of the NPA and devolution/local governance and the IRD. The estimated Outcome 4.1 target achievements by end-2016 are presented in </w:t>
      </w:r>
      <w:r w:rsidRPr="00CD56B9">
        <w:rPr>
          <w:b/>
          <w:lang w:val="en-US"/>
        </w:rPr>
        <w:t xml:space="preserve">table </w:t>
      </w:r>
      <w:r w:rsidR="00045FB4" w:rsidRPr="00CD56B9">
        <w:rPr>
          <w:b/>
          <w:lang w:val="en-US"/>
        </w:rPr>
        <w:t>3</w:t>
      </w:r>
      <w:r w:rsidR="00045FB4" w:rsidRPr="00CD56B9">
        <w:rPr>
          <w:lang w:val="en-US"/>
        </w:rPr>
        <w:t xml:space="preserve"> </w:t>
      </w:r>
      <w:r w:rsidRPr="00CD56B9">
        <w:rPr>
          <w:lang w:val="en-US"/>
        </w:rPr>
        <w:t>below</w:t>
      </w:r>
      <w:r w:rsidRPr="00CD56B9">
        <w:rPr>
          <w:b/>
          <w:lang w:val="en-US"/>
        </w:rPr>
        <w:t xml:space="preserve">, </w:t>
      </w:r>
      <w:r w:rsidRPr="00CD56B9">
        <w:rPr>
          <w:lang w:val="en-US"/>
        </w:rPr>
        <w:t xml:space="preserve">which is </w:t>
      </w:r>
      <w:r w:rsidR="005E0101" w:rsidRPr="00CD56B9">
        <w:rPr>
          <w:lang w:val="en-US"/>
        </w:rPr>
        <w:t>an</w:t>
      </w:r>
      <w:r w:rsidRPr="00CD56B9">
        <w:rPr>
          <w:b/>
          <w:lang w:val="en-US"/>
        </w:rPr>
        <w:t xml:space="preserve"> </w:t>
      </w:r>
      <w:r w:rsidRPr="00CD56B9">
        <w:rPr>
          <w:lang w:val="en-US"/>
        </w:rPr>
        <w:t xml:space="preserve">updated version of the results matrix from the UNDAF midterm evaluation, May 2015. </w:t>
      </w:r>
    </w:p>
    <w:p w14:paraId="2622DC3C" w14:textId="77777777" w:rsidR="002B6044" w:rsidRDefault="002B6044" w:rsidP="002B6044">
      <w:pPr>
        <w:spacing w:before="240" w:after="0"/>
        <w:rPr>
          <w:b/>
          <w:i/>
        </w:rPr>
      </w:pPr>
      <w:r w:rsidRPr="00FB79CE">
        <w:rPr>
          <w:b/>
          <w:i/>
        </w:rPr>
        <w:t>Table</w:t>
      </w:r>
      <w:r w:rsidR="00045FB4">
        <w:rPr>
          <w:b/>
          <w:i/>
        </w:rPr>
        <w:t xml:space="preserve"> 3</w:t>
      </w:r>
      <w:r w:rsidRPr="00FB79CE">
        <w:rPr>
          <w:b/>
          <w:i/>
        </w:rPr>
        <w:t>: Outcome 4.1 estimated results achievements</w:t>
      </w:r>
    </w:p>
    <w:p w14:paraId="2267B374" w14:textId="77777777" w:rsidR="002B6044" w:rsidRPr="00FB79CE" w:rsidRDefault="002B6044" w:rsidP="002B6044">
      <w:pPr>
        <w:spacing w:after="0"/>
        <w:rPr>
          <w:b/>
          <w:i/>
        </w:rPr>
      </w:pPr>
    </w:p>
    <w:tbl>
      <w:tblPr>
        <w:tblW w:w="5000" w:type="pct"/>
        <w:jc w:val="center"/>
        <w:tblLook w:val="04A0" w:firstRow="1" w:lastRow="0" w:firstColumn="1" w:lastColumn="0" w:noHBand="0" w:noVBand="1"/>
      </w:tblPr>
      <w:tblGrid>
        <w:gridCol w:w="1905"/>
        <w:gridCol w:w="3863"/>
        <w:gridCol w:w="1055"/>
        <w:gridCol w:w="1172"/>
        <w:gridCol w:w="1021"/>
      </w:tblGrid>
      <w:tr w:rsidR="002B6044" w:rsidRPr="007D425D" w14:paraId="0862C215" w14:textId="77777777" w:rsidTr="005C45C7">
        <w:trPr>
          <w:trHeight w:val="840"/>
          <w:jc w:val="center"/>
        </w:trPr>
        <w:tc>
          <w:tcPr>
            <w:tcW w:w="1056" w:type="pct"/>
            <w:tcBorders>
              <w:top w:val="single" w:sz="4" w:space="0" w:color="auto"/>
              <w:left w:val="single" w:sz="4" w:space="0" w:color="auto"/>
              <w:bottom w:val="single" w:sz="4" w:space="0" w:color="auto"/>
              <w:right w:val="single" w:sz="4" w:space="0" w:color="auto"/>
            </w:tcBorders>
            <w:shd w:val="clear" w:color="auto" w:fill="8496B0"/>
            <w:vAlign w:val="center"/>
          </w:tcPr>
          <w:p w14:paraId="7F5C31D1" w14:textId="77777777" w:rsidR="002B6044" w:rsidRPr="00B86240" w:rsidRDefault="002B6044" w:rsidP="005C45C7">
            <w:pPr>
              <w:spacing w:after="0"/>
              <w:jc w:val="center"/>
              <w:rPr>
                <w:rFonts w:ascii="Calibri" w:eastAsia="Times New Roman" w:hAnsi="Calibri"/>
                <w:b/>
                <w:bCs/>
                <w:color w:val="FFFFFF"/>
                <w:sz w:val="18"/>
                <w:szCs w:val="18"/>
                <w:lang w:val="en-US"/>
              </w:rPr>
            </w:pPr>
            <w:r w:rsidRPr="00B86240">
              <w:rPr>
                <w:rFonts w:ascii="Calibri" w:eastAsia="Times New Roman" w:hAnsi="Calibri"/>
                <w:b/>
                <w:bCs/>
                <w:color w:val="FFFFFF"/>
                <w:sz w:val="18"/>
                <w:szCs w:val="18"/>
                <w:lang w:val="en-US"/>
              </w:rPr>
              <w:t>Outcome/Output</w:t>
            </w:r>
          </w:p>
        </w:tc>
        <w:tc>
          <w:tcPr>
            <w:tcW w:w="2142" w:type="pct"/>
            <w:tcBorders>
              <w:top w:val="single" w:sz="4" w:space="0" w:color="auto"/>
              <w:left w:val="nil"/>
              <w:bottom w:val="single" w:sz="4" w:space="0" w:color="auto"/>
              <w:right w:val="single" w:sz="4" w:space="0" w:color="auto"/>
            </w:tcBorders>
            <w:shd w:val="clear" w:color="auto" w:fill="8496B0"/>
            <w:vAlign w:val="center"/>
          </w:tcPr>
          <w:p w14:paraId="0EF02679" w14:textId="77777777" w:rsidR="002B6044" w:rsidRPr="00B86240" w:rsidRDefault="002B6044" w:rsidP="005C45C7">
            <w:pPr>
              <w:spacing w:after="0"/>
              <w:jc w:val="center"/>
              <w:rPr>
                <w:rFonts w:ascii="Calibri" w:eastAsia="Times New Roman" w:hAnsi="Calibri"/>
                <w:b/>
                <w:bCs/>
                <w:color w:val="FFFFFF"/>
                <w:sz w:val="18"/>
                <w:szCs w:val="18"/>
                <w:lang w:val="en-US"/>
              </w:rPr>
            </w:pPr>
            <w:r w:rsidRPr="00B86240">
              <w:rPr>
                <w:rFonts w:ascii="Calibri" w:eastAsia="Times New Roman" w:hAnsi="Calibri"/>
                <w:b/>
                <w:bCs/>
                <w:color w:val="FFFFFF"/>
                <w:sz w:val="18"/>
                <w:szCs w:val="18"/>
                <w:lang w:val="en-US"/>
              </w:rPr>
              <w:t>Indicator</w:t>
            </w:r>
          </w:p>
        </w:tc>
        <w:tc>
          <w:tcPr>
            <w:tcW w:w="585" w:type="pct"/>
            <w:tcBorders>
              <w:top w:val="single" w:sz="4" w:space="0" w:color="auto"/>
              <w:left w:val="nil"/>
              <w:bottom w:val="single" w:sz="4" w:space="0" w:color="auto"/>
              <w:right w:val="single" w:sz="4" w:space="0" w:color="auto"/>
            </w:tcBorders>
            <w:shd w:val="clear" w:color="auto" w:fill="8496B0"/>
            <w:vAlign w:val="center"/>
          </w:tcPr>
          <w:p w14:paraId="2E00BA10" w14:textId="77777777" w:rsidR="002B6044" w:rsidRPr="00B86240" w:rsidRDefault="002B6044" w:rsidP="005C45C7">
            <w:pPr>
              <w:spacing w:after="0"/>
              <w:jc w:val="center"/>
              <w:rPr>
                <w:rFonts w:ascii="Calibri" w:eastAsia="Times New Roman" w:hAnsi="Calibri"/>
                <w:b/>
                <w:bCs/>
                <w:color w:val="FFFFFF"/>
                <w:sz w:val="18"/>
                <w:szCs w:val="18"/>
                <w:lang w:val="en-US"/>
              </w:rPr>
            </w:pPr>
            <w:r w:rsidRPr="00B86240">
              <w:rPr>
                <w:rFonts w:ascii="Calibri" w:eastAsia="Times New Roman" w:hAnsi="Calibri"/>
                <w:b/>
                <w:bCs/>
                <w:color w:val="FFFFFF"/>
                <w:sz w:val="18"/>
                <w:szCs w:val="18"/>
                <w:lang w:val="en-US"/>
              </w:rPr>
              <w:t>Baseline</w:t>
            </w:r>
          </w:p>
        </w:tc>
        <w:tc>
          <w:tcPr>
            <w:tcW w:w="650" w:type="pct"/>
            <w:tcBorders>
              <w:top w:val="single" w:sz="4" w:space="0" w:color="auto"/>
              <w:left w:val="nil"/>
              <w:bottom w:val="single" w:sz="4" w:space="0" w:color="auto"/>
              <w:right w:val="single" w:sz="4" w:space="0" w:color="auto"/>
            </w:tcBorders>
            <w:shd w:val="clear" w:color="auto" w:fill="8496B0"/>
            <w:vAlign w:val="center"/>
          </w:tcPr>
          <w:p w14:paraId="6CEEC3F0" w14:textId="77777777" w:rsidR="002B6044" w:rsidRPr="00B86240" w:rsidRDefault="002B6044" w:rsidP="005C45C7">
            <w:pPr>
              <w:spacing w:after="0"/>
              <w:jc w:val="center"/>
              <w:rPr>
                <w:rFonts w:ascii="Calibri" w:eastAsia="Times New Roman" w:hAnsi="Calibri"/>
                <w:b/>
                <w:bCs/>
                <w:color w:val="FFFFFF"/>
                <w:sz w:val="18"/>
                <w:szCs w:val="18"/>
                <w:lang w:val="en-US"/>
              </w:rPr>
            </w:pPr>
            <w:r w:rsidRPr="00B86240">
              <w:rPr>
                <w:rFonts w:ascii="Calibri" w:eastAsia="Times New Roman" w:hAnsi="Calibri"/>
                <w:b/>
                <w:bCs/>
                <w:color w:val="FFFFFF"/>
                <w:sz w:val="18"/>
                <w:szCs w:val="18"/>
                <w:lang w:val="en-US"/>
              </w:rPr>
              <w:t>Target</w:t>
            </w:r>
          </w:p>
        </w:tc>
        <w:tc>
          <w:tcPr>
            <w:tcW w:w="566" w:type="pct"/>
            <w:tcBorders>
              <w:top w:val="single" w:sz="4" w:space="0" w:color="auto"/>
              <w:left w:val="nil"/>
              <w:bottom w:val="single" w:sz="4" w:space="0" w:color="auto"/>
              <w:right w:val="single" w:sz="4" w:space="0" w:color="auto"/>
            </w:tcBorders>
            <w:shd w:val="clear" w:color="auto" w:fill="8496B0"/>
            <w:vAlign w:val="center"/>
          </w:tcPr>
          <w:p w14:paraId="1EDFBD02" w14:textId="77777777" w:rsidR="002B6044" w:rsidRPr="00B86240" w:rsidRDefault="002B6044" w:rsidP="005C45C7">
            <w:pPr>
              <w:spacing w:after="0"/>
              <w:jc w:val="center"/>
              <w:rPr>
                <w:rFonts w:ascii="Calibri" w:eastAsia="Times New Roman" w:hAnsi="Calibri"/>
                <w:b/>
                <w:bCs/>
                <w:color w:val="FFFFFF"/>
                <w:sz w:val="18"/>
                <w:szCs w:val="18"/>
                <w:lang w:val="en-US"/>
              </w:rPr>
            </w:pPr>
            <w:r w:rsidRPr="00B86240">
              <w:rPr>
                <w:rFonts w:ascii="Calibri" w:eastAsia="Times New Roman" w:hAnsi="Calibri"/>
                <w:b/>
                <w:bCs/>
                <w:color w:val="FFFFFF"/>
                <w:sz w:val="18"/>
                <w:szCs w:val="18"/>
                <w:lang w:val="en-US"/>
              </w:rPr>
              <w:t xml:space="preserve">Estimated Status at end-2016 </w:t>
            </w:r>
          </w:p>
        </w:tc>
      </w:tr>
      <w:tr w:rsidR="002B6044" w:rsidRPr="007D425D" w14:paraId="1DDD019B" w14:textId="77777777" w:rsidTr="005C45C7">
        <w:trPr>
          <w:trHeight w:val="280"/>
          <w:jc w:val="center"/>
        </w:trPr>
        <w:tc>
          <w:tcPr>
            <w:tcW w:w="1056" w:type="pct"/>
            <w:vMerge w:val="restart"/>
            <w:tcBorders>
              <w:top w:val="single" w:sz="4" w:space="0" w:color="auto"/>
              <w:left w:val="single" w:sz="4" w:space="0" w:color="auto"/>
              <w:bottom w:val="single" w:sz="4" w:space="0" w:color="auto"/>
              <w:right w:val="single" w:sz="4" w:space="0" w:color="auto"/>
            </w:tcBorders>
            <w:shd w:val="clear" w:color="auto" w:fill="auto"/>
          </w:tcPr>
          <w:p w14:paraId="4FBC56A0" w14:textId="77777777" w:rsidR="002B6044" w:rsidRPr="00B86240" w:rsidRDefault="002B6044" w:rsidP="005C45C7">
            <w:pPr>
              <w:spacing w:after="0"/>
              <w:jc w:val="left"/>
              <w:rPr>
                <w:rFonts w:ascii="Calibri" w:eastAsia="Times New Roman" w:hAnsi="Calibri"/>
                <w:b/>
                <w:bCs/>
                <w:sz w:val="18"/>
                <w:szCs w:val="18"/>
                <w:lang w:val="en-US"/>
              </w:rPr>
            </w:pPr>
            <w:r w:rsidRPr="00B86240">
              <w:rPr>
                <w:rFonts w:ascii="Calibri" w:eastAsia="Times New Roman" w:hAnsi="Calibri"/>
                <w:b/>
                <w:bCs/>
                <w:sz w:val="18"/>
                <w:szCs w:val="18"/>
                <w:lang w:val="en-US"/>
              </w:rPr>
              <w:t>Outcome 4.1: National institutions foster democratic governance for all, especially children, women, persons with disabilities and the youths by 2016</w:t>
            </w:r>
          </w:p>
        </w:tc>
        <w:tc>
          <w:tcPr>
            <w:tcW w:w="2142" w:type="pct"/>
            <w:tcBorders>
              <w:top w:val="nil"/>
              <w:left w:val="single" w:sz="4" w:space="0" w:color="auto"/>
              <w:bottom w:val="single" w:sz="4" w:space="0" w:color="auto"/>
              <w:right w:val="single" w:sz="4" w:space="0" w:color="auto"/>
            </w:tcBorders>
            <w:shd w:val="clear" w:color="auto" w:fill="auto"/>
          </w:tcPr>
          <w:p w14:paraId="07541E68" w14:textId="77777777" w:rsidR="002B6044" w:rsidRPr="00B86240" w:rsidRDefault="002B6044" w:rsidP="005C45C7">
            <w:pPr>
              <w:spacing w:after="0"/>
              <w:jc w:val="left"/>
              <w:rPr>
                <w:rFonts w:ascii="Calibri" w:eastAsia="Times New Roman" w:hAnsi="Calibri"/>
                <w:b/>
                <w:bCs/>
                <w:sz w:val="18"/>
                <w:szCs w:val="18"/>
                <w:lang w:val="en-US"/>
              </w:rPr>
            </w:pPr>
            <w:r w:rsidRPr="00B86240">
              <w:rPr>
                <w:rFonts w:ascii="Calibri" w:eastAsia="Times New Roman" w:hAnsi="Calibri"/>
                <w:b/>
                <w:bCs/>
                <w:sz w:val="18"/>
                <w:szCs w:val="18"/>
                <w:lang w:val="en-US"/>
              </w:rPr>
              <w:t xml:space="preserve">Proportion of the public holding duty bearers accountable.                                                                                                                                                                                                                                                                                                                                                                                                                                         </w:t>
            </w:r>
          </w:p>
        </w:tc>
        <w:tc>
          <w:tcPr>
            <w:tcW w:w="585" w:type="pct"/>
            <w:tcBorders>
              <w:top w:val="nil"/>
              <w:left w:val="nil"/>
              <w:bottom w:val="single" w:sz="4" w:space="0" w:color="auto"/>
              <w:right w:val="single" w:sz="4" w:space="0" w:color="auto"/>
            </w:tcBorders>
            <w:shd w:val="clear" w:color="auto" w:fill="auto"/>
          </w:tcPr>
          <w:p w14:paraId="411F2CEF" w14:textId="77777777" w:rsidR="002B6044" w:rsidRPr="00B86240" w:rsidRDefault="002B6044" w:rsidP="005C45C7">
            <w:pPr>
              <w:spacing w:after="0"/>
              <w:jc w:val="right"/>
              <w:rPr>
                <w:rFonts w:ascii="Calibri" w:eastAsia="Times New Roman" w:hAnsi="Calibri"/>
                <w:b/>
                <w:bCs/>
                <w:sz w:val="18"/>
                <w:szCs w:val="18"/>
                <w:lang w:val="en-US"/>
              </w:rPr>
            </w:pPr>
            <w:r w:rsidRPr="00B86240">
              <w:rPr>
                <w:rFonts w:ascii="Calibri" w:eastAsia="Times New Roman" w:hAnsi="Calibri"/>
                <w:b/>
                <w:bCs/>
                <w:sz w:val="18"/>
                <w:szCs w:val="18"/>
                <w:lang w:val="en-US"/>
              </w:rPr>
              <w:t>40%</w:t>
            </w:r>
          </w:p>
        </w:tc>
        <w:tc>
          <w:tcPr>
            <w:tcW w:w="650" w:type="pct"/>
            <w:tcBorders>
              <w:top w:val="nil"/>
              <w:left w:val="nil"/>
              <w:bottom w:val="single" w:sz="4" w:space="0" w:color="auto"/>
              <w:right w:val="single" w:sz="4" w:space="0" w:color="auto"/>
            </w:tcBorders>
            <w:shd w:val="clear" w:color="auto" w:fill="auto"/>
          </w:tcPr>
          <w:p w14:paraId="640BACA8" w14:textId="77777777" w:rsidR="002B6044" w:rsidRPr="00B86240" w:rsidRDefault="002B6044" w:rsidP="005C45C7">
            <w:pPr>
              <w:spacing w:after="0"/>
              <w:jc w:val="right"/>
              <w:rPr>
                <w:rFonts w:ascii="Calibri" w:eastAsia="Times New Roman" w:hAnsi="Calibri"/>
                <w:b/>
                <w:bCs/>
                <w:sz w:val="18"/>
                <w:szCs w:val="18"/>
                <w:lang w:val="en-US"/>
              </w:rPr>
            </w:pPr>
            <w:r w:rsidRPr="00B86240">
              <w:rPr>
                <w:rFonts w:ascii="Calibri" w:eastAsia="Times New Roman" w:hAnsi="Calibri"/>
                <w:b/>
                <w:bCs/>
                <w:sz w:val="18"/>
                <w:szCs w:val="18"/>
                <w:lang w:val="en-US"/>
              </w:rPr>
              <w:t>65%</w:t>
            </w:r>
          </w:p>
        </w:tc>
        <w:tc>
          <w:tcPr>
            <w:tcW w:w="566" w:type="pct"/>
            <w:tcBorders>
              <w:top w:val="nil"/>
              <w:left w:val="nil"/>
              <w:bottom w:val="single" w:sz="4" w:space="0" w:color="auto"/>
              <w:right w:val="single" w:sz="4" w:space="0" w:color="auto"/>
            </w:tcBorders>
            <w:shd w:val="clear" w:color="000000" w:fill="C6EFCE"/>
          </w:tcPr>
          <w:p w14:paraId="2EEB8F16" w14:textId="77777777" w:rsidR="002B6044" w:rsidRPr="00B86240" w:rsidRDefault="002B6044" w:rsidP="005C45C7">
            <w:pPr>
              <w:spacing w:after="0"/>
              <w:jc w:val="right"/>
              <w:rPr>
                <w:rFonts w:ascii="Calibri" w:eastAsia="Times New Roman" w:hAnsi="Calibri"/>
                <w:color w:val="006100"/>
                <w:sz w:val="18"/>
                <w:szCs w:val="18"/>
                <w:lang w:val="en-US"/>
              </w:rPr>
            </w:pPr>
            <w:r w:rsidRPr="00B86240">
              <w:rPr>
                <w:rFonts w:ascii="Calibri" w:eastAsia="Times New Roman" w:hAnsi="Calibri"/>
                <w:color w:val="006100"/>
                <w:sz w:val="18"/>
                <w:szCs w:val="18"/>
                <w:lang w:val="en-US"/>
              </w:rPr>
              <w:t>70%</w:t>
            </w:r>
          </w:p>
        </w:tc>
      </w:tr>
      <w:tr w:rsidR="002B6044" w:rsidRPr="007D425D" w14:paraId="521FD52A" w14:textId="77777777" w:rsidTr="005C45C7">
        <w:trPr>
          <w:trHeight w:val="280"/>
          <w:jc w:val="center"/>
        </w:trPr>
        <w:tc>
          <w:tcPr>
            <w:tcW w:w="1056" w:type="pct"/>
            <w:vMerge/>
            <w:tcBorders>
              <w:top w:val="single" w:sz="4" w:space="0" w:color="auto"/>
              <w:left w:val="single" w:sz="4" w:space="0" w:color="auto"/>
              <w:bottom w:val="single" w:sz="4" w:space="0" w:color="auto"/>
              <w:right w:val="single" w:sz="4" w:space="0" w:color="auto"/>
            </w:tcBorders>
            <w:vAlign w:val="center"/>
          </w:tcPr>
          <w:p w14:paraId="42935D24" w14:textId="77777777" w:rsidR="002B6044" w:rsidRPr="00B86240" w:rsidRDefault="002B6044" w:rsidP="005C45C7">
            <w:pPr>
              <w:spacing w:after="0"/>
              <w:jc w:val="left"/>
              <w:rPr>
                <w:rFonts w:ascii="Calibri" w:eastAsia="Times New Roman" w:hAnsi="Calibri"/>
                <w:b/>
                <w:bCs/>
                <w:sz w:val="18"/>
                <w:szCs w:val="18"/>
                <w:lang w:val="en-US"/>
              </w:rPr>
            </w:pPr>
          </w:p>
        </w:tc>
        <w:tc>
          <w:tcPr>
            <w:tcW w:w="2142" w:type="pct"/>
            <w:tcBorders>
              <w:top w:val="nil"/>
              <w:left w:val="single" w:sz="4" w:space="0" w:color="auto"/>
              <w:bottom w:val="single" w:sz="4" w:space="0" w:color="auto"/>
              <w:right w:val="single" w:sz="4" w:space="0" w:color="auto"/>
            </w:tcBorders>
            <w:shd w:val="clear" w:color="auto" w:fill="auto"/>
          </w:tcPr>
          <w:p w14:paraId="2A691302" w14:textId="77777777" w:rsidR="002B6044" w:rsidRPr="00B86240" w:rsidRDefault="002B6044" w:rsidP="005C45C7">
            <w:pPr>
              <w:spacing w:after="0"/>
              <w:jc w:val="left"/>
              <w:rPr>
                <w:rFonts w:ascii="Calibri" w:eastAsia="Times New Roman" w:hAnsi="Calibri"/>
                <w:b/>
                <w:bCs/>
                <w:sz w:val="18"/>
                <w:szCs w:val="18"/>
                <w:lang w:val="en-US"/>
              </w:rPr>
            </w:pPr>
            <w:r w:rsidRPr="00B86240">
              <w:rPr>
                <w:rFonts w:ascii="Calibri" w:eastAsia="Times New Roman" w:hAnsi="Calibri"/>
                <w:b/>
                <w:bCs/>
                <w:sz w:val="18"/>
                <w:szCs w:val="18"/>
                <w:lang w:val="en-US"/>
              </w:rPr>
              <w:t xml:space="preserve">Proportion of people (men, women, youth, children) accessing formal justice.                                                                                                                                                                                                                                                                                                                                                                                              </w:t>
            </w:r>
          </w:p>
        </w:tc>
        <w:tc>
          <w:tcPr>
            <w:tcW w:w="585" w:type="pct"/>
            <w:tcBorders>
              <w:top w:val="nil"/>
              <w:left w:val="nil"/>
              <w:bottom w:val="single" w:sz="4" w:space="0" w:color="auto"/>
              <w:right w:val="single" w:sz="4" w:space="0" w:color="auto"/>
            </w:tcBorders>
            <w:shd w:val="clear" w:color="auto" w:fill="auto"/>
          </w:tcPr>
          <w:p w14:paraId="1C0B00E8" w14:textId="77777777" w:rsidR="002B6044" w:rsidRPr="00B86240" w:rsidRDefault="002B6044" w:rsidP="005C45C7">
            <w:pPr>
              <w:spacing w:after="0"/>
              <w:jc w:val="right"/>
              <w:rPr>
                <w:rFonts w:ascii="Calibri" w:eastAsia="Times New Roman" w:hAnsi="Calibri"/>
                <w:b/>
                <w:bCs/>
                <w:sz w:val="18"/>
                <w:szCs w:val="18"/>
                <w:lang w:val="en-US"/>
              </w:rPr>
            </w:pPr>
            <w:r w:rsidRPr="00B86240">
              <w:rPr>
                <w:rFonts w:ascii="Calibri" w:eastAsia="Times New Roman" w:hAnsi="Calibri"/>
                <w:b/>
                <w:bCs/>
                <w:sz w:val="18"/>
                <w:szCs w:val="18"/>
                <w:lang w:val="en-US"/>
              </w:rPr>
              <w:t>10%</w:t>
            </w:r>
          </w:p>
        </w:tc>
        <w:tc>
          <w:tcPr>
            <w:tcW w:w="650" w:type="pct"/>
            <w:tcBorders>
              <w:top w:val="nil"/>
              <w:left w:val="nil"/>
              <w:bottom w:val="single" w:sz="4" w:space="0" w:color="auto"/>
              <w:right w:val="single" w:sz="4" w:space="0" w:color="auto"/>
            </w:tcBorders>
            <w:shd w:val="clear" w:color="auto" w:fill="auto"/>
          </w:tcPr>
          <w:p w14:paraId="6D2E7B34" w14:textId="77777777" w:rsidR="002B6044" w:rsidRPr="00B86240" w:rsidRDefault="002B6044" w:rsidP="005C45C7">
            <w:pPr>
              <w:spacing w:after="0"/>
              <w:jc w:val="right"/>
              <w:rPr>
                <w:rFonts w:ascii="Calibri" w:eastAsia="Times New Roman" w:hAnsi="Calibri"/>
                <w:b/>
                <w:bCs/>
                <w:sz w:val="18"/>
                <w:szCs w:val="18"/>
                <w:lang w:val="en-US"/>
              </w:rPr>
            </w:pPr>
            <w:r w:rsidRPr="00B86240">
              <w:rPr>
                <w:rFonts w:ascii="Calibri" w:eastAsia="Times New Roman" w:hAnsi="Calibri"/>
                <w:b/>
                <w:bCs/>
                <w:sz w:val="18"/>
                <w:szCs w:val="18"/>
                <w:lang w:val="en-US"/>
              </w:rPr>
              <w:t>60%</w:t>
            </w:r>
          </w:p>
        </w:tc>
        <w:tc>
          <w:tcPr>
            <w:tcW w:w="566" w:type="pct"/>
            <w:tcBorders>
              <w:top w:val="nil"/>
              <w:left w:val="nil"/>
              <w:bottom w:val="single" w:sz="4" w:space="0" w:color="auto"/>
              <w:right w:val="single" w:sz="4" w:space="0" w:color="auto"/>
            </w:tcBorders>
            <w:shd w:val="clear" w:color="000000" w:fill="FFC7CE"/>
          </w:tcPr>
          <w:p w14:paraId="2B395933" w14:textId="77777777" w:rsidR="002B6044" w:rsidRPr="00B86240" w:rsidRDefault="002B6044" w:rsidP="005C45C7">
            <w:pPr>
              <w:spacing w:after="0"/>
              <w:jc w:val="right"/>
              <w:rPr>
                <w:rFonts w:ascii="Calibri" w:eastAsia="Times New Roman" w:hAnsi="Calibri"/>
                <w:color w:val="9C0006"/>
                <w:sz w:val="18"/>
                <w:szCs w:val="18"/>
                <w:lang w:val="en-US"/>
              </w:rPr>
            </w:pPr>
            <w:r w:rsidRPr="00B86240">
              <w:rPr>
                <w:rFonts w:ascii="Calibri" w:eastAsia="Times New Roman" w:hAnsi="Calibri"/>
                <w:color w:val="9C0006"/>
                <w:sz w:val="18"/>
                <w:szCs w:val="18"/>
                <w:lang w:val="en-US"/>
              </w:rPr>
              <w:t>15%</w:t>
            </w:r>
          </w:p>
        </w:tc>
      </w:tr>
      <w:tr w:rsidR="002B6044" w:rsidRPr="007D425D" w14:paraId="4E731022" w14:textId="77777777" w:rsidTr="005C45C7">
        <w:trPr>
          <w:trHeight w:val="280"/>
          <w:jc w:val="center"/>
        </w:trPr>
        <w:tc>
          <w:tcPr>
            <w:tcW w:w="1056" w:type="pct"/>
            <w:vMerge/>
            <w:tcBorders>
              <w:top w:val="single" w:sz="4" w:space="0" w:color="auto"/>
              <w:left w:val="single" w:sz="4" w:space="0" w:color="auto"/>
              <w:bottom w:val="single" w:sz="4" w:space="0" w:color="auto"/>
              <w:right w:val="single" w:sz="4" w:space="0" w:color="auto"/>
            </w:tcBorders>
            <w:vAlign w:val="center"/>
          </w:tcPr>
          <w:p w14:paraId="2A418BB8" w14:textId="77777777" w:rsidR="002B6044" w:rsidRPr="00B86240" w:rsidRDefault="002B6044" w:rsidP="005C45C7">
            <w:pPr>
              <w:spacing w:after="0"/>
              <w:jc w:val="left"/>
              <w:rPr>
                <w:rFonts w:ascii="Calibri" w:eastAsia="Times New Roman" w:hAnsi="Calibri"/>
                <w:b/>
                <w:bCs/>
                <w:sz w:val="18"/>
                <w:szCs w:val="18"/>
                <w:lang w:val="en-US"/>
              </w:rPr>
            </w:pPr>
          </w:p>
        </w:tc>
        <w:tc>
          <w:tcPr>
            <w:tcW w:w="2142" w:type="pct"/>
            <w:tcBorders>
              <w:top w:val="nil"/>
              <w:left w:val="single" w:sz="4" w:space="0" w:color="auto"/>
              <w:bottom w:val="single" w:sz="4" w:space="0" w:color="auto"/>
              <w:right w:val="single" w:sz="4" w:space="0" w:color="auto"/>
            </w:tcBorders>
            <w:shd w:val="clear" w:color="auto" w:fill="auto"/>
          </w:tcPr>
          <w:p w14:paraId="2F99D50E" w14:textId="77777777" w:rsidR="002B6044" w:rsidRPr="00B86240" w:rsidRDefault="002B6044" w:rsidP="005C45C7">
            <w:pPr>
              <w:spacing w:after="0"/>
              <w:jc w:val="left"/>
              <w:rPr>
                <w:rFonts w:ascii="Calibri" w:eastAsia="Times New Roman" w:hAnsi="Calibri"/>
                <w:b/>
                <w:bCs/>
                <w:sz w:val="18"/>
                <w:szCs w:val="18"/>
                <w:lang w:val="en-US"/>
              </w:rPr>
            </w:pPr>
            <w:r w:rsidRPr="00B86240">
              <w:rPr>
                <w:rFonts w:ascii="Calibri" w:eastAsia="Times New Roman" w:hAnsi="Calibri"/>
                <w:b/>
                <w:bCs/>
                <w:sz w:val="18"/>
                <w:szCs w:val="18"/>
                <w:lang w:val="en-US"/>
              </w:rPr>
              <w:t>Voter turnout</w:t>
            </w:r>
          </w:p>
        </w:tc>
        <w:tc>
          <w:tcPr>
            <w:tcW w:w="585" w:type="pct"/>
            <w:tcBorders>
              <w:top w:val="nil"/>
              <w:left w:val="nil"/>
              <w:bottom w:val="single" w:sz="4" w:space="0" w:color="auto"/>
              <w:right w:val="single" w:sz="4" w:space="0" w:color="auto"/>
            </w:tcBorders>
            <w:shd w:val="clear" w:color="auto" w:fill="auto"/>
          </w:tcPr>
          <w:p w14:paraId="3B8F514E" w14:textId="77777777" w:rsidR="002B6044" w:rsidRPr="00B86240" w:rsidRDefault="002B6044" w:rsidP="005C45C7">
            <w:pPr>
              <w:spacing w:after="0"/>
              <w:jc w:val="right"/>
              <w:rPr>
                <w:rFonts w:ascii="Calibri" w:eastAsia="Times New Roman" w:hAnsi="Calibri"/>
                <w:b/>
                <w:bCs/>
                <w:sz w:val="18"/>
                <w:szCs w:val="18"/>
                <w:lang w:val="en-US"/>
              </w:rPr>
            </w:pPr>
            <w:r w:rsidRPr="00B86240">
              <w:rPr>
                <w:rFonts w:ascii="Calibri" w:eastAsia="Times New Roman" w:hAnsi="Calibri"/>
                <w:b/>
                <w:bCs/>
                <w:sz w:val="18"/>
                <w:szCs w:val="18"/>
                <w:lang w:val="en-US"/>
              </w:rPr>
              <w:t>70%</w:t>
            </w:r>
          </w:p>
        </w:tc>
        <w:tc>
          <w:tcPr>
            <w:tcW w:w="650" w:type="pct"/>
            <w:tcBorders>
              <w:top w:val="nil"/>
              <w:left w:val="nil"/>
              <w:bottom w:val="single" w:sz="4" w:space="0" w:color="auto"/>
              <w:right w:val="single" w:sz="4" w:space="0" w:color="auto"/>
            </w:tcBorders>
            <w:shd w:val="clear" w:color="auto" w:fill="auto"/>
          </w:tcPr>
          <w:p w14:paraId="042EE14D" w14:textId="77777777" w:rsidR="002B6044" w:rsidRPr="00B86240" w:rsidRDefault="002B6044" w:rsidP="005C45C7">
            <w:pPr>
              <w:spacing w:after="0"/>
              <w:jc w:val="right"/>
              <w:rPr>
                <w:rFonts w:ascii="Calibri" w:eastAsia="Times New Roman" w:hAnsi="Calibri"/>
                <w:b/>
                <w:bCs/>
                <w:sz w:val="18"/>
                <w:szCs w:val="18"/>
                <w:lang w:val="en-US"/>
              </w:rPr>
            </w:pPr>
            <w:r w:rsidRPr="00B86240">
              <w:rPr>
                <w:rFonts w:ascii="Calibri" w:eastAsia="Times New Roman" w:hAnsi="Calibri"/>
                <w:b/>
                <w:bCs/>
                <w:sz w:val="18"/>
                <w:szCs w:val="18"/>
                <w:lang w:val="en-US"/>
              </w:rPr>
              <w:t>90%</w:t>
            </w:r>
          </w:p>
        </w:tc>
        <w:tc>
          <w:tcPr>
            <w:tcW w:w="566" w:type="pct"/>
            <w:tcBorders>
              <w:top w:val="nil"/>
              <w:left w:val="nil"/>
              <w:bottom w:val="single" w:sz="4" w:space="0" w:color="auto"/>
              <w:right w:val="single" w:sz="4" w:space="0" w:color="auto"/>
            </w:tcBorders>
            <w:shd w:val="clear" w:color="000000" w:fill="FFC7CE"/>
          </w:tcPr>
          <w:p w14:paraId="1585F0C9" w14:textId="77777777" w:rsidR="002B6044" w:rsidRPr="00B86240" w:rsidRDefault="002B6044" w:rsidP="005C45C7">
            <w:pPr>
              <w:spacing w:after="0"/>
              <w:jc w:val="right"/>
              <w:rPr>
                <w:rFonts w:ascii="Calibri" w:eastAsia="Times New Roman" w:hAnsi="Calibri"/>
                <w:color w:val="9C0006"/>
                <w:sz w:val="18"/>
                <w:szCs w:val="18"/>
                <w:lang w:val="en-US"/>
              </w:rPr>
            </w:pPr>
            <w:r w:rsidRPr="00B86240">
              <w:rPr>
                <w:rFonts w:ascii="Calibri" w:eastAsia="Times New Roman" w:hAnsi="Calibri"/>
                <w:color w:val="9C0006"/>
                <w:sz w:val="18"/>
                <w:szCs w:val="18"/>
                <w:lang w:val="en-US"/>
              </w:rPr>
              <w:t>70.62%</w:t>
            </w:r>
          </w:p>
        </w:tc>
      </w:tr>
      <w:tr w:rsidR="002B6044" w:rsidRPr="007D425D" w14:paraId="47D112C2" w14:textId="77777777" w:rsidTr="005C45C7">
        <w:trPr>
          <w:trHeight w:val="280"/>
          <w:jc w:val="center"/>
        </w:trPr>
        <w:tc>
          <w:tcPr>
            <w:tcW w:w="1056" w:type="pct"/>
            <w:vMerge w:val="restart"/>
            <w:tcBorders>
              <w:top w:val="single" w:sz="4" w:space="0" w:color="auto"/>
              <w:left w:val="single" w:sz="4" w:space="0" w:color="auto"/>
              <w:bottom w:val="single" w:sz="4" w:space="0" w:color="auto"/>
              <w:right w:val="single" w:sz="4" w:space="0" w:color="auto"/>
            </w:tcBorders>
            <w:shd w:val="clear" w:color="auto" w:fill="auto"/>
          </w:tcPr>
          <w:p w14:paraId="2F3EBC46" w14:textId="77777777" w:rsidR="002B6044" w:rsidRPr="00B86240" w:rsidRDefault="002B6044" w:rsidP="005C45C7">
            <w:pPr>
              <w:spacing w:after="0"/>
              <w:jc w:val="left"/>
              <w:rPr>
                <w:rFonts w:ascii="Calibri" w:eastAsia="Times New Roman" w:hAnsi="Calibri"/>
                <w:sz w:val="18"/>
                <w:szCs w:val="18"/>
                <w:lang w:val="en-US"/>
              </w:rPr>
            </w:pPr>
            <w:r w:rsidRPr="00B86240">
              <w:rPr>
                <w:rFonts w:ascii="Calibri" w:eastAsia="Times New Roman" w:hAnsi="Calibri"/>
                <w:sz w:val="18"/>
                <w:szCs w:val="18"/>
                <w:lang w:val="en-US"/>
              </w:rPr>
              <w:t>Output 4.1.1 Democratic Governance sector strategy operationalized</w:t>
            </w:r>
          </w:p>
        </w:tc>
        <w:tc>
          <w:tcPr>
            <w:tcW w:w="2142" w:type="pct"/>
            <w:tcBorders>
              <w:top w:val="nil"/>
              <w:left w:val="nil"/>
              <w:bottom w:val="single" w:sz="4" w:space="0" w:color="auto"/>
              <w:right w:val="single" w:sz="4" w:space="0" w:color="auto"/>
            </w:tcBorders>
            <w:shd w:val="clear" w:color="auto" w:fill="auto"/>
          </w:tcPr>
          <w:p w14:paraId="14C98DB1" w14:textId="77777777" w:rsidR="002B6044" w:rsidRPr="00B86240" w:rsidRDefault="002B6044" w:rsidP="005C45C7">
            <w:pPr>
              <w:spacing w:after="0"/>
              <w:jc w:val="left"/>
              <w:rPr>
                <w:rFonts w:ascii="Calibri" w:eastAsia="Times New Roman" w:hAnsi="Calibri"/>
                <w:sz w:val="18"/>
                <w:szCs w:val="18"/>
                <w:lang w:val="en-US"/>
              </w:rPr>
            </w:pPr>
            <w:r w:rsidRPr="00B86240">
              <w:rPr>
                <w:rFonts w:ascii="Calibri" w:eastAsia="Times New Roman" w:hAnsi="Calibri"/>
                <w:sz w:val="18"/>
                <w:szCs w:val="18"/>
                <w:lang w:val="en-US"/>
              </w:rPr>
              <w:t>Number of sector institutions with M&amp;E frameworks aligned with DGSS</w:t>
            </w:r>
          </w:p>
        </w:tc>
        <w:tc>
          <w:tcPr>
            <w:tcW w:w="585" w:type="pct"/>
            <w:tcBorders>
              <w:top w:val="nil"/>
              <w:left w:val="nil"/>
              <w:bottom w:val="single" w:sz="4" w:space="0" w:color="auto"/>
              <w:right w:val="single" w:sz="4" w:space="0" w:color="auto"/>
            </w:tcBorders>
            <w:shd w:val="clear" w:color="auto" w:fill="auto"/>
          </w:tcPr>
          <w:p w14:paraId="134D84FD" w14:textId="77777777" w:rsidR="002B6044" w:rsidRPr="00B86240" w:rsidRDefault="002B6044" w:rsidP="005C45C7">
            <w:pPr>
              <w:spacing w:after="0"/>
              <w:jc w:val="right"/>
              <w:rPr>
                <w:rFonts w:ascii="Calibri" w:eastAsia="Times New Roman" w:hAnsi="Calibri"/>
                <w:sz w:val="18"/>
                <w:szCs w:val="18"/>
                <w:lang w:val="en-US"/>
              </w:rPr>
            </w:pPr>
            <w:r w:rsidRPr="00B86240">
              <w:rPr>
                <w:rFonts w:ascii="Calibri" w:eastAsia="Times New Roman" w:hAnsi="Calibri"/>
                <w:sz w:val="18"/>
                <w:szCs w:val="18"/>
                <w:lang w:val="en-US"/>
              </w:rPr>
              <w:t>0</w:t>
            </w:r>
          </w:p>
        </w:tc>
        <w:tc>
          <w:tcPr>
            <w:tcW w:w="650" w:type="pct"/>
            <w:tcBorders>
              <w:top w:val="nil"/>
              <w:left w:val="nil"/>
              <w:bottom w:val="single" w:sz="4" w:space="0" w:color="auto"/>
              <w:right w:val="single" w:sz="4" w:space="0" w:color="auto"/>
            </w:tcBorders>
            <w:shd w:val="clear" w:color="auto" w:fill="auto"/>
          </w:tcPr>
          <w:p w14:paraId="1FF38E8A" w14:textId="77777777" w:rsidR="002B6044" w:rsidRPr="00B86240" w:rsidRDefault="002B6044" w:rsidP="005C45C7">
            <w:pPr>
              <w:spacing w:after="0"/>
              <w:jc w:val="right"/>
              <w:rPr>
                <w:rFonts w:ascii="Calibri" w:eastAsia="Times New Roman" w:hAnsi="Calibri"/>
                <w:sz w:val="18"/>
                <w:szCs w:val="18"/>
                <w:lang w:val="en-US"/>
              </w:rPr>
            </w:pPr>
            <w:r w:rsidRPr="00B86240">
              <w:rPr>
                <w:rFonts w:ascii="Calibri" w:eastAsia="Times New Roman" w:hAnsi="Calibri"/>
                <w:sz w:val="18"/>
                <w:szCs w:val="18"/>
                <w:lang w:val="en-US"/>
              </w:rPr>
              <w:t>19</w:t>
            </w:r>
          </w:p>
        </w:tc>
        <w:tc>
          <w:tcPr>
            <w:tcW w:w="566" w:type="pct"/>
            <w:tcBorders>
              <w:top w:val="nil"/>
              <w:left w:val="nil"/>
              <w:bottom w:val="single" w:sz="4" w:space="0" w:color="auto"/>
              <w:right w:val="single" w:sz="4" w:space="0" w:color="auto"/>
            </w:tcBorders>
            <w:shd w:val="clear" w:color="000000" w:fill="FFEB9C"/>
          </w:tcPr>
          <w:p w14:paraId="5DB0198D" w14:textId="77777777" w:rsidR="002B6044" w:rsidRPr="00B86240" w:rsidRDefault="002B6044" w:rsidP="005C45C7">
            <w:pPr>
              <w:spacing w:after="0"/>
              <w:jc w:val="right"/>
              <w:rPr>
                <w:rFonts w:ascii="Calibri" w:eastAsia="Times New Roman" w:hAnsi="Calibri"/>
                <w:color w:val="9C6500"/>
                <w:sz w:val="18"/>
                <w:szCs w:val="18"/>
                <w:lang w:val="en-US"/>
              </w:rPr>
            </w:pPr>
            <w:r w:rsidRPr="00B86240">
              <w:rPr>
                <w:rFonts w:ascii="Calibri" w:eastAsia="Times New Roman" w:hAnsi="Calibri"/>
                <w:color w:val="9C6500"/>
                <w:sz w:val="18"/>
                <w:szCs w:val="18"/>
                <w:lang w:val="en-US"/>
              </w:rPr>
              <w:t>14</w:t>
            </w:r>
          </w:p>
        </w:tc>
      </w:tr>
      <w:tr w:rsidR="002B6044" w:rsidRPr="007D425D" w14:paraId="73859F5E" w14:textId="77777777" w:rsidTr="005C45C7">
        <w:trPr>
          <w:trHeight w:val="280"/>
          <w:jc w:val="center"/>
        </w:trPr>
        <w:tc>
          <w:tcPr>
            <w:tcW w:w="1056" w:type="pct"/>
            <w:vMerge/>
            <w:tcBorders>
              <w:top w:val="nil"/>
              <w:left w:val="single" w:sz="4" w:space="0" w:color="auto"/>
              <w:bottom w:val="single" w:sz="4" w:space="0" w:color="auto"/>
              <w:right w:val="single" w:sz="4" w:space="0" w:color="auto"/>
            </w:tcBorders>
            <w:vAlign w:val="center"/>
          </w:tcPr>
          <w:p w14:paraId="3AC982D4" w14:textId="77777777" w:rsidR="002B6044" w:rsidRPr="00B86240" w:rsidRDefault="002B6044" w:rsidP="005C45C7">
            <w:pPr>
              <w:spacing w:after="0"/>
              <w:jc w:val="left"/>
              <w:rPr>
                <w:rFonts w:ascii="Calibri" w:eastAsia="Times New Roman" w:hAnsi="Calibri"/>
                <w:sz w:val="18"/>
                <w:szCs w:val="18"/>
                <w:lang w:val="en-US"/>
              </w:rPr>
            </w:pPr>
          </w:p>
        </w:tc>
        <w:tc>
          <w:tcPr>
            <w:tcW w:w="2142" w:type="pct"/>
            <w:tcBorders>
              <w:top w:val="nil"/>
              <w:left w:val="nil"/>
              <w:bottom w:val="single" w:sz="4" w:space="0" w:color="auto"/>
              <w:right w:val="single" w:sz="4" w:space="0" w:color="auto"/>
            </w:tcBorders>
            <w:shd w:val="clear" w:color="auto" w:fill="auto"/>
          </w:tcPr>
          <w:p w14:paraId="5FACDD80" w14:textId="77777777" w:rsidR="002B6044" w:rsidRPr="00B86240" w:rsidRDefault="002B6044" w:rsidP="005C45C7">
            <w:pPr>
              <w:spacing w:after="0"/>
              <w:jc w:val="left"/>
              <w:rPr>
                <w:rFonts w:ascii="Calibri" w:eastAsia="Times New Roman" w:hAnsi="Calibri"/>
                <w:sz w:val="18"/>
                <w:szCs w:val="18"/>
                <w:lang w:val="en-US"/>
              </w:rPr>
            </w:pPr>
            <w:r w:rsidRPr="00B86240">
              <w:rPr>
                <w:rFonts w:ascii="Calibri" w:eastAsia="Times New Roman" w:hAnsi="Calibri"/>
                <w:sz w:val="18"/>
                <w:szCs w:val="18"/>
                <w:lang w:val="en-US"/>
              </w:rPr>
              <w:t>Number of Development Partners aligning their support to the DGSS</w:t>
            </w:r>
          </w:p>
        </w:tc>
        <w:tc>
          <w:tcPr>
            <w:tcW w:w="585" w:type="pct"/>
            <w:tcBorders>
              <w:top w:val="nil"/>
              <w:left w:val="nil"/>
              <w:bottom w:val="single" w:sz="4" w:space="0" w:color="auto"/>
              <w:right w:val="single" w:sz="4" w:space="0" w:color="auto"/>
            </w:tcBorders>
            <w:shd w:val="clear" w:color="auto" w:fill="auto"/>
          </w:tcPr>
          <w:p w14:paraId="05BA5337" w14:textId="77777777" w:rsidR="002B6044" w:rsidRPr="00B86240" w:rsidRDefault="002B6044" w:rsidP="005C45C7">
            <w:pPr>
              <w:spacing w:after="0"/>
              <w:jc w:val="right"/>
              <w:rPr>
                <w:rFonts w:ascii="Calibri" w:eastAsia="Times New Roman" w:hAnsi="Calibri"/>
                <w:sz w:val="18"/>
                <w:szCs w:val="18"/>
                <w:lang w:val="en-US"/>
              </w:rPr>
            </w:pPr>
            <w:r w:rsidRPr="00B86240">
              <w:rPr>
                <w:rFonts w:ascii="Calibri" w:eastAsia="Times New Roman" w:hAnsi="Calibri"/>
                <w:sz w:val="18"/>
                <w:szCs w:val="18"/>
                <w:lang w:val="en-US"/>
              </w:rPr>
              <w:t>0</w:t>
            </w:r>
          </w:p>
        </w:tc>
        <w:tc>
          <w:tcPr>
            <w:tcW w:w="650" w:type="pct"/>
            <w:tcBorders>
              <w:top w:val="nil"/>
              <w:left w:val="nil"/>
              <w:bottom w:val="single" w:sz="4" w:space="0" w:color="auto"/>
              <w:right w:val="single" w:sz="4" w:space="0" w:color="auto"/>
            </w:tcBorders>
            <w:shd w:val="clear" w:color="auto" w:fill="auto"/>
          </w:tcPr>
          <w:p w14:paraId="5817250B" w14:textId="77777777" w:rsidR="002B6044" w:rsidRPr="00B86240" w:rsidRDefault="002B6044" w:rsidP="005C45C7">
            <w:pPr>
              <w:spacing w:after="0"/>
              <w:jc w:val="right"/>
              <w:rPr>
                <w:rFonts w:ascii="Calibri" w:eastAsia="Times New Roman" w:hAnsi="Calibri"/>
                <w:sz w:val="18"/>
                <w:szCs w:val="18"/>
                <w:lang w:val="en-US"/>
              </w:rPr>
            </w:pPr>
            <w:r w:rsidRPr="00B86240">
              <w:rPr>
                <w:rFonts w:ascii="Calibri" w:eastAsia="Times New Roman" w:hAnsi="Calibri"/>
                <w:sz w:val="18"/>
                <w:szCs w:val="18"/>
                <w:lang w:val="en-US"/>
              </w:rPr>
              <w:t>4</w:t>
            </w:r>
          </w:p>
        </w:tc>
        <w:tc>
          <w:tcPr>
            <w:tcW w:w="566" w:type="pct"/>
            <w:tcBorders>
              <w:top w:val="nil"/>
              <w:left w:val="nil"/>
              <w:bottom w:val="single" w:sz="4" w:space="0" w:color="auto"/>
              <w:right w:val="single" w:sz="4" w:space="0" w:color="auto"/>
            </w:tcBorders>
            <w:shd w:val="clear" w:color="000000" w:fill="FFEB9C"/>
          </w:tcPr>
          <w:p w14:paraId="0AF4FC74" w14:textId="77777777" w:rsidR="002B6044" w:rsidRPr="00B86240" w:rsidRDefault="002B6044" w:rsidP="005C45C7">
            <w:pPr>
              <w:spacing w:after="0"/>
              <w:jc w:val="right"/>
              <w:rPr>
                <w:rFonts w:ascii="Calibri" w:eastAsia="Times New Roman" w:hAnsi="Calibri"/>
                <w:color w:val="9C6500"/>
                <w:sz w:val="18"/>
                <w:szCs w:val="18"/>
                <w:lang w:val="en-US"/>
              </w:rPr>
            </w:pPr>
            <w:r w:rsidRPr="00B86240">
              <w:rPr>
                <w:rFonts w:ascii="Calibri" w:eastAsia="Times New Roman" w:hAnsi="Calibri"/>
                <w:color w:val="9C6500"/>
                <w:sz w:val="18"/>
                <w:szCs w:val="18"/>
                <w:lang w:val="en-US"/>
              </w:rPr>
              <w:t>3</w:t>
            </w:r>
          </w:p>
        </w:tc>
      </w:tr>
      <w:tr w:rsidR="002B6044" w:rsidRPr="007D425D" w14:paraId="56647FD2" w14:textId="77777777" w:rsidTr="005C45C7">
        <w:trPr>
          <w:trHeight w:val="280"/>
          <w:jc w:val="center"/>
        </w:trPr>
        <w:tc>
          <w:tcPr>
            <w:tcW w:w="1056" w:type="pct"/>
            <w:vMerge/>
            <w:tcBorders>
              <w:top w:val="nil"/>
              <w:left w:val="single" w:sz="4" w:space="0" w:color="auto"/>
              <w:bottom w:val="single" w:sz="4" w:space="0" w:color="auto"/>
              <w:right w:val="single" w:sz="4" w:space="0" w:color="auto"/>
            </w:tcBorders>
            <w:vAlign w:val="center"/>
          </w:tcPr>
          <w:p w14:paraId="683FBFF3" w14:textId="77777777" w:rsidR="002B6044" w:rsidRPr="00B86240" w:rsidRDefault="002B6044" w:rsidP="005C45C7">
            <w:pPr>
              <w:spacing w:after="0"/>
              <w:jc w:val="left"/>
              <w:rPr>
                <w:rFonts w:ascii="Calibri" w:eastAsia="Times New Roman" w:hAnsi="Calibri"/>
                <w:sz w:val="18"/>
                <w:szCs w:val="18"/>
                <w:lang w:val="en-US"/>
              </w:rPr>
            </w:pPr>
          </w:p>
        </w:tc>
        <w:tc>
          <w:tcPr>
            <w:tcW w:w="2142" w:type="pct"/>
            <w:tcBorders>
              <w:top w:val="nil"/>
              <w:left w:val="nil"/>
              <w:bottom w:val="single" w:sz="4" w:space="0" w:color="auto"/>
              <w:right w:val="single" w:sz="4" w:space="0" w:color="auto"/>
            </w:tcBorders>
            <w:shd w:val="clear" w:color="auto" w:fill="auto"/>
          </w:tcPr>
          <w:p w14:paraId="70B3AF35" w14:textId="77777777" w:rsidR="002B6044" w:rsidRPr="00B86240" w:rsidRDefault="002B6044" w:rsidP="005C45C7">
            <w:pPr>
              <w:spacing w:after="0"/>
              <w:jc w:val="left"/>
              <w:rPr>
                <w:rFonts w:ascii="Calibri" w:eastAsia="Times New Roman" w:hAnsi="Calibri"/>
                <w:sz w:val="18"/>
                <w:szCs w:val="18"/>
                <w:lang w:val="en-US"/>
              </w:rPr>
            </w:pPr>
            <w:r w:rsidRPr="00B86240">
              <w:rPr>
                <w:rFonts w:ascii="Calibri" w:eastAsia="Times New Roman" w:hAnsi="Calibri"/>
                <w:sz w:val="18"/>
                <w:szCs w:val="18"/>
                <w:lang w:val="en-US"/>
              </w:rPr>
              <w:t>% voter turn-out</w:t>
            </w:r>
          </w:p>
        </w:tc>
        <w:tc>
          <w:tcPr>
            <w:tcW w:w="585" w:type="pct"/>
            <w:tcBorders>
              <w:top w:val="nil"/>
              <w:left w:val="nil"/>
              <w:bottom w:val="single" w:sz="4" w:space="0" w:color="auto"/>
              <w:right w:val="single" w:sz="4" w:space="0" w:color="auto"/>
            </w:tcBorders>
            <w:shd w:val="clear" w:color="auto" w:fill="auto"/>
          </w:tcPr>
          <w:p w14:paraId="38556D9B" w14:textId="77777777" w:rsidR="002B6044" w:rsidRPr="00B86240" w:rsidRDefault="002B6044" w:rsidP="005C45C7">
            <w:pPr>
              <w:spacing w:after="0"/>
              <w:jc w:val="right"/>
              <w:rPr>
                <w:rFonts w:ascii="Calibri" w:eastAsia="Times New Roman" w:hAnsi="Calibri"/>
                <w:sz w:val="18"/>
                <w:szCs w:val="18"/>
                <w:lang w:val="en-US"/>
              </w:rPr>
            </w:pPr>
            <w:r w:rsidRPr="00B86240">
              <w:rPr>
                <w:rFonts w:ascii="Calibri" w:eastAsia="Times New Roman" w:hAnsi="Calibri"/>
                <w:sz w:val="18"/>
                <w:szCs w:val="18"/>
                <w:lang w:val="en-US"/>
              </w:rPr>
              <w:t>70</w:t>
            </w:r>
          </w:p>
        </w:tc>
        <w:tc>
          <w:tcPr>
            <w:tcW w:w="650" w:type="pct"/>
            <w:tcBorders>
              <w:top w:val="nil"/>
              <w:left w:val="nil"/>
              <w:bottom w:val="single" w:sz="4" w:space="0" w:color="auto"/>
              <w:right w:val="single" w:sz="4" w:space="0" w:color="auto"/>
            </w:tcBorders>
            <w:shd w:val="clear" w:color="auto" w:fill="auto"/>
          </w:tcPr>
          <w:p w14:paraId="405A95C5" w14:textId="77777777" w:rsidR="002B6044" w:rsidRPr="00B86240" w:rsidRDefault="002B6044" w:rsidP="005C45C7">
            <w:pPr>
              <w:spacing w:after="0"/>
              <w:jc w:val="right"/>
              <w:rPr>
                <w:rFonts w:ascii="Calibri" w:eastAsia="Times New Roman" w:hAnsi="Calibri"/>
                <w:sz w:val="18"/>
                <w:szCs w:val="18"/>
                <w:lang w:val="en-US"/>
              </w:rPr>
            </w:pPr>
            <w:r w:rsidRPr="00B86240">
              <w:rPr>
                <w:rFonts w:ascii="Calibri" w:eastAsia="Times New Roman" w:hAnsi="Calibri"/>
                <w:sz w:val="18"/>
                <w:szCs w:val="18"/>
                <w:lang w:val="en-US"/>
              </w:rPr>
              <w:t>90</w:t>
            </w:r>
          </w:p>
        </w:tc>
        <w:tc>
          <w:tcPr>
            <w:tcW w:w="566" w:type="pct"/>
            <w:tcBorders>
              <w:top w:val="nil"/>
              <w:left w:val="nil"/>
              <w:bottom w:val="single" w:sz="4" w:space="0" w:color="auto"/>
              <w:right w:val="single" w:sz="4" w:space="0" w:color="auto"/>
            </w:tcBorders>
            <w:shd w:val="clear" w:color="000000" w:fill="FFC7CE"/>
          </w:tcPr>
          <w:p w14:paraId="6E3084D3" w14:textId="77777777" w:rsidR="002B6044" w:rsidRPr="00B86240" w:rsidRDefault="002B6044" w:rsidP="005C45C7">
            <w:pPr>
              <w:spacing w:after="0"/>
              <w:jc w:val="right"/>
              <w:rPr>
                <w:rFonts w:ascii="Calibri" w:eastAsia="Times New Roman" w:hAnsi="Calibri"/>
                <w:color w:val="9C0006"/>
                <w:sz w:val="18"/>
                <w:szCs w:val="18"/>
                <w:lang w:val="en-US"/>
              </w:rPr>
            </w:pPr>
            <w:r w:rsidRPr="00B86240">
              <w:rPr>
                <w:rFonts w:ascii="Calibri" w:eastAsia="Times New Roman" w:hAnsi="Calibri"/>
                <w:color w:val="9C0006"/>
                <w:sz w:val="18"/>
                <w:szCs w:val="18"/>
                <w:lang w:val="en-US"/>
              </w:rPr>
              <w:t>70</w:t>
            </w:r>
          </w:p>
        </w:tc>
      </w:tr>
      <w:tr w:rsidR="002B6044" w:rsidRPr="007D425D" w14:paraId="4C8DEB4E" w14:textId="77777777" w:rsidTr="005C45C7">
        <w:trPr>
          <w:trHeight w:val="280"/>
          <w:jc w:val="center"/>
        </w:trPr>
        <w:tc>
          <w:tcPr>
            <w:tcW w:w="1056" w:type="pct"/>
            <w:vMerge/>
            <w:tcBorders>
              <w:top w:val="nil"/>
              <w:left w:val="single" w:sz="4" w:space="0" w:color="auto"/>
              <w:bottom w:val="single" w:sz="4" w:space="0" w:color="auto"/>
              <w:right w:val="single" w:sz="4" w:space="0" w:color="auto"/>
            </w:tcBorders>
            <w:vAlign w:val="center"/>
          </w:tcPr>
          <w:p w14:paraId="68888E27" w14:textId="77777777" w:rsidR="002B6044" w:rsidRPr="00B86240" w:rsidRDefault="002B6044" w:rsidP="005C45C7">
            <w:pPr>
              <w:spacing w:after="0"/>
              <w:jc w:val="left"/>
              <w:rPr>
                <w:rFonts w:ascii="Calibri" w:eastAsia="Times New Roman" w:hAnsi="Calibri"/>
                <w:sz w:val="18"/>
                <w:szCs w:val="18"/>
                <w:lang w:val="en-US"/>
              </w:rPr>
            </w:pPr>
          </w:p>
        </w:tc>
        <w:tc>
          <w:tcPr>
            <w:tcW w:w="2142" w:type="pct"/>
            <w:tcBorders>
              <w:top w:val="nil"/>
              <w:left w:val="nil"/>
              <w:bottom w:val="single" w:sz="4" w:space="0" w:color="auto"/>
              <w:right w:val="single" w:sz="4" w:space="0" w:color="auto"/>
            </w:tcBorders>
            <w:shd w:val="clear" w:color="auto" w:fill="auto"/>
          </w:tcPr>
          <w:p w14:paraId="59C25977" w14:textId="77777777" w:rsidR="002B6044" w:rsidRPr="00B86240" w:rsidRDefault="002B6044" w:rsidP="005C45C7">
            <w:pPr>
              <w:spacing w:after="0"/>
              <w:jc w:val="left"/>
              <w:rPr>
                <w:rFonts w:ascii="Calibri" w:eastAsia="Times New Roman" w:hAnsi="Calibri"/>
                <w:sz w:val="18"/>
                <w:szCs w:val="18"/>
                <w:lang w:val="en-US"/>
              </w:rPr>
            </w:pPr>
            <w:r w:rsidRPr="00B86240">
              <w:rPr>
                <w:rFonts w:ascii="Calibri" w:eastAsia="Times New Roman" w:hAnsi="Calibri"/>
                <w:sz w:val="18"/>
                <w:szCs w:val="18"/>
                <w:lang w:val="en-US"/>
              </w:rPr>
              <w:t>Proportion of women elected during Presidential and Parliamentary Election)</w:t>
            </w:r>
          </w:p>
        </w:tc>
        <w:tc>
          <w:tcPr>
            <w:tcW w:w="585" w:type="pct"/>
            <w:tcBorders>
              <w:top w:val="nil"/>
              <w:left w:val="nil"/>
              <w:bottom w:val="single" w:sz="4" w:space="0" w:color="auto"/>
              <w:right w:val="single" w:sz="4" w:space="0" w:color="auto"/>
            </w:tcBorders>
            <w:shd w:val="clear" w:color="auto" w:fill="auto"/>
          </w:tcPr>
          <w:p w14:paraId="0FEF0845" w14:textId="77777777" w:rsidR="002B6044" w:rsidRPr="00B86240" w:rsidRDefault="002B6044" w:rsidP="005C45C7">
            <w:pPr>
              <w:spacing w:after="0"/>
              <w:jc w:val="right"/>
              <w:rPr>
                <w:rFonts w:ascii="Calibri" w:eastAsia="Times New Roman" w:hAnsi="Calibri"/>
                <w:sz w:val="18"/>
                <w:szCs w:val="18"/>
                <w:lang w:val="en-US"/>
              </w:rPr>
            </w:pPr>
            <w:r w:rsidRPr="00B86240">
              <w:rPr>
                <w:rFonts w:ascii="Calibri" w:eastAsia="Times New Roman" w:hAnsi="Calibri"/>
                <w:sz w:val="18"/>
                <w:szCs w:val="18"/>
                <w:lang w:val="en-US"/>
              </w:rPr>
              <w:t>22</w:t>
            </w:r>
          </w:p>
        </w:tc>
        <w:tc>
          <w:tcPr>
            <w:tcW w:w="650" w:type="pct"/>
            <w:tcBorders>
              <w:top w:val="nil"/>
              <w:left w:val="nil"/>
              <w:bottom w:val="single" w:sz="4" w:space="0" w:color="auto"/>
              <w:right w:val="single" w:sz="4" w:space="0" w:color="auto"/>
            </w:tcBorders>
            <w:shd w:val="clear" w:color="auto" w:fill="auto"/>
          </w:tcPr>
          <w:p w14:paraId="601CF0F8" w14:textId="77777777" w:rsidR="002B6044" w:rsidRPr="00B86240" w:rsidRDefault="002B6044" w:rsidP="005C45C7">
            <w:pPr>
              <w:spacing w:after="0"/>
              <w:jc w:val="right"/>
              <w:rPr>
                <w:rFonts w:ascii="Calibri" w:eastAsia="Times New Roman" w:hAnsi="Calibri"/>
                <w:sz w:val="18"/>
                <w:szCs w:val="18"/>
                <w:lang w:val="en-US"/>
              </w:rPr>
            </w:pPr>
            <w:r w:rsidRPr="00B86240">
              <w:rPr>
                <w:rFonts w:ascii="Calibri" w:eastAsia="Times New Roman" w:hAnsi="Calibri"/>
                <w:sz w:val="18"/>
                <w:szCs w:val="18"/>
                <w:lang w:val="en-US"/>
              </w:rPr>
              <w:t>33</w:t>
            </w:r>
          </w:p>
        </w:tc>
        <w:tc>
          <w:tcPr>
            <w:tcW w:w="566" w:type="pct"/>
            <w:tcBorders>
              <w:top w:val="nil"/>
              <w:left w:val="nil"/>
              <w:bottom w:val="single" w:sz="4" w:space="0" w:color="auto"/>
              <w:right w:val="single" w:sz="4" w:space="0" w:color="auto"/>
            </w:tcBorders>
            <w:shd w:val="clear" w:color="000000" w:fill="FFC7CE"/>
          </w:tcPr>
          <w:p w14:paraId="515532E2" w14:textId="77777777" w:rsidR="002B6044" w:rsidRPr="00B86240" w:rsidRDefault="002B6044" w:rsidP="005C45C7">
            <w:pPr>
              <w:spacing w:after="0"/>
              <w:jc w:val="right"/>
              <w:rPr>
                <w:rFonts w:ascii="Calibri" w:eastAsia="Times New Roman" w:hAnsi="Calibri"/>
                <w:color w:val="9C0006"/>
                <w:sz w:val="18"/>
                <w:szCs w:val="18"/>
                <w:lang w:val="en-US"/>
              </w:rPr>
            </w:pPr>
            <w:r w:rsidRPr="00B86240">
              <w:rPr>
                <w:rFonts w:ascii="Calibri" w:eastAsia="Times New Roman" w:hAnsi="Calibri"/>
                <w:color w:val="9C0006"/>
                <w:sz w:val="18"/>
                <w:szCs w:val="18"/>
                <w:lang w:val="en-US"/>
              </w:rPr>
              <w:t>16.50%</w:t>
            </w:r>
          </w:p>
        </w:tc>
      </w:tr>
      <w:tr w:rsidR="002B6044" w:rsidRPr="007D425D" w14:paraId="7B315C7D" w14:textId="77777777" w:rsidTr="005C45C7">
        <w:trPr>
          <w:trHeight w:val="560"/>
          <w:jc w:val="center"/>
        </w:trPr>
        <w:tc>
          <w:tcPr>
            <w:tcW w:w="1056" w:type="pct"/>
            <w:vMerge/>
            <w:tcBorders>
              <w:top w:val="nil"/>
              <w:left w:val="single" w:sz="4" w:space="0" w:color="auto"/>
              <w:bottom w:val="single" w:sz="4" w:space="0" w:color="auto"/>
              <w:right w:val="single" w:sz="4" w:space="0" w:color="auto"/>
            </w:tcBorders>
            <w:vAlign w:val="center"/>
          </w:tcPr>
          <w:p w14:paraId="7B88FC0E" w14:textId="77777777" w:rsidR="002B6044" w:rsidRPr="00B86240" w:rsidRDefault="002B6044" w:rsidP="005C45C7">
            <w:pPr>
              <w:spacing w:after="0"/>
              <w:jc w:val="left"/>
              <w:rPr>
                <w:rFonts w:ascii="Calibri" w:eastAsia="Times New Roman" w:hAnsi="Calibri"/>
                <w:sz w:val="18"/>
                <w:szCs w:val="18"/>
                <w:lang w:val="en-US"/>
              </w:rPr>
            </w:pPr>
          </w:p>
        </w:tc>
        <w:tc>
          <w:tcPr>
            <w:tcW w:w="2142" w:type="pct"/>
            <w:tcBorders>
              <w:top w:val="nil"/>
              <w:left w:val="nil"/>
              <w:bottom w:val="single" w:sz="4" w:space="0" w:color="auto"/>
              <w:right w:val="single" w:sz="4" w:space="0" w:color="auto"/>
            </w:tcBorders>
            <w:shd w:val="clear" w:color="auto" w:fill="auto"/>
          </w:tcPr>
          <w:p w14:paraId="513A946E" w14:textId="77777777" w:rsidR="002B6044" w:rsidRPr="00B86240" w:rsidRDefault="002B6044" w:rsidP="005C45C7">
            <w:pPr>
              <w:spacing w:after="0"/>
              <w:jc w:val="left"/>
              <w:rPr>
                <w:rFonts w:ascii="Calibri" w:eastAsia="Times New Roman" w:hAnsi="Calibri"/>
                <w:sz w:val="18"/>
                <w:szCs w:val="18"/>
                <w:lang w:val="en-US"/>
              </w:rPr>
            </w:pPr>
            <w:r w:rsidRPr="00B86240">
              <w:rPr>
                <w:rFonts w:ascii="Calibri" w:eastAsia="Times New Roman" w:hAnsi="Calibri"/>
                <w:sz w:val="18"/>
                <w:szCs w:val="18"/>
                <w:lang w:val="en-US"/>
              </w:rPr>
              <w:t>A gender responsive National Human Rights Action Plan for the Promotion and Protection of Human Rights Developed and implemented</w:t>
            </w:r>
          </w:p>
        </w:tc>
        <w:tc>
          <w:tcPr>
            <w:tcW w:w="585" w:type="pct"/>
            <w:tcBorders>
              <w:top w:val="nil"/>
              <w:left w:val="nil"/>
              <w:bottom w:val="single" w:sz="4" w:space="0" w:color="auto"/>
              <w:right w:val="single" w:sz="4" w:space="0" w:color="auto"/>
            </w:tcBorders>
            <w:shd w:val="clear" w:color="auto" w:fill="auto"/>
          </w:tcPr>
          <w:p w14:paraId="4F5D16CD" w14:textId="77777777" w:rsidR="002B6044" w:rsidRPr="00B86240" w:rsidRDefault="002B6044" w:rsidP="005C45C7">
            <w:pPr>
              <w:spacing w:after="0"/>
              <w:jc w:val="right"/>
              <w:rPr>
                <w:rFonts w:ascii="Calibri" w:eastAsia="Times New Roman" w:hAnsi="Calibri"/>
                <w:sz w:val="18"/>
                <w:szCs w:val="18"/>
                <w:lang w:val="en-US"/>
              </w:rPr>
            </w:pPr>
            <w:r w:rsidRPr="00B86240">
              <w:rPr>
                <w:rFonts w:ascii="Calibri" w:eastAsia="Times New Roman" w:hAnsi="Calibri"/>
                <w:sz w:val="18"/>
                <w:szCs w:val="18"/>
                <w:lang w:val="en-US"/>
              </w:rPr>
              <w:t>0</w:t>
            </w:r>
          </w:p>
        </w:tc>
        <w:tc>
          <w:tcPr>
            <w:tcW w:w="650" w:type="pct"/>
            <w:tcBorders>
              <w:top w:val="nil"/>
              <w:left w:val="nil"/>
              <w:bottom w:val="single" w:sz="4" w:space="0" w:color="auto"/>
              <w:right w:val="single" w:sz="4" w:space="0" w:color="auto"/>
            </w:tcBorders>
            <w:shd w:val="clear" w:color="auto" w:fill="auto"/>
          </w:tcPr>
          <w:p w14:paraId="4140A451" w14:textId="77777777" w:rsidR="002B6044" w:rsidRPr="00B86240" w:rsidRDefault="002B6044" w:rsidP="005C45C7">
            <w:pPr>
              <w:spacing w:after="0"/>
              <w:jc w:val="right"/>
              <w:rPr>
                <w:rFonts w:ascii="Calibri" w:eastAsia="Times New Roman" w:hAnsi="Calibri"/>
                <w:sz w:val="18"/>
                <w:szCs w:val="18"/>
                <w:lang w:val="en-US"/>
              </w:rPr>
            </w:pPr>
            <w:r w:rsidRPr="00B86240">
              <w:rPr>
                <w:rFonts w:ascii="Calibri" w:eastAsia="Times New Roman" w:hAnsi="Calibri"/>
                <w:sz w:val="18"/>
                <w:szCs w:val="18"/>
                <w:lang w:val="en-US"/>
              </w:rPr>
              <w:t>1</w:t>
            </w:r>
          </w:p>
        </w:tc>
        <w:tc>
          <w:tcPr>
            <w:tcW w:w="566" w:type="pct"/>
            <w:tcBorders>
              <w:top w:val="nil"/>
              <w:left w:val="nil"/>
              <w:bottom w:val="single" w:sz="4" w:space="0" w:color="auto"/>
              <w:right w:val="single" w:sz="4" w:space="0" w:color="auto"/>
            </w:tcBorders>
            <w:shd w:val="clear" w:color="000000" w:fill="C6EFCE"/>
          </w:tcPr>
          <w:p w14:paraId="67EC9C34" w14:textId="77777777" w:rsidR="002B6044" w:rsidRPr="00B86240" w:rsidRDefault="002B6044" w:rsidP="005C45C7">
            <w:pPr>
              <w:spacing w:after="0"/>
              <w:jc w:val="right"/>
              <w:rPr>
                <w:rFonts w:ascii="Calibri" w:eastAsia="Times New Roman" w:hAnsi="Calibri"/>
                <w:color w:val="006100"/>
                <w:sz w:val="18"/>
                <w:szCs w:val="18"/>
                <w:lang w:val="en-US"/>
              </w:rPr>
            </w:pPr>
            <w:r w:rsidRPr="00B86240">
              <w:rPr>
                <w:rFonts w:ascii="Calibri" w:eastAsia="Times New Roman" w:hAnsi="Calibri"/>
                <w:color w:val="006100"/>
                <w:sz w:val="18"/>
                <w:szCs w:val="18"/>
                <w:lang w:val="en-US"/>
              </w:rPr>
              <w:t>1</w:t>
            </w:r>
          </w:p>
        </w:tc>
      </w:tr>
      <w:tr w:rsidR="002B6044" w:rsidRPr="007D425D" w14:paraId="194A5DE9" w14:textId="77777777" w:rsidTr="005C45C7">
        <w:trPr>
          <w:trHeight w:val="280"/>
          <w:jc w:val="center"/>
        </w:trPr>
        <w:tc>
          <w:tcPr>
            <w:tcW w:w="1056" w:type="pct"/>
            <w:vMerge/>
            <w:tcBorders>
              <w:top w:val="nil"/>
              <w:left w:val="single" w:sz="4" w:space="0" w:color="auto"/>
              <w:bottom w:val="single" w:sz="4" w:space="0" w:color="auto"/>
              <w:right w:val="single" w:sz="4" w:space="0" w:color="auto"/>
            </w:tcBorders>
            <w:vAlign w:val="center"/>
          </w:tcPr>
          <w:p w14:paraId="2FB6334D" w14:textId="77777777" w:rsidR="002B6044" w:rsidRPr="00B86240" w:rsidRDefault="002B6044" w:rsidP="005C45C7">
            <w:pPr>
              <w:spacing w:after="0"/>
              <w:jc w:val="left"/>
              <w:rPr>
                <w:rFonts w:ascii="Calibri" w:eastAsia="Times New Roman" w:hAnsi="Calibri"/>
                <w:sz w:val="18"/>
                <w:szCs w:val="18"/>
                <w:lang w:val="en-US"/>
              </w:rPr>
            </w:pPr>
          </w:p>
        </w:tc>
        <w:tc>
          <w:tcPr>
            <w:tcW w:w="2142" w:type="pct"/>
            <w:tcBorders>
              <w:top w:val="nil"/>
              <w:left w:val="nil"/>
              <w:bottom w:val="single" w:sz="4" w:space="0" w:color="auto"/>
              <w:right w:val="single" w:sz="4" w:space="0" w:color="auto"/>
            </w:tcBorders>
            <w:shd w:val="clear" w:color="auto" w:fill="auto"/>
          </w:tcPr>
          <w:p w14:paraId="7BDAEF9B" w14:textId="77777777" w:rsidR="002B6044" w:rsidRPr="00B86240" w:rsidRDefault="002B6044" w:rsidP="005C45C7">
            <w:pPr>
              <w:spacing w:after="0"/>
              <w:jc w:val="left"/>
              <w:rPr>
                <w:rFonts w:ascii="Calibri" w:eastAsia="Times New Roman" w:hAnsi="Calibri"/>
                <w:sz w:val="18"/>
                <w:szCs w:val="18"/>
                <w:lang w:val="en-US"/>
              </w:rPr>
            </w:pPr>
            <w:r w:rsidRPr="00B86240">
              <w:rPr>
                <w:rFonts w:ascii="Calibri" w:eastAsia="Times New Roman" w:hAnsi="Calibri"/>
                <w:sz w:val="18"/>
                <w:szCs w:val="18"/>
                <w:lang w:val="en-US"/>
              </w:rPr>
              <w:t>Number of institutions aligning to a coordinated mechanism for human rights</w:t>
            </w:r>
          </w:p>
        </w:tc>
        <w:tc>
          <w:tcPr>
            <w:tcW w:w="585" w:type="pct"/>
            <w:tcBorders>
              <w:top w:val="nil"/>
              <w:left w:val="nil"/>
              <w:bottom w:val="single" w:sz="4" w:space="0" w:color="auto"/>
              <w:right w:val="single" w:sz="4" w:space="0" w:color="auto"/>
            </w:tcBorders>
            <w:shd w:val="clear" w:color="auto" w:fill="auto"/>
          </w:tcPr>
          <w:p w14:paraId="1926F6F6" w14:textId="77777777" w:rsidR="002B6044" w:rsidRPr="00B86240" w:rsidRDefault="002B6044" w:rsidP="005C45C7">
            <w:pPr>
              <w:spacing w:after="0"/>
              <w:jc w:val="right"/>
              <w:rPr>
                <w:rFonts w:ascii="Calibri" w:eastAsia="Times New Roman" w:hAnsi="Calibri"/>
                <w:sz w:val="18"/>
                <w:szCs w:val="18"/>
                <w:lang w:val="en-US"/>
              </w:rPr>
            </w:pPr>
            <w:r w:rsidRPr="00B86240">
              <w:rPr>
                <w:rFonts w:ascii="Calibri" w:eastAsia="Times New Roman" w:hAnsi="Calibri"/>
                <w:sz w:val="18"/>
                <w:szCs w:val="18"/>
                <w:lang w:val="en-US"/>
              </w:rPr>
              <w:t>0</w:t>
            </w:r>
          </w:p>
        </w:tc>
        <w:tc>
          <w:tcPr>
            <w:tcW w:w="650" w:type="pct"/>
            <w:tcBorders>
              <w:top w:val="nil"/>
              <w:left w:val="nil"/>
              <w:bottom w:val="single" w:sz="4" w:space="0" w:color="auto"/>
              <w:right w:val="single" w:sz="4" w:space="0" w:color="auto"/>
            </w:tcBorders>
            <w:shd w:val="clear" w:color="auto" w:fill="auto"/>
          </w:tcPr>
          <w:p w14:paraId="06DCF358" w14:textId="77777777" w:rsidR="002B6044" w:rsidRPr="00B86240" w:rsidRDefault="002B6044" w:rsidP="005C45C7">
            <w:pPr>
              <w:spacing w:after="0"/>
              <w:jc w:val="right"/>
              <w:rPr>
                <w:rFonts w:ascii="Calibri" w:eastAsia="Times New Roman" w:hAnsi="Calibri"/>
                <w:sz w:val="18"/>
                <w:szCs w:val="18"/>
                <w:lang w:val="en-US"/>
              </w:rPr>
            </w:pPr>
            <w:r w:rsidRPr="00B86240">
              <w:rPr>
                <w:rFonts w:ascii="Calibri" w:eastAsia="Times New Roman" w:hAnsi="Calibri"/>
                <w:sz w:val="18"/>
                <w:szCs w:val="18"/>
                <w:lang w:val="en-US"/>
              </w:rPr>
              <w:t>9</w:t>
            </w:r>
          </w:p>
        </w:tc>
        <w:tc>
          <w:tcPr>
            <w:tcW w:w="566" w:type="pct"/>
            <w:tcBorders>
              <w:top w:val="nil"/>
              <w:left w:val="nil"/>
              <w:bottom w:val="single" w:sz="4" w:space="0" w:color="auto"/>
              <w:right w:val="single" w:sz="4" w:space="0" w:color="auto"/>
            </w:tcBorders>
            <w:shd w:val="clear" w:color="000000" w:fill="FFEB9C"/>
          </w:tcPr>
          <w:p w14:paraId="65701E61" w14:textId="77777777" w:rsidR="002B6044" w:rsidRPr="00B86240" w:rsidRDefault="002B6044" w:rsidP="005C45C7">
            <w:pPr>
              <w:spacing w:after="0"/>
              <w:jc w:val="right"/>
              <w:rPr>
                <w:rFonts w:ascii="Calibri" w:eastAsia="Times New Roman" w:hAnsi="Calibri"/>
                <w:color w:val="9C6500"/>
                <w:sz w:val="18"/>
                <w:szCs w:val="18"/>
                <w:lang w:val="en-US"/>
              </w:rPr>
            </w:pPr>
            <w:r w:rsidRPr="00B86240">
              <w:rPr>
                <w:rFonts w:ascii="Calibri" w:eastAsia="Times New Roman" w:hAnsi="Calibri"/>
                <w:color w:val="9C6500"/>
                <w:sz w:val="18"/>
                <w:szCs w:val="18"/>
                <w:lang w:val="en-US"/>
              </w:rPr>
              <w:t>6</w:t>
            </w:r>
          </w:p>
        </w:tc>
      </w:tr>
      <w:tr w:rsidR="002B6044" w:rsidRPr="007D425D" w14:paraId="0F611624" w14:textId="77777777" w:rsidTr="005C45C7">
        <w:trPr>
          <w:trHeight w:val="840"/>
          <w:jc w:val="center"/>
        </w:trPr>
        <w:tc>
          <w:tcPr>
            <w:tcW w:w="1056" w:type="pct"/>
            <w:vMerge/>
            <w:tcBorders>
              <w:top w:val="nil"/>
              <w:left w:val="single" w:sz="4" w:space="0" w:color="auto"/>
              <w:bottom w:val="single" w:sz="4" w:space="0" w:color="auto"/>
              <w:right w:val="single" w:sz="4" w:space="0" w:color="auto"/>
            </w:tcBorders>
            <w:vAlign w:val="center"/>
          </w:tcPr>
          <w:p w14:paraId="550171FC" w14:textId="77777777" w:rsidR="002B6044" w:rsidRPr="00B86240" w:rsidRDefault="002B6044" w:rsidP="005C45C7">
            <w:pPr>
              <w:spacing w:after="0"/>
              <w:jc w:val="left"/>
              <w:rPr>
                <w:rFonts w:ascii="Calibri" w:eastAsia="Times New Roman" w:hAnsi="Calibri"/>
                <w:sz w:val="18"/>
                <w:szCs w:val="18"/>
                <w:lang w:val="en-US"/>
              </w:rPr>
            </w:pPr>
          </w:p>
        </w:tc>
        <w:tc>
          <w:tcPr>
            <w:tcW w:w="2142" w:type="pct"/>
            <w:tcBorders>
              <w:top w:val="nil"/>
              <w:left w:val="nil"/>
              <w:bottom w:val="single" w:sz="4" w:space="0" w:color="auto"/>
              <w:right w:val="single" w:sz="4" w:space="0" w:color="auto"/>
            </w:tcBorders>
            <w:shd w:val="clear" w:color="auto" w:fill="auto"/>
          </w:tcPr>
          <w:p w14:paraId="337EAF2F" w14:textId="77777777" w:rsidR="002B6044" w:rsidRPr="00B86240" w:rsidRDefault="002B6044" w:rsidP="005C45C7">
            <w:pPr>
              <w:spacing w:after="0"/>
              <w:jc w:val="left"/>
              <w:rPr>
                <w:rFonts w:ascii="Calibri" w:eastAsia="Times New Roman" w:hAnsi="Calibri"/>
                <w:sz w:val="18"/>
                <w:szCs w:val="18"/>
                <w:lang w:val="en-US"/>
              </w:rPr>
            </w:pPr>
            <w:r w:rsidRPr="00B86240">
              <w:rPr>
                <w:rFonts w:ascii="Calibri" w:eastAsia="Times New Roman" w:hAnsi="Calibri"/>
                <w:sz w:val="18"/>
                <w:szCs w:val="18"/>
                <w:lang w:val="en-US"/>
              </w:rPr>
              <w:t>% of rural and urban population able to claim human rights (disaggregated by Gender)</w:t>
            </w:r>
          </w:p>
        </w:tc>
        <w:tc>
          <w:tcPr>
            <w:tcW w:w="585" w:type="pct"/>
            <w:tcBorders>
              <w:top w:val="nil"/>
              <w:left w:val="nil"/>
              <w:bottom w:val="single" w:sz="4" w:space="0" w:color="auto"/>
              <w:right w:val="single" w:sz="4" w:space="0" w:color="auto"/>
            </w:tcBorders>
            <w:shd w:val="clear" w:color="auto" w:fill="auto"/>
          </w:tcPr>
          <w:p w14:paraId="1E13615D" w14:textId="77777777" w:rsidR="002B6044" w:rsidRPr="00B86240" w:rsidRDefault="002B6044" w:rsidP="005C45C7">
            <w:pPr>
              <w:spacing w:after="0"/>
              <w:jc w:val="right"/>
              <w:rPr>
                <w:rFonts w:ascii="Calibri" w:eastAsia="Times New Roman" w:hAnsi="Calibri"/>
                <w:sz w:val="18"/>
                <w:szCs w:val="18"/>
                <w:lang w:val="en-US"/>
              </w:rPr>
            </w:pPr>
            <w:r w:rsidRPr="00B86240">
              <w:rPr>
                <w:rFonts w:ascii="Calibri" w:eastAsia="Times New Roman" w:hAnsi="Calibri"/>
                <w:sz w:val="18"/>
                <w:szCs w:val="18"/>
                <w:lang w:val="en-US"/>
              </w:rPr>
              <w:t>16% females; 19% males; 20% urban; 17% rural</w:t>
            </w:r>
          </w:p>
        </w:tc>
        <w:tc>
          <w:tcPr>
            <w:tcW w:w="650" w:type="pct"/>
            <w:tcBorders>
              <w:top w:val="nil"/>
              <w:left w:val="nil"/>
              <w:bottom w:val="single" w:sz="4" w:space="0" w:color="auto"/>
              <w:right w:val="single" w:sz="4" w:space="0" w:color="auto"/>
            </w:tcBorders>
            <w:shd w:val="clear" w:color="auto" w:fill="auto"/>
          </w:tcPr>
          <w:p w14:paraId="688AE49B" w14:textId="77777777" w:rsidR="002B6044" w:rsidRPr="00B86240" w:rsidRDefault="002B6044" w:rsidP="005C45C7">
            <w:pPr>
              <w:spacing w:after="0"/>
              <w:jc w:val="right"/>
              <w:rPr>
                <w:rFonts w:ascii="Calibri" w:eastAsia="Times New Roman" w:hAnsi="Calibri"/>
                <w:sz w:val="18"/>
                <w:szCs w:val="18"/>
                <w:lang w:val="en-US"/>
              </w:rPr>
            </w:pPr>
            <w:r w:rsidRPr="00B86240">
              <w:rPr>
                <w:rFonts w:ascii="Calibri" w:eastAsia="Times New Roman" w:hAnsi="Calibri"/>
                <w:sz w:val="18"/>
                <w:szCs w:val="18"/>
                <w:lang w:val="en-US"/>
              </w:rPr>
              <w:t>50% Males: 50% Females; 50% Urban; 50 % rural</w:t>
            </w:r>
          </w:p>
        </w:tc>
        <w:tc>
          <w:tcPr>
            <w:tcW w:w="566" w:type="pct"/>
            <w:tcBorders>
              <w:top w:val="nil"/>
              <w:left w:val="nil"/>
              <w:bottom w:val="single" w:sz="4" w:space="0" w:color="auto"/>
              <w:right w:val="single" w:sz="4" w:space="0" w:color="auto"/>
            </w:tcBorders>
            <w:shd w:val="clear" w:color="auto" w:fill="auto"/>
          </w:tcPr>
          <w:p w14:paraId="3370F483" w14:textId="77777777" w:rsidR="002B6044" w:rsidRPr="00B86240" w:rsidRDefault="002B6044" w:rsidP="005C45C7">
            <w:pPr>
              <w:spacing w:after="0"/>
              <w:jc w:val="right"/>
              <w:rPr>
                <w:rFonts w:ascii="Calibri" w:eastAsia="Times New Roman" w:hAnsi="Calibri"/>
                <w:sz w:val="18"/>
                <w:szCs w:val="18"/>
                <w:lang w:val="en-US"/>
              </w:rPr>
            </w:pPr>
            <w:r w:rsidRPr="00B86240">
              <w:rPr>
                <w:rFonts w:ascii="Calibri" w:eastAsia="Times New Roman" w:hAnsi="Calibri"/>
                <w:sz w:val="18"/>
                <w:szCs w:val="18"/>
                <w:lang w:val="en-US"/>
              </w:rPr>
              <w:t> </w:t>
            </w:r>
          </w:p>
        </w:tc>
      </w:tr>
      <w:tr w:rsidR="002B6044" w:rsidRPr="007D425D" w14:paraId="73F446B4" w14:textId="77777777" w:rsidTr="005C45C7">
        <w:trPr>
          <w:trHeight w:val="280"/>
          <w:jc w:val="center"/>
        </w:trPr>
        <w:tc>
          <w:tcPr>
            <w:tcW w:w="1056" w:type="pct"/>
            <w:vMerge w:val="restart"/>
            <w:tcBorders>
              <w:top w:val="single" w:sz="4" w:space="0" w:color="auto"/>
              <w:left w:val="single" w:sz="4" w:space="0" w:color="auto"/>
              <w:bottom w:val="single" w:sz="4" w:space="0" w:color="auto"/>
              <w:right w:val="single" w:sz="4" w:space="0" w:color="auto"/>
            </w:tcBorders>
            <w:shd w:val="clear" w:color="auto" w:fill="auto"/>
          </w:tcPr>
          <w:p w14:paraId="1A9B20AC" w14:textId="77777777" w:rsidR="002B6044" w:rsidRPr="00B86240" w:rsidRDefault="002B6044" w:rsidP="005C45C7">
            <w:pPr>
              <w:spacing w:after="0"/>
              <w:jc w:val="left"/>
              <w:rPr>
                <w:rFonts w:ascii="Calibri" w:eastAsia="Times New Roman" w:hAnsi="Calibri"/>
                <w:sz w:val="18"/>
                <w:szCs w:val="18"/>
                <w:lang w:val="en-US"/>
              </w:rPr>
            </w:pPr>
            <w:r w:rsidRPr="00B86240">
              <w:rPr>
                <w:rFonts w:ascii="Calibri" w:eastAsia="Times New Roman" w:hAnsi="Calibri"/>
                <w:sz w:val="18"/>
                <w:szCs w:val="18"/>
                <w:lang w:val="en-US"/>
              </w:rPr>
              <w:t xml:space="preserve">Output 4.1.2: Capacity of national institutions strengthened for collaborative dialogue to support the establishment and operationalization of the national peace architecture </w:t>
            </w:r>
          </w:p>
        </w:tc>
        <w:tc>
          <w:tcPr>
            <w:tcW w:w="2142" w:type="pct"/>
            <w:tcBorders>
              <w:top w:val="nil"/>
              <w:left w:val="single" w:sz="4" w:space="0" w:color="auto"/>
              <w:bottom w:val="single" w:sz="4" w:space="0" w:color="auto"/>
              <w:right w:val="single" w:sz="4" w:space="0" w:color="auto"/>
            </w:tcBorders>
            <w:shd w:val="clear" w:color="auto" w:fill="auto"/>
          </w:tcPr>
          <w:p w14:paraId="4C4125CC" w14:textId="77777777" w:rsidR="002B6044" w:rsidRPr="00B86240" w:rsidRDefault="002B6044" w:rsidP="005C45C7">
            <w:pPr>
              <w:spacing w:after="0"/>
              <w:jc w:val="left"/>
              <w:rPr>
                <w:rFonts w:ascii="Calibri" w:eastAsia="Times New Roman" w:hAnsi="Calibri"/>
                <w:sz w:val="18"/>
                <w:szCs w:val="18"/>
                <w:lang w:val="en-US"/>
              </w:rPr>
            </w:pPr>
            <w:r w:rsidRPr="00B86240">
              <w:rPr>
                <w:rFonts w:ascii="Calibri" w:eastAsia="Times New Roman" w:hAnsi="Calibri"/>
                <w:sz w:val="18"/>
                <w:szCs w:val="18"/>
                <w:lang w:val="en-US"/>
              </w:rPr>
              <w:t>Number of districts piloting early conflict warning early response teams</w:t>
            </w:r>
          </w:p>
        </w:tc>
        <w:tc>
          <w:tcPr>
            <w:tcW w:w="585" w:type="pct"/>
            <w:tcBorders>
              <w:top w:val="nil"/>
              <w:left w:val="nil"/>
              <w:bottom w:val="single" w:sz="4" w:space="0" w:color="auto"/>
              <w:right w:val="single" w:sz="4" w:space="0" w:color="auto"/>
            </w:tcBorders>
            <w:shd w:val="clear" w:color="auto" w:fill="auto"/>
            <w:noWrap/>
          </w:tcPr>
          <w:p w14:paraId="7A53EF9A" w14:textId="77777777" w:rsidR="002B6044" w:rsidRPr="00B86240" w:rsidRDefault="002B6044" w:rsidP="005C45C7">
            <w:pPr>
              <w:spacing w:after="0"/>
              <w:jc w:val="right"/>
              <w:rPr>
                <w:rFonts w:ascii="Calibri" w:eastAsia="Times New Roman" w:hAnsi="Calibri"/>
                <w:sz w:val="18"/>
                <w:szCs w:val="18"/>
                <w:lang w:val="en-US"/>
              </w:rPr>
            </w:pPr>
            <w:r w:rsidRPr="00B86240">
              <w:rPr>
                <w:rFonts w:ascii="Calibri" w:eastAsia="Times New Roman" w:hAnsi="Calibri"/>
                <w:sz w:val="18"/>
                <w:szCs w:val="18"/>
                <w:lang w:val="en-US"/>
              </w:rPr>
              <w:t>0</w:t>
            </w:r>
          </w:p>
        </w:tc>
        <w:tc>
          <w:tcPr>
            <w:tcW w:w="650" w:type="pct"/>
            <w:tcBorders>
              <w:top w:val="nil"/>
              <w:left w:val="nil"/>
              <w:bottom w:val="single" w:sz="4" w:space="0" w:color="auto"/>
              <w:right w:val="single" w:sz="4" w:space="0" w:color="auto"/>
            </w:tcBorders>
            <w:shd w:val="clear" w:color="auto" w:fill="auto"/>
            <w:noWrap/>
          </w:tcPr>
          <w:p w14:paraId="011BE7C0" w14:textId="77777777" w:rsidR="002B6044" w:rsidRPr="00B86240" w:rsidRDefault="002B6044" w:rsidP="005C45C7">
            <w:pPr>
              <w:spacing w:after="0"/>
              <w:jc w:val="right"/>
              <w:rPr>
                <w:rFonts w:ascii="Calibri" w:eastAsia="Times New Roman" w:hAnsi="Calibri"/>
                <w:sz w:val="18"/>
                <w:szCs w:val="18"/>
                <w:lang w:val="en-US"/>
              </w:rPr>
            </w:pPr>
            <w:r w:rsidRPr="00B86240">
              <w:rPr>
                <w:rFonts w:ascii="Calibri" w:eastAsia="Times New Roman" w:hAnsi="Calibri"/>
                <w:sz w:val="18"/>
                <w:szCs w:val="18"/>
                <w:lang w:val="en-US"/>
              </w:rPr>
              <w:t>5</w:t>
            </w:r>
          </w:p>
        </w:tc>
        <w:tc>
          <w:tcPr>
            <w:tcW w:w="566" w:type="pct"/>
            <w:tcBorders>
              <w:top w:val="nil"/>
              <w:left w:val="nil"/>
              <w:bottom w:val="single" w:sz="4" w:space="0" w:color="auto"/>
              <w:right w:val="single" w:sz="4" w:space="0" w:color="auto"/>
            </w:tcBorders>
            <w:shd w:val="clear" w:color="000000" w:fill="FFEB9C"/>
          </w:tcPr>
          <w:p w14:paraId="26966D85" w14:textId="77777777" w:rsidR="002B6044" w:rsidRPr="00B86240" w:rsidRDefault="002B6044" w:rsidP="005C45C7">
            <w:pPr>
              <w:spacing w:after="0"/>
              <w:jc w:val="right"/>
              <w:rPr>
                <w:rFonts w:ascii="Calibri" w:eastAsia="Times New Roman" w:hAnsi="Calibri"/>
                <w:color w:val="9C6500"/>
                <w:sz w:val="18"/>
                <w:szCs w:val="18"/>
                <w:lang w:val="en-US"/>
              </w:rPr>
            </w:pPr>
            <w:r w:rsidRPr="00B86240">
              <w:rPr>
                <w:rFonts w:ascii="Calibri" w:eastAsia="Times New Roman" w:hAnsi="Calibri"/>
                <w:color w:val="9C6500"/>
                <w:sz w:val="18"/>
                <w:szCs w:val="18"/>
                <w:lang w:val="en-US"/>
              </w:rPr>
              <w:t>3</w:t>
            </w:r>
          </w:p>
        </w:tc>
      </w:tr>
      <w:tr w:rsidR="002B6044" w:rsidRPr="007D425D" w14:paraId="265AC006" w14:textId="77777777" w:rsidTr="005C45C7">
        <w:trPr>
          <w:trHeight w:val="560"/>
          <w:jc w:val="center"/>
        </w:trPr>
        <w:tc>
          <w:tcPr>
            <w:tcW w:w="1056" w:type="pct"/>
            <w:vMerge/>
            <w:tcBorders>
              <w:top w:val="single" w:sz="4" w:space="0" w:color="auto"/>
              <w:left w:val="single" w:sz="4" w:space="0" w:color="auto"/>
              <w:bottom w:val="single" w:sz="4" w:space="0" w:color="auto"/>
              <w:right w:val="single" w:sz="4" w:space="0" w:color="auto"/>
            </w:tcBorders>
            <w:vAlign w:val="center"/>
          </w:tcPr>
          <w:p w14:paraId="7D49665A" w14:textId="77777777" w:rsidR="002B6044" w:rsidRPr="00B86240" w:rsidRDefault="002B6044" w:rsidP="005C45C7">
            <w:pPr>
              <w:spacing w:after="0"/>
              <w:jc w:val="left"/>
              <w:rPr>
                <w:rFonts w:ascii="Calibri" w:eastAsia="Times New Roman" w:hAnsi="Calibri"/>
                <w:sz w:val="18"/>
                <w:szCs w:val="18"/>
                <w:lang w:val="en-US"/>
              </w:rPr>
            </w:pPr>
          </w:p>
        </w:tc>
        <w:tc>
          <w:tcPr>
            <w:tcW w:w="2142" w:type="pct"/>
            <w:tcBorders>
              <w:top w:val="nil"/>
              <w:left w:val="single" w:sz="4" w:space="0" w:color="auto"/>
              <w:bottom w:val="single" w:sz="4" w:space="0" w:color="auto"/>
              <w:right w:val="single" w:sz="4" w:space="0" w:color="auto"/>
            </w:tcBorders>
            <w:shd w:val="clear" w:color="auto" w:fill="auto"/>
          </w:tcPr>
          <w:p w14:paraId="03E89624" w14:textId="77777777" w:rsidR="002B6044" w:rsidRPr="00B86240" w:rsidRDefault="002B6044" w:rsidP="005C45C7">
            <w:pPr>
              <w:spacing w:after="0"/>
              <w:jc w:val="left"/>
              <w:rPr>
                <w:rFonts w:ascii="Calibri" w:eastAsia="Times New Roman" w:hAnsi="Calibri"/>
                <w:sz w:val="18"/>
                <w:szCs w:val="18"/>
                <w:lang w:val="en-US"/>
              </w:rPr>
            </w:pPr>
            <w:r w:rsidRPr="00B86240">
              <w:rPr>
                <w:rFonts w:ascii="Calibri" w:eastAsia="Times New Roman" w:hAnsi="Calibri"/>
                <w:sz w:val="18"/>
                <w:szCs w:val="18"/>
                <w:lang w:val="en-US"/>
              </w:rPr>
              <w:t>Percentage of Women participating in conflict mediation and dialogue initiatives at the national level</w:t>
            </w:r>
          </w:p>
        </w:tc>
        <w:tc>
          <w:tcPr>
            <w:tcW w:w="585" w:type="pct"/>
            <w:tcBorders>
              <w:top w:val="nil"/>
              <w:left w:val="nil"/>
              <w:bottom w:val="single" w:sz="4" w:space="0" w:color="auto"/>
              <w:right w:val="single" w:sz="4" w:space="0" w:color="auto"/>
            </w:tcBorders>
            <w:shd w:val="clear" w:color="auto" w:fill="auto"/>
            <w:noWrap/>
          </w:tcPr>
          <w:p w14:paraId="0CD497E8" w14:textId="77777777" w:rsidR="002B6044" w:rsidRPr="00B86240" w:rsidRDefault="002B6044" w:rsidP="005C45C7">
            <w:pPr>
              <w:spacing w:after="0"/>
              <w:jc w:val="right"/>
              <w:rPr>
                <w:rFonts w:ascii="Calibri" w:eastAsia="Times New Roman" w:hAnsi="Calibri"/>
                <w:sz w:val="18"/>
                <w:szCs w:val="18"/>
                <w:lang w:val="en-US"/>
              </w:rPr>
            </w:pPr>
            <w:r w:rsidRPr="00B86240">
              <w:rPr>
                <w:rFonts w:ascii="Calibri" w:eastAsia="Times New Roman" w:hAnsi="Calibri"/>
                <w:sz w:val="18"/>
                <w:szCs w:val="18"/>
                <w:lang w:val="en-US"/>
              </w:rPr>
              <w:t>0</w:t>
            </w:r>
          </w:p>
        </w:tc>
        <w:tc>
          <w:tcPr>
            <w:tcW w:w="650" w:type="pct"/>
            <w:tcBorders>
              <w:top w:val="nil"/>
              <w:left w:val="nil"/>
              <w:bottom w:val="single" w:sz="4" w:space="0" w:color="auto"/>
              <w:right w:val="single" w:sz="4" w:space="0" w:color="auto"/>
            </w:tcBorders>
            <w:shd w:val="clear" w:color="auto" w:fill="auto"/>
            <w:noWrap/>
          </w:tcPr>
          <w:p w14:paraId="52D454EE" w14:textId="77777777" w:rsidR="002B6044" w:rsidRPr="00B86240" w:rsidRDefault="002B6044" w:rsidP="005C45C7">
            <w:pPr>
              <w:spacing w:after="0"/>
              <w:jc w:val="right"/>
              <w:rPr>
                <w:rFonts w:ascii="Calibri" w:eastAsia="Times New Roman" w:hAnsi="Calibri"/>
                <w:sz w:val="18"/>
                <w:szCs w:val="18"/>
                <w:lang w:val="en-US"/>
              </w:rPr>
            </w:pPr>
            <w:r w:rsidRPr="00B86240">
              <w:rPr>
                <w:rFonts w:ascii="Calibri" w:eastAsia="Times New Roman" w:hAnsi="Calibri"/>
                <w:sz w:val="18"/>
                <w:szCs w:val="18"/>
                <w:lang w:val="en-US"/>
              </w:rPr>
              <w:t>20</w:t>
            </w:r>
          </w:p>
        </w:tc>
        <w:tc>
          <w:tcPr>
            <w:tcW w:w="566" w:type="pct"/>
            <w:tcBorders>
              <w:top w:val="nil"/>
              <w:left w:val="nil"/>
              <w:bottom w:val="single" w:sz="4" w:space="0" w:color="auto"/>
              <w:right w:val="single" w:sz="4" w:space="0" w:color="auto"/>
            </w:tcBorders>
            <w:shd w:val="clear" w:color="000000" w:fill="FFEB9C"/>
          </w:tcPr>
          <w:p w14:paraId="36CB0A66" w14:textId="77777777" w:rsidR="002B6044" w:rsidRPr="00B86240" w:rsidRDefault="002B6044" w:rsidP="005C45C7">
            <w:pPr>
              <w:spacing w:after="0"/>
              <w:jc w:val="right"/>
              <w:rPr>
                <w:rFonts w:ascii="Calibri" w:eastAsia="Times New Roman" w:hAnsi="Calibri"/>
                <w:color w:val="9C6500"/>
                <w:sz w:val="18"/>
                <w:szCs w:val="18"/>
                <w:lang w:val="en-US"/>
              </w:rPr>
            </w:pPr>
            <w:r w:rsidRPr="00B86240">
              <w:rPr>
                <w:rFonts w:ascii="Calibri" w:eastAsia="Times New Roman" w:hAnsi="Calibri"/>
                <w:color w:val="9C6500"/>
                <w:sz w:val="18"/>
                <w:szCs w:val="18"/>
                <w:lang w:val="en-US"/>
              </w:rPr>
              <w:t>10</w:t>
            </w:r>
          </w:p>
        </w:tc>
      </w:tr>
      <w:tr w:rsidR="002B6044" w:rsidRPr="007D425D" w14:paraId="6FCF8500" w14:textId="77777777" w:rsidTr="005C45C7">
        <w:trPr>
          <w:trHeight w:val="280"/>
          <w:jc w:val="center"/>
        </w:trPr>
        <w:tc>
          <w:tcPr>
            <w:tcW w:w="1056" w:type="pct"/>
            <w:vMerge/>
            <w:tcBorders>
              <w:top w:val="single" w:sz="4" w:space="0" w:color="auto"/>
              <w:left w:val="single" w:sz="4" w:space="0" w:color="auto"/>
              <w:bottom w:val="single" w:sz="4" w:space="0" w:color="auto"/>
              <w:right w:val="single" w:sz="4" w:space="0" w:color="auto"/>
            </w:tcBorders>
            <w:vAlign w:val="center"/>
          </w:tcPr>
          <w:p w14:paraId="02857F46" w14:textId="77777777" w:rsidR="002B6044" w:rsidRPr="00B86240" w:rsidRDefault="002B6044" w:rsidP="005C45C7">
            <w:pPr>
              <w:spacing w:after="0"/>
              <w:jc w:val="left"/>
              <w:rPr>
                <w:rFonts w:ascii="Calibri" w:eastAsia="Times New Roman" w:hAnsi="Calibri"/>
                <w:sz w:val="18"/>
                <w:szCs w:val="18"/>
                <w:lang w:val="en-US"/>
              </w:rPr>
            </w:pPr>
          </w:p>
        </w:tc>
        <w:tc>
          <w:tcPr>
            <w:tcW w:w="2142" w:type="pct"/>
            <w:tcBorders>
              <w:top w:val="nil"/>
              <w:left w:val="single" w:sz="4" w:space="0" w:color="auto"/>
              <w:bottom w:val="single" w:sz="4" w:space="0" w:color="auto"/>
              <w:right w:val="single" w:sz="4" w:space="0" w:color="auto"/>
            </w:tcBorders>
            <w:shd w:val="clear" w:color="auto" w:fill="auto"/>
          </w:tcPr>
          <w:p w14:paraId="567052C8" w14:textId="77777777" w:rsidR="002B6044" w:rsidRPr="00B86240" w:rsidRDefault="002B6044" w:rsidP="005C45C7">
            <w:pPr>
              <w:spacing w:after="0"/>
              <w:jc w:val="left"/>
              <w:rPr>
                <w:rFonts w:ascii="Calibri" w:eastAsia="Times New Roman" w:hAnsi="Calibri"/>
                <w:sz w:val="18"/>
                <w:szCs w:val="18"/>
                <w:lang w:val="en-US"/>
              </w:rPr>
            </w:pPr>
            <w:r w:rsidRPr="00B86240">
              <w:rPr>
                <w:rFonts w:ascii="Calibri" w:eastAsia="Times New Roman" w:hAnsi="Calibri"/>
                <w:sz w:val="18"/>
                <w:szCs w:val="18"/>
                <w:lang w:val="en-US"/>
              </w:rPr>
              <w:t>Number of media houses adopting conflict sensitive reporting guidelines</w:t>
            </w:r>
          </w:p>
        </w:tc>
        <w:tc>
          <w:tcPr>
            <w:tcW w:w="585" w:type="pct"/>
            <w:tcBorders>
              <w:top w:val="nil"/>
              <w:left w:val="nil"/>
              <w:bottom w:val="single" w:sz="4" w:space="0" w:color="auto"/>
              <w:right w:val="single" w:sz="4" w:space="0" w:color="auto"/>
            </w:tcBorders>
            <w:shd w:val="clear" w:color="auto" w:fill="auto"/>
            <w:noWrap/>
          </w:tcPr>
          <w:p w14:paraId="2E249EE6" w14:textId="77777777" w:rsidR="002B6044" w:rsidRPr="00B86240" w:rsidRDefault="002B6044" w:rsidP="005C45C7">
            <w:pPr>
              <w:spacing w:after="0"/>
              <w:jc w:val="right"/>
              <w:rPr>
                <w:rFonts w:ascii="Calibri" w:eastAsia="Times New Roman" w:hAnsi="Calibri"/>
                <w:sz w:val="18"/>
                <w:szCs w:val="18"/>
                <w:lang w:val="en-US"/>
              </w:rPr>
            </w:pPr>
            <w:r w:rsidRPr="00B86240">
              <w:rPr>
                <w:rFonts w:ascii="Calibri" w:eastAsia="Times New Roman" w:hAnsi="Calibri"/>
                <w:sz w:val="18"/>
                <w:szCs w:val="18"/>
                <w:lang w:val="en-US"/>
              </w:rPr>
              <w:t>0</w:t>
            </w:r>
          </w:p>
        </w:tc>
        <w:tc>
          <w:tcPr>
            <w:tcW w:w="650" w:type="pct"/>
            <w:tcBorders>
              <w:top w:val="nil"/>
              <w:left w:val="nil"/>
              <w:bottom w:val="single" w:sz="4" w:space="0" w:color="auto"/>
              <w:right w:val="single" w:sz="4" w:space="0" w:color="auto"/>
            </w:tcBorders>
            <w:shd w:val="clear" w:color="auto" w:fill="auto"/>
            <w:noWrap/>
          </w:tcPr>
          <w:p w14:paraId="4DF098AC" w14:textId="77777777" w:rsidR="002B6044" w:rsidRPr="00B86240" w:rsidRDefault="002B6044" w:rsidP="005C45C7">
            <w:pPr>
              <w:spacing w:after="0"/>
              <w:jc w:val="right"/>
              <w:rPr>
                <w:rFonts w:ascii="Calibri" w:eastAsia="Times New Roman" w:hAnsi="Calibri"/>
                <w:sz w:val="18"/>
                <w:szCs w:val="18"/>
                <w:lang w:val="en-US"/>
              </w:rPr>
            </w:pPr>
            <w:r w:rsidRPr="00B86240">
              <w:rPr>
                <w:rFonts w:ascii="Calibri" w:eastAsia="Times New Roman" w:hAnsi="Calibri"/>
                <w:sz w:val="18"/>
                <w:szCs w:val="18"/>
                <w:lang w:val="en-US"/>
              </w:rPr>
              <w:t>8</w:t>
            </w:r>
          </w:p>
        </w:tc>
        <w:tc>
          <w:tcPr>
            <w:tcW w:w="566" w:type="pct"/>
            <w:tcBorders>
              <w:top w:val="nil"/>
              <w:left w:val="nil"/>
              <w:bottom w:val="single" w:sz="4" w:space="0" w:color="auto"/>
              <w:right w:val="single" w:sz="4" w:space="0" w:color="auto"/>
            </w:tcBorders>
            <w:shd w:val="clear" w:color="000000" w:fill="FFEB9C"/>
          </w:tcPr>
          <w:p w14:paraId="221DE464" w14:textId="77777777" w:rsidR="002B6044" w:rsidRPr="00B86240" w:rsidRDefault="002B6044" w:rsidP="005C45C7">
            <w:pPr>
              <w:spacing w:after="0"/>
              <w:jc w:val="right"/>
              <w:rPr>
                <w:rFonts w:ascii="Calibri" w:eastAsia="Times New Roman" w:hAnsi="Calibri"/>
                <w:color w:val="9C6500"/>
                <w:sz w:val="18"/>
                <w:szCs w:val="18"/>
                <w:lang w:val="en-US"/>
              </w:rPr>
            </w:pPr>
            <w:r w:rsidRPr="00B86240">
              <w:rPr>
                <w:rFonts w:ascii="Calibri" w:eastAsia="Times New Roman" w:hAnsi="Calibri"/>
                <w:color w:val="9C6500"/>
                <w:sz w:val="18"/>
                <w:szCs w:val="18"/>
                <w:lang w:val="en-US"/>
              </w:rPr>
              <w:t>3</w:t>
            </w:r>
          </w:p>
        </w:tc>
      </w:tr>
      <w:tr w:rsidR="002B6044" w:rsidRPr="007D425D" w14:paraId="12C1F893" w14:textId="77777777" w:rsidTr="005C45C7">
        <w:trPr>
          <w:trHeight w:val="280"/>
          <w:jc w:val="center"/>
        </w:trPr>
        <w:tc>
          <w:tcPr>
            <w:tcW w:w="1056" w:type="pct"/>
            <w:vMerge w:val="restart"/>
            <w:tcBorders>
              <w:top w:val="single" w:sz="4" w:space="0" w:color="auto"/>
              <w:left w:val="single" w:sz="4" w:space="0" w:color="auto"/>
              <w:bottom w:val="single" w:sz="4" w:space="0" w:color="auto"/>
              <w:right w:val="single" w:sz="4" w:space="0" w:color="auto"/>
            </w:tcBorders>
            <w:shd w:val="clear" w:color="auto" w:fill="auto"/>
          </w:tcPr>
          <w:p w14:paraId="072E4571" w14:textId="77777777" w:rsidR="002B6044" w:rsidRPr="00B86240" w:rsidRDefault="002B6044" w:rsidP="005C45C7">
            <w:pPr>
              <w:spacing w:after="0"/>
              <w:jc w:val="left"/>
              <w:rPr>
                <w:rFonts w:ascii="Calibri" w:eastAsia="Times New Roman" w:hAnsi="Calibri"/>
                <w:sz w:val="18"/>
                <w:szCs w:val="18"/>
                <w:lang w:val="en-US"/>
              </w:rPr>
            </w:pPr>
            <w:r w:rsidRPr="00B86240">
              <w:rPr>
                <w:rFonts w:ascii="Calibri" w:eastAsia="Times New Roman" w:hAnsi="Calibri"/>
                <w:sz w:val="18"/>
                <w:szCs w:val="18"/>
                <w:lang w:val="en-US"/>
              </w:rPr>
              <w:t>Output 4.1.3 Local governance structures strengthened in participatory planning, budgeting and managing integrated rural development</w:t>
            </w:r>
          </w:p>
        </w:tc>
        <w:tc>
          <w:tcPr>
            <w:tcW w:w="2142" w:type="pct"/>
            <w:tcBorders>
              <w:top w:val="nil"/>
              <w:left w:val="nil"/>
              <w:bottom w:val="single" w:sz="4" w:space="0" w:color="auto"/>
              <w:right w:val="single" w:sz="4" w:space="0" w:color="auto"/>
            </w:tcBorders>
            <w:shd w:val="clear" w:color="auto" w:fill="auto"/>
          </w:tcPr>
          <w:p w14:paraId="152ABE05" w14:textId="77777777" w:rsidR="002B6044" w:rsidRPr="00B86240" w:rsidRDefault="002B6044" w:rsidP="005C45C7">
            <w:pPr>
              <w:spacing w:after="0"/>
              <w:jc w:val="left"/>
              <w:rPr>
                <w:rFonts w:ascii="Calibri" w:eastAsia="Times New Roman" w:hAnsi="Calibri"/>
                <w:sz w:val="18"/>
                <w:szCs w:val="18"/>
                <w:lang w:val="en-US"/>
              </w:rPr>
            </w:pPr>
            <w:r w:rsidRPr="00B86240">
              <w:rPr>
                <w:rFonts w:ascii="Calibri" w:eastAsia="Times New Roman" w:hAnsi="Calibri"/>
                <w:sz w:val="18"/>
                <w:szCs w:val="18"/>
                <w:lang w:val="en-US"/>
              </w:rPr>
              <w:t xml:space="preserve">Number of Councils trained in the IRD strategy </w:t>
            </w:r>
          </w:p>
        </w:tc>
        <w:tc>
          <w:tcPr>
            <w:tcW w:w="585" w:type="pct"/>
            <w:tcBorders>
              <w:top w:val="nil"/>
              <w:left w:val="nil"/>
              <w:bottom w:val="single" w:sz="4" w:space="0" w:color="auto"/>
              <w:right w:val="single" w:sz="4" w:space="0" w:color="auto"/>
            </w:tcBorders>
            <w:shd w:val="clear" w:color="auto" w:fill="auto"/>
            <w:noWrap/>
          </w:tcPr>
          <w:p w14:paraId="23C8819C" w14:textId="77777777" w:rsidR="002B6044" w:rsidRPr="00B86240" w:rsidRDefault="002B6044" w:rsidP="005C45C7">
            <w:pPr>
              <w:spacing w:after="0"/>
              <w:jc w:val="right"/>
              <w:rPr>
                <w:rFonts w:ascii="Calibri" w:eastAsia="Times New Roman" w:hAnsi="Calibri"/>
                <w:sz w:val="18"/>
                <w:szCs w:val="18"/>
                <w:lang w:val="en-US"/>
              </w:rPr>
            </w:pPr>
            <w:r w:rsidRPr="00B86240">
              <w:rPr>
                <w:rFonts w:ascii="Calibri" w:eastAsia="Times New Roman" w:hAnsi="Calibri"/>
                <w:sz w:val="18"/>
                <w:szCs w:val="18"/>
                <w:lang w:val="en-US"/>
              </w:rPr>
              <w:t>0</w:t>
            </w:r>
          </w:p>
        </w:tc>
        <w:tc>
          <w:tcPr>
            <w:tcW w:w="650" w:type="pct"/>
            <w:tcBorders>
              <w:top w:val="nil"/>
              <w:left w:val="nil"/>
              <w:bottom w:val="single" w:sz="4" w:space="0" w:color="auto"/>
              <w:right w:val="single" w:sz="4" w:space="0" w:color="auto"/>
            </w:tcBorders>
            <w:shd w:val="clear" w:color="auto" w:fill="auto"/>
            <w:noWrap/>
          </w:tcPr>
          <w:p w14:paraId="5E211590" w14:textId="77777777" w:rsidR="002B6044" w:rsidRPr="00B86240" w:rsidRDefault="002B6044" w:rsidP="005C45C7">
            <w:pPr>
              <w:spacing w:after="0"/>
              <w:jc w:val="right"/>
              <w:rPr>
                <w:rFonts w:ascii="Calibri" w:eastAsia="Times New Roman" w:hAnsi="Calibri"/>
                <w:sz w:val="18"/>
                <w:szCs w:val="18"/>
                <w:lang w:val="en-US"/>
              </w:rPr>
            </w:pPr>
            <w:r w:rsidRPr="00B86240">
              <w:rPr>
                <w:rFonts w:ascii="Calibri" w:eastAsia="Times New Roman" w:hAnsi="Calibri"/>
                <w:sz w:val="18"/>
                <w:szCs w:val="18"/>
                <w:lang w:val="en-US"/>
              </w:rPr>
              <w:t>28</w:t>
            </w:r>
          </w:p>
        </w:tc>
        <w:tc>
          <w:tcPr>
            <w:tcW w:w="566" w:type="pct"/>
            <w:tcBorders>
              <w:top w:val="nil"/>
              <w:left w:val="nil"/>
              <w:bottom w:val="single" w:sz="4" w:space="0" w:color="auto"/>
              <w:right w:val="single" w:sz="4" w:space="0" w:color="auto"/>
            </w:tcBorders>
            <w:shd w:val="clear" w:color="000000" w:fill="C6EFCE"/>
            <w:noWrap/>
          </w:tcPr>
          <w:p w14:paraId="364511A0" w14:textId="77777777" w:rsidR="002B6044" w:rsidRPr="00B86240" w:rsidRDefault="002B6044" w:rsidP="005C45C7">
            <w:pPr>
              <w:spacing w:after="0"/>
              <w:jc w:val="right"/>
              <w:rPr>
                <w:rFonts w:ascii="Calibri" w:eastAsia="Times New Roman" w:hAnsi="Calibri"/>
                <w:color w:val="006100"/>
                <w:sz w:val="18"/>
                <w:szCs w:val="18"/>
                <w:lang w:val="en-US"/>
              </w:rPr>
            </w:pPr>
            <w:r w:rsidRPr="00B86240">
              <w:rPr>
                <w:rFonts w:ascii="Calibri" w:eastAsia="Times New Roman" w:hAnsi="Calibri"/>
                <w:color w:val="006100"/>
                <w:sz w:val="18"/>
                <w:szCs w:val="18"/>
                <w:lang w:val="en-US"/>
              </w:rPr>
              <w:t>28</w:t>
            </w:r>
          </w:p>
        </w:tc>
      </w:tr>
      <w:tr w:rsidR="002B6044" w:rsidRPr="007D425D" w14:paraId="1CCCBF12" w14:textId="77777777" w:rsidTr="005C45C7">
        <w:trPr>
          <w:trHeight w:val="560"/>
          <w:jc w:val="center"/>
        </w:trPr>
        <w:tc>
          <w:tcPr>
            <w:tcW w:w="1056" w:type="pct"/>
            <w:vMerge/>
            <w:tcBorders>
              <w:top w:val="nil"/>
              <w:left w:val="single" w:sz="4" w:space="0" w:color="auto"/>
              <w:bottom w:val="single" w:sz="4" w:space="0" w:color="auto"/>
              <w:right w:val="single" w:sz="4" w:space="0" w:color="auto"/>
            </w:tcBorders>
            <w:vAlign w:val="center"/>
          </w:tcPr>
          <w:p w14:paraId="3669E3E3" w14:textId="77777777" w:rsidR="002B6044" w:rsidRPr="00B86240" w:rsidRDefault="002B6044" w:rsidP="005C45C7">
            <w:pPr>
              <w:spacing w:after="0"/>
              <w:jc w:val="left"/>
              <w:rPr>
                <w:rFonts w:ascii="Calibri" w:eastAsia="Times New Roman" w:hAnsi="Calibri"/>
                <w:sz w:val="18"/>
                <w:szCs w:val="18"/>
                <w:lang w:val="en-US"/>
              </w:rPr>
            </w:pPr>
          </w:p>
        </w:tc>
        <w:tc>
          <w:tcPr>
            <w:tcW w:w="2142" w:type="pct"/>
            <w:tcBorders>
              <w:top w:val="nil"/>
              <w:left w:val="nil"/>
              <w:bottom w:val="single" w:sz="4" w:space="0" w:color="auto"/>
              <w:right w:val="single" w:sz="4" w:space="0" w:color="auto"/>
            </w:tcBorders>
            <w:shd w:val="clear" w:color="auto" w:fill="auto"/>
          </w:tcPr>
          <w:p w14:paraId="1758560E" w14:textId="77777777" w:rsidR="002B6044" w:rsidRPr="00B86240" w:rsidRDefault="002B6044" w:rsidP="005C45C7">
            <w:pPr>
              <w:spacing w:after="0"/>
              <w:jc w:val="left"/>
              <w:rPr>
                <w:rFonts w:ascii="Calibri" w:eastAsia="Times New Roman" w:hAnsi="Calibri"/>
                <w:sz w:val="18"/>
                <w:szCs w:val="18"/>
                <w:lang w:val="en-US"/>
              </w:rPr>
            </w:pPr>
            <w:r w:rsidRPr="00B86240">
              <w:rPr>
                <w:rFonts w:ascii="Calibri" w:eastAsia="Times New Roman" w:hAnsi="Calibri"/>
                <w:sz w:val="18"/>
                <w:szCs w:val="18"/>
                <w:lang w:val="en-US"/>
              </w:rPr>
              <w:t xml:space="preserve">Percentage of Net Government Revenues allocated to the District Councils through the General Resource Fund. </w:t>
            </w:r>
          </w:p>
        </w:tc>
        <w:tc>
          <w:tcPr>
            <w:tcW w:w="585" w:type="pct"/>
            <w:tcBorders>
              <w:top w:val="nil"/>
              <w:left w:val="nil"/>
              <w:bottom w:val="single" w:sz="4" w:space="0" w:color="auto"/>
              <w:right w:val="single" w:sz="4" w:space="0" w:color="auto"/>
            </w:tcBorders>
            <w:shd w:val="clear" w:color="auto" w:fill="auto"/>
            <w:noWrap/>
          </w:tcPr>
          <w:p w14:paraId="32EA21B7" w14:textId="77777777" w:rsidR="002B6044" w:rsidRPr="00B86240" w:rsidRDefault="002B6044" w:rsidP="005C45C7">
            <w:pPr>
              <w:spacing w:after="0"/>
              <w:jc w:val="right"/>
              <w:rPr>
                <w:rFonts w:ascii="Calibri" w:eastAsia="Times New Roman" w:hAnsi="Calibri"/>
                <w:sz w:val="18"/>
                <w:szCs w:val="18"/>
                <w:lang w:val="en-US"/>
              </w:rPr>
            </w:pPr>
            <w:r w:rsidRPr="00B86240">
              <w:rPr>
                <w:rFonts w:ascii="Calibri" w:eastAsia="Times New Roman" w:hAnsi="Calibri"/>
                <w:sz w:val="18"/>
                <w:szCs w:val="18"/>
                <w:lang w:val="en-US"/>
              </w:rPr>
              <w:t>1</w:t>
            </w:r>
          </w:p>
        </w:tc>
        <w:tc>
          <w:tcPr>
            <w:tcW w:w="650" w:type="pct"/>
            <w:tcBorders>
              <w:top w:val="nil"/>
              <w:left w:val="nil"/>
              <w:bottom w:val="single" w:sz="4" w:space="0" w:color="auto"/>
              <w:right w:val="single" w:sz="4" w:space="0" w:color="auto"/>
            </w:tcBorders>
            <w:shd w:val="clear" w:color="auto" w:fill="auto"/>
            <w:noWrap/>
          </w:tcPr>
          <w:p w14:paraId="5B1C4005" w14:textId="77777777" w:rsidR="002B6044" w:rsidRPr="00B86240" w:rsidRDefault="002B6044" w:rsidP="005C45C7">
            <w:pPr>
              <w:spacing w:after="0"/>
              <w:jc w:val="right"/>
              <w:rPr>
                <w:rFonts w:ascii="Calibri" w:eastAsia="Times New Roman" w:hAnsi="Calibri"/>
                <w:sz w:val="18"/>
                <w:szCs w:val="18"/>
                <w:lang w:val="en-US"/>
              </w:rPr>
            </w:pPr>
            <w:r w:rsidRPr="00B86240">
              <w:rPr>
                <w:rFonts w:ascii="Calibri" w:eastAsia="Times New Roman" w:hAnsi="Calibri"/>
                <w:sz w:val="18"/>
                <w:szCs w:val="18"/>
                <w:lang w:val="en-US"/>
              </w:rPr>
              <w:t>5</w:t>
            </w:r>
          </w:p>
        </w:tc>
        <w:tc>
          <w:tcPr>
            <w:tcW w:w="566" w:type="pct"/>
            <w:tcBorders>
              <w:top w:val="nil"/>
              <w:left w:val="nil"/>
              <w:bottom w:val="single" w:sz="4" w:space="0" w:color="auto"/>
              <w:right w:val="single" w:sz="4" w:space="0" w:color="auto"/>
            </w:tcBorders>
            <w:shd w:val="clear" w:color="000000" w:fill="FFEB9C"/>
          </w:tcPr>
          <w:p w14:paraId="65D0F826" w14:textId="77777777" w:rsidR="002B6044" w:rsidRPr="00B86240" w:rsidRDefault="002B6044" w:rsidP="005C45C7">
            <w:pPr>
              <w:spacing w:after="0"/>
              <w:jc w:val="right"/>
              <w:rPr>
                <w:rFonts w:ascii="Calibri" w:eastAsia="Times New Roman" w:hAnsi="Calibri"/>
                <w:color w:val="9C6500"/>
                <w:sz w:val="18"/>
                <w:szCs w:val="18"/>
                <w:lang w:val="en-US"/>
              </w:rPr>
            </w:pPr>
            <w:r w:rsidRPr="00B86240">
              <w:rPr>
                <w:rFonts w:ascii="Calibri" w:eastAsia="Times New Roman" w:hAnsi="Calibri"/>
                <w:color w:val="9C6500"/>
                <w:sz w:val="18"/>
                <w:szCs w:val="18"/>
                <w:lang w:val="en-US"/>
              </w:rPr>
              <w:t>3</w:t>
            </w:r>
          </w:p>
        </w:tc>
      </w:tr>
    </w:tbl>
    <w:p w14:paraId="75CAD347" w14:textId="77777777" w:rsidR="002B6044" w:rsidRDefault="002B6044" w:rsidP="002B6044">
      <w:pPr>
        <w:spacing w:before="240" w:after="0"/>
        <w:sectPr w:rsidR="002B6044" w:rsidSect="002B6044">
          <w:pgSz w:w="11906" w:h="16838"/>
          <w:pgMar w:top="1440" w:right="1440" w:bottom="1440" w:left="1440" w:header="708" w:footer="708" w:gutter="0"/>
          <w:cols w:space="708"/>
          <w:docGrid w:linePitch="360"/>
        </w:sectPr>
      </w:pPr>
    </w:p>
    <w:p w14:paraId="01183E69" w14:textId="77777777" w:rsidR="002B6044" w:rsidRDefault="002B6044" w:rsidP="002B6044">
      <w:pPr>
        <w:spacing w:after="0"/>
      </w:pPr>
    </w:p>
    <w:p w14:paraId="1A1F001D" w14:textId="150BE757" w:rsidR="00B47D6D" w:rsidRPr="00CD56B9" w:rsidRDefault="00E21884" w:rsidP="00B47D6D">
      <w:pPr>
        <w:rPr>
          <w:lang w:val="en-US"/>
        </w:rPr>
      </w:pPr>
      <w:r w:rsidRPr="00CD56B9">
        <w:rPr>
          <w:lang w:val="en-US"/>
        </w:rPr>
        <w:t>Most support projects show fair progress measured a</w:t>
      </w:r>
      <w:r w:rsidR="005E0101" w:rsidRPr="00CD56B9">
        <w:rPr>
          <w:lang w:val="en-US"/>
        </w:rPr>
        <w:t>gainst the output</w:t>
      </w:r>
      <w:r w:rsidR="00263E77" w:rsidRPr="00CD56B9">
        <w:rPr>
          <w:lang w:val="en-US"/>
        </w:rPr>
        <w:t>s</w:t>
      </w:r>
      <w:r w:rsidR="005E0101" w:rsidRPr="00CD56B9">
        <w:rPr>
          <w:lang w:val="en-US"/>
        </w:rPr>
        <w:t xml:space="preserve"> they are designed to achieve. </w:t>
      </w:r>
      <w:r w:rsidRPr="00CD56B9">
        <w:rPr>
          <w:lang w:val="en-US"/>
        </w:rPr>
        <w:t xml:space="preserve">According to the results estimates at outcome level, however, the indicators signal </w:t>
      </w:r>
      <w:r w:rsidR="000C6BFA" w:rsidRPr="00CD56B9">
        <w:rPr>
          <w:lang w:val="en-US"/>
        </w:rPr>
        <w:t>a</w:t>
      </w:r>
      <w:r w:rsidRPr="00CD56B9">
        <w:rPr>
          <w:lang w:val="en-US"/>
        </w:rPr>
        <w:t xml:space="preserve"> lack of progress in general elections voter turnout (MEC and portfolio support to gender equality and CVE) and access to formal justice, while the support to enforcement of duty bearer accountability (DCP) is on track. In other words, the </w:t>
      </w:r>
      <w:r w:rsidR="00C326F7">
        <w:rPr>
          <w:lang w:val="en-US"/>
        </w:rPr>
        <w:t>UNDAF 4.1 RR</w:t>
      </w:r>
      <w:r w:rsidR="00CC2E26" w:rsidRPr="00CD56B9">
        <w:rPr>
          <w:lang w:val="en-US"/>
        </w:rPr>
        <w:t>F suggest</w:t>
      </w:r>
      <w:r w:rsidR="000C6BFA" w:rsidRPr="00CD56B9">
        <w:rPr>
          <w:lang w:val="en-US"/>
        </w:rPr>
        <w:t>s</w:t>
      </w:r>
      <w:r w:rsidR="00CC2E26" w:rsidRPr="00CD56B9">
        <w:rPr>
          <w:lang w:val="en-US"/>
        </w:rPr>
        <w:t xml:space="preserve"> that the </w:t>
      </w:r>
      <w:r w:rsidRPr="00CD56B9">
        <w:rPr>
          <w:lang w:val="en-US"/>
        </w:rPr>
        <w:t xml:space="preserve">relative good project progress measured against the individual </w:t>
      </w:r>
      <w:r w:rsidR="00263E77" w:rsidRPr="00CD56B9">
        <w:rPr>
          <w:lang w:val="en-US"/>
        </w:rPr>
        <w:t xml:space="preserve">project </w:t>
      </w:r>
      <w:r w:rsidRPr="00CD56B9">
        <w:rPr>
          <w:lang w:val="en-US"/>
        </w:rPr>
        <w:t xml:space="preserve">results frames does not </w:t>
      </w:r>
      <w:r w:rsidR="00C326F7">
        <w:rPr>
          <w:lang w:val="en-US"/>
        </w:rPr>
        <w:t xml:space="preserve">yet </w:t>
      </w:r>
      <w:r w:rsidR="000C6BFA" w:rsidRPr="00CD56B9">
        <w:rPr>
          <w:lang w:val="en-US"/>
        </w:rPr>
        <w:t>have a broad i</w:t>
      </w:r>
      <w:r w:rsidR="00CC2E26" w:rsidRPr="00CD56B9">
        <w:rPr>
          <w:lang w:val="en-US"/>
        </w:rPr>
        <w:t xml:space="preserve">mpact </w:t>
      </w:r>
      <w:r w:rsidR="004F1DBC" w:rsidRPr="00CD56B9">
        <w:rPr>
          <w:lang w:val="en-US"/>
        </w:rPr>
        <w:t xml:space="preserve">on the overall </w:t>
      </w:r>
      <w:r w:rsidRPr="00CD56B9">
        <w:rPr>
          <w:lang w:val="en-US"/>
        </w:rPr>
        <w:t>transformation in democratic governance in Malawi.</w:t>
      </w:r>
      <w:r w:rsidR="00CF610C" w:rsidRPr="00CD56B9">
        <w:rPr>
          <w:lang w:val="en-US"/>
        </w:rPr>
        <w:t xml:space="preserve"> </w:t>
      </w:r>
    </w:p>
    <w:p w14:paraId="32541455" w14:textId="04B6A7A3" w:rsidR="00F46D90" w:rsidRDefault="006F34A9" w:rsidP="003B0F6D">
      <w:pPr>
        <w:spacing w:after="0"/>
        <w:rPr>
          <w:lang w:val="en-US"/>
        </w:rPr>
      </w:pPr>
      <w:r w:rsidRPr="00CD56B9">
        <w:rPr>
          <w:lang w:val="en-US"/>
        </w:rPr>
        <w:t xml:space="preserve">Before discussing the progress at outcome level in more detail, </w:t>
      </w:r>
      <w:r w:rsidR="00A958AF" w:rsidRPr="00CD56B9">
        <w:rPr>
          <w:lang w:val="en-US"/>
        </w:rPr>
        <w:t xml:space="preserve">it should be noted that </w:t>
      </w:r>
      <w:r w:rsidR="00951335" w:rsidRPr="00CD56B9">
        <w:rPr>
          <w:lang w:val="en-US"/>
        </w:rPr>
        <w:t xml:space="preserve">the second </w:t>
      </w:r>
      <w:r w:rsidR="005032D9" w:rsidRPr="00CD56B9">
        <w:rPr>
          <w:lang w:val="en-US"/>
        </w:rPr>
        <w:t xml:space="preserve">outcome </w:t>
      </w:r>
      <w:r w:rsidR="00951335" w:rsidRPr="00CD56B9">
        <w:rPr>
          <w:lang w:val="en-US"/>
        </w:rPr>
        <w:t xml:space="preserve">target </w:t>
      </w:r>
      <w:r w:rsidR="005032D9" w:rsidRPr="00CD56B9">
        <w:rPr>
          <w:lang w:val="en-US"/>
        </w:rPr>
        <w:t>indicator</w:t>
      </w:r>
      <w:r w:rsidR="00A958AF" w:rsidRPr="00CD56B9">
        <w:rPr>
          <w:lang w:val="en-US"/>
        </w:rPr>
        <w:t xml:space="preserve"> </w:t>
      </w:r>
      <w:r w:rsidR="002A547D">
        <w:rPr>
          <w:lang w:val="en-US"/>
        </w:rPr>
        <w:t>is</w:t>
      </w:r>
      <w:r w:rsidR="00951335" w:rsidRPr="00CD56B9">
        <w:rPr>
          <w:lang w:val="en-US"/>
        </w:rPr>
        <w:t xml:space="preserve"> somewhat problematic</w:t>
      </w:r>
      <w:r w:rsidR="00624294" w:rsidRPr="00CD56B9">
        <w:rPr>
          <w:lang w:val="en-US"/>
        </w:rPr>
        <w:t xml:space="preserve"> for this evaluation. </w:t>
      </w:r>
      <w:r w:rsidR="000C6BFA" w:rsidRPr="00CD56B9">
        <w:rPr>
          <w:lang w:val="en-US"/>
        </w:rPr>
        <w:t xml:space="preserve">The </w:t>
      </w:r>
      <w:r w:rsidR="00CF610C" w:rsidRPr="00CD56B9">
        <w:rPr>
          <w:lang w:val="en-US"/>
        </w:rPr>
        <w:t>proportion of peopl</w:t>
      </w:r>
      <w:r w:rsidR="00C825F4" w:rsidRPr="00CD56B9">
        <w:rPr>
          <w:lang w:val="en-US"/>
        </w:rPr>
        <w:t xml:space="preserve">e with access to formal justice </w:t>
      </w:r>
      <w:r w:rsidR="00624294" w:rsidRPr="00CD56B9">
        <w:rPr>
          <w:lang w:val="en-US"/>
        </w:rPr>
        <w:t xml:space="preserve">is relevant, but </w:t>
      </w:r>
      <w:r w:rsidR="00A958AF" w:rsidRPr="00CD56B9">
        <w:rPr>
          <w:lang w:val="en-US"/>
        </w:rPr>
        <w:t xml:space="preserve">except for the child courts, </w:t>
      </w:r>
      <w:r w:rsidR="00116B07" w:rsidRPr="00CD56B9">
        <w:rPr>
          <w:lang w:val="en-US"/>
        </w:rPr>
        <w:t xml:space="preserve">DFID and the EU are the main DPs in </w:t>
      </w:r>
      <w:r w:rsidR="00731504">
        <w:rPr>
          <w:lang w:val="en-US"/>
        </w:rPr>
        <w:t>access</w:t>
      </w:r>
      <w:r w:rsidR="00116B07" w:rsidRPr="00CD56B9">
        <w:rPr>
          <w:lang w:val="en-US"/>
        </w:rPr>
        <w:t xml:space="preserve"> to formal justice, while UNDP does not </w:t>
      </w:r>
      <w:r w:rsidR="00624294" w:rsidRPr="00CD56B9">
        <w:rPr>
          <w:lang w:val="en-US"/>
        </w:rPr>
        <w:t>rea</w:t>
      </w:r>
      <w:r w:rsidR="00A958AF" w:rsidRPr="00CD56B9">
        <w:rPr>
          <w:lang w:val="en-US"/>
        </w:rPr>
        <w:t xml:space="preserve">lly </w:t>
      </w:r>
      <w:r w:rsidR="00116B07" w:rsidRPr="00CD56B9">
        <w:rPr>
          <w:lang w:val="en-US"/>
        </w:rPr>
        <w:t>focus on this area</w:t>
      </w:r>
      <w:r w:rsidR="00CB6C24" w:rsidRPr="00CD56B9">
        <w:rPr>
          <w:lang w:val="en-US"/>
        </w:rPr>
        <w:t xml:space="preserve">. </w:t>
      </w:r>
      <w:r w:rsidR="008C2AA4">
        <w:rPr>
          <w:lang w:val="en-US"/>
        </w:rPr>
        <w:t>However,</w:t>
      </w:r>
      <w:r w:rsidR="000C6BFA" w:rsidRPr="00CD56B9">
        <w:rPr>
          <w:lang w:val="en-US"/>
        </w:rPr>
        <w:t xml:space="preserve"> </w:t>
      </w:r>
      <w:r w:rsidR="00C825F4" w:rsidRPr="00CD56B9">
        <w:rPr>
          <w:lang w:val="en-US"/>
        </w:rPr>
        <w:t xml:space="preserve">it does </w:t>
      </w:r>
      <w:r w:rsidR="00A958AF" w:rsidRPr="00CD56B9">
        <w:rPr>
          <w:lang w:val="en-US"/>
        </w:rPr>
        <w:t xml:space="preserve">highlight </w:t>
      </w:r>
      <w:r w:rsidR="00C825F4" w:rsidRPr="00CD56B9">
        <w:rPr>
          <w:lang w:val="en-US"/>
        </w:rPr>
        <w:t xml:space="preserve">a big gap in </w:t>
      </w:r>
      <w:r w:rsidR="00FB0340" w:rsidRPr="00CD56B9">
        <w:rPr>
          <w:lang w:val="en-US"/>
        </w:rPr>
        <w:t xml:space="preserve">access </w:t>
      </w:r>
      <w:r w:rsidR="00C825F4" w:rsidRPr="00CD56B9">
        <w:rPr>
          <w:lang w:val="en-US"/>
        </w:rPr>
        <w:t xml:space="preserve">formal justice </w:t>
      </w:r>
      <w:r w:rsidR="00FB0340" w:rsidRPr="00CD56B9">
        <w:rPr>
          <w:lang w:val="en-US"/>
        </w:rPr>
        <w:t>in Malawi and</w:t>
      </w:r>
      <w:r w:rsidR="00A958AF" w:rsidRPr="00CD56B9">
        <w:rPr>
          <w:lang w:val="en-US"/>
        </w:rPr>
        <w:t xml:space="preserve"> </w:t>
      </w:r>
      <w:r w:rsidR="00FB0340" w:rsidRPr="00CD56B9">
        <w:rPr>
          <w:lang w:val="en-US"/>
        </w:rPr>
        <w:t>slow o</w:t>
      </w:r>
      <w:r w:rsidR="00571128" w:rsidRPr="00CD56B9">
        <w:rPr>
          <w:lang w:val="en-US"/>
        </w:rPr>
        <w:t xml:space="preserve">verall improvement, which may call for more support in this area.  </w:t>
      </w:r>
    </w:p>
    <w:p w14:paraId="5E9CBDE8" w14:textId="77777777" w:rsidR="00731504" w:rsidRPr="00CD56B9" w:rsidRDefault="00731504" w:rsidP="003B0F6D">
      <w:pPr>
        <w:spacing w:after="0"/>
        <w:rPr>
          <w:lang w:val="en-US"/>
        </w:rPr>
      </w:pPr>
    </w:p>
    <w:p w14:paraId="3E2E583E" w14:textId="77777777" w:rsidR="00E21884" w:rsidRPr="00CD56B9" w:rsidRDefault="0089100F" w:rsidP="00997A7B">
      <w:pPr>
        <w:pStyle w:val="Overskrift2"/>
        <w:numPr>
          <w:ilvl w:val="0"/>
          <w:numId w:val="0"/>
        </w:numPr>
        <w:rPr>
          <w:lang w:val="en-US"/>
        </w:rPr>
      </w:pPr>
      <w:bookmarkStart w:id="34" w:name="_Toc439245586"/>
      <w:r w:rsidRPr="00CD56B9">
        <w:rPr>
          <w:lang w:val="en-US"/>
        </w:rPr>
        <w:t xml:space="preserve">4.1 </w:t>
      </w:r>
      <w:r w:rsidR="003B0F6D" w:rsidRPr="00CD56B9">
        <w:rPr>
          <w:lang w:val="en-US"/>
        </w:rPr>
        <w:t>Outp</w:t>
      </w:r>
      <w:r w:rsidR="00595CA6" w:rsidRPr="00CD56B9">
        <w:rPr>
          <w:lang w:val="en-US"/>
        </w:rPr>
        <w:t xml:space="preserve">ut 4.1.1 </w:t>
      </w:r>
      <w:r w:rsidR="006124AC" w:rsidRPr="00CD56B9">
        <w:rPr>
          <w:lang w:val="en-US"/>
        </w:rPr>
        <w:t xml:space="preserve">- </w:t>
      </w:r>
      <w:r w:rsidR="00595CA6" w:rsidRPr="00CD56B9">
        <w:rPr>
          <w:lang w:val="en-US"/>
        </w:rPr>
        <w:t>Democratic Governance Sector Strategy O</w:t>
      </w:r>
      <w:r w:rsidR="003B0F6D" w:rsidRPr="00CD56B9">
        <w:rPr>
          <w:lang w:val="en-US"/>
        </w:rPr>
        <w:t>perationalized</w:t>
      </w:r>
      <w:bookmarkEnd w:id="34"/>
    </w:p>
    <w:p w14:paraId="12FC1459" w14:textId="77777777" w:rsidR="00EA07AE" w:rsidRPr="00CD56B9" w:rsidRDefault="00EA07AE" w:rsidP="00EA07AE">
      <w:pPr>
        <w:spacing w:after="0"/>
        <w:rPr>
          <w:lang w:val="en-US"/>
        </w:rPr>
      </w:pPr>
    </w:p>
    <w:p w14:paraId="6BA55B4B" w14:textId="1E5A8B05" w:rsidR="00DE4F52" w:rsidRDefault="00D27E38" w:rsidP="00F62234">
      <w:pPr>
        <w:spacing w:after="0"/>
        <w:rPr>
          <w:lang w:val="en-US"/>
        </w:rPr>
      </w:pPr>
      <w:r w:rsidRPr="00CD56B9">
        <w:rPr>
          <w:lang w:val="en-US"/>
        </w:rPr>
        <w:t>As illustrated in chapter three, t</w:t>
      </w:r>
      <w:r w:rsidR="003A26DD" w:rsidRPr="00CD56B9">
        <w:rPr>
          <w:lang w:val="en-US"/>
        </w:rPr>
        <w:t xml:space="preserve">he UNDAF </w:t>
      </w:r>
      <w:r w:rsidR="002A36A4" w:rsidRPr="00CD56B9">
        <w:rPr>
          <w:lang w:val="en-US"/>
        </w:rPr>
        <w:t>interventions under this output are</w:t>
      </w:r>
      <w:r w:rsidR="003A26DD" w:rsidRPr="00CD56B9">
        <w:rPr>
          <w:lang w:val="en-US"/>
        </w:rPr>
        <w:t xml:space="preserve"> quite diverse</w:t>
      </w:r>
      <w:r w:rsidR="00DE4F52" w:rsidRPr="00CD56B9">
        <w:rPr>
          <w:lang w:val="en-US"/>
        </w:rPr>
        <w:t xml:space="preserve">, </w:t>
      </w:r>
      <w:r w:rsidR="00D6696D" w:rsidRPr="00CD56B9">
        <w:rPr>
          <w:lang w:val="en-US"/>
        </w:rPr>
        <w:t>and target both democratic governance and human rights. Th</w:t>
      </w:r>
      <w:r w:rsidR="002A547D">
        <w:rPr>
          <w:lang w:val="en-US"/>
        </w:rPr>
        <w:t>e</w:t>
      </w:r>
      <w:r w:rsidR="00D6696D" w:rsidRPr="00CD56B9">
        <w:rPr>
          <w:lang w:val="en-US"/>
        </w:rPr>
        <w:t>s</w:t>
      </w:r>
      <w:r w:rsidR="002A547D">
        <w:rPr>
          <w:lang w:val="en-US"/>
        </w:rPr>
        <w:t>e</w:t>
      </w:r>
      <w:r w:rsidR="00D6696D" w:rsidRPr="00CD56B9">
        <w:rPr>
          <w:lang w:val="en-US"/>
        </w:rPr>
        <w:t xml:space="preserve"> </w:t>
      </w:r>
      <w:r w:rsidR="00785360" w:rsidRPr="00CD56B9">
        <w:rPr>
          <w:lang w:val="en-US"/>
        </w:rPr>
        <w:t xml:space="preserve">include the </w:t>
      </w:r>
      <w:r w:rsidR="008C2AA4" w:rsidRPr="00CD56B9">
        <w:rPr>
          <w:lang w:val="en-US"/>
        </w:rPr>
        <w:t>operationalization</w:t>
      </w:r>
      <w:r w:rsidR="00785360" w:rsidRPr="00CD56B9">
        <w:rPr>
          <w:lang w:val="en-US"/>
        </w:rPr>
        <w:t xml:space="preserve"> of the</w:t>
      </w:r>
      <w:r w:rsidR="003A26DD" w:rsidRPr="00CD56B9">
        <w:rPr>
          <w:lang w:val="en-US"/>
        </w:rPr>
        <w:t xml:space="preserve"> DG SWAp </w:t>
      </w:r>
      <w:r w:rsidR="00BE5596" w:rsidRPr="00CD56B9">
        <w:rPr>
          <w:lang w:val="en-US"/>
        </w:rPr>
        <w:t>under the leadership of MoJCA</w:t>
      </w:r>
      <w:r w:rsidR="004C54A7" w:rsidRPr="00CD56B9">
        <w:rPr>
          <w:lang w:val="en-US"/>
        </w:rPr>
        <w:t xml:space="preserve"> as</w:t>
      </w:r>
      <w:r w:rsidR="00785360" w:rsidRPr="00CD56B9">
        <w:rPr>
          <w:lang w:val="en-US"/>
        </w:rPr>
        <w:t xml:space="preserve"> stated by the output title</w:t>
      </w:r>
      <w:r w:rsidR="00BE5596" w:rsidRPr="00CD56B9">
        <w:rPr>
          <w:lang w:val="en-US"/>
        </w:rPr>
        <w:t xml:space="preserve">, </w:t>
      </w:r>
      <w:r w:rsidR="00396744" w:rsidRPr="00CD56B9">
        <w:rPr>
          <w:lang w:val="en-US"/>
        </w:rPr>
        <w:t xml:space="preserve">but also </w:t>
      </w:r>
      <w:r w:rsidR="00433B07" w:rsidRPr="00CD56B9">
        <w:rPr>
          <w:lang w:val="en-US"/>
        </w:rPr>
        <w:t xml:space="preserve">support to political parties, </w:t>
      </w:r>
      <w:r w:rsidR="00785360" w:rsidRPr="00CD56B9">
        <w:rPr>
          <w:lang w:val="en-US"/>
        </w:rPr>
        <w:t xml:space="preserve">democratic elections and the role of </w:t>
      </w:r>
      <w:r w:rsidR="003A26DD" w:rsidRPr="00CD56B9">
        <w:rPr>
          <w:lang w:val="en-US"/>
        </w:rPr>
        <w:t>MEC</w:t>
      </w:r>
      <w:r w:rsidR="00785360" w:rsidRPr="00CD56B9">
        <w:rPr>
          <w:lang w:val="en-US"/>
        </w:rPr>
        <w:t xml:space="preserve">, promotion of human rights in Malawi </w:t>
      </w:r>
      <w:r w:rsidR="00736598" w:rsidRPr="00CD56B9">
        <w:rPr>
          <w:lang w:val="en-US"/>
        </w:rPr>
        <w:t xml:space="preserve">with the </w:t>
      </w:r>
      <w:r w:rsidR="004C54A7" w:rsidRPr="00CD56B9">
        <w:rPr>
          <w:lang w:val="en-US"/>
        </w:rPr>
        <w:t xml:space="preserve">MHRC </w:t>
      </w:r>
      <w:r w:rsidR="00CE6D0F">
        <w:rPr>
          <w:lang w:val="en-US"/>
        </w:rPr>
        <w:t xml:space="preserve">and DCP </w:t>
      </w:r>
      <w:r w:rsidR="004C54A7" w:rsidRPr="00CD56B9">
        <w:rPr>
          <w:lang w:val="en-US"/>
        </w:rPr>
        <w:t>as</w:t>
      </w:r>
      <w:r w:rsidR="00736598" w:rsidRPr="00CD56B9">
        <w:rPr>
          <w:lang w:val="en-US"/>
        </w:rPr>
        <w:t xml:space="preserve"> key partner</w:t>
      </w:r>
      <w:r w:rsidR="00CE6D0F">
        <w:rPr>
          <w:lang w:val="en-US"/>
        </w:rPr>
        <w:t>s</w:t>
      </w:r>
      <w:r w:rsidR="00642E04">
        <w:rPr>
          <w:lang w:val="en-US"/>
        </w:rPr>
        <w:t xml:space="preserve">, </w:t>
      </w:r>
      <w:r w:rsidR="005731CE">
        <w:rPr>
          <w:lang w:val="en-US"/>
        </w:rPr>
        <w:t>addressing</w:t>
      </w:r>
      <w:r w:rsidR="00642E04">
        <w:rPr>
          <w:lang w:val="en-US"/>
        </w:rPr>
        <w:t xml:space="preserve"> supply and demand side</w:t>
      </w:r>
      <w:r w:rsidR="00467A1E">
        <w:rPr>
          <w:lang w:val="en-US"/>
        </w:rPr>
        <w:t xml:space="preserve"> of human rights</w:t>
      </w:r>
      <w:r w:rsidR="00642E04">
        <w:rPr>
          <w:lang w:val="en-US"/>
        </w:rPr>
        <w:t>, respectively</w:t>
      </w:r>
      <w:r w:rsidR="00B02E38">
        <w:rPr>
          <w:lang w:val="en-US"/>
        </w:rPr>
        <w:t>.</w:t>
      </w:r>
    </w:p>
    <w:p w14:paraId="26CE3435" w14:textId="77777777" w:rsidR="00F62234" w:rsidRPr="00CD56B9" w:rsidRDefault="00F62234" w:rsidP="00F62234">
      <w:pPr>
        <w:spacing w:after="0"/>
        <w:rPr>
          <w:lang w:val="en-US"/>
        </w:rPr>
      </w:pPr>
    </w:p>
    <w:p w14:paraId="41AC3898" w14:textId="77777777" w:rsidR="00C743AF" w:rsidRDefault="00DC0B76" w:rsidP="00DC0B76">
      <w:pPr>
        <w:pStyle w:val="Overskrift3"/>
        <w:rPr>
          <w:lang w:val="en-US"/>
        </w:rPr>
      </w:pPr>
      <w:bookmarkStart w:id="35" w:name="_Toc439245587"/>
      <w:r>
        <w:rPr>
          <w:lang w:val="en-US"/>
        </w:rPr>
        <w:t xml:space="preserve">4.1.1 </w:t>
      </w:r>
      <w:r w:rsidR="00C743AF" w:rsidRPr="00CD56B9">
        <w:rPr>
          <w:lang w:val="en-US"/>
        </w:rPr>
        <w:t>DG SWAp</w:t>
      </w:r>
      <w:bookmarkEnd w:id="35"/>
    </w:p>
    <w:p w14:paraId="7FD1139B" w14:textId="77777777" w:rsidR="00F62234" w:rsidRPr="00F62234" w:rsidRDefault="00F62234" w:rsidP="00F62234">
      <w:pPr>
        <w:spacing w:after="0"/>
        <w:rPr>
          <w:lang w:val="en-US"/>
        </w:rPr>
      </w:pPr>
    </w:p>
    <w:p w14:paraId="0703EBE0" w14:textId="77777777" w:rsidR="0033601C" w:rsidRPr="00CD56B9" w:rsidRDefault="00736598" w:rsidP="002B6044">
      <w:pPr>
        <w:rPr>
          <w:lang w:val="en-US"/>
        </w:rPr>
      </w:pPr>
      <w:r w:rsidRPr="00CD56B9">
        <w:rPr>
          <w:lang w:val="en-US"/>
        </w:rPr>
        <w:t xml:space="preserve">The </w:t>
      </w:r>
      <w:r w:rsidR="00B2297D" w:rsidRPr="00CD56B9">
        <w:rPr>
          <w:lang w:val="en-US"/>
        </w:rPr>
        <w:t xml:space="preserve">democratic governance </w:t>
      </w:r>
      <w:r w:rsidR="00473773" w:rsidRPr="00CD56B9">
        <w:rPr>
          <w:lang w:val="en-US"/>
        </w:rPr>
        <w:t>S</w:t>
      </w:r>
      <w:r w:rsidRPr="00CD56B9">
        <w:rPr>
          <w:lang w:val="en-US"/>
        </w:rPr>
        <w:t xml:space="preserve">WAp is a </w:t>
      </w:r>
      <w:r w:rsidR="00972248" w:rsidRPr="00CD56B9">
        <w:rPr>
          <w:lang w:val="en-US"/>
        </w:rPr>
        <w:t xml:space="preserve">direct offshoot of the Paris Declaration </w:t>
      </w:r>
      <w:r w:rsidR="00B2297D" w:rsidRPr="00CD56B9">
        <w:rPr>
          <w:lang w:val="en-US"/>
        </w:rPr>
        <w:t xml:space="preserve">objectives </w:t>
      </w:r>
      <w:r w:rsidR="00972248" w:rsidRPr="00CD56B9">
        <w:rPr>
          <w:lang w:val="en-US"/>
        </w:rPr>
        <w:t>to align donor support to government policies and harmonize</w:t>
      </w:r>
      <w:r w:rsidR="009030CC" w:rsidRPr="00CD56B9">
        <w:rPr>
          <w:lang w:val="en-US"/>
        </w:rPr>
        <w:t>/</w:t>
      </w:r>
      <w:r w:rsidR="00972248" w:rsidRPr="00CD56B9">
        <w:rPr>
          <w:lang w:val="en-US"/>
        </w:rPr>
        <w:t>coordinate donor</w:t>
      </w:r>
      <w:r w:rsidR="00B2297D" w:rsidRPr="00CD56B9">
        <w:rPr>
          <w:lang w:val="en-US"/>
        </w:rPr>
        <w:t xml:space="preserve"> support within specific areas and has been uniformly applied across sectors in Malawi.</w:t>
      </w:r>
      <w:r w:rsidR="00D27E38" w:rsidRPr="00CD56B9">
        <w:rPr>
          <w:lang w:val="en-US"/>
        </w:rPr>
        <w:t xml:space="preserve"> </w:t>
      </w:r>
      <w:r w:rsidR="00EE6332">
        <w:rPr>
          <w:lang w:val="en-US"/>
        </w:rPr>
        <w:t xml:space="preserve">The </w:t>
      </w:r>
      <w:r w:rsidR="003805DB">
        <w:rPr>
          <w:lang w:val="en-US"/>
        </w:rPr>
        <w:t xml:space="preserve">MTE </w:t>
      </w:r>
      <w:r w:rsidR="00D27E38" w:rsidRPr="00CD56B9">
        <w:rPr>
          <w:lang w:val="en-US"/>
        </w:rPr>
        <w:t>acknowledge</w:t>
      </w:r>
      <w:r w:rsidR="003805DB">
        <w:rPr>
          <w:lang w:val="en-US"/>
        </w:rPr>
        <w:t>s th</w:t>
      </w:r>
      <w:r w:rsidR="00D27E38" w:rsidRPr="00CD56B9">
        <w:rPr>
          <w:lang w:val="en-US"/>
        </w:rPr>
        <w:t xml:space="preserve">at </w:t>
      </w:r>
      <w:r w:rsidR="00A462BA" w:rsidRPr="00CD56B9">
        <w:rPr>
          <w:lang w:val="en-US"/>
        </w:rPr>
        <w:t xml:space="preserve">the </w:t>
      </w:r>
      <w:r w:rsidR="00AA2BDD" w:rsidRPr="00CD56B9">
        <w:rPr>
          <w:lang w:val="en-US"/>
        </w:rPr>
        <w:t xml:space="preserve">government </w:t>
      </w:r>
      <w:r w:rsidR="008C2AA4">
        <w:rPr>
          <w:lang w:val="en-US"/>
        </w:rPr>
        <w:t xml:space="preserve">strategy for the democratic governance sector </w:t>
      </w:r>
      <w:r w:rsidR="00AA2BDD" w:rsidRPr="00CD56B9">
        <w:rPr>
          <w:lang w:val="en-US"/>
        </w:rPr>
        <w:t xml:space="preserve">and </w:t>
      </w:r>
      <w:r w:rsidR="008C2AA4">
        <w:rPr>
          <w:lang w:val="en-US"/>
        </w:rPr>
        <w:t xml:space="preserve">a </w:t>
      </w:r>
      <w:r w:rsidR="00A462BA" w:rsidRPr="00CD56B9">
        <w:rPr>
          <w:lang w:val="en-US"/>
        </w:rPr>
        <w:t>basi</w:t>
      </w:r>
      <w:r w:rsidR="00AA2BDD" w:rsidRPr="00CD56B9">
        <w:rPr>
          <w:lang w:val="en-US"/>
        </w:rPr>
        <w:t xml:space="preserve">c </w:t>
      </w:r>
      <w:r w:rsidR="007A2952" w:rsidRPr="00CD56B9">
        <w:rPr>
          <w:lang w:val="en-US"/>
        </w:rPr>
        <w:t xml:space="preserve">coordination </w:t>
      </w:r>
      <w:r w:rsidR="00AA2BDD" w:rsidRPr="00CD56B9">
        <w:rPr>
          <w:lang w:val="en-US"/>
        </w:rPr>
        <w:t>infrastructure for DG SWAp have</w:t>
      </w:r>
      <w:r w:rsidR="00A462BA" w:rsidRPr="00CD56B9">
        <w:rPr>
          <w:lang w:val="en-US"/>
        </w:rPr>
        <w:t xml:space="preserve"> been established</w:t>
      </w:r>
      <w:r w:rsidR="00AA2BDD" w:rsidRPr="00CD56B9">
        <w:rPr>
          <w:lang w:val="en-US"/>
        </w:rPr>
        <w:t xml:space="preserve"> and most sector institutions have aligned their strategies to the DGSS. </w:t>
      </w:r>
      <w:r w:rsidR="00A746A2" w:rsidRPr="00CD56B9">
        <w:rPr>
          <w:lang w:val="en-US"/>
        </w:rPr>
        <w:t>This</w:t>
      </w:r>
      <w:r w:rsidR="00D27E38" w:rsidRPr="00CD56B9">
        <w:rPr>
          <w:lang w:val="en-US"/>
        </w:rPr>
        <w:t xml:space="preserve"> is also the case for most DPs, even </w:t>
      </w:r>
      <w:r w:rsidR="00BF6A1B" w:rsidRPr="00CD56B9">
        <w:rPr>
          <w:lang w:val="en-US"/>
        </w:rPr>
        <w:t>if</w:t>
      </w:r>
      <w:r w:rsidR="00D27E38" w:rsidRPr="00CD56B9">
        <w:rPr>
          <w:lang w:val="en-US"/>
        </w:rPr>
        <w:t xml:space="preserve"> the </w:t>
      </w:r>
      <w:r w:rsidR="00D6696D" w:rsidRPr="00CD56B9">
        <w:rPr>
          <w:lang w:val="en-US"/>
        </w:rPr>
        <w:t xml:space="preserve">huge gap in access to formal justice indicates </w:t>
      </w:r>
      <w:r w:rsidR="00D27E38" w:rsidRPr="00CD56B9">
        <w:rPr>
          <w:lang w:val="en-US"/>
        </w:rPr>
        <w:t>serious imbalances in the sector development.</w:t>
      </w:r>
      <w:r w:rsidR="003805DB">
        <w:rPr>
          <w:lang w:val="en-US"/>
        </w:rPr>
        <w:t xml:space="preserve"> However, not much has yet been achieved in terms of implementation</w:t>
      </w:r>
      <w:r w:rsidR="00AC7D0A">
        <w:rPr>
          <w:lang w:val="en-US"/>
        </w:rPr>
        <w:t>,</w:t>
      </w:r>
      <w:r w:rsidR="003805DB">
        <w:rPr>
          <w:lang w:val="en-US"/>
        </w:rPr>
        <w:t xml:space="preserve"> oversight</w:t>
      </w:r>
      <w:r w:rsidR="00D1627B">
        <w:rPr>
          <w:lang w:val="en-US"/>
        </w:rPr>
        <w:t xml:space="preserve"> </w:t>
      </w:r>
      <w:r w:rsidR="00066ADF">
        <w:rPr>
          <w:lang w:val="en-US"/>
        </w:rPr>
        <w:t xml:space="preserve">and </w:t>
      </w:r>
      <w:r w:rsidR="00100DB6">
        <w:rPr>
          <w:lang w:val="en-US"/>
        </w:rPr>
        <w:t xml:space="preserve">cooperation across institutions </w:t>
      </w:r>
      <w:r w:rsidR="00D1627B">
        <w:rPr>
          <w:lang w:val="en-US"/>
        </w:rPr>
        <w:t>in the sector</w:t>
      </w:r>
      <w:r w:rsidR="003805DB">
        <w:rPr>
          <w:lang w:val="en-US"/>
        </w:rPr>
        <w:t xml:space="preserve">.  </w:t>
      </w:r>
      <w:r w:rsidR="00D27E38" w:rsidRPr="00CD56B9">
        <w:rPr>
          <w:lang w:val="en-US"/>
        </w:rPr>
        <w:t xml:space="preserve"> </w:t>
      </w:r>
    </w:p>
    <w:p w14:paraId="3C7C9CE2" w14:textId="77777777" w:rsidR="007C3F82" w:rsidRPr="00AA58B3" w:rsidRDefault="00165086" w:rsidP="002B6044">
      <w:pPr>
        <w:rPr>
          <w:lang w:val="en-US"/>
        </w:rPr>
      </w:pPr>
      <w:r w:rsidRPr="00CD56B9">
        <w:rPr>
          <w:lang w:val="en-US"/>
        </w:rPr>
        <w:t xml:space="preserve">Declining DP funds </w:t>
      </w:r>
      <w:r w:rsidR="00C743AF" w:rsidRPr="00CD56B9">
        <w:rPr>
          <w:lang w:val="en-US"/>
        </w:rPr>
        <w:t xml:space="preserve">is a global issue </w:t>
      </w:r>
      <w:r w:rsidRPr="00CD56B9">
        <w:rPr>
          <w:lang w:val="en-US"/>
        </w:rPr>
        <w:t xml:space="preserve">that also impact Malawi, </w:t>
      </w:r>
      <w:r w:rsidR="00B66005">
        <w:rPr>
          <w:lang w:val="en-US"/>
        </w:rPr>
        <w:t>but</w:t>
      </w:r>
      <w:r w:rsidR="00C743AF" w:rsidRPr="00CD56B9">
        <w:rPr>
          <w:lang w:val="en-US"/>
        </w:rPr>
        <w:t xml:space="preserve"> </w:t>
      </w:r>
      <w:r w:rsidR="007C3F82" w:rsidRPr="00CD56B9">
        <w:rPr>
          <w:lang w:val="en-US"/>
        </w:rPr>
        <w:t xml:space="preserve">cashgate has </w:t>
      </w:r>
      <w:r w:rsidR="00C743AF" w:rsidRPr="00CD56B9">
        <w:rPr>
          <w:lang w:val="en-US"/>
        </w:rPr>
        <w:t xml:space="preserve">significantly </w:t>
      </w:r>
      <w:r w:rsidR="007C3F82" w:rsidRPr="00CD56B9">
        <w:rPr>
          <w:lang w:val="en-US"/>
        </w:rPr>
        <w:t xml:space="preserve">amplified the challenges for the </w:t>
      </w:r>
      <w:r w:rsidR="0033601C" w:rsidRPr="00CD56B9">
        <w:rPr>
          <w:lang w:val="en-US"/>
        </w:rPr>
        <w:t xml:space="preserve">SWAp </w:t>
      </w:r>
      <w:r w:rsidR="007C3F82" w:rsidRPr="00CD56B9">
        <w:rPr>
          <w:lang w:val="en-US"/>
        </w:rPr>
        <w:t>overall in Malawi</w:t>
      </w:r>
      <w:r w:rsidR="00AD4917" w:rsidRPr="00CD56B9">
        <w:rPr>
          <w:lang w:val="en-US"/>
        </w:rPr>
        <w:t xml:space="preserve"> and </w:t>
      </w:r>
      <w:r w:rsidR="00B66005">
        <w:rPr>
          <w:lang w:val="en-US"/>
        </w:rPr>
        <w:t xml:space="preserve">DP reluctance to provide budget support has </w:t>
      </w:r>
      <w:r w:rsidR="00AD4917" w:rsidRPr="00CD56B9">
        <w:rPr>
          <w:lang w:val="en-US"/>
        </w:rPr>
        <w:t xml:space="preserve">decreased the government’s ability to fund </w:t>
      </w:r>
      <w:r w:rsidR="00276360" w:rsidRPr="00CD56B9">
        <w:rPr>
          <w:lang w:val="en-US"/>
        </w:rPr>
        <w:t xml:space="preserve">its </w:t>
      </w:r>
      <w:r w:rsidR="00AD4917" w:rsidRPr="00CD56B9">
        <w:rPr>
          <w:lang w:val="en-US"/>
        </w:rPr>
        <w:t>operational costs</w:t>
      </w:r>
      <w:r w:rsidR="00276360" w:rsidRPr="00CD56B9">
        <w:rPr>
          <w:lang w:val="en-US"/>
        </w:rPr>
        <w:t xml:space="preserve"> and fulfil its mandate for d</w:t>
      </w:r>
      <w:r w:rsidR="00AD4917" w:rsidRPr="00CD56B9">
        <w:rPr>
          <w:lang w:val="en-US"/>
        </w:rPr>
        <w:t>evelopment investments.</w:t>
      </w:r>
      <w:r w:rsidR="00C743AF" w:rsidRPr="00CD56B9">
        <w:rPr>
          <w:lang w:val="en-US"/>
        </w:rPr>
        <w:t xml:space="preserve"> </w:t>
      </w:r>
      <w:r w:rsidR="00B81E7F" w:rsidRPr="00CD56B9">
        <w:rPr>
          <w:lang w:val="en-US"/>
        </w:rPr>
        <w:t xml:space="preserve">This also has an adverse impact on operations of the DG institutions </w:t>
      </w:r>
      <w:r w:rsidR="00276360" w:rsidRPr="00CD56B9">
        <w:rPr>
          <w:lang w:val="en-US"/>
        </w:rPr>
        <w:t xml:space="preserve">within </w:t>
      </w:r>
      <w:r w:rsidR="00B81E7F" w:rsidRPr="00CD56B9">
        <w:rPr>
          <w:lang w:val="en-US"/>
        </w:rPr>
        <w:t xml:space="preserve">government and the absorption capacity vis-à-vis TA delivered by the DPs. </w:t>
      </w:r>
      <w:r w:rsidR="00B66005">
        <w:rPr>
          <w:lang w:val="en-US"/>
        </w:rPr>
        <w:t>DPs are reluctant</w:t>
      </w:r>
      <w:r w:rsidR="00AD4917" w:rsidRPr="00CD56B9">
        <w:rPr>
          <w:lang w:val="en-US"/>
        </w:rPr>
        <w:t xml:space="preserve"> to support the basket fund modality, and </w:t>
      </w:r>
      <w:r w:rsidR="00B66005">
        <w:rPr>
          <w:lang w:val="en-US"/>
        </w:rPr>
        <w:t xml:space="preserve">prefer </w:t>
      </w:r>
      <w:r w:rsidR="007C3F82" w:rsidRPr="00CD56B9">
        <w:rPr>
          <w:lang w:val="en-US"/>
        </w:rPr>
        <w:t xml:space="preserve">parallel funding </w:t>
      </w:r>
      <w:r w:rsidR="00F34EAC" w:rsidRPr="00CD56B9">
        <w:rPr>
          <w:lang w:val="en-US"/>
        </w:rPr>
        <w:t xml:space="preserve">tied to selected priority areas, </w:t>
      </w:r>
      <w:r w:rsidR="00B66005">
        <w:rPr>
          <w:lang w:val="en-US"/>
        </w:rPr>
        <w:t xml:space="preserve">or diversion of </w:t>
      </w:r>
      <w:r w:rsidR="007C3F82" w:rsidRPr="00CD56B9">
        <w:rPr>
          <w:lang w:val="en-US"/>
        </w:rPr>
        <w:t xml:space="preserve"> support from government institutions to CSOs. I</w:t>
      </w:r>
      <w:r w:rsidR="001F3B9D" w:rsidRPr="00CD56B9">
        <w:rPr>
          <w:lang w:val="en-US"/>
        </w:rPr>
        <w:t>n the DG SWAp</w:t>
      </w:r>
      <w:r w:rsidR="00F34EAC" w:rsidRPr="00CD56B9">
        <w:rPr>
          <w:lang w:val="en-US"/>
        </w:rPr>
        <w:t>,</w:t>
      </w:r>
      <w:r w:rsidR="001F3B9D" w:rsidRPr="00CD56B9">
        <w:rPr>
          <w:lang w:val="en-US"/>
        </w:rPr>
        <w:t xml:space="preserve"> the latter </w:t>
      </w:r>
      <w:r w:rsidR="007C3F82" w:rsidRPr="00CD56B9">
        <w:rPr>
          <w:lang w:val="en-US"/>
        </w:rPr>
        <w:t xml:space="preserve">is a. o. visible in the </w:t>
      </w:r>
      <w:r w:rsidR="0044369A" w:rsidRPr="00CD56B9">
        <w:rPr>
          <w:lang w:val="en-US"/>
        </w:rPr>
        <w:t>DPs preference for support to CSO/</w:t>
      </w:r>
      <w:r w:rsidR="001F3B9D" w:rsidRPr="00CD56B9">
        <w:rPr>
          <w:lang w:val="en-US"/>
        </w:rPr>
        <w:t>demand</w:t>
      </w:r>
      <w:r w:rsidR="007C3F82" w:rsidRPr="00CD56B9">
        <w:rPr>
          <w:lang w:val="en-US"/>
        </w:rPr>
        <w:t xml:space="preserve"> side</w:t>
      </w:r>
      <w:r w:rsidR="0044369A" w:rsidRPr="00CD56B9">
        <w:rPr>
          <w:lang w:val="en-US"/>
        </w:rPr>
        <w:t xml:space="preserve"> on </w:t>
      </w:r>
      <w:r w:rsidR="007C3F82" w:rsidRPr="00CD56B9">
        <w:rPr>
          <w:lang w:val="en-US"/>
        </w:rPr>
        <w:t xml:space="preserve">accountability </w:t>
      </w:r>
      <w:r w:rsidR="00B81E7F" w:rsidRPr="00CD56B9">
        <w:rPr>
          <w:lang w:val="en-US"/>
        </w:rPr>
        <w:t>over the last years</w:t>
      </w:r>
      <w:r w:rsidR="0044369A" w:rsidRPr="00CD56B9">
        <w:rPr>
          <w:lang w:val="en-US"/>
        </w:rPr>
        <w:t>.</w:t>
      </w:r>
      <w:r w:rsidR="00F34EAC" w:rsidRPr="00CD56B9">
        <w:rPr>
          <w:lang w:val="en-US"/>
        </w:rPr>
        <w:t xml:space="preserve"> It is evident, that this development also has adverse</w:t>
      </w:r>
      <w:r w:rsidR="0044369A" w:rsidRPr="00CD56B9">
        <w:rPr>
          <w:lang w:val="en-US"/>
        </w:rPr>
        <w:t xml:space="preserve"> </w:t>
      </w:r>
      <w:r w:rsidR="00F34EAC" w:rsidRPr="00CD56B9">
        <w:rPr>
          <w:lang w:val="en-US"/>
        </w:rPr>
        <w:t xml:space="preserve">impact on the </w:t>
      </w:r>
      <w:r w:rsidR="0039758F">
        <w:rPr>
          <w:lang w:val="en-US"/>
        </w:rPr>
        <w:t xml:space="preserve">on the independence and </w:t>
      </w:r>
      <w:r w:rsidR="00B81E7F" w:rsidRPr="00CD56B9">
        <w:rPr>
          <w:lang w:val="en-US"/>
        </w:rPr>
        <w:t xml:space="preserve">operational capacity of </w:t>
      </w:r>
      <w:r w:rsidR="00492749" w:rsidRPr="00CD56B9">
        <w:rPr>
          <w:lang w:val="en-US"/>
        </w:rPr>
        <w:t xml:space="preserve">DG/HR </w:t>
      </w:r>
      <w:r w:rsidR="00295A46" w:rsidRPr="00CD56B9">
        <w:rPr>
          <w:lang w:val="en-US"/>
        </w:rPr>
        <w:t xml:space="preserve">institutions such as </w:t>
      </w:r>
      <w:r w:rsidR="00B81E7F" w:rsidRPr="00CD56B9">
        <w:rPr>
          <w:lang w:val="en-US"/>
        </w:rPr>
        <w:t>MHRC</w:t>
      </w:r>
      <w:r w:rsidR="00295A46" w:rsidRPr="00CD56B9">
        <w:rPr>
          <w:lang w:val="en-US"/>
        </w:rPr>
        <w:t xml:space="preserve">, </w:t>
      </w:r>
      <w:r w:rsidR="00B81E7F" w:rsidRPr="00CD56B9">
        <w:rPr>
          <w:lang w:val="en-US"/>
        </w:rPr>
        <w:t>MEC</w:t>
      </w:r>
      <w:r w:rsidR="00295A46" w:rsidRPr="00CD56B9">
        <w:rPr>
          <w:lang w:val="en-US"/>
        </w:rPr>
        <w:t xml:space="preserve"> and the OO, which </w:t>
      </w:r>
      <w:r w:rsidR="00D07960">
        <w:rPr>
          <w:lang w:val="en-US"/>
        </w:rPr>
        <w:t xml:space="preserve">are facing </w:t>
      </w:r>
      <w:r w:rsidR="00295A46" w:rsidRPr="00CD56B9">
        <w:rPr>
          <w:lang w:val="en-US"/>
        </w:rPr>
        <w:t xml:space="preserve">capacity constraints </w:t>
      </w:r>
      <w:r w:rsidR="00CA1960">
        <w:rPr>
          <w:lang w:val="en-US"/>
        </w:rPr>
        <w:t xml:space="preserve">in one or more areas pertaining to </w:t>
      </w:r>
      <w:r w:rsidR="00D07960">
        <w:rPr>
          <w:lang w:val="en-US"/>
        </w:rPr>
        <w:t>staff shortages</w:t>
      </w:r>
      <w:r w:rsidR="00CA1960">
        <w:rPr>
          <w:lang w:val="en-US"/>
        </w:rPr>
        <w:t xml:space="preserve">/vacancies and </w:t>
      </w:r>
      <w:r w:rsidR="00492749" w:rsidRPr="00CD56B9">
        <w:rPr>
          <w:lang w:val="en-US"/>
        </w:rPr>
        <w:t xml:space="preserve">high staff turnovers, inadequate skills/knowledge </w:t>
      </w:r>
      <w:r w:rsidR="0092222F">
        <w:rPr>
          <w:lang w:val="en-US"/>
        </w:rPr>
        <w:t xml:space="preserve">management, </w:t>
      </w:r>
      <w:r w:rsidR="00492749" w:rsidRPr="00AA58B3">
        <w:rPr>
          <w:lang w:val="en-US"/>
        </w:rPr>
        <w:t>s</w:t>
      </w:r>
      <w:r w:rsidR="005A30C9" w:rsidRPr="00AA58B3">
        <w:rPr>
          <w:lang w:val="en-US"/>
        </w:rPr>
        <w:t>trained mobility and outreach caused by insufficient operational funds</w:t>
      </w:r>
      <w:r w:rsidR="00B81E7F" w:rsidRPr="00AA58B3">
        <w:rPr>
          <w:lang w:val="en-US"/>
        </w:rPr>
        <w:t>.</w:t>
      </w:r>
      <w:r w:rsidR="00B16FA5" w:rsidRPr="00AA58B3">
        <w:rPr>
          <w:lang w:val="en-US"/>
        </w:rPr>
        <w:t xml:space="preserve"> </w:t>
      </w:r>
      <w:r w:rsidR="00395B5A">
        <w:rPr>
          <w:lang w:val="en-US"/>
        </w:rPr>
        <w:t xml:space="preserve">Such </w:t>
      </w:r>
      <w:r w:rsidR="00395B5A" w:rsidRPr="00642E04">
        <w:rPr>
          <w:lang w:val="en-US"/>
        </w:rPr>
        <w:t>capacity</w:t>
      </w:r>
      <w:r w:rsidR="00B16FA5" w:rsidRPr="00642E04">
        <w:rPr>
          <w:lang w:val="en-US"/>
        </w:rPr>
        <w:t xml:space="preserve"> </w:t>
      </w:r>
      <w:r w:rsidR="00066ADF" w:rsidRPr="00642E04">
        <w:rPr>
          <w:lang w:val="en-US"/>
        </w:rPr>
        <w:t>constraints also affect</w:t>
      </w:r>
      <w:r w:rsidR="0092222F" w:rsidRPr="00642E04">
        <w:rPr>
          <w:lang w:val="en-US"/>
        </w:rPr>
        <w:t xml:space="preserve"> the absorption capacity of these </w:t>
      </w:r>
      <w:r w:rsidR="0092222F" w:rsidRPr="00AA58B3">
        <w:rPr>
          <w:lang w:val="en-US"/>
        </w:rPr>
        <w:t>institutions</w:t>
      </w:r>
      <w:r w:rsidR="0092222F">
        <w:rPr>
          <w:lang w:val="en-US"/>
        </w:rPr>
        <w:t xml:space="preserve"> and th</w:t>
      </w:r>
      <w:r w:rsidR="00B16FA5" w:rsidRPr="00642E04">
        <w:rPr>
          <w:lang w:val="en-US"/>
        </w:rPr>
        <w:t xml:space="preserve">e </w:t>
      </w:r>
      <w:r w:rsidR="0092222F">
        <w:rPr>
          <w:lang w:val="en-US"/>
        </w:rPr>
        <w:t xml:space="preserve">scale of </w:t>
      </w:r>
      <w:r w:rsidR="00B16FA5" w:rsidRPr="00642E04">
        <w:rPr>
          <w:lang w:val="en-US"/>
        </w:rPr>
        <w:t>technical support</w:t>
      </w:r>
      <w:r w:rsidR="0092222F">
        <w:rPr>
          <w:lang w:val="en-US"/>
        </w:rPr>
        <w:t xml:space="preserve">, </w:t>
      </w:r>
      <w:r w:rsidR="00563AF8">
        <w:rPr>
          <w:lang w:val="en-US"/>
        </w:rPr>
        <w:t>which</w:t>
      </w:r>
      <w:r w:rsidR="0092222F">
        <w:rPr>
          <w:lang w:val="en-US"/>
        </w:rPr>
        <w:t xml:space="preserve"> can be </w:t>
      </w:r>
      <w:r w:rsidR="00B16FA5" w:rsidRPr="00642E04">
        <w:rPr>
          <w:lang w:val="en-US"/>
        </w:rPr>
        <w:t xml:space="preserve">rendered by </w:t>
      </w:r>
      <w:r w:rsidR="00DE5FC4" w:rsidRPr="00642E04">
        <w:rPr>
          <w:lang w:val="en-US"/>
        </w:rPr>
        <w:t>the DPs</w:t>
      </w:r>
      <w:r w:rsidR="00DE5FC4" w:rsidRPr="00AA58B3">
        <w:rPr>
          <w:lang w:val="en-US"/>
        </w:rPr>
        <w:t>.</w:t>
      </w:r>
    </w:p>
    <w:p w14:paraId="139B5FE6" w14:textId="77777777" w:rsidR="00734E5B" w:rsidRPr="00CD56B9" w:rsidRDefault="00BA4AA7" w:rsidP="00734E5B">
      <w:pPr>
        <w:rPr>
          <w:lang w:val="en-US"/>
        </w:rPr>
      </w:pPr>
      <w:r>
        <w:rPr>
          <w:lang w:val="en-US"/>
        </w:rPr>
        <w:lastRenderedPageBreak/>
        <w:t>T</w:t>
      </w:r>
      <w:r w:rsidR="00002435" w:rsidRPr="00CD56B9">
        <w:rPr>
          <w:lang w:val="en-US"/>
        </w:rPr>
        <w:t>he</w:t>
      </w:r>
      <w:r w:rsidR="00BA3AD3" w:rsidRPr="00CD56B9">
        <w:rPr>
          <w:lang w:val="en-US"/>
        </w:rPr>
        <w:t xml:space="preserve"> sheer thematic volume and the high number</w:t>
      </w:r>
      <w:r w:rsidR="00AD4917" w:rsidRPr="00CD56B9">
        <w:rPr>
          <w:lang w:val="en-US"/>
        </w:rPr>
        <w:t xml:space="preserve"> </w:t>
      </w:r>
      <w:r w:rsidR="00BA3AD3" w:rsidRPr="00CD56B9">
        <w:rPr>
          <w:lang w:val="en-US"/>
        </w:rPr>
        <w:t xml:space="preserve">of </w:t>
      </w:r>
      <w:r w:rsidR="00002435" w:rsidRPr="00CD56B9">
        <w:rPr>
          <w:lang w:val="en-US"/>
        </w:rPr>
        <w:t xml:space="preserve">sector </w:t>
      </w:r>
      <w:r w:rsidR="00BA3AD3" w:rsidRPr="00CD56B9">
        <w:rPr>
          <w:lang w:val="en-US"/>
        </w:rPr>
        <w:t xml:space="preserve">institutions </w:t>
      </w:r>
      <w:r w:rsidR="00EB437D" w:rsidRPr="00CD56B9">
        <w:rPr>
          <w:lang w:val="en-US"/>
        </w:rPr>
        <w:t xml:space="preserve">(19) </w:t>
      </w:r>
      <w:r w:rsidR="0080135C" w:rsidRPr="00CD56B9">
        <w:rPr>
          <w:lang w:val="en-US"/>
        </w:rPr>
        <w:t>involved</w:t>
      </w:r>
      <w:r w:rsidR="00BA3AD3" w:rsidRPr="00CD56B9">
        <w:rPr>
          <w:lang w:val="en-US"/>
        </w:rPr>
        <w:t xml:space="preserve"> </w:t>
      </w:r>
      <w:r>
        <w:rPr>
          <w:lang w:val="en-US"/>
        </w:rPr>
        <w:t>also makes coordination</w:t>
      </w:r>
      <w:r w:rsidR="00734E5B" w:rsidRPr="00CD56B9">
        <w:rPr>
          <w:lang w:val="en-US"/>
        </w:rPr>
        <w:t xml:space="preserve"> within one strategy and </w:t>
      </w:r>
      <w:r w:rsidR="00206AC3" w:rsidRPr="00CD56B9">
        <w:rPr>
          <w:lang w:val="en-US"/>
        </w:rPr>
        <w:t xml:space="preserve">one </w:t>
      </w:r>
      <w:r w:rsidR="001A2888">
        <w:rPr>
          <w:lang w:val="en-US"/>
        </w:rPr>
        <w:t>SWG</w:t>
      </w:r>
      <w:r>
        <w:rPr>
          <w:lang w:val="en-US"/>
        </w:rPr>
        <w:t xml:space="preserve"> challenging. S</w:t>
      </w:r>
      <w:r w:rsidR="00F85AE8">
        <w:rPr>
          <w:lang w:val="en-US"/>
        </w:rPr>
        <w:t xml:space="preserve">o far, most efforts has been focused on simple coordination and M&amp;E </w:t>
      </w:r>
      <w:r w:rsidR="0080135C">
        <w:rPr>
          <w:lang w:val="en-US"/>
        </w:rPr>
        <w:t xml:space="preserve">efforts, while policy implementation and inter-institutional cooperation, synergies and complementarities still needs to be addressed. </w:t>
      </w:r>
      <w:r w:rsidR="00734E5B" w:rsidRPr="00CD56B9">
        <w:rPr>
          <w:lang w:val="en-US"/>
        </w:rPr>
        <w:t>Some DPs also questioned the government ownership to SWAp and felt that individual sector institutions tend to guard their bilateral relationships with the DPs and the</w:t>
      </w:r>
      <w:r w:rsidR="000E0B12" w:rsidRPr="00CD56B9">
        <w:rPr>
          <w:lang w:val="en-US"/>
        </w:rPr>
        <w:t>ir own access</w:t>
      </w:r>
      <w:r w:rsidR="00734E5B" w:rsidRPr="00CD56B9">
        <w:rPr>
          <w:lang w:val="en-US"/>
        </w:rPr>
        <w:t xml:space="preserve"> to continuous support at the cost of more holistic approaches. </w:t>
      </w:r>
    </w:p>
    <w:p w14:paraId="4ABAAD35" w14:textId="77777777" w:rsidR="00734E5B" w:rsidRDefault="00734E5B" w:rsidP="00C77F71">
      <w:pPr>
        <w:spacing w:after="0"/>
        <w:rPr>
          <w:lang w:val="en-US"/>
        </w:rPr>
      </w:pPr>
      <w:r w:rsidRPr="00CD56B9">
        <w:rPr>
          <w:lang w:val="en-US"/>
        </w:rPr>
        <w:t>Overall, however, the</w:t>
      </w:r>
      <w:r w:rsidR="004D7DFD">
        <w:rPr>
          <w:lang w:val="en-US"/>
        </w:rPr>
        <w:t>re</w:t>
      </w:r>
      <w:r w:rsidRPr="00CD56B9">
        <w:rPr>
          <w:lang w:val="en-US"/>
        </w:rPr>
        <w:t xml:space="preserve"> </w:t>
      </w:r>
      <w:r w:rsidR="004D7DFD">
        <w:rPr>
          <w:lang w:val="en-US"/>
        </w:rPr>
        <w:t>is no</w:t>
      </w:r>
      <w:r w:rsidRPr="00CD56B9">
        <w:rPr>
          <w:lang w:val="en-US"/>
        </w:rPr>
        <w:t xml:space="preserve"> alternative for UNDP, but to continue supporting the SWAp</w:t>
      </w:r>
      <w:r w:rsidR="00CE5320" w:rsidRPr="00CD56B9">
        <w:rPr>
          <w:lang w:val="en-US"/>
        </w:rPr>
        <w:t xml:space="preserve">. Alignment and </w:t>
      </w:r>
      <w:r w:rsidR="008C2AA4" w:rsidRPr="00CD56B9">
        <w:rPr>
          <w:lang w:val="en-US"/>
        </w:rPr>
        <w:t>harmonization</w:t>
      </w:r>
      <w:r w:rsidR="00CE5320" w:rsidRPr="00CD56B9">
        <w:rPr>
          <w:lang w:val="en-US"/>
        </w:rPr>
        <w:t xml:space="preserve"> have to be pursued and it would not be acceptable to roll back donor coope</w:t>
      </w:r>
      <w:r w:rsidR="00D1627B">
        <w:rPr>
          <w:lang w:val="en-US"/>
        </w:rPr>
        <w:t>ration to the days before Paris.</w:t>
      </w:r>
      <w:r w:rsidR="00CE5320" w:rsidRPr="00CD56B9">
        <w:rPr>
          <w:lang w:val="en-US"/>
        </w:rPr>
        <w:t xml:space="preserve"> B</w:t>
      </w:r>
      <w:r w:rsidRPr="00CD56B9">
        <w:rPr>
          <w:lang w:val="en-US"/>
        </w:rPr>
        <w:t xml:space="preserve">ut </w:t>
      </w:r>
      <w:r w:rsidR="004E3D94" w:rsidRPr="00CD56B9">
        <w:rPr>
          <w:lang w:val="en-US"/>
        </w:rPr>
        <w:t xml:space="preserve">the progress </w:t>
      </w:r>
      <w:r w:rsidR="00EB58CF" w:rsidRPr="00CD56B9">
        <w:rPr>
          <w:lang w:val="en-US"/>
        </w:rPr>
        <w:t xml:space="preserve">of </w:t>
      </w:r>
      <w:r w:rsidR="00D003D7">
        <w:rPr>
          <w:lang w:val="en-US"/>
        </w:rPr>
        <w:t xml:space="preserve">applying </w:t>
      </w:r>
      <w:r w:rsidR="004E3D94" w:rsidRPr="00CD56B9">
        <w:rPr>
          <w:lang w:val="en-US"/>
        </w:rPr>
        <w:t xml:space="preserve">the SWAp will be incremental and </w:t>
      </w:r>
      <w:r w:rsidR="00EB58CF" w:rsidRPr="00CD56B9">
        <w:rPr>
          <w:lang w:val="en-US"/>
        </w:rPr>
        <w:t>the</w:t>
      </w:r>
      <w:r w:rsidRPr="00CD56B9">
        <w:rPr>
          <w:lang w:val="en-US"/>
        </w:rPr>
        <w:t xml:space="preserve"> full potential of the </w:t>
      </w:r>
      <w:r w:rsidR="004E3D94" w:rsidRPr="00CD56B9">
        <w:rPr>
          <w:lang w:val="en-US"/>
        </w:rPr>
        <w:t xml:space="preserve">approach, including </w:t>
      </w:r>
      <w:r w:rsidR="00CE5320" w:rsidRPr="00CD56B9">
        <w:rPr>
          <w:lang w:val="en-US"/>
        </w:rPr>
        <w:t xml:space="preserve">the application of </w:t>
      </w:r>
      <w:r w:rsidR="004E3D94" w:rsidRPr="00CD56B9">
        <w:rPr>
          <w:lang w:val="en-US"/>
        </w:rPr>
        <w:t>basket funding,</w:t>
      </w:r>
      <w:r w:rsidRPr="00CD56B9">
        <w:rPr>
          <w:lang w:val="en-US"/>
        </w:rPr>
        <w:t xml:space="preserve"> is </w:t>
      </w:r>
      <w:r w:rsidR="00EB58CF" w:rsidRPr="00CD56B9">
        <w:rPr>
          <w:lang w:val="en-US"/>
        </w:rPr>
        <w:t xml:space="preserve">unlikely </w:t>
      </w:r>
      <w:r w:rsidRPr="00CD56B9">
        <w:rPr>
          <w:lang w:val="en-US"/>
        </w:rPr>
        <w:t xml:space="preserve">to unfold in the </w:t>
      </w:r>
      <w:r w:rsidR="00F01E63">
        <w:rPr>
          <w:lang w:val="en-US"/>
        </w:rPr>
        <w:t>near term.</w:t>
      </w:r>
      <w:r w:rsidR="00EE6332">
        <w:rPr>
          <w:lang w:val="en-US"/>
        </w:rPr>
        <w:t xml:space="preserve"> </w:t>
      </w:r>
      <w:r w:rsidR="0080135C">
        <w:rPr>
          <w:lang w:val="en-US"/>
        </w:rPr>
        <w:t xml:space="preserve">The next step should be to focus </w:t>
      </w:r>
      <w:r w:rsidR="009F042D">
        <w:rPr>
          <w:lang w:val="en-US"/>
        </w:rPr>
        <w:t>on</w:t>
      </w:r>
      <w:r w:rsidR="00BA4AA7">
        <w:rPr>
          <w:lang w:val="en-US"/>
        </w:rPr>
        <w:t xml:space="preserve"> </w:t>
      </w:r>
      <w:r w:rsidR="0080135C">
        <w:rPr>
          <w:lang w:val="en-US"/>
        </w:rPr>
        <w:t>policy implementation and</w:t>
      </w:r>
      <w:r w:rsidR="00BA4AA7">
        <w:rPr>
          <w:lang w:val="en-US"/>
        </w:rPr>
        <w:t xml:space="preserve"> to identify </w:t>
      </w:r>
      <w:r w:rsidR="0080135C">
        <w:rPr>
          <w:lang w:val="en-US"/>
        </w:rPr>
        <w:t>areas of inter-ministerial and inter-institutional cooperation</w:t>
      </w:r>
      <w:r w:rsidR="00BA4AA7">
        <w:rPr>
          <w:lang w:val="en-US"/>
        </w:rPr>
        <w:t>, which can be targeted under the SWAp such as the police-court-prison cooperation</w:t>
      </w:r>
      <w:r w:rsidR="00751AE4">
        <w:rPr>
          <w:lang w:val="en-US"/>
        </w:rPr>
        <w:t xml:space="preserve"> or the institutional gaps in addressing child marriages and GBV</w:t>
      </w:r>
      <w:r w:rsidR="00BA4AA7">
        <w:rPr>
          <w:lang w:val="en-US"/>
        </w:rPr>
        <w:t>. Joint thematic M&amp;E exercises with the DPs could assist MoJCA in promoting implementation and inter-jurisdictional cooperation.</w:t>
      </w:r>
      <w:r w:rsidR="00C77F71">
        <w:rPr>
          <w:lang w:val="en-US"/>
        </w:rPr>
        <w:t xml:space="preserve"> </w:t>
      </w:r>
      <w:r w:rsidR="00E27A70" w:rsidRPr="00C77F71">
        <w:rPr>
          <w:lang w:val="en-US"/>
        </w:rPr>
        <w:t>(</w:t>
      </w:r>
      <w:r w:rsidR="00E27A70" w:rsidRPr="00C77F71">
        <w:rPr>
          <w:i/>
          <w:lang w:val="en-US"/>
        </w:rPr>
        <w:t>See Recommendation #</w:t>
      </w:r>
      <w:r w:rsidR="00C77F71" w:rsidRPr="00C77F71">
        <w:rPr>
          <w:i/>
          <w:lang w:val="en-US"/>
        </w:rPr>
        <w:t xml:space="preserve"> 1</w:t>
      </w:r>
      <w:r w:rsidR="00E27A70" w:rsidRPr="00C77F71">
        <w:rPr>
          <w:lang w:val="en-US"/>
        </w:rPr>
        <w:t>)</w:t>
      </w:r>
    </w:p>
    <w:p w14:paraId="76939BFF" w14:textId="77777777" w:rsidR="00C77F71" w:rsidRPr="00C77F71" w:rsidRDefault="00C77F71" w:rsidP="00C77F71">
      <w:pPr>
        <w:spacing w:after="0"/>
        <w:rPr>
          <w:lang w:val="en-US"/>
        </w:rPr>
      </w:pPr>
    </w:p>
    <w:p w14:paraId="17D48C5C" w14:textId="77777777" w:rsidR="00440981" w:rsidRPr="004424AF" w:rsidRDefault="00DC0B76" w:rsidP="00DC0B76">
      <w:pPr>
        <w:pStyle w:val="Overskrift3"/>
        <w:rPr>
          <w:lang w:val="en-US"/>
        </w:rPr>
      </w:pPr>
      <w:bookmarkStart w:id="36" w:name="_Toc439245588"/>
      <w:r>
        <w:rPr>
          <w:lang w:val="en-US"/>
        </w:rPr>
        <w:t xml:space="preserve">4.1.2 </w:t>
      </w:r>
      <w:r w:rsidR="00631555" w:rsidRPr="004424AF">
        <w:rPr>
          <w:lang w:val="en-US"/>
        </w:rPr>
        <w:t>Democratic E</w:t>
      </w:r>
      <w:r w:rsidR="00BD4566" w:rsidRPr="004424AF">
        <w:rPr>
          <w:lang w:val="en-US"/>
        </w:rPr>
        <w:t>lections</w:t>
      </w:r>
      <w:bookmarkEnd w:id="36"/>
    </w:p>
    <w:p w14:paraId="50196FAD" w14:textId="77777777" w:rsidR="009528F2" w:rsidRPr="00CD56B9" w:rsidRDefault="00F26AD3" w:rsidP="002B6044">
      <w:pPr>
        <w:rPr>
          <w:lang w:val="en-US"/>
        </w:rPr>
      </w:pPr>
      <w:r w:rsidRPr="00CD56B9">
        <w:rPr>
          <w:lang w:val="en-US"/>
        </w:rPr>
        <w:t xml:space="preserve">During the </w:t>
      </w:r>
      <w:r w:rsidR="00322E53" w:rsidRPr="00CD56B9">
        <w:rPr>
          <w:lang w:val="en-US"/>
        </w:rPr>
        <w:t xml:space="preserve">2014 </w:t>
      </w:r>
      <w:r w:rsidR="00603010" w:rsidRPr="00CD56B9">
        <w:rPr>
          <w:lang w:val="en-US"/>
        </w:rPr>
        <w:t xml:space="preserve">tripartite </w:t>
      </w:r>
      <w:r w:rsidR="00734319" w:rsidRPr="00CD56B9">
        <w:rPr>
          <w:lang w:val="en-US"/>
        </w:rPr>
        <w:t>election</w:t>
      </w:r>
      <w:r w:rsidR="00603010" w:rsidRPr="00CD56B9">
        <w:rPr>
          <w:lang w:val="en-US"/>
        </w:rPr>
        <w:t>s</w:t>
      </w:r>
      <w:r w:rsidRPr="00CD56B9">
        <w:rPr>
          <w:lang w:val="en-US"/>
        </w:rPr>
        <w:t xml:space="preserve">, Malawi's closest-fought in 20 years, about 7.5 million people were eligible to vote. The election </w:t>
      </w:r>
      <w:r w:rsidR="00734319" w:rsidRPr="00CD56B9">
        <w:rPr>
          <w:lang w:val="en-US"/>
        </w:rPr>
        <w:t xml:space="preserve">process </w:t>
      </w:r>
      <w:r w:rsidR="00322E53" w:rsidRPr="00CD56B9">
        <w:rPr>
          <w:lang w:val="en-US"/>
        </w:rPr>
        <w:t>was highly contested</w:t>
      </w:r>
      <w:r w:rsidRPr="00CD56B9">
        <w:rPr>
          <w:lang w:val="en-US"/>
        </w:rPr>
        <w:t>, a. o. by the ousted President, who made allegations of election</w:t>
      </w:r>
      <w:r w:rsidR="000D74E3">
        <w:rPr>
          <w:lang w:val="en-US"/>
        </w:rPr>
        <w:t xml:space="preserve"> fraud, but tho</w:t>
      </w:r>
      <w:r w:rsidR="00AF3488" w:rsidRPr="00CD56B9">
        <w:rPr>
          <w:lang w:val="en-US"/>
        </w:rPr>
        <w:t>se</w:t>
      </w:r>
      <w:r w:rsidRPr="00CD56B9">
        <w:rPr>
          <w:lang w:val="en-US"/>
        </w:rPr>
        <w:t xml:space="preserve"> allegations were rejected by MEC.</w:t>
      </w:r>
      <w:r w:rsidR="009528F2" w:rsidRPr="00CD56B9">
        <w:rPr>
          <w:lang w:val="en-US"/>
        </w:rPr>
        <w:t xml:space="preserve"> </w:t>
      </w:r>
      <w:r w:rsidRPr="00CD56B9">
        <w:rPr>
          <w:lang w:val="en-US"/>
        </w:rPr>
        <w:t>The election process also featured many polling stations opening up hours late, incomplete distributions of election materials and frustrated voters setting one polling station alight</w:t>
      </w:r>
      <w:r w:rsidR="00046998" w:rsidRPr="00CD56B9">
        <w:rPr>
          <w:lang w:val="en-US"/>
        </w:rPr>
        <w:t xml:space="preserve">. According to MEC, in some 58 of more than 4,000 polling </w:t>
      </w:r>
      <w:r w:rsidR="00AF3488" w:rsidRPr="00CD56B9">
        <w:rPr>
          <w:lang w:val="en-US"/>
        </w:rPr>
        <w:t xml:space="preserve">stations, </w:t>
      </w:r>
      <w:r w:rsidR="00046998" w:rsidRPr="00CD56B9">
        <w:rPr>
          <w:lang w:val="en-US"/>
        </w:rPr>
        <w:t xml:space="preserve">the official number of votes cast was more than that of registered voters </w:t>
      </w:r>
      <w:r w:rsidR="000F31AE" w:rsidRPr="00CD56B9">
        <w:rPr>
          <w:lang w:val="en-US"/>
        </w:rPr>
        <w:t xml:space="preserve">and late announcement of election results </w:t>
      </w:r>
      <w:r w:rsidR="00046998" w:rsidRPr="00CD56B9">
        <w:rPr>
          <w:lang w:val="en-US"/>
        </w:rPr>
        <w:t xml:space="preserve">did not allow </w:t>
      </w:r>
      <w:r w:rsidR="00A04BE6" w:rsidRPr="00CD56B9">
        <w:rPr>
          <w:lang w:val="en-US"/>
        </w:rPr>
        <w:t>sufficient</w:t>
      </w:r>
      <w:r w:rsidR="000F31AE" w:rsidRPr="00CD56B9">
        <w:rPr>
          <w:lang w:val="en-US"/>
        </w:rPr>
        <w:t xml:space="preserve"> </w:t>
      </w:r>
      <w:r w:rsidR="00046998" w:rsidRPr="00CD56B9">
        <w:rPr>
          <w:lang w:val="en-US"/>
        </w:rPr>
        <w:t>time</w:t>
      </w:r>
      <w:r w:rsidR="000F31AE" w:rsidRPr="00CD56B9">
        <w:rPr>
          <w:lang w:val="en-US"/>
        </w:rPr>
        <w:t xml:space="preserve"> </w:t>
      </w:r>
      <w:r w:rsidR="00046998" w:rsidRPr="00CD56B9">
        <w:rPr>
          <w:lang w:val="en-US"/>
        </w:rPr>
        <w:t>to audit</w:t>
      </w:r>
      <w:r w:rsidR="00322E53" w:rsidRPr="00CD56B9">
        <w:rPr>
          <w:lang w:val="en-US"/>
        </w:rPr>
        <w:t xml:space="preserve"> </w:t>
      </w:r>
      <w:r w:rsidR="000F31AE" w:rsidRPr="00CD56B9">
        <w:rPr>
          <w:lang w:val="en-US"/>
        </w:rPr>
        <w:t>election</w:t>
      </w:r>
      <w:r w:rsidR="00322E53" w:rsidRPr="00CD56B9">
        <w:rPr>
          <w:lang w:val="en-US"/>
        </w:rPr>
        <w:t xml:space="preserve"> results.</w:t>
      </w:r>
      <w:r w:rsidR="00046998" w:rsidRPr="00CD56B9">
        <w:rPr>
          <w:lang w:val="en-US"/>
        </w:rPr>
        <w:t xml:space="preserve"> </w:t>
      </w:r>
    </w:p>
    <w:p w14:paraId="7ADE19E8" w14:textId="77777777" w:rsidR="00E8790B" w:rsidRDefault="002515D6" w:rsidP="002B6044">
      <w:pPr>
        <w:rPr>
          <w:lang w:val="en-US"/>
        </w:rPr>
      </w:pPr>
      <w:r>
        <w:rPr>
          <w:lang w:val="en-US"/>
        </w:rPr>
        <w:t>Despite s</w:t>
      </w:r>
      <w:r w:rsidR="0054433F">
        <w:rPr>
          <w:lang w:val="en-US"/>
        </w:rPr>
        <w:t>uch</w:t>
      </w:r>
      <w:r w:rsidR="000D74E3" w:rsidRPr="00CD56B9">
        <w:rPr>
          <w:lang w:val="en-US"/>
        </w:rPr>
        <w:t xml:space="preserve"> problems</w:t>
      </w:r>
      <w:r w:rsidR="000D74E3">
        <w:rPr>
          <w:lang w:val="en-US"/>
        </w:rPr>
        <w:t xml:space="preserve"> </w:t>
      </w:r>
      <w:r>
        <w:rPr>
          <w:lang w:val="en-US"/>
        </w:rPr>
        <w:t xml:space="preserve">encountered, </w:t>
      </w:r>
      <w:r w:rsidR="000D74E3" w:rsidRPr="00CD56B9">
        <w:rPr>
          <w:lang w:val="en-US"/>
        </w:rPr>
        <w:t xml:space="preserve">the </w:t>
      </w:r>
      <w:r w:rsidR="000D74E3">
        <w:rPr>
          <w:lang w:val="en-US"/>
        </w:rPr>
        <w:t xml:space="preserve">achievements based on </w:t>
      </w:r>
      <w:r w:rsidR="000D74E3" w:rsidRPr="00CD56B9">
        <w:rPr>
          <w:lang w:val="en-US"/>
        </w:rPr>
        <w:t>the support provided to MEC do</w:t>
      </w:r>
      <w:r w:rsidR="00046998" w:rsidRPr="00CD56B9">
        <w:rPr>
          <w:lang w:val="en-US"/>
        </w:rPr>
        <w:t xml:space="preserve"> indicate a maturing </w:t>
      </w:r>
      <w:r w:rsidR="001552A5" w:rsidRPr="00CD56B9">
        <w:rPr>
          <w:lang w:val="en-US"/>
        </w:rPr>
        <w:t>capacity to manage the election process</w:t>
      </w:r>
      <w:r w:rsidR="006E69C4">
        <w:rPr>
          <w:lang w:val="en-US"/>
        </w:rPr>
        <w:t>.</w:t>
      </w:r>
      <w:r w:rsidR="00AF3488" w:rsidRPr="00CD56B9">
        <w:rPr>
          <w:lang w:val="en-US"/>
        </w:rPr>
        <w:t xml:space="preserve"> </w:t>
      </w:r>
      <w:r w:rsidR="0040775B" w:rsidRPr="00CD56B9">
        <w:rPr>
          <w:lang w:val="en-US"/>
        </w:rPr>
        <w:t>I</w:t>
      </w:r>
      <w:r w:rsidR="001552A5" w:rsidRPr="00CD56B9">
        <w:rPr>
          <w:lang w:val="en-US"/>
        </w:rPr>
        <w:t xml:space="preserve">mportant </w:t>
      </w:r>
      <w:r w:rsidR="003E6CD3" w:rsidRPr="00CD56B9">
        <w:rPr>
          <w:lang w:val="en-US"/>
        </w:rPr>
        <w:t xml:space="preserve">UNDP </w:t>
      </w:r>
      <w:r w:rsidR="00E8790B">
        <w:rPr>
          <w:lang w:val="en-US"/>
        </w:rPr>
        <w:t xml:space="preserve">support </w:t>
      </w:r>
      <w:r w:rsidR="00A04BE6" w:rsidRPr="00CD56B9">
        <w:rPr>
          <w:lang w:val="en-US"/>
        </w:rPr>
        <w:t xml:space="preserve">is also carried out </w:t>
      </w:r>
      <w:r w:rsidR="001552A5" w:rsidRPr="00CD56B9">
        <w:rPr>
          <w:lang w:val="en-US"/>
        </w:rPr>
        <w:t xml:space="preserve">on </w:t>
      </w:r>
      <w:r w:rsidR="003E6CD3" w:rsidRPr="00CD56B9">
        <w:rPr>
          <w:lang w:val="en-US"/>
        </w:rPr>
        <w:t>reforming the legal framework regulating the elections</w:t>
      </w:r>
      <w:r w:rsidR="000F31AE" w:rsidRPr="00CD56B9">
        <w:rPr>
          <w:lang w:val="en-US"/>
        </w:rPr>
        <w:t xml:space="preserve"> </w:t>
      </w:r>
      <w:r w:rsidR="003E6CD3" w:rsidRPr="00CD56B9">
        <w:rPr>
          <w:lang w:val="en-US"/>
        </w:rPr>
        <w:t>process</w:t>
      </w:r>
      <w:r w:rsidR="00CA1960">
        <w:rPr>
          <w:lang w:val="en-US"/>
        </w:rPr>
        <w:t xml:space="preserve"> and strengthen</w:t>
      </w:r>
      <w:r>
        <w:rPr>
          <w:lang w:val="en-US"/>
        </w:rPr>
        <w:t>ing of</w:t>
      </w:r>
      <w:r w:rsidR="00CA1960">
        <w:rPr>
          <w:lang w:val="en-US"/>
        </w:rPr>
        <w:t xml:space="preserve"> the role and independence of MEC</w:t>
      </w:r>
      <w:r w:rsidR="00E8790B">
        <w:rPr>
          <w:lang w:val="en-US"/>
        </w:rPr>
        <w:t xml:space="preserve"> and it is a. o. adamant that </w:t>
      </w:r>
      <w:r w:rsidR="00E8790B" w:rsidRPr="00E8790B">
        <w:rPr>
          <w:lang w:val="en-GB"/>
        </w:rPr>
        <w:t>appointment of Electoral Commissioners is insulated from possible influence of partisan and executive influence</w:t>
      </w:r>
      <w:r w:rsidR="00E8790B">
        <w:rPr>
          <w:lang w:val="en-GB"/>
        </w:rPr>
        <w:t xml:space="preserve"> and that MEC becomes empowered to </w:t>
      </w:r>
      <w:r w:rsidR="00E8790B" w:rsidRPr="00E8790B">
        <w:rPr>
          <w:lang w:val="en-GB"/>
        </w:rPr>
        <w:t xml:space="preserve">regulate </w:t>
      </w:r>
      <w:r w:rsidR="000304E8" w:rsidRPr="00E8790B">
        <w:rPr>
          <w:lang w:val="en-GB"/>
        </w:rPr>
        <w:t>finan</w:t>
      </w:r>
      <w:r w:rsidR="000304E8">
        <w:rPr>
          <w:lang w:val="en-GB"/>
        </w:rPr>
        <w:t xml:space="preserve">cing of election </w:t>
      </w:r>
      <w:r w:rsidR="00E8790B" w:rsidRPr="00E8790B">
        <w:rPr>
          <w:lang w:val="en-GB"/>
        </w:rPr>
        <w:t>campaign</w:t>
      </w:r>
      <w:r w:rsidR="000304E8">
        <w:rPr>
          <w:lang w:val="en-GB"/>
        </w:rPr>
        <w:t>s.</w:t>
      </w:r>
    </w:p>
    <w:p w14:paraId="3594E639" w14:textId="77777777" w:rsidR="00FC7CF7" w:rsidRPr="00CD56B9" w:rsidRDefault="00803205" w:rsidP="002B6044">
      <w:pPr>
        <w:rPr>
          <w:lang w:val="en-US"/>
        </w:rPr>
      </w:pPr>
      <w:r>
        <w:rPr>
          <w:lang w:val="en-US"/>
        </w:rPr>
        <w:t>T</w:t>
      </w:r>
      <w:r w:rsidR="00FC7CF7" w:rsidRPr="00CD56B9">
        <w:rPr>
          <w:lang w:val="en-US"/>
        </w:rPr>
        <w:t xml:space="preserve">he </w:t>
      </w:r>
      <w:r w:rsidR="00D9645A" w:rsidRPr="00CD56B9">
        <w:rPr>
          <w:lang w:val="en-US"/>
        </w:rPr>
        <w:t>status quo o</w:t>
      </w:r>
      <w:r w:rsidR="00FC7CF7" w:rsidRPr="00CD56B9">
        <w:rPr>
          <w:lang w:val="en-US"/>
        </w:rPr>
        <w:t xml:space="preserve">n </w:t>
      </w:r>
      <w:r w:rsidR="00D9645A" w:rsidRPr="00CD56B9">
        <w:rPr>
          <w:lang w:val="en-US"/>
        </w:rPr>
        <w:t xml:space="preserve">70% </w:t>
      </w:r>
      <w:r w:rsidR="00FC7CF7" w:rsidRPr="00CD56B9">
        <w:rPr>
          <w:lang w:val="en-US"/>
        </w:rPr>
        <w:t xml:space="preserve">voter turnout </w:t>
      </w:r>
      <w:r>
        <w:rPr>
          <w:lang w:val="en-US"/>
        </w:rPr>
        <w:t xml:space="preserve">is </w:t>
      </w:r>
      <w:r w:rsidR="00645BC0">
        <w:rPr>
          <w:lang w:val="en-US"/>
        </w:rPr>
        <w:t xml:space="preserve">not </w:t>
      </w:r>
      <w:r>
        <w:rPr>
          <w:lang w:val="en-US"/>
        </w:rPr>
        <w:t xml:space="preserve">necessary </w:t>
      </w:r>
      <w:r w:rsidR="00FC7CF7" w:rsidRPr="00CD56B9">
        <w:rPr>
          <w:lang w:val="en-US"/>
        </w:rPr>
        <w:t xml:space="preserve">a </w:t>
      </w:r>
      <w:r w:rsidR="00AF06AA" w:rsidRPr="00CD56B9">
        <w:rPr>
          <w:lang w:val="en-US"/>
        </w:rPr>
        <w:t xml:space="preserve">critical </w:t>
      </w:r>
      <w:r>
        <w:rPr>
          <w:lang w:val="en-US"/>
        </w:rPr>
        <w:t>development</w:t>
      </w:r>
      <w:r w:rsidR="005D70E1" w:rsidRPr="00CD56B9">
        <w:rPr>
          <w:lang w:val="en-US"/>
        </w:rPr>
        <w:t>,</w:t>
      </w:r>
      <w:r w:rsidR="00FC7CF7" w:rsidRPr="00CD56B9">
        <w:rPr>
          <w:lang w:val="en-US"/>
        </w:rPr>
        <w:t xml:space="preserve"> despite the high</w:t>
      </w:r>
      <w:r w:rsidR="00644EB4" w:rsidRPr="00CD56B9">
        <w:rPr>
          <w:lang w:val="en-US"/>
        </w:rPr>
        <w:t>er</w:t>
      </w:r>
      <w:r w:rsidR="00FC7CF7" w:rsidRPr="00CD56B9">
        <w:rPr>
          <w:lang w:val="en-US"/>
        </w:rPr>
        <w:t xml:space="preserve"> </w:t>
      </w:r>
      <w:r w:rsidR="00794D00">
        <w:rPr>
          <w:lang w:val="en-US"/>
        </w:rPr>
        <w:t xml:space="preserve">unmet </w:t>
      </w:r>
      <w:r w:rsidR="00FC7CF7" w:rsidRPr="00CD56B9">
        <w:rPr>
          <w:lang w:val="en-US"/>
        </w:rPr>
        <w:t>target in the</w:t>
      </w:r>
      <w:r w:rsidR="005D70E1" w:rsidRPr="00CD56B9">
        <w:rPr>
          <w:lang w:val="en-US"/>
        </w:rPr>
        <w:t xml:space="preserve"> UNDAF R</w:t>
      </w:r>
      <w:r w:rsidR="00794D00">
        <w:rPr>
          <w:lang w:val="en-US"/>
        </w:rPr>
        <w:t>R</w:t>
      </w:r>
      <w:r w:rsidR="005D70E1" w:rsidRPr="00CD56B9">
        <w:rPr>
          <w:lang w:val="en-US"/>
        </w:rPr>
        <w:t>F</w:t>
      </w:r>
      <w:r w:rsidR="00644EB4" w:rsidRPr="00CD56B9">
        <w:rPr>
          <w:lang w:val="en-US"/>
        </w:rPr>
        <w:t xml:space="preserve">. </w:t>
      </w:r>
      <w:r w:rsidR="00645BC0">
        <w:rPr>
          <w:lang w:val="en-US"/>
        </w:rPr>
        <w:t xml:space="preserve">Although voter turnouts have been higher in recent elections, the 70% maker </w:t>
      </w:r>
      <w:r w:rsidR="00104625">
        <w:rPr>
          <w:lang w:val="en-US"/>
        </w:rPr>
        <w:t xml:space="preserve">still </w:t>
      </w:r>
      <w:r w:rsidR="00645BC0">
        <w:rPr>
          <w:lang w:val="en-US"/>
        </w:rPr>
        <w:t>tallies with current average voter turnout</w:t>
      </w:r>
      <w:r w:rsidR="006E69C4">
        <w:rPr>
          <w:lang w:val="en-US"/>
        </w:rPr>
        <w:t>s</w:t>
      </w:r>
      <w:r w:rsidR="00645BC0">
        <w:rPr>
          <w:lang w:val="en-US"/>
        </w:rPr>
        <w:t xml:space="preserve"> in the AU and globally</w:t>
      </w:r>
      <w:r w:rsidR="00400118">
        <w:rPr>
          <w:rStyle w:val="Fodnotehenvisning"/>
          <w:lang w:val="en-US"/>
        </w:rPr>
        <w:footnoteReference w:id="9"/>
      </w:r>
      <w:r w:rsidR="00645BC0">
        <w:rPr>
          <w:lang w:val="en-US"/>
        </w:rPr>
        <w:t xml:space="preserve">. </w:t>
      </w:r>
      <w:r w:rsidR="002F4FFA">
        <w:rPr>
          <w:lang w:val="en-US"/>
        </w:rPr>
        <w:t xml:space="preserve">A more critical </w:t>
      </w:r>
      <w:r w:rsidR="00DA052A">
        <w:rPr>
          <w:lang w:val="en-US"/>
        </w:rPr>
        <w:t>issue</w:t>
      </w:r>
      <w:r w:rsidR="002F4FFA">
        <w:rPr>
          <w:lang w:val="en-US"/>
        </w:rPr>
        <w:t xml:space="preserve"> pertains </w:t>
      </w:r>
      <w:r w:rsidR="00DA052A">
        <w:rPr>
          <w:lang w:val="en-US"/>
        </w:rPr>
        <w:t xml:space="preserve">to </w:t>
      </w:r>
      <w:r w:rsidR="002F4FFA">
        <w:rPr>
          <w:lang w:val="en-US"/>
        </w:rPr>
        <w:t xml:space="preserve">the political empowerment of women, as the number of female candidates fielded by the political parties is low and the number of elected female MPs even declined during the last elections. </w:t>
      </w:r>
      <w:r w:rsidR="00104625">
        <w:rPr>
          <w:lang w:val="en-US"/>
        </w:rPr>
        <w:t>Voter turnout</w:t>
      </w:r>
      <w:r w:rsidR="00DD3FD9" w:rsidRPr="00CD56B9">
        <w:rPr>
          <w:lang w:val="en-US"/>
        </w:rPr>
        <w:t xml:space="preserve"> </w:t>
      </w:r>
      <w:r w:rsidR="001C69D6">
        <w:rPr>
          <w:lang w:val="en-US"/>
        </w:rPr>
        <w:t xml:space="preserve">in general </w:t>
      </w:r>
      <w:r w:rsidR="00DD3FD9" w:rsidRPr="00CD56B9">
        <w:rPr>
          <w:lang w:val="en-US"/>
        </w:rPr>
        <w:t xml:space="preserve">may </w:t>
      </w:r>
      <w:r w:rsidR="002F4FFA">
        <w:rPr>
          <w:lang w:val="en-US"/>
        </w:rPr>
        <w:t xml:space="preserve">also </w:t>
      </w:r>
      <w:r w:rsidR="002404F5">
        <w:rPr>
          <w:lang w:val="en-US"/>
        </w:rPr>
        <w:t>come down in coming elections</w:t>
      </w:r>
      <w:r w:rsidR="002F4FFA">
        <w:rPr>
          <w:lang w:val="en-US"/>
        </w:rPr>
        <w:t xml:space="preserve">. </w:t>
      </w:r>
      <w:r w:rsidR="00DD3FD9" w:rsidRPr="00CD56B9">
        <w:rPr>
          <w:lang w:val="en-US"/>
        </w:rPr>
        <w:t>V</w:t>
      </w:r>
      <w:r w:rsidR="00644EB4" w:rsidRPr="00CD56B9">
        <w:rPr>
          <w:lang w:val="en-US"/>
        </w:rPr>
        <w:t>oter registration is currently the only</w:t>
      </w:r>
      <w:r w:rsidR="00DA052A">
        <w:rPr>
          <w:lang w:val="en-US"/>
        </w:rPr>
        <w:t xml:space="preserve"> access to obtaining a personal </w:t>
      </w:r>
      <w:r w:rsidR="00B02E38">
        <w:rPr>
          <w:lang w:val="en-US"/>
        </w:rPr>
        <w:t xml:space="preserve">ID card, which might be a contributing factor for the voter turnout. Hence, </w:t>
      </w:r>
      <w:r w:rsidR="005D70E1" w:rsidRPr="00CD56B9">
        <w:rPr>
          <w:lang w:val="en-US"/>
        </w:rPr>
        <w:t>when a proper national ID card is introduced and citizens do not need to register as voter in order to obtain a means of personal identification</w:t>
      </w:r>
      <w:r w:rsidR="00DA052A">
        <w:rPr>
          <w:lang w:val="en-US"/>
        </w:rPr>
        <w:t>,</w:t>
      </w:r>
      <w:r w:rsidR="00DA052A" w:rsidRPr="00DA052A">
        <w:rPr>
          <w:lang w:val="en-US"/>
        </w:rPr>
        <w:t xml:space="preserve"> </w:t>
      </w:r>
      <w:r w:rsidR="00DA052A" w:rsidRPr="00CD56B9">
        <w:rPr>
          <w:lang w:val="en-US"/>
        </w:rPr>
        <w:t>the turnout may come</w:t>
      </w:r>
      <w:r w:rsidR="005D70E1" w:rsidRPr="00CD56B9">
        <w:rPr>
          <w:lang w:val="en-US"/>
        </w:rPr>
        <w:t xml:space="preserve">. </w:t>
      </w:r>
      <w:r w:rsidR="00644EB4" w:rsidRPr="00CD56B9">
        <w:rPr>
          <w:lang w:val="en-US"/>
        </w:rPr>
        <w:t xml:space="preserve">The indicator will therefore </w:t>
      </w:r>
      <w:r w:rsidR="00DD3FD9" w:rsidRPr="00CD56B9">
        <w:rPr>
          <w:lang w:val="en-US"/>
        </w:rPr>
        <w:t xml:space="preserve">remain </w:t>
      </w:r>
      <w:r w:rsidR="00644EB4" w:rsidRPr="00CD56B9">
        <w:rPr>
          <w:lang w:val="en-US"/>
        </w:rPr>
        <w:t>relevant in the next UNDAF cycle.</w:t>
      </w:r>
    </w:p>
    <w:p w14:paraId="2C50E5CF" w14:textId="3E0CD390" w:rsidR="00275520" w:rsidRPr="00275520" w:rsidRDefault="004F7A4C" w:rsidP="00275520">
      <w:pPr>
        <w:rPr>
          <w:rFonts w:cs="Arial"/>
          <w:b/>
          <w:lang w:val="en-US"/>
        </w:rPr>
      </w:pPr>
      <w:r w:rsidRPr="00CD56B9">
        <w:rPr>
          <w:lang w:val="en-US"/>
        </w:rPr>
        <w:t>Funding of future elections remain</w:t>
      </w:r>
      <w:r w:rsidR="00E4185C">
        <w:rPr>
          <w:lang w:val="en-US"/>
        </w:rPr>
        <w:t>s</w:t>
      </w:r>
      <w:r w:rsidRPr="00CD56B9">
        <w:rPr>
          <w:lang w:val="en-US"/>
        </w:rPr>
        <w:t xml:space="preserve"> a challenge for Malawi, and </w:t>
      </w:r>
      <w:r w:rsidR="003D4A9B" w:rsidRPr="00CD56B9">
        <w:rPr>
          <w:lang w:val="en-US"/>
        </w:rPr>
        <w:t>coming elections are unlikely to be sustainably executed without international support</w:t>
      </w:r>
      <w:r w:rsidR="00445847" w:rsidRPr="00CD56B9">
        <w:rPr>
          <w:lang w:val="en-US"/>
        </w:rPr>
        <w:t xml:space="preserve">. </w:t>
      </w:r>
      <w:r w:rsidR="00A0375A">
        <w:rPr>
          <w:lang w:val="en-US"/>
        </w:rPr>
        <w:t>O</w:t>
      </w:r>
      <w:r w:rsidR="006E69C4" w:rsidRPr="006E69C4">
        <w:rPr>
          <w:lang w:val="en-US"/>
        </w:rPr>
        <w:t xml:space="preserve">perational problems </w:t>
      </w:r>
      <w:r w:rsidR="00A0375A">
        <w:rPr>
          <w:lang w:val="en-US"/>
        </w:rPr>
        <w:t xml:space="preserve">in </w:t>
      </w:r>
      <w:r w:rsidR="00986B34">
        <w:rPr>
          <w:lang w:val="en-US"/>
        </w:rPr>
        <w:t xml:space="preserve">preparing and </w:t>
      </w:r>
      <w:r w:rsidR="00A0375A">
        <w:rPr>
          <w:lang w:val="en-US"/>
        </w:rPr>
        <w:t xml:space="preserve">executing the election process </w:t>
      </w:r>
      <w:r w:rsidR="006E69C4" w:rsidRPr="006E69C4">
        <w:rPr>
          <w:lang w:val="en-US"/>
        </w:rPr>
        <w:t xml:space="preserve">are </w:t>
      </w:r>
      <w:r w:rsidR="00A0375A">
        <w:rPr>
          <w:lang w:val="en-US"/>
        </w:rPr>
        <w:t xml:space="preserve">closely </w:t>
      </w:r>
      <w:r w:rsidR="006E69C4" w:rsidRPr="006E69C4">
        <w:rPr>
          <w:lang w:val="en-US"/>
        </w:rPr>
        <w:t>linked to inadequate government funding</w:t>
      </w:r>
      <w:r w:rsidR="00A0375A">
        <w:rPr>
          <w:lang w:val="en-US"/>
        </w:rPr>
        <w:t xml:space="preserve"> well below </w:t>
      </w:r>
      <w:r w:rsidR="00A0375A">
        <w:rPr>
          <w:lang w:val="en-US"/>
        </w:rPr>
        <w:lastRenderedPageBreak/>
        <w:t xml:space="preserve">the </w:t>
      </w:r>
      <w:r w:rsidR="004F5396">
        <w:rPr>
          <w:lang w:val="en-US"/>
        </w:rPr>
        <w:t>commitments</w:t>
      </w:r>
      <w:r w:rsidR="00A0375A">
        <w:rPr>
          <w:lang w:val="en-US"/>
        </w:rPr>
        <w:t xml:space="preserve"> made </w:t>
      </w:r>
      <w:r w:rsidR="004F5396">
        <w:rPr>
          <w:lang w:val="en-US"/>
        </w:rPr>
        <w:t>prior to the 2014 elections</w:t>
      </w:r>
      <w:r w:rsidR="006E69C4" w:rsidRPr="006E69C4">
        <w:rPr>
          <w:lang w:val="en-US"/>
        </w:rPr>
        <w:t>, as the government failed to meet its budget obligations towards MEC.</w:t>
      </w:r>
      <w:r w:rsidR="004F5396">
        <w:rPr>
          <w:lang w:val="en-US"/>
        </w:rPr>
        <w:t xml:space="preserve"> </w:t>
      </w:r>
      <w:r w:rsidR="00705D9B">
        <w:rPr>
          <w:rStyle w:val="Fodnotehenvisning"/>
          <w:lang w:val="en-US"/>
        </w:rPr>
        <w:footnoteReference w:id="10"/>
      </w:r>
      <w:r w:rsidR="0060486B">
        <w:rPr>
          <w:lang w:val="en-US"/>
        </w:rPr>
        <w:t xml:space="preserve"> </w:t>
      </w:r>
      <w:r w:rsidR="00986B34">
        <w:rPr>
          <w:lang w:val="en-US"/>
        </w:rPr>
        <w:t>F</w:t>
      </w:r>
      <w:r w:rsidR="00B02E38" w:rsidRPr="00986B34">
        <w:rPr>
          <w:rFonts w:cs="Arial"/>
          <w:lang w:val="en-GB"/>
        </w:rPr>
        <w:t xml:space="preserve">unding for electoral activities, especially for general elections, is often delayed and inadequate to enable timely procurements or implementation of the electoral calendar. A recurrent observation is that while the MEC has adopted an election cycle approach to the management of elections, government and donors </w:t>
      </w:r>
      <w:r w:rsidR="0060486B" w:rsidRPr="00986B34">
        <w:rPr>
          <w:rFonts w:cs="Arial"/>
          <w:lang w:val="en-GB"/>
        </w:rPr>
        <w:t>as</w:t>
      </w:r>
      <w:r w:rsidR="00B02E38" w:rsidRPr="00986B34">
        <w:rPr>
          <w:rFonts w:cs="Arial"/>
          <w:lang w:val="en-GB"/>
        </w:rPr>
        <w:t xml:space="preserve"> far as their funding practices are </w:t>
      </w:r>
      <w:r w:rsidR="00AF27E4">
        <w:rPr>
          <w:rFonts w:cs="Arial"/>
          <w:lang w:val="en-GB"/>
        </w:rPr>
        <w:t>concerned;</w:t>
      </w:r>
      <w:r w:rsidR="00B02E38" w:rsidRPr="00986B34">
        <w:rPr>
          <w:rFonts w:cs="Arial"/>
          <w:lang w:val="en-GB"/>
        </w:rPr>
        <w:t xml:space="preserve"> tend to treat elections as an event that will take place every fifth year</w:t>
      </w:r>
      <w:r w:rsidR="00B02E38" w:rsidRPr="006B4DA4">
        <w:rPr>
          <w:rStyle w:val="Fodnotehenvisning"/>
          <w:rFonts w:cs="Arial"/>
        </w:rPr>
        <w:footnoteReference w:id="11"/>
      </w:r>
      <w:r w:rsidR="00B02E38" w:rsidRPr="00986B34">
        <w:rPr>
          <w:rFonts w:cs="Arial"/>
          <w:lang w:val="en-GB"/>
        </w:rPr>
        <w:t xml:space="preserve">. Consequently, between elections not enough money is </w:t>
      </w:r>
      <w:r w:rsidR="00F312A7">
        <w:rPr>
          <w:rFonts w:cs="Arial"/>
          <w:lang w:val="en-GB"/>
        </w:rPr>
        <w:t>allocated</w:t>
      </w:r>
      <w:r w:rsidR="00B02E38" w:rsidRPr="00986B34">
        <w:rPr>
          <w:rFonts w:cs="Arial"/>
          <w:lang w:val="en-GB"/>
        </w:rPr>
        <w:t xml:space="preserve"> to MEC </w:t>
      </w:r>
      <w:r w:rsidR="00F312A7">
        <w:rPr>
          <w:rFonts w:cs="Arial"/>
          <w:lang w:val="en-GB"/>
        </w:rPr>
        <w:t xml:space="preserve">for its </w:t>
      </w:r>
      <w:r w:rsidR="00F025E2" w:rsidRPr="00986B34">
        <w:rPr>
          <w:rFonts w:cs="Arial"/>
          <w:lang w:val="en-GB"/>
        </w:rPr>
        <w:t>groundwork</w:t>
      </w:r>
      <w:r w:rsidR="00B02E38" w:rsidRPr="00986B34">
        <w:rPr>
          <w:rFonts w:cs="Arial"/>
          <w:lang w:val="en-GB"/>
        </w:rPr>
        <w:t xml:space="preserve"> for subsequent elections. Resources for electoral activities begin to flow in the year before the election</w:t>
      </w:r>
      <w:r w:rsidR="00AF27E4">
        <w:rPr>
          <w:rFonts w:cs="Arial"/>
          <w:lang w:val="en-GB"/>
        </w:rPr>
        <w:t xml:space="preserve">, leaving </w:t>
      </w:r>
      <w:r w:rsidR="00B02E38" w:rsidRPr="00F025E2">
        <w:rPr>
          <w:rFonts w:cs="Arial"/>
          <w:lang w:val="en-GB"/>
        </w:rPr>
        <w:t>very little time to do thorough preparations</w:t>
      </w:r>
      <w:r w:rsidR="00B02E38" w:rsidRPr="006B4DA4">
        <w:rPr>
          <w:rStyle w:val="Fodnotehenvisning"/>
          <w:rFonts w:cs="Arial"/>
        </w:rPr>
        <w:footnoteReference w:id="12"/>
      </w:r>
      <w:r w:rsidR="00B02E38" w:rsidRPr="00F025E2">
        <w:rPr>
          <w:rFonts w:cs="Arial"/>
          <w:lang w:val="en-GB"/>
        </w:rPr>
        <w:t>.</w:t>
      </w:r>
      <w:r w:rsidR="00F025E2" w:rsidRPr="00F025E2">
        <w:rPr>
          <w:rFonts w:cs="Arial"/>
          <w:lang w:val="en-GB"/>
        </w:rPr>
        <w:t xml:space="preserve"> </w:t>
      </w:r>
      <w:r w:rsidR="0066152B">
        <w:rPr>
          <w:rFonts w:cs="Arial"/>
          <w:lang w:val="en-GB"/>
        </w:rPr>
        <w:t>P</w:t>
      </w:r>
      <w:r w:rsidR="00F025E2">
        <w:rPr>
          <w:rFonts w:cs="Arial"/>
          <w:lang w:val="en-GB"/>
        </w:rPr>
        <w:t xml:space="preserve">ersisting issues pertaining to government funding commitments </w:t>
      </w:r>
      <w:r w:rsidR="003D175D">
        <w:rPr>
          <w:rFonts w:cs="Arial"/>
          <w:lang w:val="en-GB"/>
        </w:rPr>
        <w:t xml:space="preserve">for </w:t>
      </w:r>
      <w:r w:rsidR="00F025E2">
        <w:rPr>
          <w:rFonts w:cs="Arial"/>
          <w:lang w:val="en-GB"/>
        </w:rPr>
        <w:t>election</w:t>
      </w:r>
      <w:r w:rsidR="003D175D">
        <w:rPr>
          <w:rFonts w:cs="Arial"/>
          <w:lang w:val="en-GB"/>
        </w:rPr>
        <w:t xml:space="preserve">s management </w:t>
      </w:r>
      <w:r w:rsidR="00F312A7">
        <w:rPr>
          <w:rFonts w:cs="Arial"/>
          <w:lang w:val="en-GB"/>
        </w:rPr>
        <w:t xml:space="preserve">need </w:t>
      </w:r>
      <w:r w:rsidR="003D175D">
        <w:rPr>
          <w:rFonts w:cs="Arial"/>
          <w:lang w:val="en-GB"/>
        </w:rPr>
        <w:t xml:space="preserve">to be fundamentally addressed in discussions between the government and the international donor community. </w:t>
      </w:r>
      <w:r w:rsidR="00275520">
        <w:rPr>
          <w:rFonts w:cs="Arial"/>
          <w:lang w:val="en-GB"/>
        </w:rPr>
        <w:t>In extension of its</w:t>
      </w:r>
      <w:r w:rsidR="003D175D">
        <w:rPr>
          <w:rFonts w:cs="Arial"/>
          <w:lang w:val="en-GB"/>
        </w:rPr>
        <w:t xml:space="preserve"> mandate and </w:t>
      </w:r>
      <w:r w:rsidR="0066152B">
        <w:rPr>
          <w:rFonts w:cs="Arial"/>
          <w:lang w:val="en-GB"/>
        </w:rPr>
        <w:t>strategic</w:t>
      </w:r>
      <w:r w:rsidR="003D175D">
        <w:rPr>
          <w:rFonts w:cs="Arial"/>
          <w:lang w:val="en-GB"/>
        </w:rPr>
        <w:t xml:space="preserve"> position as lead donor in democratic elections</w:t>
      </w:r>
      <w:r w:rsidR="00275520">
        <w:rPr>
          <w:rFonts w:cs="Arial"/>
          <w:lang w:val="en-GB"/>
        </w:rPr>
        <w:t xml:space="preserve">, UNDP should advocate for more </w:t>
      </w:r>
      <w:r w:rsidR="004D71E5" w:rsidRPr="004D71E5">
        <w:rPr>
          <w:rFonts w:cs="Arial"/>
          <w:lang w:val="en-GB"/>
        </w:rPr>
        <w:t xml:space="preserve">transparent, accountable and </w:t>
      </w:r>
      <w:r w:rsidR="00275520">
        <w:rPr>
          <w:rFonts w:cs="Arial"/>
          <w:lang w:val="en-GB"/>
        </w:rPr>
        <w:t xml:space="preserve">sustainable </w:t>
      </w:r>
      <w:r w:rsidR="00DD7306">
        <w:rPr>
          <w:rFonts w:cs="Arial"/>
          <w:lang w:val="en-GB"/>
        </w:rPr>
        <w:t>government funding</w:t>
      </w:r>
      <w:r w:rsidR="00275520">
        <w:rPr>
          <w:rFonts w:cs="Arial"/>
          <w:lang w:val="en-GB"/>
        </w:rPr>
        <w:t xml:space="preserve"> of MEC</w:t>
      </w:r>
      <w:r w:rsidR="00DD7306">
        <w:rPr>
          <w:rFonts w:cs="Arial"/>
          <w:lang w:val="en-GB"/>
        </w:rPr>
        <w:t>, which meets the commitments agreed with the DPs</w:t>
      </w:r>
      <w:r w:rsidR="0066152B">
        <w:rPr>
          <w:rFonts w:cs="Arial"/>
          <w:lang w:val="en-GB"/>
        </w:rPr>
        <w:t xml:space="preserve"> and honours the election management approach with </w:t>
      </w:r>
      <w:r w:rsidR="005B1A30">
        <w:rPr>
          <w:rFonts w:cs="Arial"/>
          <w:lang w:val="en-GB"/>
        </w:rPr>
        <w:t>continuous funding of MEC</w:t>
      </w:r>
      <w:r w:rsidR="00DD7306">
        <w:rPr>
          <w:rFonts w:cs="Arial"/>
          <w:lang w:val="en-GB"/>
        </w:rPr>
        <w:t>.</w:t>
      </w:r>
      <w:r w:rsidR="00275520">
        <w:rPr>
          <w:rFonts w:cs="Arial"/>
          <w:lang w:val="en-GB"/>
        </w:rPr>
        <w:t xml:space="preserve"> </w:t>
      </w:r>
      <w:r w:rsidR="00E27A70" w:rsidRPr="00C77F71">
        <w:rPr>
          <w:rFonts w:cs="Arial"/>
          <w:i/>
          <w:lang w:val="en-US"/>
        </w:rPr>
        <w:t>(See Recommendation #</w:t>
      </w:r>
      <w:r w:rsidR="00C77F71">
        <w:rPr>
          <w:rFonts w:cs="Arial"/>
          <w:i/>
          <w:lang w:val="en-US"/>
        </w:rPr>
        <w:t xml:space="preserve"> 2</w:t>
      </w:r>
      <w:r w:rsidR="00E27A70" w:rsidRPr="00C77F71">
        <w:rPr>
          <w:rFonts w:cs="Arial"/>
          <w:i/>
          <w:lang w:val="en-US"/>
        </w:rPr>
        <w:t>)</w:t>
      </w:r>
      <w:r w:rsidR="00275520" w:rsidRPr="00275520">
        <w:rPr>
          <w:rFonts w:cs="Arial"/>
          <w:b/>
          <w:lang w:val="en-US"/>
        </w:rPr>
        <w:t xml:space="preserve"> </w:t>
      </w:r>
    </w:p>
    <w:p w14:paraId="368D0C84" w14:textId="77777777" w:rsidR="006F50CB" w:rsidRDefault="0060486B" w:rsidP="009A7E84">
      <w:pPr>
        <w:spacing w:after="0"/>
        <w:rPr>
          <w:lang w:val="en-US"/>
        </w:rPr>
      </w:pPr>
      <w:r>
        <w:rPr>
          <w:lang w:val="en-US"/>
        </w:rPr>
        <w:t xml:space="preserve">There are also issues </w:t>
      </w:r>
      <w:r w:rsidR="00CB5D0F">
        <w:rPr>
          <w:lang w:val="en-US"/>
        </w:rPr>
        <w:t xml:space="preserve">with regard to the </w:t>
      </w:r>
      <w:r>
        <w:rPr>
          <w:lang w:val="en-US"/>
        </w:rPr>
        <w:t xml:space="preserve">financial management capacity </w:t>
      </w:r>
      <w:r w:rsidR="00FB3C75">
        <w:rPr>
          <w:lang w:val="en-US"/>
        </w:rPr>
        <w:t xml:space="preserve">within MEC, which still needs to be </w:t>
      </w:r>
      <w:r w:rsidR="00DC781B">
        <w:rPr>
          <w:lang w:val="en-US"/>
        </w:rPr>
        <w:t xml:space="preserve">mutually </w:t>
      </w:r>
      <w:r w:rsidR="00CB5D0F">
        <w:rPr>
          <w:lang w:val="en-US"/>
        </w:rPr>
        <w:t>discussed</w:t>
      </w:r>
      <w:r w:rsidR="00FB3C75">
        <w:rPr>
          <w:lang w:val="en-US"/>
        </w:rPr>
        <w:t xml:space="preserve">. </w:t>
      </w:r>
      <w:r w:rsidR="001463AA">
        <w:rPr>
          <w:lang w:val="en-US"/>
        </w:rPr>
        <w:t xml:space="preserve">The </w:t>
      </w:r>
      <w:r w:rsidR="001463AA" w:rsidRPr="001463AA">
        <w:rPr>
          <w:lang w:val="en-US"/>
        </w:rPr>
        <w:t xml:space="preserve">Internal Audit Unit of Ministry of Finance report covering </w:t>
      </w:r>
      <w:r w:rsidR="001463AA">
        <w:rPr>
          <w:lang w:val="en-US"/>
        </w:rPr>
        <w:t xml:space="preserve">the </w:t>
      </w:r>
      <w:r w:rsidR="001463AA" w:rsidRPr="001463AA">
        <w:rPr>
          <w:lang w:val="en-US"/>
        </w:rPr>
        <w:t>period from July 2012 to December</w:t>
      </w:r>
      <w:r w:rsidR="001463AA">
        <w:rPr>
          <w:lang w:val="en-US"/>
        </w:rPr>
        <w:t xml:space="preserve"> 2014, </w:t>
      </w:r>
      <w:r w:rsidR="001463AA" w:rsidRPr="001463AA">
        <w:rPr>
          <w:lang w:val="en-US"/>
        </w:rPr>
        <w:t xml:space="preserve">reported </w:t>
      </w:r>
      <w:r w:rsidR="00CB5D0F" w:rsidRPr="001463AA">
        <w:rPr>
          <w:lang w:val="en-US"/>
        </w:rPr>
        <w:t xml:space="preserve">financial mismanagement </w:t>
      </w:r>
      <w:r w:rsidR="00CB5D0F">
        <w:rPr>
          <w:lang w:val="en-US"/>
        </w:rPr>
        <w:t xml:space="preserve">and </w:t>
      </w:r>
      <w:r w:rsidR="001463AA" w:rsidRPr="001463AA">
        <w:rPr>
          <w:lang w:val="en-US"/>
        </w:rPr>
        <w:t>poor financial management controls</w:t>
      </w:r>
      <w:r w:rsidR="00CB5D0F">
        <w:rPr>
          <w:lang w:val="en-US"/>
        </w:rPr>
        <w:t xml:space="preserve"> in MEC</w:t>
      </w:r>
      <w:r w:rsidR="001463AA" w:rsidRPr="001463AA">
        <w:rPr>
          <w:lang w:val="en-US"/>
        </w:rPr>
        <w:t xml:space="preserve">, </w:t>
      </w:r>
      <w:r w:rsidR="00BB33F6">
        <w:rPr>
          <w:lang w:val="en-US"/>
        </w:rPr>
        <w:t>(</w:t>
      </w:r>
      <w:r w:rsidR="001463AA" w:rsidRPr="001463AA">
        <w:rPr>
          <w:lang w:val="en-US"/>
        </w:rPr>
        <w:t>procure</w:t>
      </w:r>
      <w:r w:rsidR="00BB33F6">
        <w:rPr>
          <w:lang w:val="en-US"/>
        </w:rPr>
        <w:t xml:space="preserve">ment and expenditure </w:t>
      </w:r>
      <w:r w:rsidR="001463AA">
        <w:rPr>
          <w:lang w:val="en-US"/>
        </w:rPr>
        <w:t>outside</w:t>
      </w:r>
      <w:r w:rsidR="001463AA" w:rsidRPr="001463AA">
        <w:rPr>
          <w:lang w:val="en-US"/>
        </w:rPr>
        <w:t xml:space="preserve"> the budget, </w:t>
      </w:r>
      <w:r w:rsidR="00BB33F6">
        <w:rPr>
          <w:lang w:val="en-US"/>
        </w:rPr>
        <w:t xml:space="preserve">non-procedural staff </w:t>
      </w:r>
      <w:r w:rsidR="00B853AB">
        <w:rPr>
          <w:lang w:val="en-US"/>
        </w:rPr>
        <w:t xml:space="preserve">recruitment, </w:t>
      </w:r>
      <w:r w:rsidR="001463AA" w:rsidRPr="001463AA">
        <w:rPr>
          <w:lang w:val="en-US"/>
        </w:rPr>
        <w:t xml:space="preserve">staff without following procedures, some </w:t>
      </w:r>
      <w:r w:rsidR="004D2A29">
        <w:rPr>
          <w:lang w:val="en-US"/>
        </w:rPr>
        <w:t xml:space="preserve">issues of </w:t>
      </w:r>
      <w:r w:rsidR="001463AA" w:rsidRPr="001463AA">
        <w:rPr>
          <w:lang w:val="en-US"/>
        </w:rPr>
        <w:t>commissioners and staff pocketed allowances for external trips they did not travel</w:t>
      </w:r>
      <w:r w:rsidR="004D2A29">
        <w:rPr>
          <w:lang w:val="en-US"/>
        </w:rPr>
        <w:t xml:space="preserve"> on</w:t>
      </w:r>
      <w:r w:rsidR="001463AA" w:rsidRPr="001463AA">
        <w:rPr>
          <w:lang w:val="en-US"/>
        </w:rPr>
        <w:t>, irregular purchase and hiring of vehicles</w:t>
      </w:r>
      <w:r w:rsidR="00FB3C75">
        <w:rPr>
          <w:lang w:val="en-US"/>
        </w:rPr>
        <w:t xml:space="preserve"> etc</w:t>
      </w:r>
      <w:r w:rsidR="00CB5D0F">
        <w:rPr>
          <w:lang w:val="en-US"/>
        </w:rPr>
        <w:t>.</w:t>
      </w:r>
      <w:r w:rsidR="00FB3C75">
        <w:rPr>
          <w:lang w:val="en-US"/>
        </w:rPr>
        <w:t>)</w:t>
      </w:r>
      <w:r w:rsidR="00CB5D0F">
        <w:rPr>
          <w:lang w:val="en-US"/>
        </w:rPr>
        <w:t xml:space="preserve">, </w:t>
      </w:r>
      <w:r w:rsidR="00AF27E4">
        <w:rPr>
          <w:lang w:val="en-US"/>
        </w:rPr>
        <w:t>although</w:t>
      </w:r>
      <w:r w:rsidR="00CB5D0F">
        <w:rPr>
          <w:lang w:val="en-US"/>
        </w:rPr>
        <w:t xml:space="preserve"> these allegations are </w:t>
      </w:r>
      <w:r w:rsidR="00D65246">
        <w:rPr>
          <w:lang w:val="en-US"/>
        </w:rPr>
        <w:t>disputed</w:t>
      </w:r>
      <w:r w:rsidR="00CB5D0F">
        <w:rPr>
          <w:lang w:val="en-US"/>
        </w:rPr>
        <w:t xml:space="preserve"> by MEC.</w:t>
      </w:r>
      <w:r w:rsidR="00CB5D0F" w:rsidRPr="001463AA">
        <w:rPr>
          <w:lang w:val="en-US"/>
        </w:rPr>
        <w:t xml:space="preserve"> </w:t>
      </w:r>
    </w:p>
    <w:p w14:paraId="5C260762" w14:textId="77777777" w:rsidR="006F50CB" w:rsidRDefault="006F50CB" w:rsidP="009A7E84">
      <w:pPr>
        <w:spacing w:after="0"/>
        <w:rPr>
          <w:lang w:val="en-US"/>
        </w:rPr>
      </w:pPr>
    </w:p>
    <w:p w14:paraId="39F615DD" w14:textId="77777777" w:rsidR="00E4185C" w:rsidRDefault="00FC7CF7" w:rsidP="009A7E84">
      <w:pPr>
        <w:spacing w:after="0"/>
        <w:rPr>
          <w:lang w:val="en-US"/>
        </w:rPr>
      </w:pPr>
      <w:r w:rsidRPr="00CD56B9">
        <w:rPr>
          <w:lang w:val="en-US"/>
        </w:rPr>
        <w:t xml:space="preserve">Another </w:t>
      </w:r>
      <w:r w:rsidR="003D4A9B" w:rsidRPr="00CD56B9">
        <w:rPr>
          <w:lang w:val="en-US"/>
        </w:rPr>
        <w:t>concern is the</w:t>
      </w:r>
      <w:r w:rsidRPr="00CD56B9">
        <w:rPr>
          <w:lang w:val="en-US"/>
        </w:rPr>
        <w:t xml:space="preserve"> election management approach, with </w:t>
      </w:r>
      <w:r w:rsidR="005C53C7">
        <w:rPr>
          <w:lang w:val="en-US"/>
        </w:rPr>
        <w:t xml:space="preserve">also </w:t>
      </w:r>
      <w:r w:rsidRPr="00CD56B9">
        <w:rPr>
          <w:lang w:val="en-US"/>
        </w:rPr>
        <w:t xml:space="preserve">needs to </w:t>
      </w:r>
      <w:r w:rsidR="00595265" w:rsidRPr="00CD56B9">
        <w:rPr>
          <w:lang w:val="en-US"/>
        </w:rPr>
        <w:t xml:space="preserve">be extended </w:t>
      </w:r>
      <w:r w:rsidR="005D70E1" w:rsidRPr="00CD56B9">
        <w:rPr>
          <w:lang w:val="en-US"/>
        </w:rPr>
        <w:t xml:space="preserve">beyond MEC </w:t>
      </w:r>
      <w:r w:rsidR="00595265" w:rsidRPr="00CD56B9">
        <w:rPr>
          <w:lang w:val="en-US"/>
        </w:rPr>
        <w:t xml:space="preserve">to stakeholders </w:t>
      </w:r>
      <w:r w:rsidR="00644EB4" w:rsidRPr="00CD56B9">
        <w:rPr>
          <w:lang w:val="en-US"/>
        </w:rPr>
        <w:t xml:space="preserve">among </w:t>
      </w:r>
      <w:r w:rsidR="00595265" w:rsidRPr="00CD56B9">
        <w:rPr>
          <w:lang w:val="en-US"/>
        </w:rPr>
        <w:t>the political parties, in civic education and in targeted gender equality support. For now,</w:t>
      </w:r>
      <w:r w:rsidR="00644EB4" w:rsidRPr="00CD56B9">
        <w:rPr>
          <w:lang w:val="en-US"/>
        </w:rPr>
        <w:t xml:space="preserve"> most of </w:t>
      </w:r>
      <w:r w:rsidR="00595265" w:rsidRPr="00CD56B9">
        <w:rPr>
          <w:lang w:val="en-US"/>
        </w:rPr>
        <w:t>these areas only receive support up to the elections and not on a continuous basis</w:t>
      </w:r>
      <w:r w:rsidR="002F0A73" w:rsidRPr="00CD56B9">
        <w:rPr>
          <w:lang w:val="en-US"/>
        </w:rPr>
        <w:t xml:space="preserve"> </w:t>
      </w:r>
      <w:r w:rsidR="00C76C1D" w:rsidRPr="00CD56B9">
        <w:rPr>
          <w:lang w:val="en-US"/>
        </w:rPr>
        <w:t xml:space="preserve">and there is need for a comprehensive plan and civic education that </w:t>
      </w:r>
      <w:r w:rsidR="005D70E1" w:rsidRPr="00CD56B9">
        <w:rPr>
          <w:lang w:val="en-US"/>
        </w:rPr>
        <w:t xml:space="preserve">also </w:t>
      </w:r>
      <w:r w:rsidR="00C76C1D" w:rsidRPr="00CD56B9">
        <w:rPr>
          <w:lang w:val="en-US"/>
        </w:rPr>
        <w:t xml:space="preserve">promotes continuity in gender mainstreaming in all aspects relating to </w:t>
      </w:r>
      <w:r w:rsidR="00AC7AF9" w:rsidRPr="00CD56B9">
        <w:rPr>
          <w:lang w:val="en-US"/>
        </w:rPr>
        <w:t xml:space="preserve">the </w:t>
      </w:r>
      <w:r w:rsidR="00C76C1D" w:rsidRPr="00CD56B9">
        <w:rPr>
          <w:lang w:val="en-US"/>
        </w:rPr>
        <w:t xml:space="preserve">election cycle and processes. </w:t>
      </w:r>
      <w:r w:rsidR="00595265" w:rsidRPr="00CD56B9">
        <w:rPr>
          <w:lang w:val="en-US"/>
        </w:rPr>
        <w:t xml:space="preserve">The poor performance of female MP candidates well below the 50/50 campaign target </w:t>
      </w:r>
      <w:r w:rsidR="00C76C1D" w:rsidRPr="00CD56B9">
        <w:rPr>
          <w:lang w:val="en-US"/>
        </w:rPr>
        <w:t xml:space="preserve">and the </w:t>
      </w:r>
      <w:r w:rsidR="005C53C7">
        <w:rPr>
          <w:lang w:val="en-US"/>
        </w:rPr>
        <w:t xml:space="preserve">overall </w:t>
      </w:r>
      <w:r w:rsidR="00C76C1D" w:rsidRPr="00CD56B9">
        <w:rPr>
          <w:lang w:val="en-US"/>
        </w:rPr>
        <w:t xml:space="preserve">decline in elected female MPs sends a strong message </w:t>
      </w:r>
      <w:r w:rsidR="00AC7AF9" w:rsidRPr="00CD56B9">
        <w:rPr>
          <w:lang w:val="en-US"/>
        </w:rPr>
        <w:t xml:space="preserve">for a more </w:t>
      </w:r>
      <w:r w:rsidR="00C76C1D" w:rsidRPr="00CD56B9">
        <w:rPr>
          <w:lang w:val="en-US"/>
        </w:rPr>
        <w:t xml:space="preserve">sustained effort to promote </w:t>
      </w:r>
      <w:r w:rsidR="00644EB4" w:rsidRPr="00CD56B9">
        <w:rPr>
          <w:lang w:val="en-US"/>
        </w:rPr>
        <w:t xml:space="preserve">political empowerment of women. </w:t>
      </w:r>
    </w:p>
    <w:p w14:paraId="30B1A244" w14:textId="77777777" w:rsidR="00F025E2" w:rsidRDefault="00F025E2" w:rsidP="009A7E84">
      <w:pPr>
        <w:spacing w:after="0"/>
        <w:rPr>
          <w:lang w:val="en-US"/>
        </w:rPr>
      </w:pPr>
    </w:p>
    <w:p w14:paraId="29AAE285" w14:textId="77777777" w:rsidR="009A7E84" w:rsidRPr="009A7E84" w:rsidRDefault="00AC7AF9" w:rsidP="009A7E84">
      <w:pPr>
        <w:spacing w:after="0"/>
        <w:rPr>
          <w:b/>
          <w:lang w:val="en-US"/>
        </w:rPr>
      </w:pPr>
      <w:r w:rsidRPr="00CD56B9">
        <w:rPr>
          <w:lang w:val="en-US"/>
        </w:rPr>
        <w:t>C</w:t>
      </w:r>
      <w:r w:rsidR="003073DE" w:rsidRPr="00CD56B9">
        <w:rPr>
          <w:lang w:val="en-US"/>
        </w:rPr>
        <w:t xml:space="preserve">ulturally rooted resistance against women in politics needs to be addressed jointly by all national stakeholders, including the political parties, the government and civil society, </w:t>
      </w:r>
      <w:r w:rsidR="00794D00">
        <w:rPr>
          <w:lang w:val="en-US"/>
        </w:rPr>
        <w:t>and</w:t>
      </w:r>
      <w:r w:rsidR="003073DE" w:rsidRPr="00CD56B9">
        <w:rPr>
          <w:lang w:val="en-US"/>
        </w:rPr>
        <w:t xml:space="preserve"> long-term transformation will </w:t>
      </w:r>
      <w:r w:rsidR="00794D00">
        <w:rPr>
          <w:lang w:val="en-US"/>
        </w:rPr>
        <w:t>only</w:t>
      </w:r>
      <w:r w:rsidR="003073DE" w:rsidRPr="00CD56B9">
        <w:rPr>
          <w:lang w:val="en-US"/>
        </w:rPr>
        <w:t xml:space="preserve"> happen with the assistance of the DPs</w:t>
      </w:r>
      <w:r w:rsidR="00EA5FDA" w:rsidRPr="00CD56B9">
        <w:rPr>
          <w:lang w:val="en-US"/>
        </w:rPr>
        <w:t xml:space="preserve">. </w:t>
      </w:r>
      <w:r w:rsidR="005D70E1" w:rsidRPr="00CD56B9">
        <w:rPr>
          <w:lang w:val="en-US"/>
        </w:rPr>
        <w:t xml:space="preserve">UNDP and UN Women should jointly </w:t>
      </w:r>
      <w:r w:rsidR="004D7B36" w:rsidRPr="00CD56B9">
        <w:rPr>
          <w:lang w:val="en-US"/>
        </w:rPr>
        <w:t>work on integrating</w:t>
      </w:r>
      <w:r w:rsidR="005D70E1" w:rsidRPr="00CD56B9">
        <w:rPr>
          <w:lang w:val="en-US"/>
        </w:rPr>
        <w:t xml:space="preserve"> the gender aspect more consistently in the </w:t>
      </w:r>
      <w:r w:rsidR="003073DE" w:rsidRPr="00CD56B9">
        <w:rPr>
          <w:lang w:val="en-US"/>
        </w:rPr>
        <w:t xml:space="preserve">next cycle </w:t>
      </w:r>
      <w:r w:rsidR="005D70E1" w:rsidRPr="00CD56B9">
        <w:rPr>
          <w:lang w:val="en-US"/>
        </w:rPr>
        <w:t xml:space="preserve">of support to </w:t>
      </w:r>
      <w:r w:rsidR="00E5541A" w:rsidRPr="00CD56B9">
        <w:rPr>
          <w:lang w:val="en-US"/>
        </w:rPr>
        <w:t>democratic elections</w:t>
      </w:r>
      <w:r w:rsidR="009D30CC" w:rsidRPr="00CD56B9">
        <w:rPr>
          <w:lang w:val="en-US"/>
        </w:rPr>
        <w:t>.</w:t>
      </w:r>
      <w:r w:rsidR="00A16EB4" w:rsidRPr="00CD56B9">
        <w:rPr>
          <w:lang w:val="en-US"/>
        </w:rPr>
        <w:t xml:space="preserve"> </w:t>
      </w:r>
      <w:r w:rsidR="00E27A70" w:rsidRPr="00C77F71">
        <w:rPr>
          <w:i/>
          <w:lang w:val="en-US"/>
        </w:rPr>
        <w:t>(See Recommendation #</w:t>
      </w:r>
      <w:r w:rsidR="00C77F71">
        <w:rPr>
          <w:i/>
          <w:lang w:val="en-US"/>
        </w:rPr>
        <w:t xml:space="preserve"> 3</w:t>
      </w:r>
      <w:r w:rsidR="00E27A70" w:rsidRPr="00C77F71">
        <w:rPr>
          <w:i/>
          <w:lang w:val="en-US"/>
        </w:rPr>
        <w:t>)</w:t>
      </w:r>
      <w:r w:rsidR="00181D6E" w:rsidRPr="00181D6E">
        <w:rPr>
          <w:b/>
          <w:lang w:val="en-US"/>
        </w:rPr>
        <w:t xml:space="preserve"> </w:t>
      </w:r>
    </w:p>
    <w:p w14:paraId="1BC0DDAA" w14:textId="77777777" w:rsidR="009A7E84" w:rsidRDefault="009A7E84" w:rsidP="00862343">
      <w:pPr>
        <w:spacing w:after="0"/>
        <w:rPr>
          <w:lang w:val="en-US"/>
        </w:rPr>
      </w:pPr>
    </w:p>
    <w:p w14:paraId="510471F6" w14:textId="77777777" w:rsidR="00736598" w:rsidRPr="00C77F71" w:rsidRDefault="001862E6" w:rsidP="00AD3F62">
      <w:pPr>
        <w:spacing w:after="0"/>
        <w:rPr>
          <w:i/>
          <w:lang w:val="en-US"/>
        </w:rPr>
      </w:pPr>
      <w:r w:rsidRPr="00CD56B9">
        <w:rPr>
          <w:lang w:val="en-US"/>
        </w:rPr>
        <w:t xml:space="preserve">The </w:t>
      </w:r>
      <w:r>
        <w:rPr>
          <w:lang w:val="en-US"/>
        </w:rPr>
        <w:t>most</w:t>
      </w:r>
      <w:r w:rsidR="00E10155" w:rsidRPr="00CD56B9">
        <w:rPr>
          <w:lang w:val="en-US"/>
        </w:rPr>
        <w:t xml:space="preserve"> fundamental reform area in democratic elections and </w:t>
      </w:r>
      <w:r w:rsidR="00145FDE">
        <w:rPr>
          <w:lang w:val="en-US"/>
        </w:rPr>
        <w:t>a</w:t>
      </w:r>
      <w:r w:rsidR="00E10155" w:rsidRPr="00CD56B9">
        <w:rPr>
          <w:lang w:val="en-US"/>
        </w:rPr>
        <w:t xml:space="preserve"> key challenge in Malawian democratic governance </w:t>
      </w:r>
      <w:r w:rsidR="004D7B36" w:rsidRPr="00CD56B9">
        <w:rPr>
          <w:lang w:val="en-US"/>
        </w:rPr>
        <w:t xml:space="preserve">overall, </w:t>
      </w:r>
      <w:r w:rsidR="00E10155" w:rsidRPr="00CD56B9">
        <w:rPr>
          <w:lang w:val="en-US"/>
        </w:rPr>
        <w:t>pertains to the elections rules and</w:t>
      </w:r>
      <w:r w:rsidR="003073DE" w:rsidRPr="00CD56B9">
        <w:rPr>
          <w:lang w:val="en-US"/>
        </w:rPr>
        <w:t xml:space="preserve"> </w:t>
      </w:r>
      <w:r w:rsidR="00E10155" w:rsidRPr="00CD56B9">
        <w:rPr>
          <w:lang w:val="en-US"/>
        </w:rPr>
        <w:t xml:space="preserve">the </w:t>
      </w:r>
      <w:r w:rsidR="00145FDE">
        <w:rPr>
          <w:lang w:val="en-US"/>
        </w:rPr>
        <w:t xml:space="preserve">need for </w:t>
      </w:r>
      <w:r w:rsidR="00E10155" w:rsidRPr="00CD56B9">
        <w:rPr>
          <w:lang w:val="en-US"/>
        </w:rPr>
        <w:t xml:space="preserve">a more proportional election system. The current election </w:t>
      </w:r>
      <w:r w:rsidR="00357FB3">
        <w:rPr>
          <w:lang w:val="en-US"/>
        </w:rPr>
        <w:t>rules</w:t>
      </w:r>
      <w:r w:rsidR="00E10155" w:rsidRPr="00CD56B9">
        <w:rPr>
          <w:lang w:val="en-US"/>
        </w:rPr>
        <w:t xml:space="preserve"> </w:t>
      </w:r>
      <w:r w:rsidR="00357FB3">
        <w:rPr>
          <w:lang w:val="en-US"/>
        </w:rPr>
        <w:t>do</w:t>
      </w:r>
      <w:r w:rsidR="009A7E84">
        <w:rPr>
          <w:lang w:val="en-US"/>
        </w:rPr>
        <w:t xml:space="preserve"> not </w:t>
      </w:r>
      <w:r w:rsidR="00357FB3">
        <w:rPr>
          <w:lang w:val="en-US"/>
        </w:rPr>
        <w:t xml:space="preserve">fairly translate the </w:t>
      </w:r>
      <w:r w:rsidR="00C5574D">
        <w:rPr>
          <w:lang w:val="en-US"/>
        </w:rPr>
        <w:t>actual votes cast</w:t>
      </w:r>
      <w:r w:rsidR="00870954">
        <w:rPr>
          <w:lang w:val="en-US"/>
        </w:rPr>
        <w:t xml:space="preserve"> into</w:t>
      </w:r>
      <w:r w:rsidR="009A7E84">
        <w:rPr>
          <w:lang w:val="en-US"/>
        </w:rPr>
        <w:t xml:space="preserve"> </w:t>
      </w:r>
      <w:r w:rsidR="00EA5FDA" w:rsidRPr="00CD56B9">
        <w:rPr>
          <w:lang w:val="en-US"/>
        </w:rPr>
        <w:t>a</w:t>
      </w:r>
      <w:r w:rsidR="00E5541A" w:rsidRPr="00CD56B9">
        <w:rPr>
          <w:lang w:val="en-US"/>
        </w:rPr>
        <w:t xml:space="preserve"> proportional election outcome</w:t>
      </w:r>
      <w:r w:rsidR="00EA5FDA" w:rsidRPr="00CD56B9">
        <w:rPr>
          <w:lang w:val="en-US"/>
        </w:rPr>
        <w:t xml:space="preserve">. </w:t>
      </w:r>
      <w:r w:rsidR="00357FB3">
        <w:rPr>
          <w:lang w:val="en-US"/>
        </w:rPr>
        <w:t>This is a result of the simple majority/</w:t>
      </w:r>
      <w:r w:rsidR="004D7B36" w:rsidRPr="00CD56B9">
        <w:rPr>
          <w:lang w:val="en-US"/>
        </w:rPr>
        <w:t xml:space="preserve">first-past-the-post </w:t>
      </w:r>
      <w:r w:rsidR="004D7B36" w:rsidRPr="00CD56B9">
        <w:rPr>
          <w:lang w:val="en-US"/>
        </w:rPr>
        <w:lastRenderedPageBreak/>
        <w:t xml:space="preserve">election method and </w:t>
      </w:r>
      <w:r w:rsidR="009A7E84">
        <w:rPr>
          <w:lang w:val="en-US"/>
        </w:rPr>
        <w:t xml:space="preserve">the </w:t>
      </w:r>
      <w:r w:rsidR="005A73E1">
        <w:rPr>
          <w:lang w:val="en-US"/>
        </w:rPr>
        <w:t>mis</w:t>
      </w:r>
      <w:r w:rsidR="00BE7D32">
        <w:rPr>
          <w:lang w:val="en-US"/>
        </w:rPr>
        <w:t>match</w:t>
      </w:r>
      <w:r w:rsidR="005A73E1">
        <w:rPr>
          <w:lang w:val="en-US"/>
        </w:rPr>
        <w:t xml:space="preserve"> between</w:t>
      </w:r>
      <w:r w:rsidR="009A7E84">
        <w:rPr>
          <w:lang w:val="en-US"/>
        </w:rPr>
        <w:t xml:space="preserve"> </w:t>
      </w:r>
      <w:r w:rsidR="004D7B36" w:rsidRPr="00CD56B9">
        <w:rPr>
          <w:lang w:val="en-US"/>
        </w:rPr>
        <w:t>constituency demarcations</w:t>
      </w:r>
      <w:r w:rsidR="00BE7D32">
        <w:rPr>
          <w:rStyle w:val="Fodnotehenvisning"/>
          <w:lang w:val="en-US"/>
        </w:rPr>
        <w:footnoteReference w:id="13"/>
      </w:r>
      <w:r w:rsidR="004D7B36" w:rsidRPr="00CD56B9">
        <w:rPr>
          <w:lang w:val="en-US"/>
        </w:rPr>
        <w:t xml:space="preserve"> </w:t>
      </w:r>
      <w:r w:rsidR="005A73E1">
        <w:rPr>
          <w:lang w:val="en-US"/>
        </w:rPr>
        <w:t>and</w:t>
      </w:r>
      <w:r w:rsidR="00A16EB4" w:rsidRPr="00CD56B9">
        <w:rPr>
          <w:lang w:val="en-US"/>
        </w:rPr>
        <w:t xml:space="preserve"> </w:t>
      </w:r>
      <w:r w:rsidR="004D7B36" w:rsidRPr="00CD56B9">
        <w:rPr>
          <w:lang w:val="en-US"/>
        </w:rPr>
        <w:t xml:space="preserve">one of the highest urban migration patterns among the SADC </w:t>
      </w:r>
      <w:r w:rsidR="009A7E84" w:rsidRPr="00CD56B9">
        <w:rPr>
          <w:lang w:val="en-US"/>
        </w:rPr>
        <w:t>countries</w:t>
      </w:r>
      <w:r w:rsidR="005A73E1">
        <w:rPr>
          <w:lang w:val="en-US"/>
        </w:rPr>
        <w:t xml:space="preserve">. </w:t>
      </w:r>
      <w:r w:rsidR="000D74E3" w:rsidRPr="00CD56B9">
        <w:rPr>
          <w:lang w:val="en-US"/>
        </w:rPr>
        <w:t xml:space="preserve">These imbalances in the election system </w:t>
      </w:r>
      <w:r w:rsidR="000D74E3">
        <w:rPr>
          <w:lang w:val="en-US"/>
        </w:rPr>
        <w:t>are</w:t>
      </w:r>
      <w:r w:rsidR="005A73E1">
        <w:rPr>
          <w:lang w:val="en-US"/>
        </w:rPr>
        <w:t xml:space="preserve"> </w:t>
      </w:r>
      <w:r w:rsidR="005A73E1" w:rsidRPr="00CD56B9">
        <w:rPr>
          <w:lang w:val="en-US"/>
        </w:rPr>
        <w:t xml:space="preserve">one of the triggers of federalism </w:t>
      </w:r>
      <w:r w:rsidR="005A73E1">
        <w:rPr>
          <w:lang w:val="en-US"/>
        </w:rPr>
        <w:t xml:space="preserve">and </w:t>
      </w:r>
      <w:r w:rsidR="00E5541A" w:rsidRPr="00CD56B9">
        <w:rPr>
          <w:lang w:val="en-US"/>
        </w:rPr>
        <w:t xml:space="preserve">threaten to undermine the </w:t>
      </w:r>
      <w:r w:rsidR="0072201D">
        <w:rPr>
          <w:lang w:val="en-US"/>
        </w:rPr>
        <w:t xml:space="preserve">trust in and </w:t>
      </w:r>
      <w:r w:rsidR="00E5541A" w:rsidRPr="00CD56B9">
        <w:rPr>
          <w:lang w:val="en-US"/>
        </w:rPr>
        <w:t>legitimacy of the whole election process</w:t>
      </w:r>
      <w:r w:rsidR="005A73E1">
        <w:rPr>
          <w:lang w:val="en-US"/>
        </w:rPr>
        <w:t>.</w:t>
      </w:r>
      <w:r w:rsidR="00BE7D32">
        <w:rPr>
          <w:lang w:val="en-US"/>
        </w:rPr>
        <w:t xml:space="preserve"> </w:t>
      </w:r>
      <w:r w:rsidR="006D58DD" w:rsidRPr="00CD56B9">
        <w:rPr>
          <w:lang w:val="en-US"/>
        </w:rPr>
        <w:t>Broad consultations on these issues</w:t>
      </w:r>
      <w:r w:rsidR="00E5541A" w:rsidRPr="00CD56B9">
        <w:rPr>
          <w:lang w:val="en-US"/>
        </w:rPr>
        <w:t xml:space="preserve"> are currently been carried out, and </w:t>
      </w:r>
      <w:r w:rsidR="005A73E1">
        <w:rPr>
          <w:lang w:val="en-US"/>
        </w:rPr>
        <w:t xml:space="preserve">support to </w:t>
      </w:r>
      <w:r w:rsidR="00E5541A" w:rsidRPr="00CD56B9">
        <w:rPr>
          <w:lang w:val="en-US"/>
        </w:rPr>
        <w:t xml:space="preserve">election reforms should be a continuous </w:t>
      </w:r>
      <w:r w:rsidR="005A73E1">
        <w:rPr>
          <w:lang w:val="en-US"/>
        </w:rPr>
        <w:t xml:space="preserve">effort </w:t>
      </w:r>
      <w:r w:rsidR="00E5541A" w:rsidRPr="00CD56B9">
        <w:rPr>
          <w:lang w:val="en-US"/>
        </w:rPr>
        <w:t xml:space="preserve">for </w:t>
      </w:r>
      <w:r w:rsidR="00677756" w:rsidRPr="00CD56B9">
        <w:rPr>
          <w:lang w:val="en-US"/>
        </w:rPr>
        <w:t>UNDP.</w:t>
      </w:r>
      <w:r w:rsidR="00341682" w:rsidRPr="00CD56B9">
        <w:rPr>
          <w:lang w:val="en-US"/>
        </w:rPr>
        <w:t xml:space="preserve"> </w:t>
      </w:r>
      <w:r w:rsidR="00181D6E" w:rsidRPr="00181D6E">
        <w:rPr>
          <w:b/>
          <w:lang w:val="en-US"/>
        </w:rPr>
        <w:t xml:space="preserve"> </w:t>
      </w:r>
      <w:r w:rsidR="00E27A70" w:rsidRPr="00C77F71">
        <w:rPr>
          <w:i/>
          <w:lang w:val="en-US"/>
        </w:rPr>
        <w:t>(See Recommendation #</w:t>
      </w:r>
      <w:r w:rsidR="00C77F71" w:rsidRPr="00C77F71">
        <w:rPr>
          <w:i/>
          <w:lang w:val="en-US"/>
        </w:rPr>
        <w:t xml:space="preserve"> 4</w:t>
      </w:r>
      <w:r w:rsidR="00E27A70" w:rsidRPr="00C77F71">
        <w:rPr>
          <w:i/>
          <w:lang w:val="en-US"/>
        </w:rPr>
        <w:t>)</w:t>
      </w:r>
    </w:p>
    <w:p w14:paraId="3294D4D7" w14:textId="77777777" w:rsidR="00AD3F62" w:rsidRPr="00CD56B9" w:rsidRDefault="00AD3F62" w:rsidP="00AD3F62">
      <w:pPr>
        <w:spacing w:after="0"/>
        <w:rPr>
          <w:lang w:val="en-US"/>
        </w:rPr>
      </w:pPr>
    </w:p>
    <w:p w14:paraId="12B61A38" w14:textId="77777777" w:rsidR="00DD62EC" w:rsidRDefault="00DC0B76" w:rsidP="00DC0B76">
      <w:pPr>
        <w:pStyle w:val="Overskrift3"/>
        <w:rPr>
          <w:lang w:val="en-US"/>
        </w:rPr>
      </w:pPr>
      <w:bookmarkStart w:id="37" w:name="_Toc439245589"/>
      <w:r>
        <w:rPr>
          <w:lang w:val="en-US"/>
        </w:rPr>
        <w:t xml:space="preserve">4.1.3 </w:t>
      </w:r>
      <w:r w:rsidR="00CB4346" w:rsidRPr="00CD56B9">
        <w:rPr>
          <w:lang w:val="en-US"/>
        </w:rPr>
        <w:t>Political Parties</w:t>
      </w:r>
      <w:bookmarkEnd w:id="37"/>
    </w:p>
    <w:p w14:paraId="6F188F36" w14:textId="77777777" w:rsidR="00AD3F62" w:rsidRPr="00AD3F62" w:rsidRDefault="00AD3F62" w:rsidP="00AD3F62">
      <w:pPr>
        <w:spacing w:after="0"/>
        <w:rPr>
          <w:lang w:val="en-US"/>
        </w:rPr>
      </w:pPr>
    </w:p>
    <w:p w14:paraId="1C3B05A7" w14:textId="77777777" w:rsidR="008F0789" w:rsidRDefault="00CB4346" w:rsidP="002B6044">
      <w:pPr>
        <w:rPr>
          <w:lang w:val="en-US"/>
        </w:rPr>
      </w:pPr>
      <w:r w:rsidRPr="00CD56B9">
        <w:rPr>
          <w:lang w:val="en-US"/>
        </w:rPr>
        <w:t xml:space="preserve">The support to CMD </w:t>
      </w:r>
      <w:r w:rsidR="00843B1B">
        <w:rPr>
          <w:lang w:val="en-US"/>
        </w:rPr>
        <w:t xml:space="preserve">is a </w:t>
      </w:r>
      <w:r w:rsidR="00843B1B" w:rsidRPr="00CD56B9">
        <w:rPr>
          <w:lang w:val="en-US"/>
        </w:rPr>
        <w:t xml:space="preserve">highly relevant </w:t>
      </w:r>
      <w:r w:rsidR="00843B1B">
        <w:rPr>
          <w:lang w:val="en-US"/>
        </w:rPr>
        <w:t xml:space="preserve">intervention </w:t>
      </w:r>
      <w:r w:rsidRPr="00CD56B9">
        <w:rPr>
          <w:lang w:val="en-US"/>
        </w:rPr>
        <w:t>in the DG portfolio</w:t>
      </w:r>
      <w:r w:rsidR="00843B1B">
        <w:rPr>
          <w:lang w:val="en-US"/>
        </w:rPr>
        <w:t xml:space="preserve">. </w:t>
      </w:r>
      <w:r w:rsidRPr="00CD56B9">
        <w:rPr>
          <w:lang w:val="en-US"/>
        </w:rPr>
        <w:t>The need for the political parties</w:t>
      </w:r>
      <w:r w:rsidR="002A5787">
        <w:rPr>
          <w:lang w:val="en-US"/>
        </w:rPr>
        <w:t xml:space="preserve"> to formulate strategic responses to </w:t>
      </w:r>
      <w:r w:rsidRPr="00CD56B9">
        <w:rPr>
          <w:lang w:val="en-US"/>
        </w:rPr>
        <w:t xml:space="preserve">development challenges cannot be </w:t>
      </w:r>
      <w:r w:rsidR="002A5787">
        <w:rPr>
          <w:lang w:val="en-US"/>
        </w:rPr>
        <w:t>overestimated and t</w:t>
      </w:r>
      <w:r w:rsidRPr="00CD56B9">
        <w:rPr>
          <w:lang w:val="en-US"/>
        </w:rPr>
        <w:t>he ability to build long-term</w:t>
      </w:r>
      <w:r w:rsidR="002A5787">
        <w:rPr>
          <w:lang w:val="en-US"/>
        </w:rPr>
        <w:t>, c</w:t>
      </w:r>
      <w:r w:rsidRPr="00CD56B9">
        <w:rPr>
          <w:lang w:val="en-US"/>
        </w:rPr>
        <w:t>ross-party consensus around reform initiatives i</w:t>
      </w:r>
      <w:r w:rsidR="002A5787">
        <w:rPr>
          <w:lang w:val="en-US"/>
        </w:rPr>
        <w:t>s fundamental for any democracy.</w:t>
      </w:r>
      <w:r w:rsidRPr="00CD56B9">
        <w:rPr>
          <w:lang w:val="en-US"/>
        </w:rPr>
        <w:t xml:space="preserve"> </w:t>
      </w:r>
      <w:r w:rsidR="00324CC8">
        <w:rPr>
          <w:lang w:val="en-US"/>
        </w:rPr>
        <w:t>P</w:t>
      </w:r>
      <w:r w:rsidRPr="00CD56B9">
        <w:rPr>
          <w:lang w:val="en-US"/>
        </w:rPr>
        <w:t>olitical</w:t>
      </w:r>
      <w:r w:rsidR="00644EB4" w:rsidRPr="00CD56B9">
        <w:rPr>
          <w:lang w:val="en-US"/>
        </w:rPr>
        <w:t>ly</w:t>
      </w:r>
      <w:r w:rsidRPr="00CD56B9">
        <w:rPr>
          <w:lang w:val="en-US"/>
        </w:rPr>
        <w:t xml:space="preserve"> sensitive </w:t>
      </w:r>
      <w:r w:rsidR="00324CC8">
        <w:rPr>
          <w:lang w:val="en-US"/>
        </w:rPr>
        <w:t>areas</w:t>
      </w:r>
      <w:r w:rsidRPr="00CD56B9">
        <w:rPr>
          <w:lang w:val="en-US"/>
        </w:rPr>
        <w:t xml:space="preserve"> </w:t>
      </w:r>
      <w:r w:rsidR="00644EB4" w:rsidRPr="00CD56B9">
        <w:rPr>
          <w:lang w:val="en-US"/>
        </w:rPr>
        <w:t>like</w:t>
      </w:r>
      <w:r w:rsidRPr="00CD56B9">
        <w:rPr>
          <w:lang w:val="en-US"/>
        </w:rPr>
        <w:t xml:space="preserve"> public sector reforms and especially </w:t>
      </w:r>
      <w:r w:rsidR="008F0789" w:rsidRPr="00CD56B9">
        <w:rPr>
          <w:lang w:val="en-US"/>
        </w:rPr>
        <w:t>decentralization</w:t>
      </w:r>
      <w:r w:rsidRPr="00CD56B9">
        <w:rPr>
          <w:lang w:val="en-US"/>
        </w:rPr>
        <w:t xml:space="preserve"> can</w:t>
      </w:r>
      <w:r w:rsidR="008F0789">
        <w:rPr>
          <w:lang w:val="en-US"/>
        </w:rPr>
        <w:t>not</w:t>
      </w:r>
      <w:r w:rsidRPr="00CD56B9">
        <w:rPr>
          <w:lang w:val="en-US"/>
        </w:rPr>
        <w:t xml:space="preserve"> move forward in earnest without such </w:t>
      </w:r>
      <w:r w:rsidR="00324CC8">
        <w:rPr>
          <w:lang w:val="en-US"/>
        </w:rPr>
        <w:t>consensus and h</w:t>
      </w:r>
      <w:r w:rsidRPr="00CD56B9">
        <w:rPr>
          <w:lang w:val="en-US"/>
        </w:rPr>
        <w:t xml:space="preserve">ave to be addressed through multi-year programs </w:t>
      </w:r>
      <w:r w:rsidR="00324CC8">
        <w:rPr>
          <w:lang w:val="en-US"/>
        </w:rPr>
        <w:t xml:space="preserve">across election terms </w:t>
      </w:r>
      <w:r w:rsidRPr="00CD56B9">
        <w:rPr>
          <w:lang w:val="en-US"/>
        </w:rPr>
        <w:t xml:space="preserve">and </w:t>
      </w:r>
      <w:r w:rsidR="00644EB4" w:rsidRPr="00CD56B9">
        <w:rPr>
          <w:lang w:val="en-US"/>
        </w:rPr>
        <w:t>withstand</w:t>
      </w:r>
      <w:r w:rsidRPr="00CD56B9">
        <w:rPr>
          <w:lang w:val="en-US"/>
        </w:rPr>
        <w:t xml:space="preserve"> resistance from multiple quarters, also from within the political parties themselves. The difficulty in passing the PPRR Bill </w:t>
      </w:r>
      <w:r w:rsidR="003D7B68">
        <w:rPr>
          <w:lang w:val="en-US"/>
        </w:rPr>
        <w:t xml:space="preserve">also </w:t>
      </w:r>
      <w:r w:rsidRPr="00CD56B9">
        <w:rPr>
          <w:lang w:val="en-US"/>
        </w:rPr>
        <w:t>illustrates the challenges in maintaining momentum in the legislative process</w:t>
      </w:r>
      <w:r w:rsidR="00951EC4" w:rsidRPr="00CD56B9">
        <w:rPr>
          <w:lang w:val="en-US"/>
        </w:rPr>
        <w:t xml:space="preserve">, </w:t>
      </w:r>
      <w:r w:rsidRPr="00CD56B9">
        <w:rPr>
          <w:lang w:val="en-US"/>
        </w:rPr>
        <w:t>across election terms</w:t>
      </w:r>
      <w:r w:rsidR="003D7B68">
        <w:rPr>
          <w:lang w:val="en-US"/>
        </w:rPr>
        <w:t xml:space="preserve"> and governments</w:t>
      </w:r>
      <w:r w:rsidR="00951EC4">
        <w:rPr>
          <w:rStyle w:val="Fodnotehenvisning"/>
        </w:rPr>
        <w:footnoteReference w:id="14"/>
      </w:r>
      <w:r w:rsidR="00951EC4" w:rsidRPr="00CD56B9">
        <w:rPr>
          <w:lang w:val="en-US"/>
        </w:rPr>
        <w:t xml:space="preserve">, </w:t>
      </w:r>
      <w:r w:rsidR="008F0789">
        <w:rPr>
          <w:lang w:val="en-US"/>
        </w:rPr>
        <w:t xml:space="preserve">if political parties do not address development issues in a strategic manner. </w:t>
      </w:r>
    </w:p>
    <w:p w14:paraId="1F549509" w14:textId="77777777" w:rsidR="0084731F" w:rsidRDefault="00410719" w:rsidP="0084731F">
      <w:pPr>
        <w:rPr>
          <w:rFonts w:cs="Arial"/>
          <w:lang w:val="en-GB"/>
        </w:rPr>
      </w:pPr>
      <w:r>
        <w:rPr>
          <w:lang w:val="en-US"/>
        </w:rPr>
        <w:t xml:space="preserve">The support rendered interfaces with </w:t>
      </w:r>
      <w:r w:rsidR="0084731F">
        <w:rPr>
          <w:lang w:val="en-US"/>
        </w:rPr>
        <w:t xml:space="preserve">a </w:t>
      </w:r>
      <w:r>
        <w:rPr>
          <w:lang w:val="en-US"/>
        </w:rPr>
        <w:t xml:space="preserve">wider </w:t>
      </w:r>
      <w:r w:rsidR="00DF28D8">
        <w:rPr>
          <w:lang w:val="en-US"/>
        </w:rPr>
        <w:t xml:space="preserve">range of </w:t>
      </w:r>
      <w:r w:rsidR="00A057D5">
        <w:rPr>
          <w:lang w:val="en-US"/>
        </w:rPr>
        <w:t xml:space="preserve">challenges in </w:t>
      </w:r>
      <w:r w:rsidR="0084731F">
        <w:rPr>
          <w:lang w:val="en-US"/>
        </w:rPr>
        <w:t xml:space="preserve">leadership, funding, structure and organization of </w:t>
      </w:r>
      <w:r w:rsidR="00CA6B31">
        <w:rPr>
          <w:lang w:val="en-US"/>
        </w:rPr>
        <w:t>political parties</w:t>
      </w:r>
      <w:r w:rsidR="00251E18">
        <w:rPr>
          <w:lang w:val="en-US"/>
        </w:rPr>
        <w:t xml:space="preserve">. </w:t>
      </w:r>
      <w:r w:rsidR="0084731F" w:rsidRPr="0084731F">
        <w:rPr>
          <w:rFonts w:cs="Arial"/>
          <w:lang w:val="en-GB"/>
        </w:rPr>
        <w:t>Since the transition to democratic governance in the early 1990s, political parties exist as the primary units for political participation and engagement</w:t>
      </w:r>
      <w:r w:rsidR="00462F71">
        <w:rPr>
          <w:rFonts w:cs="Arial"/>
          <w:lang w:val="en-GB"/>
        </w:rPr>
        <w:t xml:space="preserve">, but </w:t>
      </w:r>
      <w:r w:rsidR="0084731F" w:rsidRPr="0084731F">
        <w:rPr>
          <w:rFonts w:cs="Arial"/>
          <w:lang w:val="en-GB"/>
        </w:rPr>
        <w:t xml:space="preserve">challenges </w:t>
      </w:r>
      <w:r w:rsidR="00462F71">
        <w:rPr>
          <w:rFonts w:cs="Arial"/>
          <w:lang w:val="en-GB"/>
        </w:rPr>
        <w:t xml:space="preserve">remain </w:t>
      </w:r>
      <w:r w:rsidR="0084731F" w:rsidRPr="0084731F">
        <w:rPr>
          <w:rFonts w:cs="Arial"/>
          <w:lang w:val="en-GB"/>
        </w:rPr>
        <w:t>to developing a democratic, competitive and accountable party system. The functioning and performance of political parties are affected by intra-party feuds mostly around issues of leadership, organisational structures, and class and ethnic interests. Political parties lack independent funding to the extent that they are effectively beholden to the interests of their funders and leaders. This is worsened by the fact that there are no effective laws on internal governance of political parties and there is a general preference among politicians to maintain the status quo.</w:t>
      </w:r>
    </w:p>
    <w:p w14:paraId="0AE64B0C" w14:textId="77777777" w:rsidR="0084731F" w:rsidRPr="00462F71" w:rsidRDefault="00462F71" w:rsidP="0084731F">
      <w:pPr>
        <w:rPr>
          <w:rFonts w:cs="Arial"/>
          <w:lang w:val="en-GB"/>
        </w:rPr>
      </w:pPr>
      <w:r>
        <w:rPr>
          <w:rFonts w:cs="Arial"/>
          <w:lang w:val="en-GB"/>
        </w:rPr>
        <w:t>T</w:t>
      </w:r>
      <w:r w:rsidR="0084731F" w:rsidRPr="0084731F">
        <w:rPr>
          <w:rFonts w:cs="Arial"/>
          <w:lang w:val="en-GB"/>
        </w:rPr>
        <w:t xml:space="preserve">he right to form or join a political party is enshrined in the Constitution of Malawi, specifically under section 32(1) on freedom of association and section 40 on the right to form, join or participate in a political party. </w:t>
      </w:r>
      <w:r w:rsidR="0084731F" w:rsidRPr="00462F71">
        <w:rPr>
          <w:rFonts w:cs="Arial"/>
          <w:lang w:val="en-GB"/>
        </w:rPr>
        <w:t>A legal framework regulating the formation of political parties is found in the Political Parties Registration and Regulation Act.</w:t>
      </w:r>
    </w:p>
    <w:p w14:paraId="3FD9B77E" w14:textId="77777777" w:rsidR="0084731F" w:rsidRPr="00462F71" w:rsidRDefault="0084731F" w:rsidP="0084731F">
      <w:pPr>
        <w:rPr>
          <w:rFonts w:cs="Arial"/>
          <w:lang w:val="en-GB"/>
        </w:rPr>
      </w:pPr>
      <w:r w:rsidRPr="00462F71">
        <w:rPr>
          <w:rFonts w:cs="Arial"/>
          <w:lang w:val="en-GB"/>
        </w:rPr>
        <w:t>In Malawi, each party needs to have a party constitution to be registered, but the exact form of the party constitution is left to the individual party’s discretion.</w:t>
      </w:r>
      <w:r w:rsidRPr="006B4DA4">
        <w:rPr>
          <w:rStyle w:val="Fodnotehenvisning"/>
          <w:rFonts w:cs="Arial"/>
        </w:rPr>
        <w:footnoteReference w:id="15"/>
      </w:r>
      <w:r w:rsidRPr="00462F71">
        <w:rPr>
          <w:rFonts w:cs="Arial"/>
          <w:lang w:val="en-GB"/>
        </w:rPr>
        <w:t xml:space="preserve"> Traditionally, political parties have a role in maintaining competitive political processes by providing alternative policy options to the electorate.</w:t>
      </w:r>
      <w:r w:rsidRPr="006B4DA4">
        <w:rPr>
          <w:rStyle w:val="Fodnotehenvisning"/>
          <w:rFonts w:cs="Arial"/>
        </w:rPr>
        <w:footnoteReference w:id="16"/>
      </w:r>
      <w:r w:rsidRPr="00462F71">
        <w:rPr>
          <w:rFonts w:cs="Arial"/>
          <w:lang w:val="en-GB"/>
        </w:rPr>
        <w:t xml:space="preserve"> However, political parties in Malawi are, in practice, not distinguished from each other by having different social and economic policies and beliefs but by personalities and ethnic rivalries.</w:t>
      </w:r>
      <w:r w:rsidRPr="006B4DA4">
        <w:rPr>
          <w:rStyle w:val="Fodnotehenvisning"/>
          <w:rFonts w:cs="Arial"/>
        </w:rPr>
        <w:footnoteReference w:id="17"/>
      </w:r>
      <w:r w:rsidRPr="00462F71">
        <w:rPr>
          <w:rFonts w:cs="Arial"/>
          <w:lang w:val="en-GB"/>
        </w:rPr>
        <w:t xml:space="preserve"> In addition the majority of the political parties are not well established.</w:t>
      </w:r>
      <w:r w:rsidRPr="006B4DA4">
        <w:rPr>
          <w:rStyle w:val="Fodnotehenvisning"/>
          <w:rFonts w:cs="Arial"/>
        </w:rPr>
        <w:footnoteReference w:id="18"/>
      </w:r>
      <w:r w:rsidRPr="00462F71">
        <w:rPr>
          <w:rFonts w:cs="Arial"/>
          <w:lang w:val="en-GB"/>
        </w:rPr>
        <w:t xml:space="preserve"> However, most parties have a party president who also serves as chairperson of the national executive committee. The party president is often elected at the national convention. The national executive committee would comprise chairpersons from the Regional Executive Committee, District </w:t>
      </w:r>
      <w:r w:rsidRPr="00462F71">
        <w:rPr>
          <w:rFonts w:cs="Arial"/>
          <w:lang w:val="en-GB"/>
        </w:rPr>
        <w:lastRenderedPageBreak/>
        <w:t>Executive Committee, Constituency Committee, Ward committee, Area Committee, Traditional Authority Area and the Local Branch and any other persons appointed by the President or ex-officio members of the National Executive Committees</w:t>
      </w:r>
      <w:r w:rsidRPr="006B4DA4">
        <w:rPr>
          <w:rStyle w:val="Fodnotehenvisning"/>
          <w:rFonts w:cs="Arial"/>
        </w:rPr>
        <w:footnoteReference w:id="19"/>
      </w:r>
      <w:r w:rsidRPr="00462F71">
        <w:rPr>
          <w:rFonts w:cs="Arial"/>
          <w:lang w:val="en-GB"/>
        </w:rPr>
        <w:t xml:space="preserve">. The party system is fragmented and has about 48 registered political parties, most of which are moribund. The main active parties have </w:t>
      </w:r>
      <w:r w:rsidR="003A0435">
        <w:rPr>
          <w:rFonts w:cs="Arial"/>
          <w:lang w:val="en-GB"/>
        </w:rPr>
        <w:t xml:space="preserve">a </w:t>
      </w:r>
      <w:r w:rsidRPr="00462F71">
        <w:rPr>
          <w:rFonts w:cs="Arial"/>
          <w:lang w:val="en-GB"/>
        </w:rPr>
        <w:t>geographical anchorage that is based mainly on regionalism and ethnicity</w:t>
      </w:r>
      <w:r w:rsidRPr="006B4DA4">
        <w:rPr>
          <w:rStyle w:val="Fodnotehenvisning"/>
          <w:rFonts w:cs="Arial"/>
        </w:rPr>
        <w:footnoteReference w:id="20"/>
      </w:r>
      <w:r w:rsidRPr="00462F71">
        <w:rPr>
          <w:rFonts w:cs="Arial"/>
          <w:lang w:val="en-GB"/>
        </w:rPr>
        <w:t>.</w:t>
      </w:r>
    </w:p>
    <w:p w14:paraId="1E613617" w14:textId="77777777" w:rsidR="0084731F" w:rsidRPr="00462F71" w:rsidRDefault="0084731F" w:rsidP="0084731F">
      <w:pPr>
        <w:rPr>
          <w:rFonts w:cs="Arial"/>
          <w:lang w:val="en-GB"/>
        </w:rPr>
      </w:pPr>
      <w:r w:rsidRPr="00462F71">
        <w:rPr>
          <w:rFonts w:cs="Arial"/>
          <w:lang w:val="en-GB"/>
        </w:rPr>
        <w:t>Legal provisions for the registration and operations of political parties in Malawi are generally considered as reasonable and in line with international and regional standards relating to freedom of association</w:t>
      </w:r>
      <w:r w:rsidRPr="006B4DA4">
        <w:rPr>
          <w:rFonts w:cs="Arial"/>
          <w:vertAlign w:val="superscript"/>
        </w:rPr>
        <w:footnoteReference w:id="21"/>
      </w:r>
      <w:r w:rsidRPr="00462F71">
        <w:rPr>
          <w:rFonts w:cs="Arial"/>
          <w:lang w:val="en-GB"/>
        </w:rPr>
        <w:t xml:space="preserve">. The legal framework for the formation and operation of political parties consists of the Constitution of the Republic of Malawi (1995), the Political Parties Registration and Regulation Act (1993), the Presidential and Parliamentary Elections Act (1993) and the Electoral Commission Act (1998). However, the last two pieces of legislation are concerned with the regulation of political parties only with respect to their participation in elections. </w:t>
      </w:r>
    </w:p>
    <w:p w14:paraId="1264D79E" w14:textId="77777777" w:rsidR="0084731F" w:rsidRPr="00462F71" w:rsidRDefault="0084731F" w:rsidP="0084731F">
      <w:pPr>
        <w:rPr>
          <w:rFonts w:cs="Arial"/>
          <w:lang w:val="en-GB"/>
        </w:rPr>
      </w:pPr>
      <w:r w:rsidRPr="00462F71">
        <w:rPr>
          <w:rFonts w:cs="Arial"/>
          <w:lang w:val="en-GB"/>
        </w:rPr>
        <w:t>The Constitution provides for the political rights of citizens including the right to form, join and participate in the activities of a political party as well as to participate in political activities intended to influence the composition and policies of the Government</w:t>
      </w:r>
      <w:r w:rsidRPr="006B4DA4">
        <w:rPr>
          <w:rFonts w:cs="Arial"/>
          <w:vertAlign w:val="superscript"/>
        </w:rPr>
        <w:footnoteReference w:id="22"/>
      </w:r>
      <w:r w:rsidRPr="00462F71">
        <w:rPr>
          <w:rFonts w:cs="Arial"/>
          <w:lang w:val="en-GB"/>
        </w:rPr>
        <w:t xml:space="preserve">. The Political Parties Registration and Regulation Act  establishes a regulatory framework and principles for the registration of political parties and allows any citizen of Malawi who has reached the age of </w:t>
      </w:r>
      <w:r w:rsidR="003A0435">
        <w:rPr>
          <w:rFonts w:cs="Arial"/>
          <w:lang w:val="en-GB"/>
        </w:rPr>
        <w:t>eighteen</w:t>
      </w:r>
      <w:r w:rsidRPr="00462F71">
        <w:rPr>
          <w:rFonts w:cs="Arial"/>
          <w:lang w:val="en-GB"/>
        </w:rPr>
        <w:t xml:space="preserve"> years to be a member of a political party of his or her choice. The Act requires that a party seeking registration should consist of no fewer than a hundred members and should submit its application, together with the party’s constitution and manifesto, to the Registrar of Political Parties in the Ministry of Justice and Constitutional Affairs. </w:t>
      </w:r>
    </w:p>
    <w:p w14:paraId="41B071E9" w14:textId="77777777" w:rsidR="0084731F" w:rsidRPr="00462F71" w:rsidRDefault="0084731F" w:rsidP="0084731F">
      <w:pPr>
        <w:rPr>
          <w:rFonts w:cs="Arial"/>
          <w:lang w:val="en-GB"/>
        </w:rPr>
      </w:pPr>
      <w:r w:rsidRPr="00462F71">
        <w:rPr>
          <w:rFonts w:cs="Arial"/>
          <w:lang w:val="en-GB"/>
        </w:rPr>
        <w:t>The law requires registration of political parties to be refused or cancelled for those parties whose purposes and objectives are unlawful. Such unlawful elements include ethnic, racial or religious discrimination; seeking political change through violence or aiming secession of any part of the territory of Malawi. If the registration of a political party is refused or cancelled, the decision can be challenged in the High Court</w:t>
      </w:r>
      <w:r w:rsidRPr="006B4DA4">
        <w:rPr>
          <w:rFonts w:cs="Arial"/>
          <w:vertAlign w:val="superscript"/>
        </w:rPr>
        <w:footnoteReference w:id="23"/>
      </w:r>
      <w:r w:rsidRPr="00462F71">
        <w:rPr>
          <w:rFonts w:cs="Arial"/>
          <w:lang w:val="en-GB"/>
        </w:rPr>
        <w:t xml:space="preserve">. Beyond the Constitution and the statutes, the Courts in Malawi have played a pivotal role in deciding the direction and course of registration and operation of political parties. As such, court judgments are a critical source of </w:t>
      </w:r>
      <w:r w:rsidR="003A0435">
        <w:rPr>
          <w:rFonts w:cs="Arial"/>
          <w:lang w:val="en-GB"/>
        </w:rPr>
        <w:t>information</w:t>
      </w:r>
      <w:r w:rsidRPr="00462F71">
        <w:rPr>
          <w:rFonts w:cs="Arial"/>
          <w:lang w:val="en-GB"/>
        </w:rPr>
        <w:t xml:space="preserve"> on these matters. </w:t>
      </w:r>
    </w:p>
    <w:p w14:paraId="290EC340" w14:textId="77777777" w:rsidR="0084731F" w:rsidRPr="00462F71" w:rsidRDefault="0084731F" w:rsidP="0084731F">
      <w:pPr>
        <w:rPr>
          <w:rFonts w:cs="Arial"/>
          <w:lang w:val="en-GB"/>
        </w:rPr>
      </w:pPr>
      <w:r w:rsidRPr="00462F71">
        <w:rPr>
          <w:rFonts w:cs="Arial"/>
          <w:lang w:val="en-GB"/>
        </w:rPr>
        <w:t xml:space="preserve">Furthermore, the Constitution provides for state funding for political parties in order to ensure that parliamentary parties are able to continue representing their constituencies in the National Assembly. Section 40(2) requires the State to provide money to any registered political party that has secured more than </w:t>
      </w:r>
      <w:r w:rsidR="0066417C">
        <w:rPr>
          <w:rFonts w:cs="Arial"/>
          <w:lang w:val="en-GB"/>
        </w:rPr>
        <w:t>ten</w:t>
      </w:r>
      <w:r w:rsidRPr="00462F71">
        <w:rPr>
          <w:rFonts w:cs="Arial"/>
          <w:lang w:val="en-GB"/>
        </w:rPr>
        <w:t xml:space="preserve"> percent of the national vote and secured parliamentary seats. Furthermore, section 66 of the Parliamentary and Presidential Elections Act stipulates that in </w:t>
      </w:r>
      <w:r w:rsidRPr="00462F71">
        <w:rPr>
          <w:rFonts w:cs="Arial"/>
          <w:lang w:val="en-GB"/>
        </w:rPr>
        <w:lastRenderedPageBreak/>
        <w:t>order to finance the election campaign, political parties are allowed to receive contributions from any individual, any non-governmental or private organisations either inside or outside Malawi. The legal framework does not provide for any limitation on campaign expenditure. Neither does it require disclosure of the amounts and sources of funding. However, section 193(4) of the Constitution, prohibits the use of state resources, other than parliamentary funding, for campaign purposes of any political party.</w:t>
      </w:r>
    </w:p>
    <w:p w14:paraId="36652C4B" w14:textId="77777777" w:rsidR="0084731F" w:rsidRPr="00462F71" w:rsidRDefault="0084731F" w:rsidP="0084731F">
      <w:pPr>
        <w:rPr>
          <w:rFonts w:cs="Arial"/>
          <w:lang w:val="en-GB"/>
        </w:rPr>
      </w:pPr>
      <w:r w:rsidRPr="00462F71">
        <w:rPr>
          <w:rFonts w:cs="Arial"/>
          <w:lang w:val="en-GB"/>
        </w:rPr>
        <w:t xml:space="preserve">In spite of the </w:t>
      </w:r>
      <w:r w:rsidR="00311F19" w:rsidRPr="00462F71">
        <w:rPr>
          <w:rFonts w:cs="Arial"/>
          <w:lang w:val="en-GB"/>
        </w:rPr>
        <w:t>adequate</w:t>
      </w:r>
      <w:r w:rsidRPr="00462F71">
        <w:rPr>
          <w:rFonts w:cs="Arial"/>
          <w:lang w:val="en-GB"/>
        </w:rPr>
        <w:t xml:space="preserve"> legal framework for the registration and operations of political parties in Malawi, there are some pertinent concerns about its comprehensiveness to promote the development of vibrant political parties capable of delivering on their core mandates as agents for democratization and institutionalization of good governance. This concern is raised on the understanding that party law should at the minimum be able to constitute “state based regulations that determine the legal status of political parties and specify what constitutes party membership, how parties must be organized, how they should campaign, how they must raise and handle party funds </w:t>
      </w:r>
      <w:r w:rsidR="00410719">
        <w:rPr>
          <w:rFonts w:cs="Arial"/>
          <w:lang w:val="en-GB"/>
        </w:rPr>
        <w:t>etc.</w:t>
      </w:r>
      <w:r w:rsidRPr="00462F71">
        <w:rPr>
          <w:rFonts w:cs="Arial"/>
          <w:lang w:val="en-GB"/>
        </w:rPr>
        <w:t>”</w:t>
      </w:r>
      <w:r w:rsidRPr="006B4DA4">
        <w:rPr>
          <w:rFonts w:cs="Arial"/>
          <w:vertAlign w:val="superscript"/>
        </w:rPr>
        <w:footnoteReference w:id="24"/>
      </w:r>
      <w:r w:rsidRPr="00462F71">
        <w:rPr>
          <w:rFonts w:cs="Arial"/>
          <w:lang w:val="en-GB"/>
        </w:rPr>
        <w:t>. The Political Parties Registration Act is rather too narrow as it mainly covers aspects of registration and deregistration of parties.</w:t>
      </w:r>
    </w:p>
    <w:p w14:paraId="6260FC01" w14:textId="77777777" w:rsidR="0084731F" w:rsidRPr="00462F71" w:rsidRDefault="0084731F" w:rsidP="0084731F">
      <w:pPr>
        <w:rPr>
          <w:rFonts w:cs="Arial"/>
          <w:lang w:val="en-GB"/>
        </w:rPr>
      </w:pPr>
      <w:r w:rsidRPr="00462F71">
        <w:rPr>
          <w:rFonts w:cs="Arial"/>
          <w:lang w:val="en-GB"/>
        </w:rPr>
        <w:t>Party funding and resource mobilization is a problematic element in Malawi. There is a lack of clarity on how political parties should raise funds and mobilize resources. This lack of clarity serves ruling parties very well as they are able to use resources from public coffers through budgetary appropriations to the presidency and other allocations. Ruling parties also receive donations from undisclosed private sector actors in practices that can be described as rent seeking</w:t>
      </w:r>
      <w:r w:rsidRPr="006B4DA4">
        <w:rPr>
          <w:rFonts w:cs="Arial"/>
          <w:vertAlign w:val="superscript"/>
        </w:rPr>
        <w:footnoteReference w:id="25"/>
      </w:r>
      <w:r w:rsidRPr="00462F71">
        <w:rPr>
          <w:rFonts w:cs="Arial"/>
          <w:lang w:val="en-GB"/>
        </w:rPr>
        <w:t>. This situation disadvantages opposition political parties which are unable to mobilize resources for their campaign activities. Furthermore, the pervasive patrimonial politics and the centrality of the state to business success constrain many businesses from financing opposition political parties for fear of reprisals</w:t>
      </w:r>
      <w:r w:rsidRPr="006B4DA4">
        <w:rPr>
          <w:rStyle w:val="Fodnotehenvisning"/>
          <w:rFonts w:cs="Arial"/>
        </w:rPr>
        <w:footnoteReference w:id="26"/>
      </w:r>
      <w:r w:rsidRPr="00462F71">
        <w:rPr>
          <w:rFonts w:cs="Arial"/>
          <w:lang w:val="en-GB"/>
        </w:rPr>
        <w:t>. This state of affairs is a concern to the integrity system of the country because it blurs the divide between the public and private sectors. Furthermore, despite constitutional guarantees of freedom of people to join and act on behalf of their political parties, critical opposition party functionaries are often targeted for various punitive measures aimed at choking their financial sources including personal businesses</w:t>
      </w:r>
      <w:r w:rsidRPr="006B4DA4">
        <w:rPr>
          <w:rFonts w:cs="Arial"/>
          <w:vertAlign w:val="superscript"/>
        </w:rPr>
        <w:footnoteReference w:id="27"/>
      </w:r>
      <w:r w:rsidRPr="00462F71">
        <w:rPr>
          <w:rFonts w:cs="Arial"/>
          <w:lang w:val="en-GB"/>
        </w:rPr>
        <w:t>.</w:t>
      </w:r>
    </w:p>
    <w:p w14:paraId="3DB0AC7F" w14:textId="77777777" w:rsidR="0084731F" w:rsidRPr="00462F71" w:rsidRDefault="0084731F" w:rsidP="0084731F">
      <w:pPr>
        <w:rPr>
          <w:rFonts w:cs="Arial"/>
          <w:lang w:val="en-GB"/>
        </w:rPr>
      </w:pPr>
      <w:r w:rsidRPr="00462F71">
        <w:rPr>
          <w:rFonts w:cs="Arial"/>
          <w:lang w:val="en-GB"/>
        </w:rPr>
        <w:t xml:space="preserve">Furthermore, the legal provision requiring political parties to secure at least </w:t>
      </w:r>
      <w:r w:rsidR="00311F19">
        <w:rPr>
          <w:rFonts w:cs="Arial"/>
          <w:lang w:val="en-GB"/>
        </w:rPr>
        <w:t xml:space="preserve">ten </w:t>
      </w:r>
      <w:r w:rsidRPr="00462F71">
        <w:rPr>
          <w:rFonts w:cs="Arial"/>
          <w:lang w:val="en-GB"/>
        </w:rPr>
        <w:t xml:space="preserve">percent of the national vote and legislative representation favours big political parties at the expense of smaller ones. This is particularly the case because in practice the </w:t>
      </w:r>
      <w:r w:rsidR="00350E71">
        <w:rPr>
          <w:rFonts w:cs="Arial"/>
          <w:lang w:val="en-GB"/>
        </w:rPr>
        <w:t>ten</w:t>
      </w:r>
      <w:r w:rsidRPr="00462F71">
        <w:rPr>
          <w:rFonts w:cs="Arial"/>
          <w:lang w:val="en-GB"/>
        </w:rPr>
        <w:t xml:space="preserve"> percent threshold is used to marginalize those </w:t>
      </w:r>
      <w:r w:rsidR="00311F19" w:rsidRPr="00462F71">
        <w:rPr>
          <w:rFonts w:cs="Arial"/>
          <w:lang w:val="en-GB"/>
        </w:rPr>
        <w:t>parties, which</w:t>
      </w:r>
      <w:r w:rsidRPr="00462F71">
        <w:rPr>
          <w:rFonts w:cs="Arial"/>
          <w:lang w:val="en-GB"/>
        </w:rPr>
        <w:t xml:space="preserve"> get very few seats in Parliament. The main reason for this is the working of the </w:t>
      </w:r>
      <w:r w:rsidR="00311F19">
        <w:rPr>
          <w:rFonts w:cs="Arial"/>
          <w:lang w:val="en-GB"/>
        </w:rPr>
        <w:t>simple majority</w:t>
      </w:r>
      <w:r w:rsidRPr="00462F71">
        <w:rPr>
          <w:rFonts w:cs="Arial"/>
          <w:lang w:val="en-GB"/>
        </w:rPr>
        <w:t xml:space="preserve"> electoral </w:t>
      </w:r>
      <w:r w:rsidR="00311F19" w:rsidRPr="00462F71">
        <w:rPr>
          <w:rFonts w:cs="Arial"/>
          <w:lang w:val="en-GB"/>
        </w:rPr>
        <w:t>system, which</w:t>
      </w:r>
      <w:r w:rsidRPr="00462F71">
        <w:rPr>
          <w:rFonts w:cs="Arial"/>
          <w:lang w:val="en-GB"/>
        </w:rPr>
        <w:t xml:space="preserve"> allows many candidates to contest in a given constituency thereby splitting the votes thinly across the candidates. For those parties that qualify at the threshold, a proportional formula based on number of seats secured in the National Assembly is used</w:t>
      </w:r>
      <w:r w:rsidRPr="006B4DA4">
        <w:rPr>
          <w:rFonts w:cs="Arial"/>
          <w:vertAlign w:val="superscript"/>
        </w:rPr>
        <w:footnoteReference w:id="28"/>
      </w:r>
      <w:r w:rsidRPr="00462F71">
        <w:rPr>
          <w:rFonts w:cs="Arial"/>
          <w:lang w:val="en-GB"/>
        </w:rPr>
        <w:t xml:space="preserve">. Such practices reward bigger parties and effectively discourage competition from smaller parties. However, what has been more disconcerting is that there has been no accountability for the money that parliamentary parties receive from the State. There are reports </w:t>
      </w:r>
      <w:r w:rsidRPr="00462F71">
        <w:rPr>
          <w:rFonts w:cs="Arial"/>
          <w:lang w:val="en-GB"/>
        </w:rPr>
        <w:lastRenderedPageBreak/>
        <w:t>that cheques for party funding from Parliament have been issued not in the names</w:t>
      </w:r>
      <w:r w:rsidR="00DF28D8">
        <w:rPr>
          <w:rFonts w:cs="Arial"/>
          <w:lang w:val="en-GB"/>
        </w:rPr>
        <w:t xml:space="preserve"> </w:t>
      </w:r>
      <w:r w:rsidRPr="00462F71">
        <w:rPr>
          <w:rFonts w:cs="Arial"/>
          <w:lang w:val="en-GB"/>
        </w:rPr>
        <w:t>of the parties but individuals in the party</w:t>
      </w:r>
      <w:r w:rsidRPr="006B4DA4">
        <w:rPr>
          <w:rFonts w:cs="Arial"/>
          <w:vertAlign w:val="superscript"/>
        </w:rPr>
        <w:footnoteReference w:id="29"/>
      </w:r>
      <w:r w:rsidRPr="00462F71">
        <w:rPr>
          <w:rFonts w:cs="Arial"/>
          <w:lang w:val="en-GB"/>
        </w:rPr>
        <w:t>. Calls to audit party funding have been resisted vehemently by the political parties</w:t>
      </w:r>
      <w:r w:rsidRPr="006B4DA4">
        <w:rPr>
          <w:rStyle w:val="Fodnotehenvisning"/>
          <w:rFonts w:cs="Arial"/>
        </w:rPr>
        <w:footnoteReference w:id="30"/>
      </w:r>
      <w:r w:rsidRPr="00462F71">
        <w:rPr>
          <w:rFonts w:cs="Arial"/>
          <w:lang w:val="en-GB"/>
        </w:rPr>
        <w:t>.</w:t>
      </w:r>
    </w:p>
    <w:p w14:paraId="3DD660D3" w14:textId="77777777" w:rsidR="0084731F" w:rsidRPr="00462F71" w:rsidRDefault="0084731F" w:rsidP="0084731F">
      <w:pPr>
        <w:rPr>
          <w:rFonts w:cs="Arial"/>
          <w:lang w:val="en-GB"/>
        </w:rPr>
      </w:pPr>
      <w:r w:rsidRPr="00462F71">
        <w:rPr>
          <w:rFonts w:cs="Arial"/>
          <w:lang w:val="en-GB"/>
        </w:rPr>
        <w:t>Despite the limitations set by the Constitution on the use of state resources for electioneering, the use of these resources by ruling parties is usually overt as their campaign rallies are graced by the State President and the use of state resources is justified as legitimate expenditures for presidential functions. For example, the European Union noted that state resources had been used for campaigning as the President travelled throughout the country for campaign rallies using a range of state resources including military helicopters, parastatal and government vehicles for his campaign team and supporters and security services. State-owned media also provided an exclusive platform for the activities of members of the ruling Democratic Progressive Party</w:t>
      </w:r>
      <w:r w:rsidRPr="006B4DA4">
        <w:rPr>
          <w:rStyle w:val="Fodnotehenvisning"/>
          <w:rFonts w:cs="Arial"/>
        </w:rPr>
        <w:footnoteReference w:id="31"/>
      </w:r>
      <w:r w:rsidRPr="00462F71">
        <w:rPr>
          <w:rFonts w:cs="Arial"/>
          <w:lang w:val="en-GB"/>
        </w:rPr>
        <w:t>. A report by the Commonwealth Observer Group also noted that cabinet Ministers and their deputies abused Government resources for campaigning and that some parastatal organisation, the Malawi Communications Regulatory Authority (MACRA) financed the production of campaign materials, including t-shirts, for the ruling party</w:t>
      </w:r>
      <w:r w:rsidRPr="006B4DA4">
        <w:rPr>
          <w:rStyle w:val="Fodnotehenvisning"/>
          <w:rFonts w:cs="Arial"/>
        </w:rPr>
        <w:footnoteReference w:id="32"/>
      </w:r>
      <w:r w:rsidRPr="00462F71">
        <w:rPr>
          <w:rFonts w:cs="Arial"/>
          <w:lang w:val="en-GB"/>
        </w:rPr>
        <w:t>.</w:t>
      </w:r>
    </w:p>
    <w:p w14:paraId="644D4C93" w14:textId="77777777" w:rsidR="0084731F" w:rsidRPr="00462F71" w:rsidRDefault="0084731F" w:rsidP="0084731F">
      <w:pPr>
        <w:rPr>
          <w:rFonts w:cs="Arial"/>
          <w:lang w:val="en-GB"/>
        </w:rPr>
      </w:pPr>
      <w:r w:rsidRPr="00462F71">
        <w:rPr>
          <w:rFonts w:cs="Arial"/>
          <w:lang w:val="en-GB"/>
        </w:rPr>
        <w:t xml:space="preserve">Other funding for political parties comes from </w:t>
      </w:r>
      <w:r w:rsidR="002901F6">
        <w:rPr>
          <w:rFonts w:cs="Arial"/>
          <w:lang w:val="en-GB"/>
        </w:rPr>
        <w:t>CMD</w:t>
      </w:r>
      <w:r w:rsidRPr="00462F71">
        <w:rPr>
          <w:rFonts w:cs="Arial"/>
          <w:lang w:val="en-GB"/>
        </w:rPr>
        <w:t xml:space="preserve"> for institutional capacity development and </w:t>
      </w:r>
      <w:r w:rsidR="002901F6">
        <w:rPr>
          <w:rFonts w:cs="Arial"/>
          <w:lang w:val="en-GB"/>
        </w:rPr>
        <w:t xml:space="preserve">the funds </w:t>
      </w:r>
      <w:r w:rsidRPr="00462F71">
        <w:rPr>
          <w:rFonts w:cs="Arial"/>
          <w:lang w:val="en-GB"/>
        </w:rPr>
        <w:t>appropriate</w:t>
      </w:r>
      <w:r w:rsidR="002901F6">
        <w:rPr>
          <w:rFonts w:cs="Arial"/>
          <w:lang w:val="en-GB"/>
        </w:rPr>
        <w:t>d</w:t>
      </w:r>
      <w:r w:rsidRPr="00462F71">
        <w:rPr>
          <w:rFonts w:cs="Arial"/>
          <w:lang w:val="en-GB"/>
        </w:rPr>
        <w:t xml:space="preserve"> for work on reforming the legal and administrative framework for political parties in the country.</w:t>
      </w:r>
      <w:r w:rsidRPr="006B4DA4">
        <w:rPr>
          <w:rFonts w:cs="Arial"/>
          <w:vertAlign w:val="superscript"/>
        </w:rPr>
        <w:footnoteReference w:id="33"/>
      </w:r>
      <w:r w:rsidRPr="00462F71">
        <w:rPr>
          <w:rFonts w:cs="Arial"/>
          <w:lang w:val="en-GB"/>
        </w:rPr>
        <w:t>. This support, however, is only available to political parties that have parliamentary representation and is given on the basis of clear project proposals from the parties.</w:t>
      </w:r>
    </w:p>
    <w:p w14:paraId="047FA003" w14:textId="77777777" w:rsidR="0084731F" w:rsidRPr="00462F71" w:rsidRDefault="0084731F" w:rsidP="0084731F">
      <w:pPr>
        <w:rPr>
          <w:rFonts w:cs="Arial"/>
          <w:lang w:val="en-GB"/>
        </w:rPr>
      </w:pPr>
      <w:r w:rsidRPr="0084731F">
        <w:rPr>
          <w:rFonts w:cs="Arial"/>
          <w:lang w:val="en-GB"/>
        </w:rPr>
        <w:t xml:space="preserve">In short, ruling political parties have a disproportionate advantage over opposition parties in accessing resources. </w:t>
      </w:r>
      <w:r w:rsidRPr="00462F71">
        <w:rPr>
          <w:rFonts w:cs="Arial"/>
          <w:lang w:val="en-GB"/>
        </w:rPr>
        <w:t>Access to financial resources also translates into differences in administrative capacities and competencies of political parties. Almost inevitably, ruling parties tend to have large administrative work forces as well as decent infrastructure such as offices. The other parties operate from houses of their leaders and occasionally from hotel lobbies and conference rooms</w:t>
      </w:r>
      <w:r w:rsidRPr="006B4DA4">
        <w:rPr>
          <w:rStyle w:val="Fodnotehenvisning"/>
          <w:rFonts w:cs="Arial"/>
        </w:rPr>
        <w:footnoteReference w:id="34"/>
      </w:r>
      <w:r w:rsidRPr="00462F71">
        <w:rPr>
          <w:rFonts w:cs="Arial"/>
          <w:lang w:val="en-GB"/>
        </w:rPr>
        <w:t>. Political competition among parties is thus inevitably skewed towards larger and ruling parties.</w:t>
      </w:r>
    </w:p>
    <w:p w14:paraId="2F2A4930" w14:textId="77777777" w:rsidR="0084731F" w:rsidRDefault="004B6DC2" w:rsidP="00C77F71">
      <w:pPr>
        <w:spacing w:after="0"/>
        <w:rPr>
          <w:rFonts w:cs="Arial"/>
          <w:i/>
          <w:lang w:val="en-US"/>
        </w:rPr>
      </w:pPr>
      <w:r>
        <w:rPr>
          <w:rFonts w:cs="Arial"/>
          <w:lang w:val="en-GB"/>
        </w:rPr>
        <w:t xml:space="preserve">In addition to a continuous </w:t>
      </w:r>
      <w:r w:rsidR="0084731F" w:rsidRPr="00462F71">
        <w:rPr>
          <w:rFonts w:cs="Arial"/>
          <w:lang w:val="en-GB"/>
        </w:rPr>
        <w:t xml:space="preserve">lobbying </w:t>
      </w:r>
      <w:r>
        <w:rPr>
          <w:rFonts w:cs="Arial"/>
          <w:lang w:val="en-GB"/>
        </w:rPr>
        <w:t xml:space="preserve">for the tabled </w:t>
      </w:r>
      <w:r w:rsidR="0084731F" w:rsidRPr="006B4DA4">
        <w:rPr>
          <w:rFonts w:cs="Arial"/>
          <w:lang w:val="en-US"/>
        </w:rPr>
        <w:t>PPRR Bill</w:t>
      </w:r>
      <w:r>
        <w:rPr>
          <w:rFonts w:cs="Arial"/>
          <w:lang w:val="en-US"/>
        </w:rPr>
        <w:t xml:space="preserve">, a wider discussion among the public is needed to address the issues mentioned above and </w:t>
      </w:r>
      <w:r w:rsidR="00FD6AD3">
        <w:rPr>
          <w:rFonts w:cs="Arial"/>
          <w:lang w:val="en-US"/>
        </w:rPr>
        <w:t>mobilize</w:t>
      </w:r>
      <w:r>
        <w:rPr>
          <w:rFonts w:cs="Arial"/>
          <w:lang w:val="en-US"/>
        </w:rPr>
        <w:t xml:space="preserve"> support for a </w:t>
      </w:r>
      <w:r w:rsidR="00FD6AD3">
        <w:rPr>
          <w:rFonts w:cs="Arial"/>
          <w:lang w:val="en-US"/>
        </w:rPr>
        <w:t xml:space="preserve">robust framework regulation political parties, including a </w:t>
      </w:r>
      <w:r w:rsidR="0084731F" w:rsidRPr="006B4DA4">
        <w:rPr>
          <w:rFonts w:cs="Arial"/>
          <w:lang w:val="en-GB"/>
        </w:rPr>
        <w:t xml:space="preserve">legal framework </w:t>
      </w:r>
      <w:r w:rsidR="00FD6AD3">
        <w:rPr>
          <w:rFonts w:cs="Arial"/>
          <w:lang w:val="en-GB"/>
        </w:rPr>
        <w:t xml:space="preserve">ensuring a democratic </w:t>
      </w:r>
      <w:r w:rsidR="0084731F" w:rsidRPr="006B4DA4">
        <w:rPr>
          <w:rFonts w:cs="Arial"/>
          <w:lang w:val="en-GB"/>
        </w:rPr>
        <w:t xml:space="preserve">internal functioning and management </w:t>
      </w:r>
      <w:r w:rsidR="00FD6AD3">
        <w:rPr>
          <w:rFonts w:cs="Arial"/>
          <w:lang w:val="en-GB"/>
        </w:rPr>
        <w:t xml:space="preserve">practises, a </w:t>
      </w:r>
      <w:r w:rsidR="0084731F" w:rsidRPr="006B4DA4">
        <w:rPr>
          <w:rFonts w:cs="Arial"/>
          <w:lang w:val="en-GB"/>
        </w:rPr>
        <w:t xml:space="preserve">reduction on the constitutional threshold (of </w:t>
      </w:r>
      <w:r w:rsidR="00350E71">
        <w:rPr>
          <w:rFonts w:cs="Arial"/>
          <w:lang w:val="en-GB"/>
        </w:rPr>
        <w:t>ten percent</w:t>
      </w:r>
      <w:r w:rsidR="0084731F" w:rsidRPr="006B4DA4">
        <w:rPr>
          <w:rFonts w:cs="Arial"/>
          <w:lang w:val="en-GB"/>
        </w:rPr>
        <w:t xml:space="preserve"> of the national vote) for political parties to qualify for public funding to ensure that a majority of political parties that have secured representation in Parliament</w:t>
      </w:r>
      <w:r w:rsidR="00FD6AD3">
        <w:rPr>
          <w:rFonts w:cs="Arial"/>
          <w:lang w:val="en-GB"/>
        </w:rPr>
        <w:t xml:space="preserve"> can also access public funding, and </w:t>
      </w:r>
      <w:r w:rsidR="0084731F" w:rsidRPr="006B4DA4">
        <w:rPr>
          <w:rFonts w:cs="Arial"/>
          <w:lang w:val="en-GB"/>
        </w:rPr>
        <w:t>introduction of a legal framework that will regulate private and campaign</w:t>
      </w:r>
      <w:r w:rsidR="0055256D">
        <w:rPr>
          <w:rFonts w:cs="Arial"/>
          <w:lang w:val="en-GB"/>
        </w:rPr>
        <w:t xml:space="preserve"> financing of political parties.</w:t>
      </w:r>
      <w:r w:rsidR="00FA1758" w:rsidRPr="00FA1758">
        <w:rPr>
          <w:rFonts w:cs="Arial"/>
          <w:b/>
          <w:lang w:val="en-US"/>
        </w:rPr>
        <w:t xml:space="preserve"> </w:t>
      </w:r>
      <w:r w:rsidR="00E27A70" w:rsidRPr="00C77F71">
        <w:rPr>
          <w:rFonts w:cs="Arial"/>
          <w:i/>
          <w:lang w:val="en-US"/>
        </w:rPr>
        <w:t>(See Recommendation #</w:t>
      </w:r>
      <w:r w:rsidR="00C77F71" w:rsidRPr="00C77F71">
        <w:rPr>
          <w:rFonts w:cs="Arial"/>
          <w:i/>
          <w:lang w:val="en-US"/>
        </w:rPr>
        <w:t xml:space="preserve"> </w:t>
      </w:r>
      <w:r w:rsidR="001A6EA1">
        <w:rPr>
          <w:rFonts w:cs="Arial"/>
          <w:i/>
          <w:lang w:val="en-US"/>
        </w:rPr>
        <w:t>5</w:t>
      </w:r>
      <w:r w:rsidR="00E27A70" w:rsidRPr="00C77F71">
        <w:rPr>
          <w:rFonts w:cs="Arial"/>
          <w:i/>
          <w:lang w:val="en-US"/>
        </w:rPr>
        <w:t>)</w:t>
      </w:r>
    </w:p>
    <w:p w14:paraId="044695D3" w14:textId="77777777" w:rsidR="00C77F71" w:rsidRDefault="00C77F71" w:rsidP="00C77F71">
      <w:pPr>
        <w:spacing w:after="0"/>
        <w:rPr>
          <w:rFonts w:cs="Arial"/>
          <w:lang w:val="en-GB"/>
        </w:rPr>
      </w:pPr>
    </w:p>
    <w:p w14:paraId="22EE7BE6" w14:textId="77777777" w:rsidR="00942298" w:rsidRDefault="006E36A6" w:rsidP="00C77F71">
      <w:pPr>
        <w:spacing w:after="0"/>
        <w:rPr>
          <w:i/>
          <w:lang w:val="en-US"/>
        </w:rPr>
      </w:pPr>
      <w:r>
        <w:rPr>
          <w:lang w:val="en-US"/>
        </w:rPr>
        <w:t>Reforming the funding and regulatory framework of political parties needs to be supplemented by inter-party collaborative facilitation and t</w:t>
      </w:r>
      <w:r w:rsidR="00DF28D8" w:rsidRPr="00CD56B9">
        <w:rPr>
          <w:lang w:val="en-US"/>
        </w:rPr>
        <w:t xml:space="preserve">he support </w:t>
      </w:r>
      <w:r w:rsidR="00DF28D8">
        <w:rPr>
          <w:lang w:val="en-US"/>
        </w:rPr>
        <w:t xml:space="preserve">to political parties </w:t>
      </w:r>
      <w:r w:rsidR="0085015D">
        <w:rPr>
          <w:lang w:val="en-US"/>
        </w:rPr>
        <w:t xml:space="preserve">through CMD </w:t>
      </w:r>
      <w:r w:rsidR="00DF28D8" w:rsidRPr="00CD56B9">
        <w:rPr>
          <w:lang w:val="en-US"/>
        </w:rPr>
        <w:t xml:space="preserve">remains relevant, </w:t>
      </w:r>
      <w:r w:rsidR="00DF28D8">
        <w:rPr>
          <w:lang w:val="en-US"/>
        </w:rPr>
        <w:t xml:space="preserve">even if there is a delay in the new </w:t>
      </w:r>
      <w:r>
        <w:rPr>
          <w:lang w:val="en-US"/>
        </w:rPr>
        <w:t>PPRR B</w:t>
      </w:r>
      <w:r w:rsidR="00DF28D8">
        <w:rPr>
          <w:lang w:val="en-US"/>
        </w:rPr>
        <w:t xml:space="preserve">ill. </w:t>
      </w:r>
      <w:r w:rsidR="0085015D">
        <w:rPr>
          <w:lang w:val="en-US"/>
        </w:rPr>
        <w:t xml:space="preserve">There is a need for </w:t>
      </w:r>
      <w:r w:rsidR="0085015D" w:rsidRPr="0085015D">
        <w:rPr>
          <w:lang w:val="en-US"/>
        </w:rPr>
        <w:t xml:space="preserve">long-term support to the </w:t>
      </w:r>
      <w:r w:rsidR="0085015D">
        <w:rPr>
          <w:lang w:val="en-US"/>
        </w:rPr>
        <w:t>collaborative efforts of the political parties</w:t>
      </w:r>
      <w:r w:rsidR="0085015D" w:rsidRPr="0085015D">
        <w:rPr>
          <w:lang w:val="en-US"/>
        </w:rPr>
        <w:t xml:space="preserve"> as a whole to help parties and factions to work </w:t>
      </w:r>
      <w:r w:rsidR="00D61396" w:rsidRPr="0085015D">
        <w:rPr>
          <w:lang w:val="en-US"/>
        </w:rPr>
        <w:lastRenderedPageBreak/>
        <w:t>together</w:t>
      </w:r>
      <w:r w:rsidR="0085015D" w:rsidRPr="0085015D">
        <w:rPr>
          <w:lang w:val="en-US"/>
        </w:rPr>
        <w:t xml:space="preserve"> </w:t>
      </w:r>
      <w:r w:rsidR="00942298">
        <w:rPr>
          <w:lang w:val="en-US"/>
        </w:rPr>
        <w:t xml:space="preserve">by offering </w:t>
      </w:r>
      <w:r w:rsidR="0085015D">
        <w:rPr>
          <w:lang w:val="en-US"/>
        </w:rPr>
        <w:t xml:space="preserve">a </w:t>
      </w:r>
      <w:r w:rsidR="00942298">
        <w:rPr>
          <w:lang w:val="en-US"/>
        </w:rPr>
        <w:t xml:space="preserve">supplementary </w:t>
      </w:r>
      <w:r w:rsidR="0085015D">
        <w:rPr>
          <w:lang w:val="en-US"/>
        </w:rPr>
        <w:t xml:space="preserve">neutral platform </w:t>
      </w:r>
      <w:r w:rsidR="0085015D" w:rsidRPr="0085015D">
        <w:rPr>
          <w:lang w:val="en-US"/>
        </w:rPr>
        <w:t xml:space="preserve">where politicians can get together to discuss issues </w:t>
      </w:r>
      <w:r w:rsidR="00942298">
        <w:rPr>
          <w:lang w:val="en-US"/>
        </w:rPr>
        <w:t>away from</w:t>
      </w:r>
      <w:r w:rsidR="0085015D">
        <w:rPr>
          <w:lang w:val="en-US"/>
        </w:rPr>
        <w:t xml:space="preserve"> public arenas such as the P</w:t>
      </w:r>
      <w:r w:rsidR="0085015D" w:rsidRPr="0085015D">
        <w:rPr>
          <w:lang w:val="en-US"/>
        </w:rPr>
        <w:t>arliament and the media.</w:t>
      </w:r>
      <w:r w:rsidR="00D61396">
        <w:rPr>
          <w:lang w:val="en-US"/>
        </w:rPr>
        <w:t xml:space="preserve"> </w:t>
      </w:r>
      <w:r w:rsidR="00942298" w:rsidRPr="00CD56B9">
        <w:rPr>
          <w:lang w:val="en-US"/>
        </w:rPr>
        <w:t xml:space="preserve">The failure to mobilize and increase the number of female MP candidates and the number of elected female MPs, </w:t>
      </w:r>
      <w:r w:rsidR="00942298">
        <w:rPr>
          <w:lang w:val="en-US"/>
        </w:rPr>
        <w:t xml:space="preserve">illustrates the </w:t>
      </w:r>
      <w:r w:rsidR="00942298" w:rsidRPr="00CD56B9">
        <w:rPr>
          <w:lang w:val="en-US"/>
        </w:rPr>
        <w:t xml:space="preserve">need to use all venues of support to gender equality in politics, and the new MoU between CMD and UN Women </w:t>
      </w:r>
      <w:r w:rsidR="00942298">
        <w:rPr>
          <w:lang w:val="en-US"/>
        </w:rPr>
        <w:t>opens up for a</w:t>
      </w:r>
      <w:r w:rsidR="00942298" w:rsidRPr="00CD56B9">
        <w:rPr>
          <w:lang w:val="en-US"/>
        </w:rPr>
        <w:t xml:space="preserve">n important </w:t>
      </w:r>
      <w:r w:rsidR="00942298">
        <w:rPr>
          <w:lang w:val="en-US"/>
        </w:rPr>
        <w:t xml:space="preserve">partnership for </w:t>
      </w:r>
      <w:r w:rsidR="007E7D39">
        <w:rPr>
          <w:lang w:val="en-US"/>
        </w:rPr>
        <w:t>addressing</w:t>
      </w:r>
      <w:r w:rsidR="00942298">
        <w:rPr>
          <w:lang w:val="en-US"/>
        </w:rPr>
        <w:t xml:space="preserve"> </w:t>
      </w:r>
      <w:r w:rsidR="00942298" w:rsidRPr="00CD56B9">
        <w:rPr>
          <w:lang w:val="en-US"/>
        </w:rPr>
        <w:t>the participation of women in politics.</w:t>
      </w:r>
      <w:r w:rsidR="00FA1758" w:rsidRPr="00FA1758">
        <w:rPr>
          <w:rFonts w:cs="Arial"/>
          <w:b/>
          <w:lang w:val="en-US"/>
        </w:rPr>
        <w:t xml:space="preserve"> </w:t>
      </w:r>
      <w:r w:rsidR="00E27A70" w:rsidRPr="00C77F71">
        <w:rPr>
          <w:i/>
          <w:lang w:val="en-US"/>
        </w:rPr>
        <w:t>(See Recommendation #</w:t>
      </w:r>
      <w:r w:rsidR="00C77F71" w:rsidRPr="00C77F71">
        <w:rPr>
          <w:i/>
          <w:lang w:val="en-US"/>
        </w:rPr>
        <w:t xml:space="preserve"> </w:t>
      </w:r>
      <w:r w:rsidR="001A6EA1">
        <w:rPr>
          <w:i/>
          <w:lang w:val="en-US"/>
        </w:rPr>
        <w:t>6</w:t>
      </w:r>
      <w:r w:rsidR="00E27A70" w:rsidRPr="00C77F71">
        <w:rPr>
          <w:i/>
          <w:lang w:val="en-US"/>
        </w:rPr>
        <w:t>)</w:t>
      </w:r>
    </w:p>
    <w:p w14:paraId="3213DB88" w14:textId="77777777" w:rsidR="00C77F71" w:rsidRDefault="00C77F71" w:rsidP="00C77F71">
      <w:pPr>
        <w:spacing w:after="0"/>
        <w:rPr>
          <w:lang w:val="en-US"/>
        </w:rPr>
      </w:pPr>
    </w:p>
    <w:p w14:paraId="3ED9B3FE" w14:textId="77777777" w:rsidR="00DF28D8" w:rsidRPr="00C77F71" w:rsidRDefault="00D61396" w:rsidP="006772A2">
      <w:pPr>
        <w:spacing w:after="0"/>
        <w:rPr>
          <w:i/>
          <w:lang w:val="en-US"/>
        </w:rPr>
      </w:pPr>
      <w:r>
        <w:rPr>
          <w:lang w:val="en-US"/>
        </w:rPr>
        <w:t xml:space="preserve">The </w:t>
      </w:r>
      <w:r w:rsidR="00942298">
        <w:rPr>
          <w:lang w:val="en-US"/>
        </w:rPr>
        <w:t xml:space="preserve">elections of new District and City Councils also create a need for support to local party politicians. Similar to the national MPs, </w:t>
      </w:r>
      <w:r w:rsidR="00942298" w:rsidRPr="00942298">
        <w:rPr>
          <w:lang w:val="en-US"/>
        </w:rPr>
        <w:t xml:space="preserve">council members need to be able to work collaboratively with each other, and </w:t>
      </w:r>
      <w:r w:rsidR="00A76DC5">
        <w:rPr>
          <w:lang w:val="en-US"/>
        </w:rPr>
        <w:t xml:space="preserve">a neutral </w:t>
      </w:r>
      <w:r w:rsidR="00A76DC5" w:rsidRPr="00942298">
        <w:rPr>
          <w:lang w:val="en-US"/>
        </w:rPr>
        <w:t>space for productive discussion</w:t>
      </w:r>
      <w:r w:rsidR="00A76DC5">
        <w:rPr>
          <w:lang w:val="en-US"/>
        </w:rPr>
        <w:t>s</w:t>
      </w:r>
      <w:r w:rsidR="00A76DC5" w:rsidRPr="00942298">
        <w:rPr>
          <w:lang w:val="en-US"/>
        </w:rPr>
        <w:t xml:space="preserve"> outside of pubic council meetings</w:t>
      </w:r>
      <w:r w:rsidR="00A76DC5">
        <w:rPr>
          <w:lang w:val="en-US"/>
        </w:rPr>
        <w:t xml:space="preserve"> would benefit </w:t>
      </w:r>
      <w:r w:rsidR="00942298">
        <w:rPr>
          <w:lang w:val="en-US"/>
        </w:rPr>
        <w:t xml:space="preserve">such </w:t>
      </w:r>
      <w:r w:rsidR="00A76DC5">
        <w:rPr>
          <w:lang w:val="en-US"/>
        </w:rPr>
        <w:t>collaboration</w:t>
      </w:r>
      <w:r w:rsidR="00942298" w:rsidRPr="00942298">
        <w:rPr>
          <w:lang w:val="en-US"/>
        </w:rPr>
        <w:t>.</w:t>
      </w:r>
      <w:r w:rsidR="00942298">
        <w:rPr>
          <w:lang w:val="en-US"/>
        </w:rPr>
        <w:t xml:space="preserve"> UNDP should discuss with CMD, </w:t>
      </w:r>
      <w:r w:rsidR="00A76DC5">
        <w:rPr>
          <w:lang w:val="en-US"/>
        </w:rPr>
        <w:t xml:space="preserve">which institutions have a sound </w:t>
      </w:r>
      <w:r w:rsidR="00A76DC5" w:rsidRPr="005B28C7">
        <w:rPr>
          <w:lang w:val="en-US"/>
        </w:rPr>
        <w:t xml:space="preserve">understanding of local conditions and problems and </w:t>
      </w:r>
      <w:r w:rsidR="009409B7">
        <w:rPr>
          <w:lang w:val="en-US"/>
        </w:rPr>
        <w:t>have adequate</w:t>
      </w:r>
      <w:r w:rsidR="00A76DC5" w:rsidRPr="005B28C7">
        <w:rPr>
          <w:lang w:val="en-US"/>
        </w:rPr>
        <w:t xml:space="preserve"> skills to broker political relationships</w:t>
      </w:r>
      <w:r w:rsidR="009409B7">
        <w:rPr>
          <w:lang w:val="en-US"/>
        </w:rPr>
        <w:t xml:space="preserve"> locally</w:t>
      </w:r>
      <w:r w:rsidR="00A76DC5">
        <w:rPr>
          <w:lang w:val="en-US"/>
        </w:rPr>
        <w:t xml:space="preserve">, perhaps in partnership with NIMD or DIPD. </w:t>
      </w:r>
      <w:r w:rsidR="00E27A70" w:rsidRPr="00C77F71">
        <w:rPr>
          <w:i/>
          <w:lang w:val="en-US"/>
        </w:rPr>
        <w:t>(See Recommendation #</w:t>
      </w:r>
      <w:r w:rsidR="00C77F71" w:rsidRPr="00C77F71">
        <w:rPr>
          <w:i/>
          <w:lang w:val="en-US"/>
        </w:rPr>
        <w:t xml:space="preserve"> </w:t>
      </w:r>
      <w:r w:rsidR="001A6EA1">
        <w:rPr>
          <w:i/>
          <w:lang w:val="en-US"/>
        </w:rPr>
        <w:t>7</w:t>
      </w:r>
      <w:r w:rsidR="00E27A70" w:rsidRPr="00C77F71">
        <w:rPr>
          <w:i/>
          <w:lang w:val="en-US"/>
        </w:rPr>
        <w:t>)</w:t>
      </w:r>
    </w:p>
    <w:p w14:paraId="40DAEAF8" w14:textId="77777777" w:rsidR="006772A2" w:rsidRDefault="006772A2" w:rsidP="00ED1E29">
      <w:pPr>
        <w:spacing w:after="0"/>
        <w:rPr>
          <w:lang w:val="en-US"/>
        </w:rPr>
      </w:pPr>
    </w:p>
    <w:p w14:paraId="297501D0" w14:textId="77777777" w:rsidR="00473773" w:rsidRDefault="00D30FC9" w:rsidP="00DC0B76">
      <w:pPr>
        <w:pStyle w:val="Overskrift3"/>
        <w:rPr>
          <w:lang w:val="en-US"/>
        </w:rPr>
      </w:pPr>
      <w:r>
        <w:rPr>
          <w:lang w:val="en-US"/>
        </w:rPr>
        <w:t xml:space="preserve"> </w:t>
      </w:r>
      <w:bookmarkStart w:id="38" w:name="_Toc439245590"/>
      <w:r w:rsidR="00DC0B76" w:rsidRPr="00DC0B76">
        <w:rPr>
          <w:lang w:val="en-US"/>
        </w:rPr>
        <w:t xml:space="preserve">4.1.4 </w:t>
      </w:r>
      <w:r w:rsidR="006B3ED3" w:rsidRPr="00DC0B76">
        <w:rPr>
          <w:lang w:val="en-US"/>
        </w:rPr>
        <w:t>Human Rights</w:t>
      </w:r>
      <w:bookmarkEnd w:id="38"/>
    </w:p>
    <w:p w14:paraId="08D35A9D" w14:textId="77777777" w:rsidR="006772A2" w:rsidRDefault="006772A2" w:rsidP="006772A2">
      <w:pPr>
        <w:spacing w:after="0"/>
        <w:rPr>
          <w:lang w:val="en-US"/>
        </w:rPr>
      </w:pPr>
    </w:p>
    <w:p w14:paraId="2F47E88B" w14:textId="77777777" w:rsidR="00046998" w:rsidRPr="00CD56B9" w:rsidRDefault="00341682" w:rsidP="00D97E11">
      <w:pPr>
        <w:rPr>
          <w:lang w:val="en-US"/>
        </w:rPr>
      </w:pPr>
      <w:r w:rsidRPr="00CD56B9">
        <w:rPr>
          <w:lang w:val="en-US"/>
        </w:rPr>
        <w:t>The UN s</w:t>
      </w:r>
      <w:r w:rsidR="00046998" w:rsidRPr="00CD56B9">
        <w:rPr>
          <w:lang w:val="en-US"/>
        </w:rPr>
        <w:t xml:space="preserve">upport </w:t>
      </w:r>
      <w:r w:rsidRPr="00CD56B9">
        <w:rPr>
          <w:lang w:val="en-US"/>
        </w:rPr>
        <w:t xml:space="preserve">to human rights in Malawi is currently </w:t>
      </w:r>
      <w:r w:rsidR="006E19B0" w:rsidRPr="00CD56B9">
        <w:rPr>
          <w:lang w:val="en-US"/>
        </w:rPr>
        <w:t>centered</w:t>
      </w:r>
      <w:r w:rsidR="00046998" w:rsidRPr="00CD56B9">
        <w:rPr>
          <w:lang w:val="en-US"/>
        </w:rPr>
        <w:t xml:space="preserve"> </w:t>
      </w:r>
      <w:r w:rsidR="006A75B6" w:rsidRPr="00CD56B9">
        <w:rPr>
          <w:lang w:val="en-US"/>
        </w:rPr>
        <w:t>on</w:t>
      </w:r>
      <w:r w:rsidR="00046998" w:rsidRPr="00CD56B9">
        <w:rPr>
          <w:lang w:val="en-US"/>
        </w:rPr>
        <w:t xml:space="preserve"> MHRC</w:t>
      </w:r>
      <w:r w:rsidRPr="00CD56B9">
        <w:rPr>
          <w:lang w:val="en-US"/>
        </w:rPr>
        <w:t xml:space="preserve"> as </w:t>
      </w:r>
      <w:r w:rsidR="004B65E7" w:rsidRPr="00CD56B9">
        <w:rPr>
          <w:lang w:val="en-US"/>
        </w:rPr>
        <w:t xml:space="preserve">the lead </w:t>
      </w:r>
      <w:r w:rsidRPr="00CD56B9">
        <w:rPr>
          <w:lang w:val="en-US"/>
        </w:rPr>
        <w:t xml:space="preserve">human rights institution. The progress in the support rendered to MHRC presented in chapter three, suggests good and steady achievements </w:t>
      </w:r>
      <w:r w:rsidR="00D97E11" w:rsidRPr="00CD56B9">
        <w:rPr>
          <w:lang w:val="en-US"/>
        </w:rPr>
        <w:t>in the areas defined by the support project, including the participatory drafting of the new gender responsive national human rights action plan</w:t>
      </w:r>
      <w:r w:rsidR="0015542E">
        <w:rPr>
          <w:lang w:val="en-US"/>
        </w:rPr>
        <w:t xml:space="preserve">, which is also affirming </w:t>
      </w:r>
      <w:r w:rsidR="0015542E" w:rsidRPr="00CD56B9">
        <w:rPr>
          <w:lang w:val="en-US"/>
        </w:rPr>
        <w:t>the target indicator on NAP in the UNDAF Outcome 4.1 framework</w:t>
      </w:r>
      <w:r w:rsidR="0015542E">
        <w:rPr>
          <w:lang w:val="en-US"/>
        </w:rPr>
        <w:t>. P</w:t>
      </w:r>
      <w:r w:rsidR="00D97E11" w:rsidRPr="00CD56B9">
        <w:rPr>
          <w:lang w:val="en-US"/>
        </w:rPr>
        <w:t>ub</w:t>
      </w:r>
      <w:r w:rsidR="0015542E">
        <w:rPr>
          <w:lang w:val="en-US"/>
        </w:rPr>
        <w:t>lishing of state party reports</w:t>
      </w:r>
      <w:r w:rsidR="00D97E11" w:rsidRPr="00CD56B9">
        <w:rPr>
          <w:lang w:val="en-US"/>
        </w:rPr>
        <w:t xml:space="preserve"> and UPR</w:t>
      </w:r>
      <w:r w:rsidR="0015542E">
        <w:rPr>
          <w:lang w:val="en-US"/>
        </w:rPr>
        <w:t>s</w:t>
      </w:r>
      <w:r w:rsidR="00D97E11" w:rsidRPr="00CD56B9">
        <w:rPr>
          <w:lang w:val="en-US"/>
        </w:rPr>
        <w:t xml:space="preserve"> </w:t>
      </w:r>
      <w:r w:rsidR="0015542E">
        <w:rPr>
          <w:lang w:val="en-US"/>
        </w:rPr>
        <w:t>has</w:t>
      </w:r>
      <w:r w:rsidR="00D97E11" w:rsidRPr="00CD56B9">
        <w:rPr>
          <w:lang w:val="en-US"/>
        </w:rPr>
        <w:t xml:space="preserve"> </w:t>
      </w:r>
      <w:r w:rsidR="0015542E">
        <w:rPr>
          <w:lang w:val="en-US"/>
        </w:rPr>
        <w:t xml:space="preserve">also </w:t>
      </w:r>
      <w:r w:rsidR="00D97E11" w:rsidRPr="00CD56B9">
        <w:rPr>
          <w:lang w:val="en-US"/>
        </w:rPr>
        <w:t>improved in a participatory and consultative manner.</w:t>
      </w:r>
    </w:p>
    <w:p w14:paraId="74B0D61D" w14:textId="77777777" w:rsidR="00D97E11" w:rsidRPr="00CD56B9" w:rsidRDefault="002F62CA" w:rsidP="00D97E11">
      <w:pPr>
        <w:rPr>
          <w:lang w:val="en-US"/>
        </w:rPr>
      </w:pPr>
      <w:r>
        <w:rPr>
          <w:lang w:val="en-US"/>
        </w:rPr>
        <w:t>Meanwhile</w:t>
      </w:r>
      <w:r w:rsidR="00D97E11" w:rsidRPr="00CD56B9">
        <w:rPr>
          <w:lang w:val="en-US"/>
        </w:rPr>
        <w:t xml:space="preserve">, </w:t>
      </w:r>
      <w:r w:rsidR="006E7883" w:rsidRPr="00CD56B9">
        <w:rPr>
          <w:lang w:val="en-US"/>
        </w:rPr>
        <w:t>critical</w:t>
      </w:r>
      <w:r w:rsidR="00D97E11" w:rsidRPr="00CD56B9">
        <w:rPr>
          <w:lang w:val="en-US"/>
        </w:rPr>
        <w:t xml:space="preserve"> human rights issues remain to be addressed in Malawi</w:t>
      </w:r>
      <w:r w:rsidR="008D7320" w:rsidRPr="00CD56B9">
        <w:rPr>
          <w:lang w:val="en-US"/>
        </w:rPr>
        <w:t xml:space="preserve">, including </w:t>
      </w:r>
      <w:r w:rsidR="00180E69">
        <w:rPr>
          <w:lang w:val="en-US"/>
        </w:rPr>
        <w:t xml:space="preserve">issues pertaining to </w:t>
      </w:r>
      <w:r w:rsidR="00DB47ED" w:rsidRPr="00CD56B9">
        <w:rPr>
          <w:lang w:val="en-US"/>
        </w:rPr>
        <w:t xml:space="preserve">access to justice, abusive law enforcement, women’s and children’s rights, labour rights </w:t>
      </w:r>
      <w:r w:rsidR="008D7320" w:rsidRPr="00CD56B9">
        <w:rPr>
          <w:lang w:val="en-US"/>
        </w:rPr>
        <w:t>and the rights of LGBT pe</w:t>
      </w:r>
      <w:r>
        <w:rPr>
          <w:lang w:val="en-US"/>
        </w:rPr>
        <w:t>rsons</w:t>
      </w:r>
      <w:r w:rsidR="008D7320" w:rsidRPr="00CD56B9">
        <w:rPr>
          <w:lang w:val="en-US"/>
        </w:rPr>
        <w:t xml:space="preserve">. </w:t>
      </w:r>
      <w:r>
        <w:rPr>
          <w:lang w:val="en-US"/>
        </w:rPr>
        <w:t>I</w:t>
      </w:r>
      <w:r w:rsidRPr="00CD56B9">
        <w:rPr>
          <w:lang w:val="en-US"/>
        </w:rPr>
        <w:t>ndependent observers</w:t>
      </w:r>
      <w:r>
        <w:rPr>
          <w:lang w:val="en-US"/>
        </w:rPr>
        <w:t xml:space="preserve"> </w:t>
      </w:r>
      <w:r w:rsidR="004E6FA2" w:rsidRPr="00CD56B9">
        <w:rPr>
          <w:lang w:val="en-US"/>
        </w:rPr>
        <w:t>have</w:t>
      </w:r>
      <w:r w:rsidR="0085463A" w:rsidRPr="00CD56B9">
        <w:rPr>
          <w:lang w:val="en-US"/>
        </w:rPr>
        <w:t xml:space="preserve"> </w:t>
      </w:r>
      <w:r w:rsidR="00F75178">
        <w:rPr>
          <w:lang w:val="en-US"/>
        </w:rPr>
        <w:t xml:space="preserve">also </w:t>
      </w:r>
      <w:r>
        <w:rPr>
          <w:lang w:val="en-US"/>
        </w:rPr>
        <w:t xml:space="preserve">questioned </w:t>
      </w:r>
      <w:r w:rsidR="005D025F">
        <w:rPr>
          <w:lang w:val="en-US"/>
        </w:rPr>
        <w:t>the independence of M</w:t>
      </w:r>
      <w:r w:rsidR="00D97E11" w:rsidRPr="00CD56B9">
        <w:rPr>
          <w:lang w:val="en-US"/>
        </w:rPr>
        <w:t xml:space="preserve">HRC </w:t>
      </w:r>
      <w:r w:rsidR="005D025F">
        <w:rPr>
          <w:lang w:val="en-US"/>
        </w:rPr>
        <w:t xml:space="preserve">from government interference </w:t>
      </w:r>
      <w:r w:rsidR="00D97E11" w:rsidRPr="00CD56B9">
        <w:rPr>
          <w:lang w:val="en-US"/>
        </w:rPr>
        <w:t xml:space="preserve">and </w:t>
      </w:r>
      <w:r>
        <w:rPr>
          <w:lang w:val="en-US"/>
        </w:rPr>
        <w:t xml:space="preserve">the </w:t>
      </w:r>
      <w:r w:rsidR="006C74C6">
        <w:rPr>
          <w:lang w:val="en-US"/>
        </w:rPr>
        <w:t>Commission’s</w:t>
      </w:r>
      <w:r>
        <w:rPr>
          <w:lang w:val="en-US"/>
        </w:rPr>
        <w:t xml:space="preserve"> </w:t>
      </w:r>
      <w:r w:rsidR="00D97E11" w:rsidRPr="00CD56B9">
        <w:rPr>
          <w:lang w:val="en-US"/>
        </w:rPr>
        <w:t xml:space="preserve">ability to </w:t>
      </w:r>
      <w:r w:rsidR="00F247F8">
        <w:rPr>
          <w:lang w:val="en-US"/>
        </w:rPr>
        <w:t xml:space="preserve">display </w:t>
      </w:r>
      <w:r w:rsidR="00F247F8" w:rsidRPr="00CD56B9">
        <w:rPr>
          <w:lang w:val="en-US"/>
        </w:rPr>
        <w:t>leadership</w:t>
      </w:r>
      <w:r w:rsidR="006C74C6">
        <w:rPr>
          <w:lang w:val="en-US"/>
        </w:rPr>
        <w:t xml:space="preserve"> in </w:t>
      </w:r>
      <w:r w:rsidR="00D97E11" w:rsidRPr="00CD56B9">
        <w:rPr>
          <w:lang w:val="en-US"/>
        </w:rPr>
        <w:t xml:space="preserve">emerging human rights </w:t>
      </w:r>
      <w:r w:rsidR="00D8743C" w:rsidRPr="00CD56B9">
        <w:rPr>
          <w:lang w:val="en-US"/>
        </w:rPr>
        <w:t>issues</w:t>
      </w:r>
      <w:r w:rsidR="008B276D">
        <w:rPr>
          <w:lang w:val="en-US"/>
        </w:rPr>
        <w:t xml:space="preserve"> according to its constitutional obligations</w:t>
      </w:r>
      <w:r w:rsidR="00D8743C" w:rsidRPr="00CD56B9">
        <w:rPr>
          <w:lang w:val="en-US"/>
        </w:rPr>
        <w:t>.</w:t>
      </w:r>
      <w:r w:rsidR="005D025F" w:rsidRPr="005D025F">
        <w:rPr>
          <w:lang w:val="en-US"/>
        </w:rPr>
        <w:t xml:space="preserve"> </w:t>
      </w:r>
      <w:r w:rsidR="005D025F" w:rsidRPr="00CD56B9">
        <w:rPr>
          <w:lang w:val="en-US"/>
        </w:rPr>
        <w:t xml:space="preserve">DPs </w:t>
      </w:r>
      <w:r w:rsidR="006C74C6">
        <w:rPr>
          <w:lang w:val="en-US"/>
        </w:rPr>
        <w:t xml:space="preserve">reiterated such viewpoints </w:t>
      </w:r>
      <w:r w:rsidR="005D025F" w:rsidRPr="00CD56B9">
        <w:rPr>
          <w:lang w:val="en-US"/>
        </w:rPr>
        <w:t xml:space="preserve">during </w:t>
      </w:r>
      <w:r w:rsidR="006C74C6">
        <w:rPr>
          <w:lang w:val="en-US"/>
        </w:rPr>
        <w:t xml:space="preserve">the MTE interviews. </w:t>
      </w:r>
      <w:r w:rsidR="006C74C6">
        <w:rPr>
          <w:rStyle w:val="Fodnotehenvisning"/>
        </w:rPr>
        <w:footnoteReference w:id="35"/>
      </w:r>
    </w:p>
    <w:p w14:paraId="3F130A86" w14:textId="77777777" w:rsidR="00D97E11" w:rsidRPr="00CD56B9" w:rsidRDefault="00946190" w:rsidP="00D97E11">
      <w:pPr>
        <w:rPr>
          <w:lang w:val="en-US"/>
        </w:rPr>
      </w:pPr>
      <w:r>
        <w:rPr>
          <w:lang w:val="en-US"/>
        </w:rPr>
        <w:t xml:space="preserve">It is beyond this assessment to enter into all corners of </w:t>
      </w:r>
      <w:r w:rsidR="00261753">
        <w:rPr>
          <w:lang w:val="en-US"/>
        </w:rPr>
        <w:t xml:space="preserve">critical </w:t>
      </w:r>
      <w:r>
        <w:rPr>
          <w:lang w:val="en-US"/>
        </w:rPr>
        <w:t xml:space="preserve">human rights issues </w:t>
      </w:r>
      <w:r w:rsidR="00904C92">
        <w:rPr>
          <w:lang w:val="en-US"/>
        </w:rPr>
        <w:t xml:space="preserve">which the MHRC </w:t>
      </w:r>
      <w:r w:rsidR="00F96FF8">
        <w:rPr>
          <w:lang w:val="en-US"/>
        </w:rPr>
        <w:t xml:space="preserve">already </w:t>
      </w:r>
      <w:r w:rsidR="00904C92">
        <w:rPr>
          <w:lang w:val="en-US"/>
        </w:rPr>
        <w:t>is or should be engaging with</w:t>
      </w:r>
      <w:r w:rsidR="00261753">
        <w:rPr>
          <w:lang w:val="en-US"/>
        </w:rPr>
        <w:t xml:space="preserve">, </w:t>
      </w:r>
      <w:r w:rsidR="005D41B2">
        <w:rPr>
          <w:lang w:val="en-US"/>
        </w:rPr>
        <w:t xml:space="preserve">except to highlight a few </w:t>
      </w:r>
      <w:r w:rsidR="00435014">
        <w:rPr>
          <w:lang w:val="en-US"/>
        </w:rPr>
        <w:t xml:space="preserve">key areas </w:t>
      </w:r>
      <w:r w:rsidR="005D41B2">
        <w:rPr>
          <w:lang w:val="en-US"/>
        </w:rPr>
        <w:t xml:space="preserve">here. </w:t>
      </w:r>
      <w:r w:rsidR="00D8743C" w:rsidRPr="00CD56B9">
        <w:rPr>
          <w:lang w:val="en-US"/>
        </w:rPr>
        <w:t xml:space="preserve">During its first UPR in 2010, Malawi acknowledged that steps needs to </w:t>
      </w:r>
      <w:r w:rsidR="00781DC4" w:rsidRPr="00CD56B9">
        <w:rPr>
          <w:lang w:val="en-US"/>
        </w:rPr>
        <w:t xml:space="preserve">be </w:t>
      </w:r>
      <w:r w:rsidR="00D8743C" w:rsidRPr="00CD56B9">
        <w:rPr>
          <w:lang w:val="en-US"/>
        </w:rPr>
        <w:t>take</w:t>
      </w:r>
      <w:r w:rsidR="00781DC4" w:rsidRPr="00CD56B9">
        <w:rPr>
          <w:lang w:val="en-US"/>
        </w:rPr>
        <w:t>n</w:t>
      </w:r>
      <w:r w:rsidR="00D8743C" w:rsidRPr="00CD56B9">
        <w:rPr>
          <w:lang w:val="en-US"/>
        </w:rPr>
        <w:t xml:space="preserve"> to fulfil the constitutional right of women to full and equal protection of the law, and non-discrimination </w:t>
      </w:r>
      <w:r w:rsidR="003F2CB3" w:rsidRPr="00CD56B9">
        <w:rPr>
          <w:lang w:val="en-US"/>
        </w:rPr>
        <w:t>based on</w:t>
      </w:r>
      <w:r w:rsidR="00D8743C" w:rsidRPr="00CD56B9">
        <w:rPr>
          <w:lang w:val="en-US"/>
        </w:rPr>
        <w:t xml:space="preserve"> gender or marital status. While the government has taken positive steps toward fulfilment of gender equality pledges made in 2010, it </w:t>
      </w:r>
      <w:r w:rsidR="00185338">
        <w:rPr>
          <w:lang w:val="en-US"/>
        </w:rPr>
        <w:t xml:space="preserve">still needs to implement </w:t>
      </w:r>
      <w:r w:rsidR="00D8743C" w:rsidRPr="00CD56B9">
        <w:rPr>
          <w:lang w:val="en-US"/>
        </w:rPr>
        <w:t xml:space="preserve">most of them. Women’s rights in Malawi remain restrained and violence against women widespread. The government has </w:t>
      </w:r>
      <w:r w:rsidR="00DB47ED" w:rsidRPr="00CD56B9">
        <w:rPr>
          <w:lang w:val="en-US"/>
        </w:rPr>
        <w:t xml:space="preserve">also </w:t>
      </w:r>
      <w:r w:rsidR="00D8743C" w:rsidRPr="00CD56B9">
        <w:rPr>
          <w:lang w:val="en-US"/>
        </w:rPr>
        <w:t>failed to curb the country’s high rates of child marriage, which is one of the highest in the world.</w:t>
      </w:r>
      <w:r w:rsidR="00DB47ED" w:rsidRPr="00CD56B9">
        <w:rPr>
          <w:lang w:val="en-US"/>
        </w:rPr>
        <w:t xml:space="preserve"> On average, </w:t>
      </w:r>
      <w:r w:rsidR="00E2429E">
        <w:rPr>
          <w:lang w:val="en-US"/>
        </w:rPr>
        <w:t>every second girl</w:t>
      </w:r>
      <w:r w:rsidR="00DB47ED" w:rsidRPr="00CD56B9">
        <w:rPr>
          <w:lang w:val="en-US"/>
        </w:rPr>
        <w:t xml:space="preserve"> will </w:t>
      </w:r>
      <w:r w:rsidR="00E2429E">
        <w:rPr>
          <w:lang w:val="en-US"/>
        </w:rPr>
        <w:t>be married by her 18th birthday and</w:t>
      </w:r>
      <w:r w:rsidR="00186545" w:rsidRPr="00CD56B9">
        <w:rPr>
          <w:lang w:val="en-US"/>
        </w:rPr>
        <w:t xml:space="preserve"> </w:t>
      </w:r>
      <w:r w:rsidR="00DB47ED" w:rsidRPr="00CD56B9">
        <w:rPr>
          <w:lang w:val="en-US"/>
        </w:rPr>
        <w:t>U</w:t>
      </w:r>
      <w:r w:rsidR="00186545" w:rsidRPr="00CD56B9">
        <w:rPr>
          <w:lang w:val="en-US"/>
        </w:rPr>
        <w:t xml:space="preserve">NFPA </w:t>
      </w:r>
      <w:r w:rsidR="00DB47ED" w:rsidRPr="00CD56B9">
        <w:rPr>
          <w:lang w:val="en-US"/>
        </w:rPr>
        <w:t xml:space="preserve">ranks Malawi eighth of the </w:t>
      </w:r>
      <w:r w:rsidR="00E2429E">
        <w:rPr>
          <w:lang w:val="en-US"/>
        </w:rPr>
        <w:t>twenty</w:t>
      </w:r>
      <w:r w:rsidR="00DB47ED" w:rsidRPr="00CD56B9">
        <w:rPr>
          <w:lang w:val="en-US"/>
        </w:rPr>
        <w:t xml:space="preserve"> countries considered to have the highest rates of child marriage, and notes that there has been little </w:t>
      </w:r>
      <w:r w:rsidR="00AB6238" w:rsidRPr="00CD56B9">
        <w:rPr>
          <w:lang w:val="en-US"/>
        </w:rPr>
        <w:t xml:space="preserve">or </w:t>
      </w:r>
      <w:r w:rsidR="00DB47ED" w:rsidRPr="00CD56B9">
        <w:rPr>
          <w:lang w:val="en-US"/>
        </w:rPr>
        <w:t>no change in child marriage prevalence in the last decade.</w:t>
      </w:r>
    </w:p>
    <w:p w14:paraId="58879769" w14:textId="77777777" w:rsidR="00C5428F" w:rsidRPr="00CD56B9" w:rsidRDefault="0064763B" w:rsidP="00935D53">
      <w:pPr>
        <w:rPr>
          <w:lang w:val="en-US"/>
        </w:rPr>
      </w:pPr>
      <w:r>
        <w:rPr>
          <w:lang w:val="en-US"/>
        </w:rPr>
        <w:t xml:space="preserve">In its </w:t>
      </w:r>
      <w:r w:rsidR="001B0EB8">
        <w:rPr>
          <w:lang w:val="en-US"/>
        </w:rPr>
        <w:t xml:space="preserve">comments to the UPR 2014, </w:t>
      </w:r>
      <w:r w:rsidRPr="00CD56B9">
        <w:rPr>
          <w:lang w:val="en-US"/>
        </w:rPr>
        <w:t xml:space="preserve">Human Right Watch </w:t>
      </w:r>
      <w:r>
        <w:rPr>
          <w:lang w:val="en-US"/>
        </w:rPr>
        <w:t xml:space="preserve">also </w:t>
      </w:r>
      <w:r w:rsidRPr="00CD56B9">
        <w:rPr>
          <w:lang w:val="en-US"/>
        </w:rPr>
        <w:t>noted</w:t>
      </w:r>
      <w:r>
        <w:rPr>
          <w:lang w:val="en-US"/>
        </w:rPr>
        <w:t xml:space="preserve"> serious problems linked to </w:t>
      </w:r>
      <w:r w:rsidR="00185338">
        <w:rPr>
          <w:lang w:val="en-US"/>
        </w:rPr>
        <w:t xml:space="preserve">a </w:t>
      </w:r>
      <w:r w:rsidR="00243B5C">
        <w:rPr>
          <w:lang w:val="en-US"/>
        </w:rPr>
        <w:t xml:space="preserve">lack of assistance to victims of child marriages and GBV and the </w:t>
      </w:r>
      <w:r>
        <w:rPr>
          <w:lang w:val="en-US"/>
        </w:rPr>
        <w:t xml:space="preserve">poor institutional coordination </w:t>
      </w:r>
      <w:r w:rsidR="0095574D" w:rsidRPr="0095574D">
        <w:rPr>
          <w:lang w:val="en-US"/>
        </w:rPr>
        <w:t xml:space="preserve">among government agencies </w:t>
      </w:r>
      <w:r>
        <w:rPr>
          <w:lang w:val="en-US"/>
        </w:rPr>
        <w:t>o</w:t>
      </w:r>
      <w:r w:rsidR="0025435F">
        <w:rPr>
          <w:lang w:val="en-US"/>
        </w:rPr>
        <w:t>n women’s rights</w:t>
      </w:r>
      <w:r w:rsidR="00185338">
        <w:rPr>
          <w:lang w:val="en-US"/>
        </w:rPr>
        <w:t xml:space="preserve">. According to </w:t>
      </w:r>
      <w:r w:rsidR="00996BA2" w:rsidRPr="00996BA2">
        <w:rPr>
          <w:lang w:val="en-US"/>
        </w:rPr>
        <w:t>Human Right Watch</w:t>
      </w:r>
      <w:r w:rsidR="00185338">
        <w:rPr>
          <w:lang w:val="en-US"/>
        </w:rPr>
        <w:t xml:space="preserve"> there is </w:t>
      </w:r>
      <w:r w:rsidR="00846EFF">
        <w:rPr>
          <w:lang w:val="en-US"/>
        </w:rPr>
        <w:t>“</w:t>
      </w:r>
      <w:r w:rsidR="0095574D">
        <w:rPr>
          <w:lang w:val="en-US"/>
        </w:rPr>
        <w:t>l</w:t>
      </w:r>
      <w:r w:rsidR="00C5428F" w:rsidRPr="0095574D">
        <w:rPr>
          <w:lang w:val="en-US"/>
        </w:rPr>
        <w:t xml:space="preserve">ittle or no monitoring of cases handled by officials from these agencies; negligent and dismissive police responses to reports of violence against women; lack of infrastructure, and well-trained personnel in the justice system; and widespread and deep-seated discriminatory attitudes </w:t>
      </w:r>
      <w:r w:rsidR="00C5428F" w:rsidRPr="0095574D">
        <w:rPr>
          <w:lang w:val="en-US"/>
        </w:rPr>
        <w:lastRenderedPageBreak/>
        <w:t>towards women</w:t>
      </w:r>
      <w:r w:rsidR="00846EFF">
        <w:rPr>
          <w:lang w:val="en-US"/>
        </w:rPr>
        <w:t>”</w:t>
      </w:r>
      <w:r w:rsidR="00996BA2">
        <w:rPr>
          <w:rStyle w:val="Fodnotehenvisning"/>
          <w:lang w:val="en-US"/>
        </w:rPr>
        <w:footnoteReference w:id="36"/>
      </w:r>
      <w:r w:rsidR="00C5428F" w:rsidRPr="0095574D">
        <w:rPr>
          <w:lang w:val="en-US"/>
        </w:rPr>
        <w:t xml:space="preserve">. </w:t>
      </w:r>
      <w:r w:rsidR="00385602">
        <w:rPr>
          <w:lang w:val="en-US"/>
        </w:rPr>
        <w:t>These failures are aggravated by in</w:t>
      </w:r>
      <w:r w:rsidR="00C5428F" w:rsidRPr="0095574D">
        <w:rPr>
          <w:lang w:val="en-US"/>
        </w:rPr>
        <w:t xml:space="preserve">sufficient </w:t>
      </w:r>
      <w:r w:rsidR="00385602">
        <w:rPr>
          <w:lang w:val="en-US"/>
        </w:rPr>
        <w:t xml:space="preserve">access to crisis centers where </w:t>
      </w:r>
      <w:r w:rsidR="00C5428F" w:rsidRPr="0095574D">
        <w:rPr>
          <w:lang w:val="en-US"/>
        </w:rPr>
        <w:t>victims of forced marriage and other gender-related abuses can find sh</w:t>
      </w:r>
      <w:r w:rsidR="00385602">
        <w:rPr>
          <w:lang w:val="en-US"/>
        </w:rPr>
        <w:t>elter and protection</w:t>
      </w:r>
      <w:r w:rsidR="00C5428F" w:rsidRPr="00CD56B9">
        <w:rPr>
          <w:lang w:val="en-US"/>
        </w:rPr>
        <w:t>.</w:t>
      </w:r>
    </w:p>
    <w:p w14:paraId="64C88417" w14:textId="77777777" w:rsidR="0087014C" w:rsidRDefault="00C63CD7" w:rsidP="0087014C">
      <w:pPr>
        <w:rPr>
          <w:lang w:val="en-US"/>
        </w:rPr>
      </w:pPr>
      <w:r w:rsidRPr="00CD56B9">
        <w:rPr>
          <w:lang w:val="en-US"/>
        </w:rPr>
        <w:t xml:space="preserve">The </w:t>
      </w:r>
      <w:r w:rsidR="00C5428F" w:rsidRPr="00CD56B9">
        <w:rPr>
          <w:lang w:val="en-US"/>
        </w:rPr>
        <w:t xml:space="preserve">rights of LGBT </w:t>
      </w:r>
      <w:r w:rsidR="002E21E0" w:rsidRPr="00CD56B9">
        <w:rPr>
          <w:lang w:val="en-US"/>
        </w:rPr>
        <w:t>persons</w:t>
      </w:r>
      <w:r w:rsidR="00C5428F" w:rsidRPr="00CD56B9">
        <w:rPr>
          <w:lang w:val="en-US"/>
        </w:rPr>
        <w:t xml:space="preserve"> </w:t>
      </w:r>
      <w:r w:rsidR="0095574D">
        <w:rPr>
          <w:lang w:val="en-US"/>
        </w:rPr>
        <w:t>is</w:t>
      </w:r>
      <w:r w:rsidRPr="00CD56B9">
        <w:rPr>
          <w:lang w:val="en-US"/>
        </w:rPr>
        <w:t xml:space="preserve"> another </w:t>
      </w:r>
      <w:r w:rsidR="00C5428F" w:rsidRPr="00CD56B9">
        <w:rPr>
          <w:lang w:val="en-US"/>
        </w:rPr>
        <w:t>critical</w:t>
      </w:r>
      <w:r w:rsidRPr="00CD56B9">
        <w:rPr>
          <w:lang w:val="en-US"/>
        </w:rPr>
        <w:t xml:space="preserve"> </w:t>
      </w:r>
      <w:r w:rsidR="00C5428F" w:rsidRPr="00CD56B9">
        <w:rPr>
          <w:lang w:val="en-US"/>
        </w:rPr>
        <w:t>area</w:t>
      </w:r>
      <w:r w:rsidRPr="00CD56B9">
        <w:rPr>
          <w:lang w:val="en-US"/>
        </w:rPr>
        <w:t xml:space="preserve">, which </w:t>
      </w:r>
      <w:r w:rsidR="009B404C" w:rsidRPr="00CD56B9">
        <w:rPr>
          <w:lang w:val="en-US"/>
        </w:rPr>
        <w:t xml:space="preserve">Malawi has failed to </w:t>
      </w:r>
      <w:r w:rsidRPr="00CD56B9">
        <w:rPr>
          <w:lang w:val="en-US"/>
        </w:rPr>
        <w:t xml:space="preserve">address despite recommendations made during the UPR </w:t>
      </w:r>
      <w:r w:rsidR="00726DDD" w:rsidRPr="00CD56B9">
        <w:rPr>
          <w:lang w:val="en-US"/>
        </w:rPr>
        <w:t xml:space="preserve">in </w:t>
      </w:r>
      <w:r w:rsidRPr="00CD56B9">
        <w:rPr>
          <w:lang w:val="en-US"/>
        </w:rPr>
        <w:t xml:space="preserve">2010. Malawi has </w:t>
      </w:r>
      <w:r w:rsidR="001E0576" w:rsidRPr="00CD56B9">
        <w:rPr>
          <w:lang w:val="en-US"/>
        </w:rPr>
        <w:t xml:space="preserve">so far </w:t>
      </w:r>
      <w:r w:rsidRPr="00CD56B9">
        <w:rPr>
          <w:lang w:val="en-US"/>
        </w:rPr>
        <w:t xml:space="preserve">rejected to </w:t>
      </w:r>
      <w:r w:rsidR="001E0576" w:rsidRPr="00CD56B9">
        <w:rPr>
          <w:lang w:val="en-US"/>
        </w:rPr>
        <w:t xml:space="preserve">extent </w:t>
      </w:r>
      <w:r w:rsidR="009B404C" w:rsidRPr="00CD56B9">
        <w:rPr>
          <w:lang w:val="en-US"/>
        </w:rPr>
        <w:t xml:space="preserve">individual </w:t>
      </w:r>
      <w:r w:rsidR="001E0576" w:rsidRPr="00CD56B9">
        <w:rPr>
          <w:lang w:val="en-US"/>
        </w:rPr>
        <w:t xml:space="preserve">constitutional rights to liberty, dignity, security and privacy and guarantees against discrimination on all grounds to LGBT </w:t>
      </w:r>
      <w:r w:rsidR="002E21E0" w:rsidRPr="00CD56B9">
        <w:rPr>
          <w:lang w:val="en-US"/>
        </w:rPr>
        <w:t>persons</w:t>
      </w:r>
      <w:r w:rsidR="001E0576" w:rsidRPr="00CD56B9">
        <w:rPr>
          <w:lang w:val="en-US"/>
        </w:rPr>
        <w:t>. Section 15</w:t>
      </w:r>
      <w:r w:rsidR="009003F8" w:rsidRPr="00CD56B9">
        <w:rPr>
          <w:lang w:val="en-US"/>
        </w:rPr>
        <w:t>3 of the Malawian criminal code criminalizes</w:t>
      </w:r>
      <w:r w:rsidR="001E0576" w:rsidRPr="00CD56B9">
        <w:rPr>
          <w:lang w:val="en-US"/>
        </w:rPr>
        <w:t xml:space="preserve"> consensual sexual conduct between </w:t>
      </w:r>
      <w:r w:rsidR="00C5428F" w:rsidRPr="00CD56B9">
        <w:rPr>
          <w:lang w:val="en-US"/>
        </w:rPr>
        <w:t xml:space="preserve">same-sex </w:t>
      </w:r>
      <w:r w:rsidR="001E0576" w:rsidRPr="00CD56B9">
        <w:rPr>
          <w:lang w:val="en-US"/>
        </w:rPr>
        <w:t xml:space="preserve">adults, </w:t>
      </w:r>
      <w:r w:rsidR="009003F8" w:rsidRPr="00CD56B9">
        <w:rPr>
          <w:lang w:val="en-US"/>
        </w:rPr>
        <w:t xml:space="preserve">and </w:t>
      </w:r>
      <w:r w:rsidR="001E0576" w:rsidRPr="00CD56B9">
        <w:rPr>
          <w:lang w:val="en-US"/>
        </w:rPr>
        <w:t>violates the right to privacy</w:t>
      </w:r>
      <w:r w:rsidR="009003F8" w:rsidRPr="00CD56B9">
        <w:rPr>
          <w:lang w:val="en-US"/>
        </w:rPr>
        <w:t xml:space="preserve"> and </w:t>
      </w:r>
      <w:r w:rsidR="001E0576" w:rsidRPr="00CD56B9">
        <w:rPr>
          <w:lang w:val="en-US"/>
        </w:rPr>
        <w:t>non-discrimination and other rights under international law.</w:t>
      </w:r>
      <w:r w:rsidR="009003F8" w:rsidRPr="00CD56B9">
        <w:rPr>
          <w:lang w:val="en-US"/>
        </w:rPr>
        <w:t xml:space="preserve"> </w:t>
      </w:r>
      <w:r w:rsidR="00180D64" w:rsidRPr="00CD56B9">
        <w:rPr>
          <w:lang w:val="en-US"/>
        </w:rPr>
        <w:t>Adults engaged</w:t>
      </w:r>
      <w:r w:rsidR="00C5428F" w:rsidRPr="00CD56B9">
        <w:rPr>
          <w:lang w:val="en-US"/>
        </w:rPr>
        <w:t xml:space="preserve"> </w:t>
      </w:r>
      <w:r w:rsidR="00180D64" w:rsidRPr="00CD56B9">
        <w:rPr>
          <w:lang w:val="en-US"/>
        </w:rPr>
        <w:t>in consensual same-sex sexual activity could face up to 14 years’ imprisonment with hard labour, a</w:t>
      </w:r>
      <w:r w:rsidR="009003F8" w:rsidRPr="00CD56B9">
        <w:rPr>
          <w:lang w:val="en-US"/>
        </w:rPr>
        <w:t xml:space="preserve">lthough arrests </w:t>
      </w:r>
      <w:r w:rsidR="0001598E" w:rsidRPr="00CD56B9">
        <w:rPr>
          <w:lang w:val="en-US"/>
        </w:rPr>
        <w:t>based on</w:t>
      </w:r>
      <w:r w:rsidR="009003F8" w:rsidRPr="00CD56B9">
        <w:rPr>
          <w:lang w:val="en-US"/>
        </w:rPr>
        <w:t xml:space="preserve"> Malawi’s anti-gay laws have been rare</w:t>
      </w:r>
      <w:r w:rsidR="00180D64" w:rsidRPr="00CD56B9">
        <w:rPr>
          <w:lang w:val="en-US"/>
        </w:rPr>
        <w:t xml:space="preserve">. </w:t>
      </w:r>
      <w:r w:rsidR="0095574D" w:rsidRPr="00CD56B9">
        <w:rPr>
          <w:lang w:val="en-US"/>
        </w:rPr>
        <w:t xml:space="preserve">Human Rights Watch </w:t>
      </w:r>
      <w:r w:rsidR="0001598E">
        <w:rPr>
          <w:lang w:val="en-US"/>
        </w:rPr>
        <w:t>warns</w:t>
      </w:r>
      <w:r w:rsidR="0095574D">
        <w:rPr>
          <w:lang w:val="en-US"/>
        </w:rPr>
        <w:t xml:space="preserve"> that </w:t>
      </w:r>
      <w:r w:rsidR="000D4A86" w:rsidRPr="00CD56B9">
        <w:rPr>
          <w:lang w:val="en-US"/>
        </w:rPr>
        <w:t>e</w:t>
      </w:r>
      <w:r w:rsidR="009003F8" w:rsidRPr="00CD56B9">
        <w:rPr>
          <w:lang w:val="en-US"/>
        </w:rPr>
        <w:t>ven unenforced anti-gay laws have adverse consequences, including blackmail, restricted access to health services, and lack of access to justice</w:t>
      </w:r>
      <w:r w:rsidR="00C86302" w:rsidRPr="00CD56B9">
        <w:rPr>
          <w:lang w:val="en-US"/>
        </w:rPr>
        <w:t>. underlines that d</w:t>
      </w:r>
      <w:r w:rsidR="009003F8" w:rsidRPr="00CD56B9">
        <w:rPr>
          <w:lang w:val="en-US"/>
        </w:rPr>
        <w:t xml:space="preserve">ecriminalization </w:t>
      </w:r>
      <w:r w:rsidR="000D4A86" w:rsidRPr="00CD56B9">
        <w:rPr>
          <w:lang w:val="en-US"/>
        </w:rPr>
        <w:t xml:space="preserve">is important, but </w:t>
      </w:r>
      <w:r w:rsidR="009003F8" w:rsidRPr="00CD56B9">
        <w:rPr>
          <w:lang w:val="en-US"/>
        </w:rPr>
        <w:t>needs to be accompanied by a real government commitment to address public homophobia, and support civil society efforts to promote human rights more broadly.</w:t>
      </w:r>
    </w:p>
    <w:p w14:paraId="7B80443D" w14:textId="77777777" w:rsidR="001503D5" w:rsidRPr="002E21E0" w:rsidRDefault="00935D53" w:rsidP="0087014C">
      <w:pPr>
        <w:rPr>
          <w:lang w:val="en-US"/>
        </w:rPr>
      </w:pPr>
      <w:r w:rsidRPr="00CD56B9">
        <w:rPr>
          <w:lang w:val="en-US"/>
        </w:rPr>
        <w:t xml:space="preserve">In </w:t>
      </w:r>
      <w:r w:rsidR="00383A5D">
        <w:rPr>
          <w:lang w:val="en-US"/>
        </w:rPr>
        <w:t>the</w:t>
      </w:r>
      <w:r w:rsidRPr="00CD56B9">
        <w:rPr>
          <w:lang w:val="en-US"/>
        </w:rPr>
        <w:t xml:space="preserve"> </w:t>
      </w:r>
      <w:r w:rsidR="0053211B">
        <w:rPr>
          <w:lang w:val="en-US"/>
        </w:rPr>
        <w:t>2014</w:t>
      </w:r>
      <w:r w:rsidRPr="00CD56B9">
        <w:rPr>
          <w:lang w:val="en-US"/>
        </w:rPr>
        <w:t xml:space="preserve"> </w:t>
      </w:r>
      <w:r w:rsidR="003926CE" w:rsidRPr="00CD56B9">
        <w:rPr>
          <w:lang w:val="en-US"/>
        </w:rPr>
        <w:t>I</w:t>
      </w:r>
      <w:r w:rsidRPr="00CD56B9">
        <w:rPr>
          <w:lang w:val="en-US"/>
        </w:rPr>
        <w:t>CCPR</w:t>
      </w:r>
      <w:r w:rsidR="00843B1B">
        <w:rPr>
          <w:lang w:val="en-US"/>
        </w:rPr>
        <w:t xml:space="preserve"> report</w:t>
      </w:r>
      <w:r w:rsidRPr="00CD56B9">
        <w:rPr>
          <w:lang w:val="en-US"/>
        </w:rPr>
        <w:t>, the UN Human Rights Commission expresses concern about t</w:t>
      </w:r>
      <w:r w:rsidRPr="00935D53">
        <w:rPr>
          <w:lang w:val="en-US"/>
        </w:rPr>
        <w:t xml:space="preserve">he reluctance of </w:t>
      </w:r>
      <w:r>
        <w:rPr>
          <w:lang w:val="en-US"/>
        </w:rPr>
        <w:t>MHRC</w:t>
      </w:r>
      <w:r w:rsidRPr="00935D53">
        <w:rPr>
          <w:lang w:val="en-US"/>
        </w:rPr>
        <w:t xml:space="preserve"> to engage in issues related to </w:t>
      </w:r>
      <w:r>
        <w:rPr>
          <w:lang w:val="en-US"/>
        </w:rPr>
        <w:t>LGBT rights.</w:t>
      </w:r>
      <w:r w:rsidR="0043334F">
        <w:rPr>
          <w:rStyle w:val="Fodnotehenvisning"/>
          <w:bCs/>
          <w:lang w:val="en-US"/>
        </w:rPr>
        <w:footnoteReference w:id="37"/>
      </w:r>
      <w:r>
        <w:rPr>
          <w:lang w:val="en-US"/>
        </w:rPr>
        <w:t xml:space="preserve"> The </w:t>
      </w:r>
      <w:r w:rsidRPr="00935D53">
        <w:rPr>
          <w:lang w:val="en-US"/>
        </w:rPr>
        <w:t>Commission</w:t>
      </w:r>
      <w:r>
        <w:rPr>
          <w:lang w:val="en-US"/>
        </w:rPr>
        <w:t xml:space="preserve"> </w:t>
      </w:r>
      <w:r w:rsidR="00A60FDD">
        <w:rPr>
          <w:lang w:val="en-US"/>
        </w:rPr>
        <w:t>also</w:t>
      </w:r>
      <w:r>
        <w:rPr>
          <w:lang w:val="en-US"/>
        </w:rPr>
        <w:t xml:space="preserve"> expresses </w:t>
      </w:r>
      <w:r w:rsidR="0053211B">
        <w:rPr>
          <w:lang w:val="en-US"/>
        </w:rPr>
        <w:t xml:space="preserve">general </w:t>
      </w:r>
      <w:r w:rsidR="000F3D28">
        <w:rPr>
          <w:lang w:val="en-US"/>
        </w:rPr>
        <w:t xml:space="preserve">concern </w:t>
      </w:r>
      <w:r w:rsidR="00927699">
        <w:rPr>
          <w:lang w:val="en-US"/>
        </w:rPr>
        <w:t>“</w:t>
      </w:r>
      <w:r w:rsidRPr="00935D53">
        <w:rPr>
          <w:lang w:val="en-US"/>
        </w:rPr>
        <w:t>that the Malawi Human Rights Commission does not</w:t>
      </w:r>
      <w:r>
        <w:rPr>
          <w:lang w:val="en-US"/>
        </w:rPr>
        <w:t xml:space="preserve"> </w:t>
      </w:r>
      <w:r w:rsidRPr="00935D53">
        <w:rPr>
          <w:lang w:val="en-US"/>
        </w:rPr>
        <w:t>function fully independently and is not yet adequately funded</w:t>
      </w:r>
      <w:r w:rsidR="00927699">
        <w:rPr>
          <w:lang w:val="en-US"/>
        </w:rPr>
        <w:t>”</w:t>
      </w:r>
      <w:r w:rsidRPr="00935D53">
        <w:rPr>
          <w:lang w:val="en-US"/>
        </w:rPr>
        <w:t>.</w:t>
      </w:r>
      <w:r>
        <w:rPr>
          <w:lang w:val="en-US"/>
        </w:rPr>
        <w:t xml:space="preserve"> </w:t>
      </w:r>
      <w:r w:rsidR="008F7B66">
        <w:rPr>
          <w:lang w:val="en-US"/>
        </w:rPr>
        <w:t>In addition, it noted ‘</w:t>
      </w:r>
      <w:r w:rsidRPr="00935D53">
        <w:rPr>
          <w:lang w:val="en-US"/>
        </w:rPr>
        <w:t>the absence of adequate mechanisms in place for the effective consideration of the</w:t>
      </w:r>
      <w:r w:rsidR="008F7B66">
        <w:rPr>
          <w:lang w:val="en-US"/>
        </w:rPr>
        <w:t xml:space="preserve"> </w:t>
      </w:r>
      <w:r w:rsidRPr="00935D53">
        <w:rPr>
          <w:lang w:val="en-US"/>
        </w:rPr>
        <w:t>Commission’s recommendations</w:t>
      </w:r>
      <w:r w:rsidR="008F7B66">
        <w:rPr>
          <w:lang w:val="en-US"/>
        </w:rPr>
        <w:t>’</w:t>
      </w:r>
      <w:r w:rsidRPr="00935D53">
        <w:rPr>
          <w:lang w:val="en-US"/>
        </w:rPr>
        <w:t>.</w:t>
      </w:r>
      <w:r w:rsidR="003926CE">
        <w:rPr>
          <w:lang w:val="en-US"/>
        </w:rPr>
        <w:t xml:space="preserve"> </w:t>
      </w:r>
      <w:r w:rsidR="002E21E0">
        <w:rPr>
          <w:lang w:val="en-US"/>
        </w:rPr>
        <w:t>These concerns lead</w:t>
      </w:r>
      <w:r w:rsidR="003926CE">
        <w:rPr>
          <w:lang w:val="en-US"/>
        </w:rPr>
        <w:t xml:space="preserve"> </w:t>
      </w:r>
      <w:r w:rsidR="004B65E7">
        <w:rPr>
          <w:lang w:val="en-US"/>
        </w:rPr>
        <w:t xml:space="preserve">to the </w:t>
      </w:r>
      <w:r w:rsidR="002E21E0">
        <w:rPr>
          <w:lang w:val="en-US"/>
        </w:rPr>
        <w:t>recommendation</w:t>
      </w:r>
      <w:r w:rsidR="004B65E7">
        <w:rPr>
          <w:lang w:val="en-US"/>
        </w:rPr>
        <w:t xml:space="preserve"> </w:t>
      </w:r>
      <w:r w:rsidR="004B65E7" w:rsidRPr="002E21E0">
        <w:rPr>
          <w:lang w:val="en-US"/>
        </w:rPr>
        <w:t xml:space="preserve">that </w:t>
      </w:r>
      <w:r w:rsidR="003E660C">
        <w:rPr>
          <w:lang w:val="en-US"/>
        </w:rPr>
        <w:t xml:space="preserve">the </w:t>
      </w:r>
      <w:r w:rsidRPr="002E21E0">
        <w:rPr>
          <w:bCs/>
          <w:lang w:val="en-US"/>
        </w:rPr>
        <w:t xml:space="preserve">Human Rights Commission Act </w:t>
      </w:r>
      <w:r w:rsidR="002E21E0">
        <w:rPr>
          <w:bCs/>
          <w:lang w:val="en-US"/>
        </w:rPr>
        <w:t xml:space="preserve">should be amended to </w:t>
      </w:r>
      <w:r w:rsidRPr="002E21E0">
        <w:rPr>
          <w:bCs/>
          <w:lang w:val="en-US"/>
        </w:rPr>
        <w:t>ensure the</w:t>
      </w:r>
      <w:r w:rsidR="002E21E0">
        <w:rPr>
          <w:bCs/>
          <w:lang w:val="en-US"/>
        </w:rPr>
        <w:t xml:space="preserve"> </w:t>
      </w:r>
      <w:r w:rsidRPr="002E21E0">
        <w:rPr>
          <w:bCs/>
          <w:lang w:val="en-US"/>
        </w:rPr>
        <w:t>full independence</w:t>
      </w:r>
      <w:r w:rsidR="002E21E0">
        <w:rPr>
          <w:bCs/>
          <w:lang w:val="en-US"/>
        </w:rPr>
        <w:t xml:space="preserve"> of </w:t>
      </w:r>
      <w:r w:rsidR="005B13A6">
        <w:rPr>
          <w:bCs/>
          <w:lang w:val="en-US"/>
        </w:rPr>
        <w:t>M</w:t>
      </w:r>
      <w:r w:rsidR="002E21E0">
        <w:rPr>
          <w:bCs/>
          <w:lang w:val="en-US"/>
        </w:rPr>
        <w:t>HRC</w:t>
      </w:r>
      <w:r w:rsidRPr="002E21E0">
        <w:rPr>
          <w:bCs/>
          <w:lang w:val="en-US"/>
        </w:rPr>
        <w:t xml:space="preserve">, </w:t>
      </w:r>
      <w:r w:rsidR="002E21E0">
        <w:rPr>
          <w:bCs/>
          <w:lang w:val="en-US"/>
        </w:rPr>
        <w:t xml:space="preserve">that </w:t>
      </w:r>
      <w:r w:rsidRPr="002E21E0">
        <w:rPr>
          <w:bCs/>
          <w:lang w:val="en-US"/>
        </w:rPr>
        <w:t>adequate</w:t>
      </w:r>
      <w:r w:rsidR="005D25F1">
        <w:rPr>
          <w:bCs/>
          <w:lang w:val="en-US"/>
        </w:rPr>
        <w:t xml:space="preserve"> </w:t>
      </w:r>
      <w:r w:rsidRPr="002E21E0">
        <w:rPr>
          <w:bCs/>
          <w:lang w:val="en-US"/>
        </w:rPr>
        <w:t xml:space="preserve">financial and human resources </w:t>
      </w:r>
      <w:r w:rsidR="002E21E0">
        <w:rPr>
          <w:bCs/>
          <w:lang w:val="en-US"/>
        </w:rPr>
        <w:t xml:space="preserve">are allocated to the MHRC and that </w:t>
      </w:r>
      <w:r w:rsidRPr="002E21E0">
        <w:rPr>
          <w:bCs/>
          <w:lang w:val="en-US"/>
        </w:rPr>
        <w:t>mechanisms for the consideration and</w:t>
      </w:r>
      <w:r w:rsidR="002E21E0">
        <w:rPr>
          <w:bCs/>
          <w:lang w:val="en-US"/>
        </w:rPr>
        <w:t xml:space="preserve"> </w:t>
      </w:r>
      <w:r w:rsidRPr="002E21E0">
        <w:rPr>
          <w:bCs/>
          <w:lang w:val="en-US"/>
        </w:rPr>
        <w:t>implementation of the Commission’s recommendations</w:t>
      </w:r>
      <w:r w:rsidR="002E21E0" w:rsidRPr="002E21E0">
        <w:rPr>
          <w:bCs/>
          <w:lang w:val="en-US"/>
        </w:rPr>
        <w:t xml:space="preserve"> </w:t>
      </w:r>
      <w:r w:rsidR="002E21E0">
        <w:rPr>
          <w:bCs/>
          <w:lang w:val="en-US"/>
        </w:rPr>
        <w:t xml:space="preserve">are </w:t>
      </w:r>
      <w:r w:rsidR="002E21E0" w:rsidRPr="002E21E0">
        <w:rPr>
          <w:bCs/>
          <w:lang w:val="en-US"/>
        </w:rPr>
        <w:t>establish</w:t>
      </w:r>
      <w:r w:rsidR="002E21E0">
        <w:rPr>
          <w:bCs/>
          <w:lang w:val="en-US"/>
        </w:rPr>
        <w:t>ed</w:t>
      </w:r>
      <w:r w:rsidRPr="002E21E0">
        <w:rPr>
          <w:bCs/>
          <w:lang w:val="en-US"/>
        </w:rPr>
        <w:t xml:space="preserve">. </w:t>
      </w:r>
      <w:r w:rsidR="002E21E0">
        <w:rPr>
          <w:bCs/>
          <w:lang w:val="en-US"/>
        </w:rPr>
        <w:t xml:space="preserve">Further, the MHRC </w:t>
      </w:r>
      <w:r w:rsidR="003255D6">
        <w:rPr>
          <w:bCs/>
          <w:lang w:val="en-US"/>
        </w:rPr>
        <w:t>“</w:t>
      </w:r>
      <w:r w:rsidR="002E21E0">
        <w:rPr>
          <w:bCs/>
          <w:lang w:val="en-US"/>
        </w:rPr>
        <w:t xml:space="preserve">should </w:t>
      </w:r>
      <w:r w:rsidRPr="002E21E0">
        <w:rPr>
          <w:bCs/>
          <w:lang w:val="en-US"/>
        </w:rPr>
        <w:t>fully</w:t>
      </w:r>
      <w:r w:rsidR="002E21E0">
        <w:rPr>
          <w:bCs/>
          <w:lang w:val="en-US"/>
        </w:rPr>
        <w:t xml:space="preserve"> </w:t>
      </w:r>
      <w:r w:rsidRPr="002E21E0">
        <w:rPr>
          <w:bCs/>
          <w:lang w:val="en-US"/>
        </w:rPr>
        <w:t>comply with its mandate and engage in all human rights issues, including those related</w:t>
      </w:r>
      <w:r w:rsidR="002E21E0">
        <w:rPr>
          <w:bCs/>
          <w:lang w:val="en-US"/>
        </w:rPr>
        <w:t xml:space="preserve"> </w:t>
      </w:r>
      <w:r w:rsidRPr="002E21E0">
        <w:rPr>
          <w:bCs/>
          <w:lang w:val="en-US"/>
        </w:rPr>
        <w:t xml:space="preserve">to the rights of </w:t>
      </w:r>
      <w:r w:rsidR="00A92E19" w:rsidRPr="00A92E19">
        <w:rPr>
          <w:bCs/>
          <w:lang w:val="en-US"/>
        </w:rPr>
        <w:t>lesbian, gay, bisexual, transgender and intersex</w:t>
      </w:r>
      <w:r w:rsidR="00A92E19">
        <w:rPr>
          <w:bCs/>
          <w:lang w:val="en-US"/>
        </w:rPr>
        <w:t xml:space="preserve"> </w:t>
      </w:r>
      <w:r w:rsidRPr="002E21E0">
        <w:rPr>
          <w:bCs/>
          <w:lang w:val="en-US"/>
        </w:rPr>
        <w:t>persons</w:t>
      </w:r>
      <w:r w:rsidR="003255D6">
        <w:rPr>
          <w:bCs/>
          <w:lang w:val="en-US"/>
        </w:rPr>
        <w:t>”</w:t>
      </w:r>
      <w:r w:rsidRPr="002E21E0">
        <w:rPr>
          <w:bCs/>
          <w:lang w:val="en-US"/>
        </w:rPr>
        <w:t>.</w:t>
      </w:r>
      <w:r w:rsidR="002E21E0">
        <w:rPr>
          <w:bCs/>
          <w:lang w:val="en-US"/>
        </w:rPr>
        <w:t xml:space="preserve"> </w:t>
      </w:r>
    </w:p>
    <w:p w14:paraId="02C6C8DB" w14:textId="79C4E97D" w:rsidR="00A92E19" w:rsidRDefault="002E21E0" w:rsidP="00927699">
      <w:pPr>
        <w:spacing w:after="0"/>
        <w:rPr>
          <w:b/>
          <w:lang w:val="en-US"/>
        </w:rPr>
      </w:pPr>
      <w:r w:rsidRPr="00CD56B9">
        <w:rPr>
          <w:lang w:val="en-US"/>
        </w:rPr>
        <w:t xml:space="preserve">The </w:t>
      </w:r>
      <w:r w:rsidR="00A92E19" w:rsidRPr="00CD56B9">
        <w:rPr>
          <w:lang w:val="en-US"/>
        </w:rPr>
        <w:t xml:space="preserve">challenges </w:t>
      </w:r>
      <w:r w:rsidR="003D1CD2">
        <w:rPr>
          <w:lang w:val="en-US"/>
        </w:rPr>
        <w:t xml:space="preserve">mentioned above in terms of </w:t>
      </w:r>
      <w:r w:rsidR="00A92E19" w:rsidRPr="00CD56B9">
        <w:rPr>
          <w:lang w:val="en-US"/>
        </w:rPr>
        <w:t xml:space="preserve">independence </w:t>
      </w:r>
      <w:r w:rsidR="003D1CD2">
        <w:rPr>
          <w:lang w:val="en-US"/>
        </w:rPr>
        <w:t xml:space="preserve">vis-à-vis potential government interference, the need to engage </w:t>
      </w:r>
      <w:r w:rsidR="00BA6B5B">
        <w:rPr>
          <w:lang w:val="en-US"/>
        </w:rPr>
        <w:t xml:space="preserve">more </w:t>
      </w:r>
      <w:r w:rsidR="003D1CD2">
        <w:rPr>
          <w:lang w:val="en-US"/>
        </w:rPr>
        <w:t xml:space="preserve">actively in minority rights and critical </w:t>
      </w:r>
      <w:r w:rsidR="00A92E19" w:rsidRPr="00CD56B9">
        <w:rPr>
          <w:lang w:val="en-US"/>
        </w:rPr>
        <w:t>capacity constraints</w:t>
      </w:r>
      <w:r w:rsidR="003D1CD2">
        <w:rPr>
          <w:lang w:val="en-US"/>
        </w:rPr>
        <w:t xml:space="preserve"> </w:t>
      </w:r>
      <w:r w:rsidR="00BA6B5B">
        <w:rPr>
          <w:lang w:val="en-US"/>
        </w:rPr>
        <w:t>in terms of funding and staffing</w:t>
      </w:r>
      <w:r w:rsidR="00A92E19" w:rsidRPr="00CD56B9">
        <w:rPr>
          <w:lang w:val="en-US"/>
        </w:rPr>
        <w:t xml:space="preserve">, </w:t>
      </w:r>
      <w:r w:rsidR="00843B1B">
        <w:rPr>
          <w:lang w:val="en-US"/>
        </w:rPr>
        <w:t xml:space="preserve">also </w:t>
      </w:r>
      <w:r w:rsidR="00BA6B5B">
        <w:rPr>
          <w:lang w:val="en-US"/>
        </w:rPr>
        <w:t xml:space="preserve">lead some interviewees to </w:t>
      </w:r>
      <w:r w:rsidR="00A92E19" w:rsidRPr="00CD56B9">
        <w:rPr>
          <w:lang w:val="en-US"/>
        </w:rPr>
        <w:t xml:space="preserve">the question whether other actors would be better positioned to spearhead </w:t>
      </w:r>
      <w:r w:rsidR="00BA6B5B">
        <w:rPr>
          <w:lang w:val="en-US"/>
        </w:rPr>
        <w:t>emerging human rights issues and should be considered for support from the UN</w:t>
      </w:r>
      <w:r w:rsidR="00A92E19" w:rsidRPr="00CD56B9">
        <w:rPr>
          <w:lang w:val="en-US"/>
        </w:rPr>
        <w:t>.</w:t>
      </w:r>
      <w:r w:rsidR="00BA6B5B">
        <w:rPr>
          <w:lang w:val="en-US"/>
        </w:rPr>
        <w:t xml:space="preserve"> A</w:t>
      </w:r>
      <w:r w:rsidR="00A92E19" w:rsidRPr="00CD56B9">
        <w:rPr>
          <w:lang w:val="en-US"/>
        </w:rPr>
        <w:t xml:space="preserve">lternative candidates for support </w:t>
      </w:r>
      <w:r w:rsidR="00BA6B5B">
        <w:rPr>
          <w:lang w:val="en-US"/>
        </w:rPr>
        <w:t>mentioned during interviews i</w:t>
      </w:r>
      <w:r w:rsidR="004670E0">
        <w:rPr>
          <w:lang w:val="en-US"/>
        </w:rPr>
        <w:t>nclude</w:t>
      </w:r>
      <w:r w:rsidR="00BA6B5B">
        <w:rPr>
          <w:lang w:val="en-US"/>
        </w:rPr>
        <w:t>d</w:t>
      </w:r>
      <w:r w:rsidR="004670E0">
        <w:rPr>
          <w:lang w:val="en-US"/>
        </w:rPr>
        <w:t xml:space="preserve"> t</w:t>
      </w:r>
      <w:r w:rsidR="00D61AB9" w:rsidRPr="00CD56B9">
        <w:rPr>
          <w:lang w:val="en-US"/>
        </w:rPr>
        <w:t>he Law Commission, which has a somewhat overlapping mandate on human rights</w:t>
      </w:r>
      <w:r w:rsidR="00BA6B5B">
        <w:rPr>
          <w:lang w:val="en-US"/>
        </w:rPr>
        <w:t>, t</w:t>
      </w:r>
      <w:r w:rsidR="00A92E19" w:rsidRPr="00CD56B9">
        <w:rPr>
          <w:lang w:val="en-US"/>
        </w:rPr>
        <w:t xml:space="preserve">he </w:t>
      </w:r>
      <w:r w:rsidR="00D61AB9" w:rsidRPr="00CD56B9">
        <w:rPr>
          <w:lang w:val="en-US"/>
        </w:rPr>
        <w:t>p</w:t>
      </w:r>
      <w:r w:rsidR="00A92E19" w:rsidRPr="00CD56B9">
        <w:rPr>
          <w:lang w:val="en-US"/>
        </w:rPr>
        <w:t xml:space="preserve">arliamentary </w:t>
      </w:r>
      <w:r w:rsidR="00D61AB9" w:rsidRPr="00CD56B9">
        <w:rPr>
          <w:lang w:val="en-US"/>
        </w:rPr>
        <w:t>c</w:t>
      </w:r>
      <w:r w:rsidR="00A92E19" w:rsidRPr="00CD56B9">
        <w:rPr>
          <w:lang w:val="en-US"/>
        </w:rPr>
        <w:t>ommittee</w:t>
      </w:r>
      <w:r w:rsidR="00D61AB9" w:rsidRPr="00CD56B9">
        <w:rPr>
          <w:lang w:val="en-US"/>
        </w:rPr>
        <w:t xml:space="preserve"> on human rights</w:t>
      </w:r>
      <w:r w:rsidR="00BA6B5B">
        <w:rPr>
          <w:lang w:val="en-US"/>
        </w:rPr>
        <w:t xml:space="preserve">, </w:t>
      </w:r>
      <w:r w:rsidR="00E94EED">
        <w:rPr>
          <w:lang w:val="en-US"/>
        </w:rPr>
        <w:t xml:space="preserve">which could </w:t>
      </w:r>
      <w:r w:rsidR="00D61AB9" w:rsidRPr="00CD56B9">
        <w:rPr>
          <w:lang w:val="en-US"/>
        </w:rPr>
        <w:t>mobilize cross-party support to human rights legislation</w:t>
      </w:r>
      <w:r w:rsidR="00A92E19" w:rsidRPr="00CD56B9">
        <w:rPr>
          <w:lang w:val="en-US"/>
        </w:rPr>
        <w:t xml:space="preserve"> </w:t>
      </w:r>
      <w:r w:rsidR="00D61AB9" w:rsidRPr="00CD56B9">
        <w:rPr>
          <w:lang w:val="en-US"/>
        </w:rPr>
        <w:t xml:space="preserve">and direct support to the </w:t>
      </w:r>
      <w:r w:rsidR="00A92E19" w:rsidRPr="00CD56B9">
        <w:rPr>
          <w:lang w:val="en-US"/>
        </w:rPr>
        <w:t>MoJCA</w:t>
      </w:r>
      <w:r w:rsidR="00D61AB9" w:rsidRPr="00CD56B9">
        <w:rPr>
          <w:lang w:val="en-US"/>
        </w:rPr>
        <w:t xml:space="preserve"> in cooperation w</w:t>
      </w:r>
      <w:r w:rsidR="00E94EED">
        <w:rPr>
          <w:lang w:val="en-US"/>
        </w:rPr>
        <w:t>ith the other DPs</w:t>
      </w:r>
      <w:r w:rsidR="00A92E19" w:rsidRPr="00CD56B9">
        <w:rPr>
          <w:lang w:val="en-US"/>
        </w:rPr>
        <w:t>.</w:t>
      </w:r>
      <w:r w:rsidR="004670E0">
        <w:rPr>
          <w:lang w:val="en-US"/>
        </w:rPr>
        <w:t xml:space="preserve"> </w:t>
      </w:r>
      <w:r w:rsidR="000E58A0">
        <w:rPr>
          <w:lang w:val="en-US"/>
        </w:rPr>
        <w:t>Within the present UNDAF cycle,</w:t>
      </w:r>
      <w:r w:rsidR="004670E0">
        <w:rPr>
          <w:lang w:val="en-US"/>
        </w:rPr>
        <w:t xml:space="preserve"> however, the MTE team is more inclined to</w:t>
      </w:r>
      <w:r w:rsidR="002A409D">
        <w:rPr>
          <w:lang w:val="en-US"/>
        </w:rPr>
        <w:t>wards</w:t>
      </w:r>
      <w:r w:rsidR="004670E0">
        <w:rPr>
          <w:lang w:val="en-US"/>
        </w:rPr>
        <w:t xml:space="preserve"> </w:t>
      </w:r>
      <w:r w:rsidR="002A409D">
        <w:rPr>
          <w:lang w:val="en-US"/>
        </w:rPr>
        <w:t>interventions</w:t>
      </w:r>
      <w:r w:rsidR="000E58A0">
        <w:rPr>
          <w:lang w:val="en-US"/>
        </w:rPr>
        <w:t xml:space="preserve">, which can mobilize support to </w:t>
      </w:r>
      <w:r w:rsidR="0090034D">
        <w:rPr>
          <w:lang w:val="en-US"/>
        </w:rPr>
        <w:t xml:space="preserve">fulfil </w:t>
      </w:r>
      <w:r w:rsidR="000E58A0">
        <w:rPr>
          <w:lang w:val="en-US"/>
        </w:rPr>
        <w:t xml:space="preserve">the recommendations </w:t>
      </w:r>
      <w:r w:rsidR="0090034D">
        <w:rPr>
          <w:lang w:val="en-US"/>
        </w:rPr>
        <w:t>of the United Nations Human Rights Committee</w:t>
      </w:r>
      <w:r w:rsidR="0090034D" w:rsidRPr="00CD56B9">
        <w:rPr>
          <w:lang w:val="en-US"/>
        </w:rPr>
        <w:t xml:space="preserve"> </w:t>
      </w:r>
      <w:r w:rsidR="0090034D">
        <w:rPr>
          <w:lang w:val="en-US"/>
        </w:rPr>
        <w:t xml:space="preserve">referred to above, including the amendment of the HRC Act to ensure full independence of the </w:t>
      </w:r>
      <w:r w:rsidR="00AE78DF">
        <w:rPr>
          <w:lang w:val="en-US"/>
        </w:rPr>
        <w:t>MHRC</w:t>
      </w:r>
      <w:r w:rsidR="0090034D">
        <w:rPr>
          <w:lang w:val="en-US"/>
        </w:rPr>
        <w:t xml:space="preserve">. </w:t>
      </w:r>
      <w:r w:rsidR="00F776E4">
        <w:rPr>
          <w:lang w:val="en-US"/>
        </w:rPr>
        <w:t>Provisions of full independence are</w:t>
      </w:r>
      <w:r w:rsidR="0090034D">
        <w:rPr>
          <w:lang w:val="en-US"/>
        </w:rPr>
        <w:t xml:space="preserve"> already </w:t>
      </w:r>
      <w:r w:rsidR="00513796">
        <w:rPr>
          <w:lang w:val="en-US"/>
        </w:rPr>
        <w:t xml:space="preserve">secured </w:t>
      </w:r>
      <w:r w:rsidR="00725671">
        <w:rPr>
          <w:lang w:val="en-US"/>
        </w:rPr>
        <w:t xml:space="preserve">by the Constitution </w:t>
      </w:r>
      <w:r w:rsidR="00513796">
        <w:rPr>
          <w:lang w:val="en-US"/>
        </w:rPr>
        <w:t xml:space="preserve">for some constitutional bodies </w:t>
      </w:r>
      <w:r w:rsidR="00725671">
        <w:rPr>
          <w:lang w:val="en-US"/>
        </w:rPr>
        <w:t>such as the MEC</w:t>
      </w:r>
      <w:r w:rsidR="004761C2" w:rsidRPr="004761C2">
        <w:rPr>
          <w:lang w:val="en-GB"/>
        </w:rPr>
        <w:t xml:space="preserve"> </w:t>
      </w:r>
      <w:r w:rsidR="004761C2" w:rsidRPr="004761C2">
        <w:rPr>
          <w:lang w:val="en-US"/>
        </w:rPr>
        <w:t xml:space="preserve">and for </w:t>
      </w:r>
      <w:r w:rsidR="00285005" w:rsidRPr="004761C2">
        <w:rPr>
          <w:lang w:val="en-US"/>
        </w:rPr>
        <w:t>consistency</w:t>
      </w:r>
      <w:r w:rsidR="004761C2" w:rsidRPr="004761C2">
        <w:rPr>
          <w:lang w:val="en-US"/>
        </w:rPr>
        <w:t xml:space="preserve"> and political clout of </w:t>
      </w:r>
      <w:r w:rsidR="00345E42">
        <w:rPr>
          <w:lang w:val="en-US"/>
        </w:rPr>
        <w:t>MHRC</w:t>
      </w:r>
      <w:r w:rsidR="004761C2" w:rsidRPr="004761C2">
        <w:rPr>
          <w:lang w:val="en-US"/>
        </w:rPr>
        <w:t xml:space="preserve"> the </w:t>
      </w:r>
      <w:r w:rsidR="00285005">
        <w:rPr>
          <w:lang w:val="en-US"/>
        </w:rPr>
        <w:t xml:space="preserve">legal </w:t>
      </w:r>
      <w:r w:rsidR="004761C2" w:rsidRPr="004761C2">
        <w:rPr>
          <w:lang w:val="en-US"/>
        </w:rPr>
        <w:t>amendment is imperative</w:t>
      </w:r>
      <w:r w:rsidR="004761C2">
        <w:rPr>
          <w:lang w:val="en-US"/>
        </w:rPr>
        <w:t>. The capacity constraint</w:t>
      </w:r>
      <w:r w:rsidR="00285005">
        <w:rPr>
          <w:lang w:val="en-US"/>
        </w:rPr>
        <w:t>s</w:t>
      </w:r>
      <w:r w:rsidR="004761C2">
        <w:rPr>
          <w:lang w:val="en-US"/>
        </w:rPr>
        <w:t xml:space="preserve"> pertaining to funding and </w:t>
      </w:r>
      <w:r w:rsidR="00285005">
        <w:rPr>
          <w:lang w:val="en-US"/>
        </w:rPr>
        <w:t xml:space="preserve">the </w:t>
      </w:r>
      <w:r w:rsidR="004761C2">
        <w:rPr>
          <w:lang w:val="en-US"/>
        </w:rPr>
        <w:t>hu</w:t>
      </w:r>
      <w:r w:rsidR="00A2553B">
        <w:rPr>
          <w:lang w:val="en-US"/>
        </w:rPr>
        <w:t>man resource envelope is equally</w:t>
      </w:r>
      <w:r w:rsidR="004761C2">
        <w:rPr>
          <w:lang w:val="en-US"/>
        </w:rPr>
        <w:t xml:space="preserve"> </w:t>
      </w:r>
      <w:r w:rsidR="002A409D">
        <w:rPr>
          <w:lang w:val="en-US"/>
        </w:rPr>
        <w:t>important</w:t>
      </w:r>
      <w:r w:rsidR="004761C2">
        <w:rPr>
          <w:lang w:val="en-US"/>
        </w:rPr>
        <w:t xml:space="preserve"> to address</w:t>
      </w:r>
      <w:r w:rsidR="00285005">
        <w:rPr>
          <w:lang w:val="en-US"/>
        </w:rPr>
        <w:t xml:space="preserve">, and UNDP should use its convening </w:t>
      </w:r>
      <w:r w:rsidR="002A409D">
        <w:rPr>
          <w:lang w:val="en-US"/>
        </w:rPr>
        <w:t>powers</w:t>
      </w:r>
      <w:r w:rsidR="00285005">
        <w:rPr>
          <w:lang w:val="en-US"/>
        </w:rPr>
        <w:t xml:space="preserve"> to build alliances </w:t>
      </w:r>
      <w:r w:rsidR="00E65DFD">
        <w:rPr>
          <w:lang w:val="en-US"/>
        </w:rPr>
        <w:t xml:space="preserve">(including the stakeholders mentioned above) </w:t>
      </w:r>
      <w:r w:rsidR="00285005">
        <w:rPr>
          <w:lang w:val="en-US"/>
        </w:rPr>
        <w:t xml:space="preserve">for </w:t>
      </w:r>
      <w:r w:rsidR="00432246">
        <w:rPr>
          <w:lang w:val="en-US"/>
        </w:rPr>
        <w:t>improving</w:t>
      </w:r>
      <w:r w:rsidR="00447FD3">
        <w:rPr>
          <w:lang w:val="en-US"/>
        </w:rPr>
        <w:t xml:space="preserve"> the independence of MHRC</w:t>
      </w:r>
      <w:r w:rsidR="00D30FC9">
        <w:rPr>
          <w:lang w:val="en-US"/>
        </w:rPr>
        <w:t xml:space="preserve">, its resource envelope </w:t>
      </w:r>
      <w:r w:rsidR="0050254D">
        <w:rPr>
          <w:lang w:val="en-US"/>
        </w:rPr>
        <w:t xml:space="preserve">and </w:t>
      </w:r>
      <w:r w:rsidR="00D30FC9">
        <w:rPr>
          <w:lang w:val="en-US"/>
        </w:rPr>
        <w:t xml:space="preserve">its </w:t>
      </w:r>
      <w:r w:rsidR="0050254D">
        <w:rPr>
          <w:lang w:val="en-US"/>
        </w:rPr>
        <w:t xml:space="preserve">ability to attract and retain the right quantity and quality of personnel. </w:t>
      </w:r>
      <w:r w:rsidR="00345E42">
        <w:rPr>
          <w:lang w:val="en-US"/>
        </w:rPr>
        <w:t xml:space="preserve">MHRC </w:t>
      </w:r>
      <w:r w:rsidR="0050254D">
        <w:rPr>
          <w:lang w:val="en-US"/>
        </w:rPr>
        <w:t xml:space="preserve">on the other hand </w:t>
      </w:r>
      <w:r w:rsidR="00345E42">
        <w:rPr>
          <w:lang w:val="en-US"/>
        </w:rPr>
        <w:t xml:space="preserve">should be </w:t>
      </w:r>
      <w:r w:rsidR="00A2553B">
        <w:rPr>
          <w:lang w:val="en-US"/>
        </w:rPr>
        <w:t xml:space="preserve">requested </w:t>
      </w:r>
      <w:r w:rsidR="00345E42">
        <w:rPr>
          <w:lang w:val="en-US"/>
        </w:rPr>
        <w:t xml:space="preserve">to </w:t>
      </w:r>
      <w:r w:rsidR="007F4329">
        <w:rPr>
          <w:lang w:val="en-US"/>
        </w:rPr>
        <w:t xml:space="preserve">engage actively in </w:t>
      </w:r>
      <w:r w:rsidR="00E65DFD">
        <w:rPr>
          <w:lang w:val="en-US"/>
        </w:rPr>
        <w:t>LGBT rights</w:t>
      </w:r>
      <w:r w:rsidR="00D81263">
        <w:rPr>
          <w:lang w:val="en-US"/>
        </w:rPr>
        <w:t xml:space="preserve">. If MHRC considers this could improve its capacity and impact, </w:t>
      </w:r>
      <w:r w:rsidR="00A02F6C">
        <w:rPr>
          <w:lang w:val="en-US"/>
        </w:rPr>
        <w:t xml:space="preserve">the </w:t>
      </w:r>
      <w:r w:rsidR="00A2553B" w:rsidRPr="00A2553B">
        <w:rPr>
          <w:lang w:val="en-US"/>
        </w:rPr>
        <w:t>OHCHR</w:t>
      </w:r>
      <w:r w:rsidR="00A02F6C">
        <w:rPr>
          <w:lang w:val="en-US"/>
        </w:rPr>
        <w:t xml:space="preserve"> should offer technical support</w:t>
      </w:r>
      <w:r w:rsidR="00A02F6C" w:rsidRPr="00A02F6C">
        <w:rPr>
          <w:lang w:val="en-US"/>
        </w:rPr>
        <w:t xml:space="preserve"> </w:t>
      </w:r>
      <w:r w:rsidR="00A02F6C">
        <w:rPr>
          <w:lang w:val="en-US"/>
        </w:rPr>
        <w:t>in this area</w:t>
      </w:r>
      <w:r w:rsidR="00140DFC">
        <w:rPr>
          <w:lang w:val="en-US"/>
        </w:rPr>
        <w:t>.</w:t>
      </w:r>
      <w:r w:rsidR="00714DE7">
        <w:rPr>
          <w:lang w:val="en-US"/>
        </w:rPr>
        <w:t xml:space="preserve"> </w:t>
      </w:r>
      <w:r w:rsidR="00E27A70" w:rsidRPr="00C77F71">
        <w:rPr>
          <w:i/>
          <w:lang w:val="en-US"/>
        </w:rPr>
        <w:t>(See Recommendation</w:t>
      </w:r>
      <w:r w:rsidR="00FB199D">
        <w:rPr>
          <w:i/>
          <w:lang w:val="en-US"/>
        </w:rPr>
        <w:t>s</w:t>
      </w:r>
      <w:r w:rsidR="00E27A70" w:rsidRPr="00C77F71">
        <w:rPr>
          <w:i/>
          <w:lang w:val="en-US"/>
        </w:rPr>
        <w:t xml:space="preserve"> #</w:t>
      </w:r>
      <w:r w:rsidR="00C77F71">
        <w:rPr>
          <w:i/>
          <w:lang w:val="en-US"/>
        </w:rPr>
        <w:t xml:space="preserve"> </w:t>
      </w:r>
      <w:r w:rsidR="001A6EA1">
        <w:rPr>
          <w:i/>
          <w:lang w:val="en-US"/>
        </w:rPr>
        <w:t>8</w:t>
      </w:r>
      <w:r w:rsidR="00C77F71">
        <w:rPr>
          <w:i/>
          <w:lang w:val="en-US"/>
        </w:rPr>
        <w:t xml:space="preserve"> &amp; </w:t>
      </w:r>
      <w:r w:rsidR="00FB199D">
        <w:rPr>
          <w:i/>
          <w:lang w:val="en-US"/>
        </w:rPr>
        <w:t xml:space="preserve"># </w:t>
      </w:r>
      <w:r w:rsidR="001A6EA1">
        <w:rPr>
          <w:i/>
          <w:lang w:val="en-US"/>
        </w:rPr>
        <w:t>9</w:t>
      </w:r>
      <w:r w:rsidR="00E27A70" w:rsidRPr="00C77F71">
        <w:rPr>
          <w:i/>
          <w:lang w:val="en-US"/>
        </w:rPr>
        <w:t>)</w:t>
      </w:r>
    </w:p>
    <w:p w14:paraId="1F14343B" w14:textId="77777777" w:rsidR="00181D6E" w:rsidRPr="00CD56B9" w:rsidRDefault="00181D6E" w:rsidP="00A92E19">
      <w:pPr>
        <w:spacing w:after="0"/>
        <w:rPr>
          <w:lang w:val="en-US"/>
        </w:rPr>
      </w:pPr>
    </w:p>
    <w:p w14:paraId="65247787" w14:textId="48A31657" w:rsidR="006F3CAC" w:rsidRPr="00D81263" w:rsidRDefault="00720F14" w:rsidP="008E18DB">
      <w:pPr>
        <w:spacing w:after="0"/>
        <w:rPr>
          <w:i/>
          <w:lang w:val="en-US"/>
        </w:rPr>
      </w:pPr>
      <w:r>
        <w:rPr>
          <w:lang w:val="en-US"/>
        </w:rPr>
        <w:lastRenderedPageBreak/>
        <w:t>Whilst</w:t>
      </w:r>
      <w:r w:rsidRPr="00CD56B9">
        <w:rPr>
          <w:lang w:val="en-US"/>
        </w:rPr>
        <w:t xml:space="preserve"> human rights need champions within government</w:t>
      </w:r>
      <w:r>
        <w:rPr>
          <w:lang w:val="en-US"/>
        </w:rPr>
        <w:t xml:space="preserve"> and the constitutional bodies, </w:t>
      </w:r>
      <w:r w:rsidRPr="00CD56B9">
        <w:rPr>
          <w:lang w:val="en-US"/>
        </w:rPr>
        <w:t>which can spearhead and develop the human rights framework and align it to constitutional rights and international obligations</w:t>
      </w:r>
      <w:r>
        <w:rPr>
          <w:lang w:val="en-US"/>
        </w:rPr>
        <w:t xml:space="preserve">, the DCP </w:t>
      </w:r>
      <w:r w:rsidRPr="00CD56B9">
        <w:rPr>
          <w:lang w:val="en-US"/>
        </w:rPr>
        <w:t>is a plausible supplement to the supply-</w:t>
      </w:r>
      <w:r>
        <w:rPr>
          <w:lang w:val="en-US"/>
        </w:rPr>
        <w:t>driven</w:t>
      </w:r>
      <w:r w:rsidRPr="00CD56B9">
        <w:rPr>
          <w:lang w:val="en-US"/>
        </w:rPr>
        <w:t xml:space="preserve"> support</w:t>
      </w:r>
      <w:r>
        <w:rPr>
          <w:lang w:val="en-US"/>
        </w:rPr>
        <w:t>. T</w:t>
      </w:r>
      <w:r w:rsidR="0029256D" w:rsidRPr="00CD56B9">
        <w:rPr>
          <w:lang w:val="en-US"/>
        </w:rPr>
        <w:t>he support rendered to DCP has been successful in it</w:t>
      </w:r>
      <w:r w:rsidR="0029256D">
        <w:rPr>
          <w:lang w:val="en-US"/>
        </w:rPr>
        <w:t>s</w:t>
      </w:r>
      <w:r w:rsidR="0029256D" w:rsidRPr="00CD56B9">
        <w:rPr>
          <w:lang w:val="en-US"/>
        </w:rPr>
        <w:t xml:space="preserve"> promotion of Rights to Development and enforcement of human rights through the strengthening of civil society. Since it is implemented at scale, it </w:t>
      </w:r>
      <w:r w:rsidR="002B1BEF">
        <w:rPr>
          <w:lang w:val="en-US"/>
        </w:rPr>
        <w:t xml:space="preserve">also </w:t>
      </w:r>
      <w:r w:rsidR="0029256D" w:rsidRPr="00CD56B9">
        <w:rPr>
          <w:lang w:val="en-US"/>
        </w:rPr>
        <w:t xml:space="preserve">has a strong impact on how human rights are practiced in real life, and serves to empower local communities and engage them in </w:t>
      </w:r>
      <w:r w:rsidR="00D81263">
        <w:rPr>
          <w:lang w:val="en-US"/>
        </w:rPr>
        <w:t>rights-based</w:t>
      </w:r>
      <w:r w:rsidR="0029256D" w:rsidRPr="00CD56B9">
        <w:rPr>
          <w:lang w:val="en-US"/>
        </w:rPr>
        <w:t xml:space="preserve"> issues. </w:t>
      </w:r>
      <w:r w:rsidR="002B1BEF">
        <w:rPr>
          <w:lang w:val="en-US"/>
        </w:rPr>
        <w:t>While d</w:t>
      </w:r>
      <w:r w:rsidR="0029256D" w:rsidRPr="00CD56B9">
        <w:rPr>
          <w:lang w:val="en-US"/>
        </w:rPr>
        <w:t xml:space="preserve">emand side support </w:t>
      </w:r>
      <w:r w:rsidR="0029256D">
        <w:rPr>
          <w:lang w:val="en-US"/>
        </w:rPr>
        <w:t>is not a substitute for supply side support</w:t>
      </w:r>
      <w:r w:rsidR="009327B0">
        <w:rPr>
          <w:lang w:val="en-US"/>
        </w:rPr>
        <w:t xml:space="preserve">, </w:t>
      </w:r>
      <w:r w:rsidR="00D17940">
        <w:rPr>
          <w:lang w:val="en-US"/>
        </w:rPr>
        <w:t>i</w:t>
      </w:r>
      <w:r w:rsidR="0029256D" w:rsidRPr="00CD56B9">
        <w:rPr>
          <w:lang w:val="en-US"/>
        </w:rPr>
        <w:t xml:space="preserve">t is </w:t>
      </w:r>
      <w:r>
        <w:rPr>
          <w:lang w:val="en-US"/>
        </w:rPr>
        <w:t>indispensable</w:t>
      </w:r>
      <w:r w:rsidR="0029256D" w:rsidRPr="00CD56B9">
        <w:rPr>
          <w:lang w:val="en-US"/>
        </w:rPr>
        <w:t xml:space="preserve"> for strengthening </w:t>
      </w:r>
      <w:r w:rsidR="006F3CAC">
        <w:rPr>
          <w:lang w:val="en-US"/>
        </w:rPr>
        <w:t xml:space="preserve">enforcement and </w:t>
      </w:r>
      <w:r w:rsidR="0029256D" w:rsidRPr="00CD56B9">
        <w:rPr>
          <w:lang w:val="en-US"/>
        </w:rPr>
        <w:t xml:space="preserve">implementation of existing rights and legal frameworks, </w:t>
      </w:r>
      <w:r w:rsidR="00D81263">
        <w:rPr>
          <w:lang w:val="en-US"/>
        </w:rPr>
        <w:t xml:space="preserve">and in </w:t>
      </w:r>
      <w:r w:rsidR="0029256D" w:rsidRPr="00CD56B9">
        <w:rPr>
          <w:lang w:val="en-US"/>
        </w:rPr>
        <w:t>highlighting capacity gaps and strengthen</w:t>
      </w:r>
      <w:r w:rsidR="006F3CAC">
        <w:rPr>
          <w:lang w:val="en-US"/>
        </w:rPr>
        <w:t>ing</w:t>
      </w:r>
      <w:r>
        <w:rPr>
          <w:lang w:val="en-US"/>
        </w:rPr>
        <w:t xml:space="preserve"> independent advocacy.</w:t>
      </w:r>
      <w:r w:rsidR="0029256D" w:rsidRPr="00CD56B9">
        <w:rPr>
          <w:lang w:val="en-US"/>
        </w:rPr>
        <w:t xml:space="preserve"> </w:t>
      </w:r>
      <w:r>
        <w:rPr>
          <w:lang w:val="en-US"/>
        </w:rPr>
        <w:t>G</w:t>
      </w:r>
      <w:r w:rsidR="008D601E">
        <w:rPr>
          <w:lang w:val="en-US"/>
        </w:rPr>
        <w:t xml:space="preserve">iven the considerable experience in Right to Development, </w:t>
      </w:r>
      <w:r w:rsidR="00467B32">
        <w:rPr>
          <w:lang w:val="en-US"/>
        </w:rPr>
        <w:t xml:space="preserve">including </w:t>
      </w:r>
      <w:r w:rsidR="008D601E">
        <w:rPr>
          <w:lang w:val="en-US"/>
        </w:rPr>
        <w:t xml:space="preserve">valuable insights into present capacity gaps in government and practical solutions applied by the communities in their interaction with the authorities, </w:t>
      </w:r>
      <w:r w:rsidR="00467B32">
        <w:rPr>
          <w:lang w:val="en-US"/>
        </w:rPr>
        <w:t xml:space="preserve">UNDP and the government should engage with </w:t>
      </w:r>
      <w:r w:rsidR="008D601E">
        <w:rPr>
          <w:lang w:val="en-US"/>
        </w:rPr>
        <w:t xml:space="preserve">the DCP management </w:t>
      </w:r>
      <w:r w:rsidR="00467B32">
        <w:rPr>
          <w:lang w:val="en-US"/>
        </w:rPr>
        <w:t>in the discussions on and prioritization of further support to Rights to Development</w:t>
      </w:r>
      <w:r w:rsidR="006F3CAC" w:rsidRPr="006F3CAC">
        <w:rPr>
          <w:lang w:val="en-US"/>
        </w:rPr>
        <w:t xml:space="preserve">.  </w:t>
      </w:r>
      <w:r w:rsidR="00D81263">
        <w:rPr>
          <w:i/>
          <w:lang w:val="en-US"/>
        </w:rPr>
        <w:t xml:space="preserve">(See Recommendations # </w:t>
      </w:r>
      <w:r w:rsidR="004336F1">
        <w:rPr>
          <w:i/>
          <w:lang w:val="en-US"/>
        </w:rPr>
        <w:t>18</w:t>
      </w:r>
      <w:r w:rsidR="00D81263" w:rsidRPr="00D81263">
        <w:rPr>
          <w:i/>
          <w:lang w:val="en-US"/>
        </w:rPr>
        <w:t>)</w:t>
      </w:r>
    </w:p>
    <w:p w14:paraId="430A5A72" w14:textId="77777777" w:rsidR="008E18DB" w:rsidRPr="006F3CAC" w:rsidRDefault="008E18DB" w:rsidP="008E18DB">
      <w:pPr>
        <w:spacing w:after="0"/>
        <w:rPr>
          <w:b/>
          <w:lang w:val="en-US"/>
        </w:rPr>
      </w:pPr>
    </w:p>
    <w:p w14:paraId="7F3CB089" w14:textId="77777777" w:rsidR="00B95B66" w:rsidRDefault="00B95B66" w:rsidP="00B95B66">
      <w:pPr>
        <w:pStyle w:val="Overskrift3"/>
        <w:rPr>
          <w:lang w:val="en-US"/>
        </w:rPr>
      </w:pPr>
      <w:bookmarkStart w:id="39" w:name="_Toc439245591"/>
      <w:r w:rsidRPr="00B95B66">
        <w:rPr>
          <w:rStyle w:val="Overskrift3Tegn"/>
          <w:b/>
        </w:rPr>
        <w:t>4.1.5</w:t>
      </w:r>
      <w:r w:rsidRPr="00B95B66">
        <w:rPr>
          <w:rStyle w:val="Overskrift3Tegn"/>
        </w:rPr>
        <w:t xml:space="preserve"> </w:t>
      </w:r>
      <w:r w:rsidRPr="00B95B66">
        <w:rPr>
          <w:lang w:val="en-US"/>
        </w:rPr>
        <w:t>The</w:t>
      </w:r>
      <w:r>
        <w:rPr>
          <w:lang w:val="en-US"/>
        </w:rPr>
        <w:t xml:space="preserve"> Ombudsman Institution</w:t>
      </w:r>
      <w:bookmarkEnd w:id="39"/>
    </w:p>
    <w:p w14:paraId="564D71E7" w14:textId="77777777" w:rsidR="00B95B66" w:rsidRDefault="00B95B66" w:rsidP="00927699">
      <w:pPr>
        <w:spacing w:after="0"/>
        <w:rPr>
          <w:lang w:val="en-US"/>
        </w:rPr>
      </w:pPr>
    </w:p>
    <w:p w14:paraId="741787C0" w14:textId="77777777" w:rsidR="00912EB5" w:rsidRDefault="00A92E19" w:rsidP="00927699">
      <w:pPr>
        <w:spacing w:after="0"/>
        <w:rPr>
          <w:lang w:val="en-US"/>
        </w:rPr>
      </w:pPr>
      <w:r w:rsidRPr="00CD56B9">
        <w:rPr>
          <w:lang w:val="en-US"/>
        </w:rPr>
        <w:t xml:space="preserve">The </w:t>
      </w:r>
      <w:r w:rsidR="008F25A4">
        <w:rPr>
          <w:lang w:val="en-US"/>
        </w:rPr>
        <w:t>Office of the Ombudsman (</w:t>
      </w:r>
      <w:r w:rsidRPr="00CD56B9">
        <w:rPr>
          <w:lang w:val="en-US"/>
        </w:rPr>
        <w:t>OO</w:t>
      </w:r>
      <w:r w:rsidR="008F25A4">
        <w:rPr>
          <w:lang w:val="en-US"/>
        </w:rPr>
        <w:t>)</w:t>
      </w:r>
      <w:r w:rsidRPr="00CD56B9">
        <w:rPr>
          <w:lang w:val="en-US"/>
        </w:rPr>
        <w:t xml:space="preserve"> </w:t>
      </w:r>
      <w:r w:rsidR="00B95B66">
        <w:rPr>
          <w:lang w:val="en-US"/>
        </w:rPr>
        <w:t xml:space="preserve">presently </w:t>
      </w:r>
      <w:r w:rsidRPr="00CD56B9">
        <w:rPr>
          <w:lang w:val="en-US"/>
        </w:rPr>
        <w:t xml:space="preserve">lives a rather anonymous life in terms of support from UNDP. </w:t>
      </w:r>
      <w:r w:rsidR="00912EB5">
        <w:rPr>
          <w:lang w:val="en-US"/>
        </w:rPr>
        <w:t xml:space="preserve">It is </w:t>
      </w:r>
      <w:r w:rsidRPr="00CD56B9">
        <w:rPr>
          <w:lang w:val="en-US"/>
        </w:rPr>
        <w:t xml:space="preserve">included in the support project to MHRC, </w:t>
      </w:r>
      <w:r w:rsidR="00912EB5">
        <w:rPr>
          <w:lang w:val="en-US"/>
        </w:rPr>
        <w:t xml:space="preserve">with the aim to strengthen the capacity of the institution, but </w:t>
      </w:r>
      <w:r w:rsidRPr="00CD56B9">
        <w:rPr>
          <w:lang w:val="en-US"/>
        </w:rPr>
        <w:t xml:space="preserve">currently </w:t>
      </w:r>
      <w:r w:rsidR="00912EB5">
        <w:rPr>
          <w:lang w:val="en-US"/>
        </w:rPr>
        <w:t xml:space="preserve">it receives very little support and also suffers from some of the same capacity constraints as the </w:t>
      </w:r>
      <w:r w:rsidR="005C1D4B">
        <w:rPr>
          <w:lang w:val="en-US"/>
        </w:rPr>
        <w:t xml:space="preserve">MHRC, which entails high staff turnovers and skill shortages, operational funding shortages and limited outreach and accessibility for the public. </w:t>
      </w:r>
    </w:p>
    <w:p w14:paraId="45BFD2FA" w14:textId="77777777" w:rsidR="00912EB5" w:rsidRDefault="00912EB5" w:rsidP="00927699">
      <w:pPr>
        <w:spacing w:after="0"/>
        <w:rPr>
          <w:lang w:val="en-US"/>
        </w:rPr>
      </w:pPr>
    </w:p>
    <w:p w14:paraId="6B0D8EF8" w14:textId="77777777" w:rsidR="00652946" w:rsidRPr="00652946" w:rsidRDefault="005C1D4B" w:rsidP="00BF09CE">
      <w:pPr>
        <w:spacing w:after="0"/>
        <w:rPr>
          <w:rFonts w:cs="Arial"/>
          <w:lang w:val="en-GB"/>
        </w:rPr>
      </w:pPr>
      <w:r>
        <w:rPr>
          <w:lang w:val="en-US"/>
        </w:rPr>
        <w:t xml:space="preserve">The OO </w:t>
      </w:r>
      <w:r w:rsidR="00652946" w:rsidRPr="00652946">
        <w:rPr>
          <w:rFonts w:cs="Arial"/>
          <w:lang w:val="en-GB"/>
        </w:rPr>
        <w:t xml:space="preserve">is an institution established to ensure accountability and good governance by safeguarding against arbitrary use of power, especially by public sector actors. Sections 15(2) and 46(2)(b) of the Constitution provide that a person or group of persons who feel that human rights guaranteed under the Constitution have been violated or threatened may approach the Ombudsman for assistance or relief. The </w:t>
      </w:r>
      <w:r w:rsidR="00BF09CE">
        <w:rPr>
          <w:rFonts w:cs="Arial"/>
          <w:lang w:val="en-GB"/>
        </w:rPr>
        <w:t>OO</w:t>
      </w:r>
      <w:r w:rsidR="00652946" w:rsidRPr="00652946">
        <w:rPr>
          <w:rFonts w:cs="Arial"/>
          <w:lang w:val="en-GB"/>
        </w:rPr>
        <w:t xml:space="preserve"> is, therefore, </w:t>
      </w:r>
      <w:r w:rsidR="00BF09CE">
        <w:rPr>
          <w:rFonts w:cs="Arial"/>
          <w:lang w:val="en-GB"/>
        </w:rPr>
        <w:t xml:space="preserve">designed as </w:t>
      </w:r>
      <w:r w:rsidR="00652946" w:rsidRPr="00652946">
        <w:rPr>
          <w:rFonts w:cs="Arial"/>
          <w:lang w:val="en-GB"/>
        </w:rPr>
        <w:t xml:space="preserve">an important part of Malawi’s accountability systems as it offers </w:t>
      </w:r>
      <w:r w:rsidR="00A50CE4">
        <w:rPr>
          <w:rFonts w:cs="Arial"/>
          <w:lang w:val="en-GB"/>
        </w:rPr>
        <w:t>citizens</w:t>
      </w:r>
      <w:r w:rsidR="00652946" w:rsidRPr="00652946">
        <w:rPr>
          <w:rFonts w:cs="Arial"/>
          <w:lang w:val="en-GB"/>
        </w:rPr>
        <w:t xml:space="preserve"> a means through which their claims vis-à-vis the state and other powerful interests can be supported in an environment where other remedies – such as the court system</w:t>
      </w:r>
      <w:r w:rsidR="00533203">
        <w:rPr>
          <w:rFonts w:cs="Arial"/>
          <w:lang w:val="en-GB"/>
        </w:rPr>
        <w:t xml:space="preserve"> </w:t>
      </w:r>
      <w:r w:rsidR="00652946" w:rsidRPr="00652946">
        <w:rPr>
          <w:rFonts w:cs="Arial"/>
          <w:lang w:val="en-GB"/>
        </w:rPr>
        <w:t>- operates too slowly or  inefficiently</w:t>
      </w:r>
      <w:r w:rsidR="00652946" w:rsidRPr="006B4DA4">
        <w:rPr>
          <w:rStyle w:val="Fodnotehenvisning"/>
          <w:rFonts w:cs="Arial"/>
        </w:rPr>
        <w:footnoteReference w:id="38"/>
      </w:r>
      <w:r w:rsidR="00652946" w:rsidRPr="00652946">
        <w:rPr>
          <w:rFonts w:cs="Arial"/>
          <w:lang w:val="en-GB"/>
        </w:rPr>
        <w:t>.</w:t>
      </w:r>
    </w:p>
    <w:p w14:paraId="0232AB3F" w14:textId="77777777" w:rsidR="00BD4214" w:rsidRDefault="00BD4214" w:rsidP="00533203">
      <w:pPr>
        <w:spacing w:after="0"/>
        <w:rPr>
          <w:rFonts w:cs="Arial"/>
          <w:lang w:val="en-GB"/>
        </w:rPr>
      </w:pPr>
    </w:p>
    <w:p w14:paraId="6CE039C5" w14:textId="77777777" w:rsidR="00652946" w:rsidRPr="008F25A4" w:rsidRDefault="00652946" w:rsidP="00652946">
      <w:pPr>
        <w:rPr>
          <w:rFonts w:cs="Arial"/>
          <w:lang w:val="en-GB"/>
        </w:rPr>
      </w:pPr>
      <w:r w:rsidRPr="00652946">
        <w:rPr>
          <w:rFonts w:cs="Arial"/>
          <w:lang w:val="en-GB"/>
        </w:rPr>
        <w:t xml:space="preserve">The </w:t>
      </w:r>
      <w:r w:rsidR="00DA05B1">
        <w:rPr>
          <w:rFonts w:cs="Arial"/>
          <w:lang w:val="en-GB"/>
        </w:rPr>
        <w:t>OO</w:t>
      </w:r>
      <w:r w:rsidRPr="00652946">
        <w:rPr>
          <w:rFonts w:cs="Arial"/>
          <w:lang w:val="en-GB"/>
        </w:rPr>
        <w:t xml:space="preserve"> is a constitutional body, established by Sections 120-128 of the Constitution of Malawi. It commenced its operations in 1996. According to section 123 (1) of the Constitution, the Ombudsman investigates cases where it is alleged that any person has suffered injustice, and it does not appear that there is any remedy reasonably available by way of proceeding in the court or by way of appeal from a court or where there is no other practicable remedy. </w:t>
      </w:r>
      <w:r w:rsidRPr="008F25A4">
        <w:rPr>
          <w:rFonts w:cs="Arial"/>
          <w:lang w:val="en-GB"/>
        </w:rPr>
        <w:t xml:space="preserve">However, the powers provided to the </w:t>
      </w:r>
      <w:r w:rsidR="00DA05B1">
        <w:rPr>
          <w:rFonts w:cs="Arial"/>
          <w:lang w:val="en-GB"/>
        </w:rPr>
        <w:t>OO</w:t>
      </w:r>
      <w:r w:rsidRPr="008F25A4">
        <w:rPr>
          <w:rFonts w:cs="Arial"/>
          <w:lang w:val="en-GB"/>
        </w:rPr>
        <w:t xml:space="preserve"> are not meant to oust the jurisdiction of the courts. Thus, the decisions and exercise of powers by the Ombudsman is reviewable by the High Court on the application of any person with sufficient interest in a case that the Ombudsman has determined. Though the wording of the Constitution provides the impression that the </w:t>
      </w:r>
      <w:r w:rsidR="00510DAB">
        <w:rPr>
          <w:rFonts w:cs="Arial"/>
          <w:lang w:val="en-GB"/>
        </w:rPr>
        <w:t>OO</w:t>
      </w:r>
      <w:r w:rsidRPr="008F25A4">
        <w:rPr>
          <w:rFonts w:cs="Arial"/>
          <w:lang w:val="en-GB"/>
        </w:rPr>
        <w:t xml:space="preserve"> can investigate complaints from the private and public sector, the Ombudsman’s work in practice is limited to the public sector. </w:t>
      </w:r>
    </w:p>
    <w:p w14:paraId="71152903" w14:textId="77777777" w:rsidR="00652946" w:rsidRPr="008F25A4" w:rsidRDefault="00652946" w:rsidP="00652946">
      <w:pPr>
        <w:rPr>
          <w:rFonts w:cs="Arial"/>
          <w:lang w:val="en-GB"/>
        </w:rPr>
      </w:pPr>
      <w:r w:rsidRPr="008F25A4">
        <w:rPr>
          <w:rFonts w:cs="Arial"/>
          <w:lang w:val="en-GB"/>
        </w:rPr>
        <w:t xml:space="preserve">The main offices of the Ombudsman </w:t>
      </w:r>
      <w:r w:rsidR="00863B56">
        <w:rPr>
          <w:rFonts w:cs="Arial"/>
          <w:lang w:val="en-GB"/>
        </w:rPr>
        <w:t xml:space="preserve">are located in </w:t>
      </w:r>
      <w:r w:rsidRPr="008F25A4">
        <w:rPr>
          <w:rFonts w:cs="Arial"/>
          <w:lang w:val="en-GB"/>
        </w:rPr>
        <w:t xml:space="preserve">Mzuzu, Lilongwe, Blantyre and Balaka in the </w:t>
      </w:r>
      <w:r w:rsidR="00863B56">
        <w:rPr>
          <w:rFonts w:cs="Arial"/>
          <w:lang w:val="en-GB"/>
        </w:rPr>
        <w:t>Eastern Region. The headquarter</w:t>
      </w:r>
      <w:r w:rsidR="001619D5">
        <w:rPr>
          <w:rFonts w:cs="Arial"/>
          <w:lang w:val="en-GB"/>
        </w:rPr>
        <w:t>s</w:t>
      </w:r>
      <w:r w:rsidRPr="008F25A4">
        <w:rPr>
          <w:rFonts w:cs="Arial"/>
          <w:lang w:val="en-GB"/>
        </w:rPr>
        <w:t xml:space="preserve"> is located in Lilongwe</w:t>
      </w:r>
      <w:r w:rsidR="00863B56">
        <w:rPr>
          <w:rFonts w:cs="Arial"/>
          <w:lang w:val="en-GB"/>
        </w:rPr>
        <w:t xml:space="preserve">, which </w:t>
      </w:r>
      <w:r w:rsidR="001619D5">
        <w:rPr>
          <w:rFonts w:cs="Arial"/>
          <w:lang w:val="en-GB"/>
        </w:rPr>
        <w:t xml:space="preserve">is </w:t>
      </w:r>
      <w:r w:rsidR="00863B56">
        <w:rPr>
          <w:rFonts w:cs="Arial"/>
          <w:lang w:val="en-GB"/>
        </w:rPr>
        <w:t>also a r</w:t>
      </w:r>
      <w:r w:rsidRPr="008F25A4">
        <w:rPr>
          <w:rFonts w:cs="Arial"/>
          <w:lang w:val="en-GB"/>
        </w:rPr>
        <w:t xml:space="preserve">egional office serving the Central Region. However, the Ombudsman makes efforts to visit rural communities </w:t>
      </w:r>
      <w:r w:rsidR="00DA05B1" w:rsidRPr="008F25A4">
        <w:rPr>
          <w:rFonts w:cs="Arial"/>
          <w:lang w:val="en-GB"/>
        </w:rPr>
        <w:t>to</w:t>
      </w:r>
      <w:r w:rsidRPr="008F25A4">
        <w:rPr>
          <w:rFonts w:cs="Arial"/>
          <w:lang w:val="en-GB"/>
        </w:rPr>
        <w:t xml:space="preserve"> attend </w:t>
      </w:r>
      <w:r w:rsidRPr="008F25A4">
        <w:rPr>
          <w:rFonts w:cs="Arial"/>
          <w:lang w:val="en-GB"/>
        </w:rPr>
        <w:lastRenderedPageBreak/>
        <w:t>to complaints or investigations. At times, depending on the matters arising, the Ombudsman may issue a determination there and then.</w:t>
      </w:r>
    </w:p>
    <w:p w14:paraId="53D33EF7" w14:textId="77777777" w:rsidR="00652946" w:rsidRPr="008F25A4" w:rsidRDefault="00652946" w:rsidP="00652946">
      <w:pPr>
        <w:rPr>
          <w:rFonts w:cs="Arial"/>
          <w:lang w:val="en-GB"/>
        </w:rPr>
      </w:pPr>
      <w:r w:rsidRPr="008F25A4">
        <w:rPr>
          <w:rFonts w:cs="Arial"/>
          <w:lang w:val="en-GB"/>
        </w:rPr>
        <w:t xml:space="preserve">The Constitution of Malawi, in section 125, provides that the government must make available to the </w:t>
      </w:r>
      <w:r w:rsidR="00495C45">
        <w:rPr>
          <w:rFonts w:cs="Arial"/>
          <w:lang w:val="en-GB"/>
        </w:rPr>
        <w:t>OO</w:t>
      </w:r>
      <w:r w:rsidRPr="008F25A4">
        <w:rPr>
          <w:rFonts w:cs="Arial"/>
          <w:lang w:val="en-GB"/>
        </w:rPr>
        <w:t xml:space="preserve"> adequate resources enabling it to effectively discharge its functions.</w:t>
      </w:r>
      <w:r w:rsidRPr="006B4DA4">
        <w:rPr>
          <w:rStyle w:val="Fodnotehenvisning"/>
          <w:rFonts w:cs="Arial"/>
        </w:rPr>
        <w:footnoteReference w:id="39"/>
      </w:r>
      <w:r w:rsidRPr="008F25A4">
        <w:rPr>
          <w:rFonts w:cs="Arial"/>
          <w:lang w:val="en-GB"/>
        </w:rPr>
        <w:t xml:space="preserve"> In addition, section 12 of the Ombudsman Act provides that all costs of running the office must </w:t>
      </w:r>
      <w:r w:rsidR="00A50CE4">
        <w:rPr>
          <w:rFonts w:cs="Arial"/>
          <w:lang w:val="en-GB"/>
        </w:rPr>
        <w:t xml:space="preserve">be </w:t>
      </w:r>
      <w:r w:rsidR="00495C45">
        <w:rPr>
          <w:rFonts w:cs="Arial"/>
          <w:lang w:val="en-GB"/>
        </w:rPr>
        <w:t>covered</w:t>
      </w:r>
      <w:r w:rsidRPr="008F25A4">
        <w:rPr>
          <w:rFonts w:cs="Arial"/>
          <w:lang w:val="en-GB"/>
        </w:rPr>
        <w:t xml:space="preserve"> by Parliament.</w:t>
      </w:r>
      <w:r w:rsidRPr="006B4DA4">
        <w:rPr>
          <w:rStyle w:val="Fodnotehenvisning"/>
          <w:rFonts w:cs="Arial"/>
        </w:rPr>
        <w:footnoteReference w:id="40"/>
      </w:r>
      <w:r w:rsidRPr="008F25A4">
        <w:rPr>
          <w:rFonts w:cs="Arial"/>
          <w:lang w:val="en-GB"/>
        </w:rPr>
        <w:t xml:space="preserve"> </w:t>
      </w:r>
      <w:r w:rsidR="00495C45">
        <w:rPr>
          <w:rFonts w:cs="Arial"/>
          <w:lang w:val="en-GB"/>
        </w:rPr>
        <w:t>I</w:t>
      </w:r>
      <w:r w:rsidR="00495C45" w:rsidRPr="008F25A4">
        <w:rPr>
          <w:rFonts w:cs="Arial"/>
          <w:lang w:val="en-GB"/>
        </w:rPr>
        <w:t>n practice</w:t>
      </w:r>
      <w:r w:rsidR="00495C45">
        <w:rPr>
          <w:rFonts w:cs="Arial"/>
          <w:lang w:val="en-GB"/>
        </w:rPr>
        <w:t>, h</w:t>
      </w:r>
      <w:r w:rsidRPr="008F25A4">
        <w:rPr>
          <w:rFonts w:cs="Arial"/>
          <w:lang w:val="en-GB"/>
        </w:rPr>
        <w:t xml:space="preserve">owever, the </w:t>
      </w:r>
      <w:r w:rsidR="00495C45">
        <w:rPr>
          <w:rFonts w:cs="Arial"/>
          <w:lang w:val="en-GB"/>
        </w:rPr>
        <w:t>OO</w:t>
      </w:r>
      <w:r w:rsidRPr="008F25A4">
        <w:rPr>
          <w:rFonts w:cs="Arial"/>
          <w:lang w:val="en-GB"/>
        </w:rPr>
        <w:t xml:space="preserve"> is grossly underfunded. For instance, in December 2012, only 30% of the required funding was provided.</w:t>
      </w:r>
      <w:r w:rsidRPr="006B4DA4">
        <w:rPr>
          <w:rStyle w:val="Fodnotehenvisning"/>
          <w:rFonts w:cs="Arial"/>
        </w:rPr>
        <w:footnoteReference w:id="41"/>
      </w:r>
      <w:r w:rsidRPr="008F25A4">
        <w:rPr>
          <w:rFonts w:cs="Arial"/>
          <w:lang w:val="en-GB"/>
        </w:rPr>
        <w:t xml:space="preserve"> Interviews conducted also reveal that due to limited funding, the Office struggles to conduct investigations on complaints raised in various districts of Malawi. Past studies reveal that funding of the office is largely unpredictable </w:t>
      </w:r>
      <w:r w:rsidR="00A200AF">
        <w:rPr>
          <w:rFonts w:cs="Arial"/>
          <w:lang w:val="en-GB"/>
        </w:rPr>
        <w:t xml:space="preserve">and </w:t>
      </w:r>
      <w:r w:rsidRPr="008F25A4">
        <w:rPr>
          <w:rFonts w:cs="Arial"/>
          <w:lang w:val="en-GB"/>
        </w:rPr>
        <w:t>that financial allocations can be reduced anytime without consultations.</w:t>
      </w:r>
      <w:r w:rsidRPr="006B4DA4">
        <w:rPr>
          <w:rStyle w:val="Fodnotehenvisning"/>
          <w:rFonts w:cs="Arial"/>
        </w:rPr>
        <w:footnoteReference w:id="42"/>
      </w:r>
      <w:r w:rsidRPr="008F25A4">
        <w:rPr>
          <w:rFonts w:cs="Arial"/>
          <w:lang w:val="en-GB"/>
        </w:rPr>
        <w:t xml:space="preserve"> In addition, the procedure for disbursing money to the </w:t>
      </w:r>
      <w:r w:rsidR="00D520B0">
        <w:rPr>
          <w:rFonts w:cs="Arial"/>
          <w:lang w:val="en-GB"/>
        </w:rPr>
        <w:t>OO</w:t>
      </w:r>
      <w:r w:rsidRPr="008F25A4">
        <w:rPr>
          <w:rFonts w:cs="Arial"/>
          <w:lang w:val="en-GB"/>
        </w:rPr>
        <w:t xml:space="preserve"> results in delayed release of funds and affects the execution of important activities.</w:t>
      </w:r>
      <w:r w:rsidRPr="006B4DA4">
        <w:rPr>
          <w:rStyle w:val="Fodnotehenvisning"/>
          <w:rFonts w:cs="Arial"/>
        </w:rPr>
        <w:footnoteReference w:id="43"/>
      </w:r>
    </w:p>
    <w:p w14:paraId="6A2372B4" w14:textId="77777777" w:rsidR="00652946" w:rsidRPr="008F25A4" w:rsidRDefault="00652946" w:rsidP="00652946">
      <w:pPr>
        <w:rPr>
          <w:rFonts w:cs="Arial"/>
          <w:lang w:val="en-GB"/>
        </w:rPr>
      </w:pPr>
      <w:r w:rsidRPr="008F25A4">
        <w:rPr>
          <w:rFonts w:cs="Arial"/>
          <w:lang w:val="en-GB"/>
        </w:rPr>
        <w:t xml:space="preserve">The </w:t>
      </w:r>
      <w:r w:rsidR="001D40AD">
        <w:rPr>
          <w:rFonts w:cs="Arial"/>
          <w:lang w:val="en-GB"/>
        </w:rPr>
        <w:t>OO</w:t>
      </w:r>
      <w:r w:rsidRPr="008F25A4">
        <w:rPr>
          <w:rFonts w:cs="Arial"/>
          <w:lang w:val="en-GB"/>
        </w:rPr>
        <w:t xml:space="preserve"> has, however</w:t>
      </w:r>
      <w:r w:rsidR="001D40AD" w:rsidRPr="008F25A4">
        <w:rPr>
          <w:rFonts w:cs="Arial"/>
          <w:lang w:val="en-GB"/>
        </w:rPr>
        <w:t>, benefited</w:t>
      </w:r>
      <w:r w:rsidRPr="008F25A4">
        <w:rPr>
          <w:rFonts w:cs="Arial"/>
          <w:lang w:val="en-GB"/>
        </w:rPr>
        <w:t xml:space="preserve"> from some donor funding. Unfortunately, such funding has also been unreliable. Donor funding presently focuses upon crucial programmes such as clearing the backlog of cases and </w:t>
      </w:r>
      <w:r w:rsidR="001D40AD">
        <w:rPr>
          <w:rFonts w:cs="Arial"/>
          <w:lang w:val="en-GB"/>
        </w:rPr>
        <w:t>the OO</w:t>
      </w:r>
      <w:r w:rsidRPr="008F25A4">
        <w:rPr>
          <w:rFonts w:cs="Arial"/>
          <w:lang w:val="en-GB"/>
        </w:rPr>
        <w:t xml:space="preserve"> </w:t>
      </w:r>
      <w:r w:rsidR="001D40AD">
        <w:rPr>
          <w:rFonts w:cs="Arial"/>
          <w:lang w:val="en-GB"/>
        </w:rPr>
        <w:t xml:space="preserve">is </w:t>
      </w:r>
      <w:r w:rsidRPr="008F25A4">
        <w:rPr>
          <w:rFonts w:cs="Arial"/>
          <w:lang w:val="en-GB"/>
        </w:rPr>
        <w:t>hop</w:t>
      </w:r>
      <w:r w:rsidR="001D40AD">
        <w:rPr>
          <w:rFonts w:cs="Arial"/>
          <w:lang w:val="en-GB"/>
        </w:rPr>
        <w:t xml:space="preserve">ing </w:t>
      </w:r>
      <w:r w:rsidRPr="008F25A4">
        <w:rPr>
          <w:rFonts w:cs="Arial"/>
          <w:lang w:val="en-GB"/>
        </w:rPr>
        <w:t xml:space="preserve">that </w:t>
      </w:r>
      <w:r w:rsidR="001D40AD">
        <w:rPr>
          <w:rFonts w:cs="Arial"/>
          <w:lang w:val="en-GB"/>
        </w:rPr>
        <w:t xml:space="preserve">donor </w:t>
      </w:r>
      <w:r w:rsidRPr="008F25A4">
        <w:rPr>
          <w:rFonts w:cs="Arial"/>
          <w:lang w:val="en-GB"/>
        </w:rPr>
        <w:t xml:space="preserve">funding will continue on a sustainable basis to ensure achievement of results. However, </w:t>
      </w:r>
      <w:r w:rsidR="000D1B98">
        <w:rPr>
          <w:rFonts w:cs="Arial"/>
          <w:lang w:val="en-GB"/>
        </w:rPr>
        <w:t>the government</w:t>
      </w:r>
      <w:r w:rsidR="001D40AD">
        <w:rPr>
          <w:rFonts w:cs="Arial"/>
          <w:lang w:val="en-GB"/>
        </w:rPr>
        <w:t xml:space="preserve"> </w:t>
      </w:r>
      <w:r w:rsidRPr="008F25A4">
        <w:rPr>
          <w:rFonts w:cs="Arial"/>
          <w:lang w:val="en-GB"/>
        </w:rPr>
        <w:t xml:space="preserve">must take the leading role in ensuring progressive and sustainable funding for the </w:t>
      </w:r>
      <w:r w:rsidR="00031632">
        <w:rPr>
          <w:rFonts w:cs="Arial"/>
          <w:lang w:val="en-GB"/>
        </w:rPr>
        <w:t>OO</w:t>
      </w:r>
      <w:r w:rsidRPr="008F25A4">
        <w:rPr>
          <w:rFonts w:cs="Arial"/>
          <w:lang w:val="en-GB"/>
        </w:rPr>
        <w:t>.</w:t>
      </w:r>
    </w:p>
    <w:p w14:paraId="6CF44F96" w14:textId="3B33A35B" w:rsidR="00652946" w:rsidRPr="008F25A4" w:rsidRDefault="00652946" w:rsidP="00652946">
      <w:pPr>
        <w:rPr>
          <w:rFonts w:cs="Arial"/>
          <w:lang w:val="en-GB"/>
        </w:rPr>
      </w:pPr>
      <w:r w:rsidRPr="008F25A4">
        <w:rPr>
          <w:rFonts w:cs="Arial"/>
          <w:lang w:val="en-GB"/>
        </w:rPr>
        <w:t xml:space="preserve">Another limitation is the fact that the Ombudsman’s offices only exist in </w:t>
      </w:r>
      <w:r w:rsidR="00C563BA">
        <w:rPr>
          <w:rFonts w:cs="Arial"/>
          <w:lang w:val="en-GB"/>
        </w:rPr>
        <w:t>few</w:t>
      </w:r>
      <w:r w:rsidR="00C52E59">
        <w:rPr>
          <w:rFonts w:cs="Arial"/>
          <w:lang w:val="en-GB"/>
        </w:rPr>
        <w:t xml:space="preserve"> </w:t>
      </w:r>
      <w:r w:rsidR="00C563BA">
        <w:rPr>
          <w:rFonts w:cs="Arial"/>
          <w:lang w:val="en-GB"/>
        </w:rPr>
        <w:t>locations (</w:t>
      </w:r>
      <w:r w:rsidR="00C563BA" w:rsidRPr="008F25A4">
        <w:rPr>
          <w:rFonts w:cs="Arial"/>
          <w:lang w:val="en-GB"/>
        </w:rPr>
        <w:t>Mzuzu, Lilongwe, Blantyre and Balaka</w:t>
      </w:r>
      <w:r w:rsidR="00C563BA">
        <w:rPr>
          <w:rFonts w:cs="Arial"/>
          <w:lang w:val="en-GB"/>
        </w:rPr>
        <w:t>)</w:t>
      </w:r>
      <w:r w:rsidRPr="008F25A4">
        <w:rPr>
          <w:rFonts w:cs="Arial"/>
          <w:lang w:val="en-GB"/>
        </w:rPr>
        <w:t>. However, plans are underway to open outreach offices in two more districts.</w:t>
      </w:r>
      <w:r w:rsidRPr="006B4DA4">
        <w:rPr>
          <w:rStyle w:val="Fodnotehenvisning"/>
          <w:rFonts w:cs="Arial"/>
        </w:rPr>
        <w:footnoteReference w:id="44"/>
      </w:r>
      <w:r w:rsidRPr="008F25A4">
        <w:rPr>
          <w:rFonts w:cs="Arial"/>
          <w:lang w:val="en-GB"/>
        </w:rPr>
        <w:t xml:space="preserve"> To address the current limitation of office space, the Ombudsman makes efforts to visit rural areas in order to attend to complaints and investigations. The unavailability of adequate vehicles, however, makes it difficult to undertake such travels.</w:t>
      </w:r>
    </w:p>
    <w:p w14:paraId="739E126B" w14:textId="77777777" w:rsidR="00652946" w:rsidRPr="00BF09CE" w:rsidRDefault="000D1B98" w:rsidP="00652946">
      <w:pPr>
        <w:rPr>
          <w:rFonts w:cs="Arial"/>
          <w:lang w:val="en-GB"/>
        </w:rPr>
      </w:pPr>
      <w:r w:rsidRPr="008F25A4">
        <w:rPr>
          <w:rFonts w:cs="Arial"/>
          <w:lang w:val="en-GB"/>
        </w:rPr>
        <w:t>Concerning</w:t>
      </w:r>
      <w:r w:rsidR="00652946" w:rsidRPr="008F25A4">
        <w:rPr>
          <w:rFonts w:cs="Arial"/>
          <w:lang w:val="en-GB"/>
        </w:rPr>
        <w:t xml:space="preserve"> human resources, there is </w:t>
      </w:r>
      <w:r w:rsidR="00604BDF">
        <w:rPr>
          <w:rFonts w:cs="Arial"/>
          <w:lang w:val="en-GB"/>
        </w:rPr>
        <w:t>considerable turn</w:t>
      </w:r>
      <w:r w:rsidR="00652946" w:rsidRPr="008F25A4">
        <w:rPr>
          <w:rFonts w:cs="Arial"/>
          <w:lang w:val="en-GB"/>
        </w:rPr>
        <w:t>over of Ombudsman staff.</w:t>
      </w:r>
      <w:r w:rsidR="00652946" w:rsidRPr="006B4DA4">
        <w:rPr>
          <w:rStyle w:val="Fodnotehenvisning"/>
          <w:rFonts w:cs="Arial"/>
        </w:rPr>
        <w:footnoteReference w:id="45"/>
      </w:r>
      <w:r w:rsidR="00652946" w:rsidRPr="008F25A4">
        <w:rPr>
          <w:rFonts w:cs="Arial"/>
          <w:lang w:val="en-GB"/>
        </w:rPr>
        <w:t xml:space="preserve"> </w:t>
      </w:r>
      <w:r w:rsidR="00652946" w:rsidRPr="00BF09CE">
        <w:rPr>
          <w:rFonts w:cs="Arial"/>
          <w:lang w:val="en-GB"/>
        </w:rPr>
        <w:t xml:space="preserve">The problem is a result of poor conditions of service and </w:t>
      </w:r>
      <w:r w:rsidR="00BE4841">
        <w:rPr>
          <w:rFonts w:cs="Arial"/>
          <w:lang w:val="en-GB"/>
        </w:rPr>
        <w:t xml:space="preserve">working environment. </w:t>
      </w:r>
      <w:r w:rsidR="00652946" w:rsidRPr="00BF09CE">
        <w:rPr>
          <w:rFonts w:cs="Arial"/>
          <w:lang w:val="en-GB"/>
        </w:rPr>
        <w:t xml:space="preserve">Regarding the former, all other constitutional bodies offer better conditions of service than </w:t>
      </w:r>
      <w:r w:rsidR="008B2DF8">
        <w:rPr>
          <w:rFonts w:cs="Arial"/>
          <w:lang w:val="en-GB"/>
        </w:rPr>
        <w:t>OO</w:t>
      </w:r>
      <w:r w:rsidR="00652946" w:rsidRPr="006B4DA4">
        <w:rPr>
          <w:rStyle w:val="Fodnotehenvisning"/>
          <w:rFonts w:cs="Arial"/>
        </w:rPr>
        <w:footnoteReference w:id="46"/>
      </w:r>
      <w:r w:rsidR="00652946" w:rsidRPr="00BF09CE">
        <w:rPr>
          <w:rFonts w:cs="Arial"/>
          <w:lang w:val="en-GB"/>
        </w:rPr>
        <w:t xml:space="preserve"> and this sometimes leads to staff demotivation or seeking better opportunities elsewhere. </w:t>
      </w:r>
    </w:p>
    <w:p w14:paraId="1235867D" w14:textId="77777777" w:rsidR="00652946" w:rsidRPr="00BF09CE" w:rsidRDefault="00652946" w:rsidP="00652946">
      <w:pPr>
        <w:rPr>
          <w:rFonts w:cs="Arial"/>
          <w:lang w:val="en-GB"/>
        </w:rPr>
      </w:pPr>
      <w:r w:rsidRPr="00BF09CE">
        <w:rPr>
          <w:rFonts w:cs="Arial"/>
          <w:lang w:val="en-GB"/>
        </w:rPr>
        <w:t xml:space="preserve">There is also lack of career development and training opportunities for staff due to limited financial resources. In spite of the above, many staff are well qualified for their positions with </w:t>
      </w:r>
      <w:r w:rsidR="00427250">
        <w:rPr>
          <w:rFonts w:cs="Arial"/>
          <w:lang w:val="en-GB"/>
        </w:rPr>
        <w:t xml:space="preserve">more than </w:t>
      </w:r>
      <w:r w:rsidRPr="00BF09CE">
        <w:rPr>
          <w:rFonts w:cs="Arial"/>
          <w:lang w:val="en-GB"/>
        </w:rPr>
        <w:t xml:space="preserve">25 being university graduates in relevant fields. Nevertheless, there is still need for </w:t>
      </w:r>
      <w:r w:rsidR="00D21ADF">
        <w:rPr>
          <w:rFonts w:cs="Arial"/>
          <w:lang w:val="en-GB"/>
        </w:rPr>
        <w:t xml:space="preserve">revolving staff </w:t>
      </w:r>
      <w:r w:rsidRPr="00BF09CE">
        <w:rPr>
          <w:rFonts w:cs="Arial"/>
          <w:lang w:val="en-GB"/>
        </w:rPr>
        <w:t>skills development programs, especially in investigations skills</w:t>
      </w:r>
      <w:r w:rsidR="00D21ADF">
        <w:rPr>
          <w:rFonts w:cs="Arial"/>
          <w:lang w:val="en-GB"/>
        </w:rPr>
        <w:t xml:space="preserve">. </w:t>
      </w:r>
    </w:p>
    <w:p w14:paraId="2A752761" w14:textId="77777777" w:rsidR="00652946" w:rsidRPr="00BF09CE" w:rsidRDefault="00652946" w:rsidP="00652946">
      <w:pPr>
        <w:rPr>
          <w:rFonts w:cs="Arial"/>
          <w:lang w:val="en-GB"/>
        </w:rPr>
      </w:pPr>
      <w:r w:rsidRPr="00BF09CE">
        <w:rPr>
          <w:rFonts w:cs="Arial"/>
          <w:lang w:val="en-GB"/>
        </w:rPr>
        <w:lastRenderedPageBreak/>
        <w:t xml:space="preserve">In sum, there is high risk of government </w:t>
      </w:r>
      <w:r w:rsidR="00427250">
        <w:rPr>
          <w:rFonts w:cs="Arial"/>
          <w:lang w:val="en-GB"/>
        </w:rPr>
        <w:t>hampering</w:t>
      </w:r>
      <w:r w:rsidRPr="00BF09CE">
        <w:rPr>
          <w:rFonts w:cs="Arial"/>
          <w:lang w:val="en-GB"/>
        </w:rPr>
        <w:t xml:space="preserve"> the operation of the Office by withholding funds and thus compromising its independence. In addition, though evidence suggests that staffs are well qualified for their positions</w:t>
      </w:r>
      <w:r w:rsidR="00E43313">
        <w:rPr>
          <w:rFonts w:cs="Arial"/>
          <w:lang w:val="en-GB"/>
        </w:rPr>
        <w:t>,</w:t>
      </w:r>
      <w:r w:rsidRPr="00BF09CE">
        <w:rPr>
          <w:rFonts w:cs="Arial"/>
          <w:lang w:val="en-GB"/>
        </w:rPr>
        <w:t xml:space="preserve"> and that continuous attempts are made to ensure that vacant positions are filled, staff turnover remains a considerable challenge mainly due to the Office’s poor conditions of service. Skill development programmes for staff are largely non-existent and this is often a demotivating factor for staff. In addition, subtle hostilities over concerns of nepotism amongst some members of staff have somewhat contributed to demotivation and disloyalty.</w:t>
      </w:r>
    </w:p>
    <w:p w14:paraId="6B747007" w14:textId="77777777" w:rsidR="00652946" w:rsidRPr="00BF09CE" w:rsidRDefault="00652946" w:rsidP="00652946">
      <w:pPr>
        <w:rPr>
          <w:rFonts w:cs="Arial"/>
          <w:lang w:val="en-GB"/>
        </w:rPr>
      </w:pPr>
      <w:r w:rsidRPr="00BF09CE">
        <w:rPr>
          <w:rFonts w:cs="Arial"/>
          <w:lang w:val="en-GB"/>
        </w:rPr>
        <w:t xml:space="preserve">There </w:t>
      </w:r>
      <w:r w:rsidR="00B426D4" w:rsidRPr="00BF09CE">
        <w:rPr>
          <w:rFonts w:cs="Arial"/>
          <w:lang w:val="en-GB"/>
        </w:rPr>
        <w:t>is potential</w:t>
      </w:r>
      <w:r w:rsidRPr="00BF09CE">
        <w:rPr>
          <w:rFonts w:cs="Arial"/>
          <w:lang w:val="en-GB"/>
        </w:rPr>
        <w:t xml:space="preserve"> for the Ombudsman to operate independently. However, this is largely dependent upon the personality of the Ombudsman and the practice of the government in power to either respect or undermine the role of the </w:t>
      </w:r>
      <w:r w:rsidR="00417BDB">
        <w:rPr>
          <w:rFonts w:cs="Arial"/>
          <w:lang w:val="en-GB"/>
        </w:rPr>
        <w:t>institution</w:t>
      </w:r>
      <w:r w:rsidRPr="00BF09CE">
        <w:rPr>
          <w:rFonts w:cs="Arial"/>
          <w:lang w:val="en-GB"/>
        </w:rPr>
        <w:t>. This is observed in light of the fact that parliamentary oversight functions are largely weak.</w:t>
      </w:r>
    </w:p>
    <w:p w14:paraId="6CFABACB" w14:textId="77777777" w:rsidR="00E90E90" w:rsidRDefault="00652946" w:rsidP="00652946">
      <w:pPr>
        <w:rPr>
          <w:rFonts w:cs="Arial"/>
          <w:lang w:val="en-GB"/>
        </w:rPr>
      </w:pPr>
      <w:r w:rsidRPr="00BF09CE">
        <w:rPr>
          <w:rFonts w:cs="Arial"/>
          <w:lang w:val="en-GB"/>
        </w:rPr>
        <w:t xml:space="preserve">However, credit is given towards the security of tenure strongly enshrined in the Constitution. It is uncommon that an Ombudsman has been removed due to political interference prior to the end of his/her term. Similarly, it is not common for staff to be removed in </w:t>
      </w:r>
      <w:r w:rsidR="00417BDB">
        <w:rPr>
          <w:rFonts w:cs="Arial"/>
          <w:lang w:val="en-GB"/>
        </w:rPr>
        <w:t>similar</w:t>
      </w:r>
      <w:r w:rsidRPr="00BF09CE">
        <w:rPr>
          <w:rFonts w:cs="Arial"/>
          <w:lang w:val="en-GB"/>
        </w:rPr>
        <w:t xml:space="preserve"> manner</w:t>
      </w:r>
      <w:r w:rsidR="00417BDB">
        <w:rPr>
          <w:rFonts w:cs="Arial"/>
          <w:lang w:val="en-GB"/>
        </w:rPr>
        <w:t>s</w:t>
      </w:r>
      <w:r w:rsidRPr="00BF09CE">
        <w:rPr>
          <w:rFonts w:cs="Arial"/>
          <w:lang w:val="en-GB"/>
        </w:rPr>
        <w:t>.</w:t>
      </w:r>
      <w:r w:rsidRPr="006B4DA4">
        <w:rPr>
          <w:rStyle w:val="Fodnotehenvisning"/>
          <w:rFonts w:cs="Arial"/>
        </w:rPr>
        <w:footnoteReference w:id="47"/>
      </w:r>
      <w:r w:rsidRPr="00BF09CE">
        <w:rPr>
          <w:rFonts w:cs="Arial"/>
          <w:lang w:val="en-GB"/>
        </w:rPr>
        <w:t xml:space="preserve"> Terms and conditions of service are clear on proper procedures for removal of staff in the </w:t>
      </w:r>
      <w:r w:rsidR="009067CD">
        <w:rPr>
          <w:rFonts w:cs="Arial"/>
          <w:lang w:val="en-GB"/>
        </w:rPr>
        <w:t>OO</w:t>
      </w:r>
      <w:r w:rsidRPr="00BF09CE">
        <w:rPr>
          <w:rFonts w:cs="Arial"/>
          <w:lang w:val="en-GB"/>
        </w:rPr>
        <w:t xml:space="preserve">. However, since the Ombudsman Act empowers the Ombudsman to hire his/her own staff, it is alleged that these discretionary powers are sometimes abused to appoint unqualified or under-qualified individuals into key </w:t>
      </w:r>
      <w:r w:rsidR="009067CD" w:rsidRPr="00BF09CE">
        <w:rPr>
          <w:rFonts w:cs="Arial"/>
          <w:lang w:val="en-GB"/>
        </w:rPr>
        <w:t>positions in</w:t>
      </w:r>
      <w:r w:rsidRPr="00BF09CE">
        <w:rPr>
          <w:rFonts w:cs="Arial"/>
          <w:lang w:val="en-GB"/>
        </w:rPr>
        <w:t xml:space="preserve"> return for a variety of favours.</w:t>
      </w:r>
      <w:r w:rsidRPr="006B4DA4">
        <w:rPr>
          <w:rFonts w:cs="Arial"/>
          <w:vertAlign w:val="superscript"/>
        </w:rPr>
        <w:footnoteReference w:id="48"/>
      </w:r>
      <w:r w:rsidR="00E90E90">
        <w:rPr>
          <w:rFonts w:cs="Arial"/>
          <w:lang w:val="en-GB"/>
        </w:rPr>
        <w:t xml:space="preserve"> </w:t>
      </w:r>
      <w:r w:rsidRPr="00BF09CE">
        <w:rPr>
          <w:rFonts w:cs="Arial"/>
          <w:lang w:val="en-GB"/>
        </w:rPr>
        <w:t xml:space="preserve">This has been attributed to limited financial resources to undertake such a programme. </w:t>
      </w:r>
    </w:p>
    <w:p w14:paraId="69DD007E" w14:textId="77777777" w:rsidR="00652946" w:rsidRPr="00BF09CE" w:rsidRDefault="00E43313" w:rsidP="00652946">
      <w:pPr>
        <w:rPr>
          <w:rFonts w:cs="Arial"/>
          <w:lang w:val="en-GB"/>
        </w:rPr>
      </w:pPr>
      <w:r>
        <w:rPr>
          <w:rFonts w:cs="Arial"/>
          <w:lang w:val="en-GB"/>
        </w:rPr>
        <w:t>T</w:t>
      </w:r>
      <w:r w:rsidR="00652946" w:rsidRPr="00BF09CE">
        <w:rPr>
          <w:rFonts w:cs="Arial"/>
          <w:lang w:val="en-GB"/>
        </w:rPr>
        <w:t xml:space="preserve">he presence of a Civic education </w:t>
      </w:r>
      <w:r w:rsidR="009067CD" w:rsidRPr="00BF09CE">
        <w:rPr>
          <w:rFonts w:cs="Arial"/>
          <w:lang w:val="en-GB"/>
        </w:rPr>
        <w:t>department, which is primarily responsible for raising awareness,</w:t>
      </w:r>
      <w:r w:rsidR="00652946" w:rsidRPr="00BF09CE">
        <w:rPr>
          <w:rFonts w:cs="Arial"/>
          <w:lang w:val="en-GB"/>
        </w:rPr>
        <w:t xml:space="preserve"> is a welcome and necessary attribute. In addition, through current donor support (in particular through the International Institute for Democracy and Electoral Assistance (International IDEA programme), efforts are being made to ensure a more proactive approach by the Ombudsman in dealing with cases before they arise by means of public awareness. </w:t>
      </w:r>
    </w:p>
    <w:p w14:paraId="5E68E0A0" w14:textId="77777777" w:rsidR="00EF2DC8" w:rsidRPr="00BF09CE" w:rsidRDefault="001B3E3C" w:rsidP="00EF2DC8">
      <w:pPr>
        <w:spacing w:after="200"/>
        <w:rPr>
          <w:rFonts w:cs="Arial"/>
          <w:lang w:val="en-GB"/>
        </w:rPr>
      </w:pPr>
      <w:r>
        <w:rPr>
          <w:lang w:val="en-GB"/>
        </w:rPr>
        <w:t>A</w:t>
      </w:r>
      <w:r w:rsidR="00652C51">
        <w:rPr>
          <w:lang w:val="en-GB"/>
        </w:rPr>
        <w:t xml:space="preserve">ny improvements in role and functioning of the OO </w:t>
      </w:r>
      <w:r>
        <w:rPr>
          <w:lang w:val="en-GB"/>
        </w:rPr>
        <w:t>depend</w:t>
      </w:r>
      <w:r w:rsidR="00652C51">
        <w:rPr>
          <w:lang w:val="en-GB"/>
        </w:rPr>
        <w:t xml:space="preserve"> on </w:t>
      </w:r>
      <w:r w:rsidR="009A1562">
        <w:rPr>
          <w:lang w:val="en-GB"/>
        </w:rPr>
        <w:t xml:space="preserve">successfully addressing </w:t>
      </w:r>
      <w:r w:rsidR="00415436">
        <w:rPr>
          <w:lang w:val="en-GB"/>
        </w:rPr>
        <w:t xml:space="preserve">a number of issues. </w:t>
      </w:r>
      <w:r w:rsidR="00652946" w:rsidRPr="00571491">
        <w:rPr>
          <w:rFonts w:cs="Arial"/>
          <w:lang w:val="en-GB"/>
        </w:rPr>
        <w:t xml:space="preserve">The practice demonstrates a significant gap between the Ombudsman’s role and the oversight functions of Parliament. </w:t>
      </w:r>
      <w:r w:rsidR="00415436">
        <w:rPr>
          <w:rFonts w:cs="Arial"/>
          <w:lang w:val="en-GB"/>
        </w:rPr>
        <w:t xml:space="preserve">Therefore, there is a need to </w:t>
      </w:r>
      <w:r w:rsidR="00652946" w:rsidRPr="00571491">
        <w:rPr>
          <w:rFonts w:cs="Arial"/>
          <w:lang w:val="en-GB"/>
        </w:rPr>
        <w:t>strengthen initiatives meant to enhance the capacity of Parliament to effectively discharge its oversight functions over institutions such as the Ombudsman.</w:t>
      </w:r>
      <w:r w:rsidR="003A0D89">
        <w:rPr>
          <w:rFonts w:cs="Arial"/>
          <w:lang w:val="en-GB"/>
        </w:rPr>
        <w:t xml:space="preserve"> </w:t>
      </w:r>
      <w:r w:rsidR="00EF2DC8">
        <w:rPr>
          <w:rFonts w:cs="Arial"/>
          <w:lang w:val="en-GB"/>
        </w:rPr>
        <w:t xml:space="preserve">The legal framework needs to be enhanced, including the  </w:t>
      </w:r>
      <w:r>
        <w:rPr>
          <w:rFonts w:cs="Arial"/>
          <w:lang w:val="en-GB"/>
        </w:rPr>
        <w:t xml:space="preserve"> </w:t>
      </w:r>
      <w:r w:rsidR="00EF2DC8" w:rsidRPr="00BF09CE">
        <w:rPr>
          <w:rFonts w:cs="Arial"/>
          <w:lang w:val="en-GB"/>
        </w:rPr>
        <w:t>an enabling legal framework that would empower the Office of the Ombudsman to enforce its determinations</w:t>
      </w:r>
      <w:r w:rsidR="00EF2DC8">
        <w:rPr>
          <w:rFonts w:cs="Arial"/>
          <w:lang w:val="en-GB"/>
        </w:rPr>
        <w:t xml:space="preserve"> and s</w:t>
      </w:r>
      <w:r w:rsidR="00EF2DC8" w:rsidRPr="00BF09CE">
        <w:rPr>
          <w:rFonts w:cs="Arial"/>
          <w:lang w:val="en-GB"/>
        </w:rPr>
        <w:t>ubsidiary rules, such as a code of conduct for the Ombudsman’s Office to deal with conflict of interest issues, to supplement the position of the law on independence.</w:t>
      </w:r>
    </w:p>
    <w:p w14:paraId="787E47D1" w14:textId="77777777" w:rsidR="00146334" w:rsidRDefault="007A5C27" w:rsidP="00943CF9">
      <w:pPr>
        <w:spacing w:after="200"/>
        <w:rPr>
          <w:rFonts w:cs="Arial"/>
          <w:lang w:val="en-GB"/>
        </w:rPr>
      </w:pPr>
      <w:r>
        <w:rPr>
          <w:rFonts w:cs="Arial"/>
          <w:lang w:val="en-GB"/>
        </w:rPr>
        <w:t xml:space="preserve">There is also a need to improve </w:t>
      </w:r>
      <w:r w:rsidRPr="00BF09CE">
        <w:rPr>
          <w:rFonts w:cs="Arial"/>
          <w:lang w:val="en-GB"/>
        </w:rPr>
        <w:t xml:space="preserve">conditions of service </w:t>
      </w:r>
      <w:r>
        <w:rPr>
          <w:rFonts w:cs="Arial"/>
          <w:lang w:val="en-GB"/>
        </w:rPr>
        <w:t xml:space="preserve">and bring them </w:t>
      </w:r>
      <w:r w:rsidRPr="00BF09CE">
        <w:rPr>
          <w:rFonts w:cs="Arial"/>
          <w:lang w:val="en-GB"/>
        </w:rPr>
        <w:t>at par with other constitutional bodies</w:t>
      </w:r>
      <w:r w:rsidR="001B3E3C">
        <w:rPr>
          <w:rFonts w:cs="Arial"/>
          <w:lang w:val="en-GB"/>
        </w:rPr>
        <w:t xml:space="preserve"> by engaging with the</w:t>
      </w:r>
      <w:r w:rsidR="00652946" w:rsidRPr="00BF09CE">
        <w:rPr>
          <w:rFonts w:cs="Arial"/>
          <w:lang w:val="en-GB"/>
        </w:rPr>
        <w:t xml:space="preserve"> Department of Human Resource and Development </w:t>
      </w:r>
    </w:p>
    <w:p w14:paraId="1F961A22" w14:textId="77777777" w:rsidR="008D0DD6" w:rsidRDefault="00146334" w:rsidP="00146334">
      <w:pPr>
        <w:spacing w:after="200"/>
        <w:rPr>
          <w:rFonts w:cs="Arial"/>
          <w:lang w:val="en-GB"/>
        </w:rPr>
      </w:pPr>
      <w:r>
        <w:rPr>
          <w:rFonts w:cs="Arial"/>
          <w:lang w:val="en-GB"/>
        </w:rPr>
        <w:t xml:space="preserve">Finally, </w:t>
      </w:r>
      <w:r w:rsidR="00652946" w:rsidRPr="00BF09CE">
        <w:rPr>
          <w:rFonts w:cs="Arial"/>
          <w:lang w:val="en-GB"/>
        </w:rPr>
        <w:t xml:space="preserve">there should be an extensive and deliberate implementation of an outreach programme meant to increase </w:t>
      </w:r>
      <w:r w:rsidR="00E43313">
        <w:rPr>
          <w:rFonts w:cs="Arial"/>
          <w:lang w:val="en-GB"/>
        </w:rPr>
        <w:t xml:space="preserve">public </w:t>
      </w:r>
      <w:r w:rsidR="00652946" w:rsidRPr="00BF09CE">
        <w:rPr>
          <w:rFonts w:cs="Arial"/>
          <w:lang w:val="en-GB"/>
        </w:rPr>
        <w:t>awareness and visibility of the Ombudsman’s office. Such a programme could be presented to donors or the Democratic Governance SWAp for possible funding (</w:t>
      </w:r>
      <w:r w:rsidR="008D0DD6">
        <w:rPr>
          <w:rFonts w:cs="Arial"/>
          <w:lang w:val="en-GB"/>
        </w:rPr>
        <w:t xml:space="preserve">over and above </w:t>
      </w:r>
      <w:r w:rsidR="00652946" w:rsidRPr="00BF09CE">
        <w:rPr>
          <w:rFonts w:cs="Arial"/>
          <w:lang w:val="en-GB"/>
        </w:rPr>
        <w:t xml:space="preserve">government funds). Other than print media, the </w:t>
      </w:r>
      <w:r w:rsidR="008D0DD6">
        <w:rPr>
          <w:rFonts w:cs="Arial"/>
          <w:lang w:val="en-GB"/>
        </w:rPr>
        <w:t>OO</w:t>
      </w:r>
      <w:r w:rsidR="00652946" w:rsidRPr="00BF09CE">
        <w:rPr>
          <w:rFonts w:cs="Arial"/>
          <w:lang w:val="en-GB"/>
        </w:rPr>
        <w:t xml:space="preserve"> should utilize effective avenues of communication such as radio and television. </w:t>
      </w:r>
    </w:p>
    <w:p w14:paraId="5C7551E8" w14:textId="77777777" w:rsidR="00146334" w:rsidRDefault="00652946" w:rsidP="00146334">
      <w:pPr>
        <w:spacing w:after="200"/>
        <w:rPr>
          <w:rFonts w:cs="Arial"/>
          <w:lang w:val="en-GB"/>
        </w:rPr>
      </w:pPr>
      <w:r w:rsidRPr="00BF09CE">
        <w:rPr>
          <w:rFonts w:cs="Arial"/>
          <w:lang w:val="en-GB"/>
        </w:rPr>
        <w:t>Collaboration with traditional leaders and chiefs would also ensure that awareness messages are passed on to and embraced by rural communities. This is proposed in light of the fact that rural people have even less access to such information and are more vulnerable to abuse by powerful government agencies.</w:t>
      </w:r>
      <w:r w:rsidR="008D0DD6">
        <w:rPr>
          <w:rFonts w:cs="Arial"/>
          <w:lang w:val="en-GB"/>
        </w:rPr>
        <w:t xml:space="preserve"> Likewise, </w:t>
      </w:r>
      <w:r w:rsidR="00403F3B">
        <w:rPr>
          <w:rFonts w:cs="Arial"/>
          <w:lang w:val="en-GB"/>
        </w:rPr>
        <w:t>as</w:t>
      </w:r>
      <w:r w:rsidR="00146334" w:rsidRPr="00146334">
        <w:rPr>
          <w:rFonts w:cs="Arial"/>
          <w:lang w:val="en-GB"/>
        </w:rPr>
        <w:t xml:space="preserve"> resource constraints </w:t>
      </w:r>
      <w:r w:rsidR="00403F3B">
        <w:rPr>
          <w:rFonts w:cs="Arial"/>
          <w:lang w:val="en-GB"/>
        </w:rPr>
        <w:t>are</w:t>
      </w:r>
      <w:r w:rsidR="00146334" w:rsidRPr="00146334">
        <w:rPr>
          <w:rFonts w:cs="Arial"/>
          <w:lang w:val="en-GB"/>
        </w:rPr>
        <w:t xml:space="preserve"> the major challenge hindering public </w:t>
      </w:r>
      <w:r w:rsidR="00146334" w:rsidRPr="00146334">
        <w:rPr>
          <w:rFonts w:cs="Arial"/>
          <w:lang w:val="en-GB"/>
        </w:rPr>
        <w:lastRenderedPageBreak/>
        <w:t>awareness programs, opportunities to collaborate with organisations that have permanent presence in communities (especially rural communities) so as to extensively under</w:t>
      </w:r>
      <w:r w:rsidR="00403F3B">
        <w:rPr>
          <w:rFonts w:cs="Arial"/>
          <w:lang w:val="en-GB"/>
        </w:rPr>
        <w:t xml:space="preserve">take public awareness campaigns could also be explored. </w:t>
      </w:r>
    </w:p>
    <w:p w14:paraId="1BD41D08" w14:textId="5E4F273B" w:rsidR="002E21E0" w:rsidRPr="00C77F71" w:rsidRDefault="00C563BA" w:rsidP="00403F3B">
      <w:pPr>
        <w:spacing w:after="200"/>
        <w:rPr>
          <w:i/>
          <w:lang w:val="en-US"/>
        </w:rPr>
      </w:pPr>
      <w:r>
        <w:rPr>
          <w:rFonts w:cs="Arial"/>
          <w:lang w:val="en-GB"/>
        </w:rPr>
        <w:t>At the time of writing</w:t>
      </w:r>
      <w:r w:rsidR="00403F3B">
        <w:rPr>
          <w:rFonts w:cs="Arial"/>
          <w:lang w:val="en-GB"/>
        </w:rPr>
        <w:t xml:space="preserve">, the Ombudsman position </w:t>
      </w:r>
      <w:r>
        <w:rPr>
          <w:rFonts w:cs="Arial"/>
          <w:lang w:val="en-GB"/>
        </w:rPr>
        <w:t>was</w:t>
      </w:r>
      <w:r w:rsidR="001301BB">
        <w:rPr>
          <w:rFonts w:cs="Arial"/>
          <w:lang w:val="en-GB"/>
        </w:rPr>
        <w:t xml:space="preserve"> </w:t>
      </w:r>
      <w:r w:rsidR="00403F3B">
        <w:rPr>
          <w:rFonts w:cs="Arial"/>
          <w:lang w:val="en-GB"/>
        </w:rPr>
        <w:t>vacant</w:t>
      </w:r>
      <w:r>
        <w:rPr>
          <w:rFonts w:cs="Arial"/>
          <w:lang w:val="en-GB"/>
        </w:rPr>
        <w:t>. Therefore,</w:t>
      </w:r>
      <w:r w:rsidR="00403F3B">
        <w:rPr>
          <w:rFonts w:cs="Arial"/>
          <w:lang w:val="en-GB"/>
        </w:rPr>
        <w:t xml:space="preserve"> </w:t>
      </w:r>
      <w:r w:rsidR="00A7565A">
        <w:rPr>
          <w:lang w:val="en-US"/>
        </w:rPr>
        <w:t xml:space="preserve">further dialogue on future UNDP </w:t>
      </w:r>
      <w:r w:rsidR="00A92E19" w:rsidRPr="00CD56B9">
        <w:rPr>
          <w:lang w:val="en-US"/>
        </w:rPr>
        <w:t>support should await the instalment of the next Ombudsman</w:t>
      </w:r>
      <w:r w:rsidR="00A7565A">
        <w:rPr>
          <w:lang w:val="en-US"/>
        </w:rPr>
        <w:t xml:space="preserve"> in order to access how the OO </w:t>
      </w:r>
      <w:r w:rsidR="00071FA2">
        <w:rPr>
          <w:lang w:val="en-US"/>
        </w:rPr>
        <w:t xml:space="preserve">realistically </w:t>
      </w:r>
      <w:r w:rsidR="00A92E19" w:rsidRPr="00CD56B9">
        <w:rPr>
          <w:lang w:val="en-US"/>
        </w:rPr>
        <w:t xml:space="preserve">can </w:t>
      </w:r>
      <w:r w:rsidR="00A7565A">
        <w:rPr>
          <w:lang w:val="en-US"/>
        </w:rPr>
        <w:t xml:space="preserve">contribute </w:t>
      </w:r>
      <w:r w:rsidR="00A92E19" w:rsidRPr="00CD56B9">
        <w:rPr>
          <w:lang w:val="en-US"/>
        </w:rPr>
        <w:t>to the good governance and human rights agendas</w:t>
      </w:r>
      <w:r w:rsidR="00181D6E">
        <w:rPr>
          <w:lang w:val="en-US"/>
        </w:rPr>
        <w:t>.</w:t>
      </w:r>
      <w:r w:rsidR="00181D6E" w:rsidRPr="00181D6E">
        <w:rPr>
          <w:lang w:val="en-US"/>
        </w:rPr>
        <w:t xml:space="preserve"> </w:t>
      </w:r>
      <w:r w:rsidR="00E27A70" w:rsidRPr="00C77F71">
        <w:rPr>
          <w:i/>
          <w:lang w:val="en-US"/>
        </w:rPr>
        <w:t>(See Recommendation #</w:t>
      </w:r>
      <w:r w:rsidR="00C77F71">
        <w:rPr>
          <w:i/>
          <w:lang w:val="en-US"/>
        </w:rPr>
        <w:t xml:space="preserve"> </w:t>
      </w:r>
      <w:r w:rsidR="001A6EA1">
        <w:rPr>
          <w:i/>
          <w:lang w:val="en-US"/>
        </w:rPr>
        <w:t>10</w:t>
      </w:r>
      <w:r w:rsidR="00E27A70" w:rsidRPr="00C77F71">
        <w:rPr>
          <w:i/>
          <w:lang w:val="en-US"/>
        </w:rPr>
        <w:t>)</w:t>
      </w:r>
    </w:p>
    <w:p w14:paraId="16650716" w14:textId="77777777" w:rsidR="00156DA9" w:rsidRPr="00CD56B9" w:rsidRDefault="0089100F" w:rsidP="00997A7B">
      <w:pPr>
        <w:pStyle w:val="Overskrift2"/>
        <w:numPr>
          <w:ilvl w:val="0"/>
          <w:numId w:val="0"/>
        </w:numPr>
        <w:rPr>
          <w:lang w:val="en-US"/>
        </w:rPr>
      </w:pPr>
      <w:bookmarkStart w:id="40" w:name="_Toc439245592"/>
      <w:r w:rsidRPr="00CD56B9">
        <w:rPr>
          <w:lang w:val="en-US"/>
        </w:rPr>
        <w:t xml:space="preserve">4.2 </w:t>
      </w:r>
      <w:r w:rsidR="00156DA9" w:rsidRPr="00CD56B9">
        <w:rPr>
          <w:lang w:val="en-US"/>
        </w:rPr>
        <w:t xml:space="preserve">Output 4.1.2 </w:t>
      </w:r>
      <w:r w:rsidR="006124AC" w:rsidRPr="00CD56B9">
        <w:rPr>
          <w:lang w:val="en-US"/>
        </w:rPr>
        <w:t xml:space="preserve">- </w:t>
      </w:r>
      <w:r w:rsidR="00156DA9" w:rsidRPr="00CD56B9">
        <w:rPr>
          <w:lang w:val="en-US"/>
        </w:rPr>
        <w:t>Capacity of national institutions strengthened for collaborative dialogue to support the establishment and operationalization of the national peace architecture</w:t>
      </w:r>
      <w:bookmarkEnd w:id="40"/>
    </w:p>
    <w:p w14:paraId="3CCD8BAB" w14:textId="77777777" w:rsidR="00EA07AE" w:rsidRPr="00CD56B9" w:rsidRDefault="00EA07AE" w:rsidP="00830598">
      <w:pPr>
        <w:spacing w:after="0"/>
        <w:rPr>
          <w:lang w:val="en-US"/>
        </w:rPr>
      </w:pPr>
    </w:p>
    <w:p w14:paraId="3473ED33" w14:textId="77777777" w:rsidR="0035482B" w:rsidRPr="00CD56B9" w:rsidRDefault="006E19B0" w:rsidP="00830598">
      <w:pPr>
        <w:spacing w:after="0"/>
        <w:rPr>
          <w:lang w:val="en-US"/>
        </w:rPr>
      </w:pPr>
      <w:r>
        <w:rPr>
          <w:lang w:val="en-US"/>
        </w:rPr>
        <w:t>E</w:t>
      </w:r>
      <w:r w:rsidR="0035482B" w:rsidRPr="00CD56B9">
        <w:rPr>
          <w:lang w:val="en-US"/>
        </w:rPr>
        <w:t xml:space="preserve">stablishing a National Peace Architecture is </w:t>
      </w:r>
      <w:r>
        <w:rPr>
          <w:lang w:val="en-US"/>
        </w:rPr>
        <w:t>relevant</w:t>
      </w:r>
      <w:r w:rsidRPr="00CD56B9">
        <w:rPr>
          <w:lang w:val="en-US"/>
        </w:rPr>
        <w:t xml:space="preserve"> </w:t>
      </w:r>
      <w:r>
        <w:rPr>
          <w:lang w:val="en-US"/>
        </w:rPr>
        <w:t xml:space="preserve">and the revision of </w:t>
      </w:r>
      <w:r w:rsidR="0035482B" w:rsidRPr="00CD56B9">
        <w:rPr>
          <w:lang w:val="en-US"/>
        </w:rPr>
        <w:t xml:space="preserve">UNDAF in 2013 </w:t>
      </w:r>
      <w:r>
        <w:rPr>
          <w:lang w:val="en-US"/>
        </w:rPr>
        <w:t xml:space="preserve">adding targets on and support to the development of a </w:t>
      </w:r>
      <w:r w:rsidR="0035482B" w:rsidRPr="00CD56B9">
        <w:rPr>
          <w:lang w:val="en-US"/>
        </w:rPr>
        <w:t>NPA in the cooperation with the</w:t>
      </w:r>
      <w:r w:rsidR="007A48D2">
        <w:rPr>
          <w:lang w:val="en-US"/>
        </w:rPr>
        <w:t xml:space="preserve"> government, CSOs and the media is well justified.</w:t>
      </w:r>
    </w:p>
    <w:p w14:paraId="5E5F7B57" w14:textId="77777777" w:rsidR="0035482B" w:rsidRPr="00CD56B9" w:rsidRDefault="0035482B" w:rsidP="00830598">
      <w:pPr>
        <w:spacing w:after="0"/>
        <w:rPr>
          <w:lang w:val="en-US"/>
        </w:rPr>
      </w:pPr>
    </w:p>
    <w:p w14:paraId="100BB331" w14:textId="77777777" w:rsidR="00530FCC" w:rsidRPr="00CD56B9" w:rsidRDefault="006124AC" w:rsidP="00927699">
      <w:pPr>
        <w:rPr>
          <w:lang w:val="en-US"/>
        </w:rPr>
      </w:pPr>
      <w:r w:rsidRPr="00CD56B9">
        <w:rPr>
          <w:lang w:val="en-US"/>
        </w:rPr>
        <w:t xml:space="preserve">It is still early days in the development of NPA, but the MTE team is positive about the applicability of the concept </w:t>
      </w:r>
      <w:r w:rsidR="00E74DD9" w:rsidRPr="00CD56B9">
        <w:rPr>
          <w:lang w:val="en-US"/>
        </w:rPr>
        <w:t xml:space="preserve">in Malawi </w:t>
      </w:r>
      <w:r w:rsidRPr="00CD56B9">
        <w:rPr>
          <w:lang w:val="en-US"/>
        </w:rPr>
        <w:t xml:space="preserve">and the chances of achieving good results in the short term. Contrary to other democratic governance reforms within outcome 4.1, especially the elections reform and the local governance/IRD reform, NPA introduces a new system, which does not replace or compete with existing institutions/platforms or challenge vested interests. It builds on and includes relevant stakeholders and best practices, locally and </w:t>
      </w:r>
      <w:r w:rsidR="003533CF">
        <w:rPr>
          <w:lang w:val="en-US"/>
        </w:rPr>
        <w:t xml:space="preserve">from </w:t>
      </w:r>
      <w:r w:rsidRPr="00CD56B9">
        <w:rPr>
          <w:lang w:val="en-US"/>
        </w:rPr>
        <w:t xml:space="preserve">the region. </w:t>
      </w:r>
      <w:r w:rsidR="00E74DD9" w:rsidRPr="00CD56B9">
        <w:rPr>
          <w:lang w:val="en-US"/>
        </w:rPr>
        <w:t>Important contributions to a peaceful election</w:t>
      </w:r>
      <w:r w:rsidR="003533CF">
        <w:rPr>
          <w:lang w:val="en-US"/>
        </w:rPr>
        <w:t>s</w:t>
      </w:r>
      <w:r w:rsidR="00E74DD9" w:rsidRPr="00CD56B9">
        <w:rPr>
          <w:lang w:val="en-US"/>
        </w:rPr>
        <w:t xml:space="preserve"> process in 2014 and the introduction of the Lilongwe Peace </w:t>
      </w:r>
      <w:r w:rsidR="007A48D2" w:rsidRPr="007A48D2">
        <w:rPr>
          <w:lang w:val="en-US"/>
        </w:rPr>
        <w:t>Declaration</w:t>
      </w:r>
      <w:r w:rsidR="00E74DD9" w:rsidRPr="00CD56B9">
        <w:rPr>
          <w:lang w:val="en-US"/>
        </w:rPr>
        <w:t xml:space="preserve"> between presidential candidates </w:t>
      </w:r>
      <w:r w:rsidR="007A48D2">
        <w:rPr>
          <w:lang w:val="en-US"/>
        </w:rPr>
        <w:t>indicates</w:t>
      </w:r>
      <w:r w:rsidR="00E74DD9" w:rsidRPr="00CD56B9">
        <w:rPr>
          <w:lang w:val="en-US"/>
        </w:rPr>
        <w:t xml:space="preserve"> that capacity for conflict resolut</w:t>
      </w:r>
      <w:r w:rsidR="007A48D2">
        <w:rPr>
          <w:lang w:val="en-US"/>
        </w:rPr>
        <w:t>ion is present in Malawi and that</w:t>
      </w:r>
      <w:r w:rsidR="00E74DD9" w:rsidRPr="00CD56B9">
        <w:rPr>
          <w:lang w:val="en-US"/>
        </w:rPr>
        <w:t xml:space="preserve"> PAC is a relevant partner </w:t>
      </w:r>
      <w:r w:rsidR="007A48D2" w:rsidRPr="00CD56B9">
        <w:rPr>
          <w:lang w:val="en-US"/>
        </w:rPr>
        <w:t>organization</w:t>
      </w:r>
      <w:r w:rsidR="00E74DD9" w:rsidRPr="00CD56B9">
        <w:rPr>
          <w:lang w:val="en-US"/>
        </w:rPr>
        <w:t xml:space="preserve"> in the NPA development.  </w:t>
      </w:r>
      <w:r w:rsidR="003533CF">
        <w:rPr>
          <w:lang w:val="en-US"/>
        </w:rPr>
        <w:t>Hence, t</w:t>
      </w:r>
      <w:r w:rsidR="00E74DD9" w:rsidRPr="00CD56B9">
        <w:rPr>
          <w:lang w:val="en-US"/>
        </w:rPr>
        <w:t xml:space="preserve">he NPA </w:t>
      </w:r>
      <w:r w:rsidR="007A48D2">
        <w:rPr>
          <w:lang w:val="en-US"/>
        </w:rPr>
        <w:t xml:space="preserve">has good potential becoming </w:t>
      </w:r>
      <w:r w:rsidR="00E74DD9" w:rsidRPr="00CD56B9">
        <w:rPr>
          <w:lang w:val="en-US"/>
        </w:rPr>
        <w:t xml:space="preserve">a key platform for </w:t>
      </w:r>
      <w:r w:rsidR="007A48D2">
        <w:rPr>
          <w:lang w:val="en-US"/>
        </w:rPr>
        <w:t xml:space="preserve">ensuring </w:t>
      </w:r>
      <w:r w:rsidR="00E74DD9" w:rsidRPr="00CD56B9">
        <w:rPr>
          <w:lang w:val="en-US"/>
        </w:rPr>
        <w:t>a peaceful development and for defusing local conflicts.</w:t>
      </w:r>
    </w:p>
    <w:p w14:paraId="2BE61892" w14:textId="333D74F3" w:rsidR="00D8625C" w:rsidRPr="00905990" w:rsidRDefault="00E74DD9" w:rsidP="00D8625C">
      <w:pPr>
        <w:rPr>
          <w:b/>
          <w:lang w:val="en-US"/>
        </w:rPr>
      </w:pPr>
      <w:r w:rsidRPr="00CD56B9">
        <w:rPr>
          <w:lang w:val="en-US"/>
        </w:rPr>
        <w:t>A permanent peace architecture has to be funded, though, an</w:t>
      </w:r>
      <w:r w:rsidR="007A48D2">
        <w:rPr>
          <w:lang w:val="en-US"/>
        </w:rPr>
        <w:t>d</w:t>
      </w:r>
      <w:r w:rsidRPr="00CD56B9">
        <w:rPr>
          <w:lang w:val="en-US"/>
        </w:rPr>
        <w:t xml:space="preserve"> funds need to </w:t>
      </w:r>
      <w:r w:rsidR="002F4017" w:rsidRPr="00CD56B9">
        <w:rPr>
          <w:lang w:val="en-US"/>
        </w:rPr>
        <w:t>be raised</w:t>
      </w:r>
      <w:r w:rsidRPr="00CD56B9">
        <w:rPr>
          <w:lang w:val="en-US"/>
        </w:rPr>
        <w:t xml:space="preserve"> </w:t>
      </w:r>
      <w:r w:rsidR="002F4017" w:rsidRPr="00CD56B9">
        <w:rPr>
          <w:lang w:val="en-US"/>
        </w:rPr>
        <w:t xml:space="preserve">over and above already </w:t>
      </w:r>
      <w:r w:rsidR="00D8625C">
        <w:rPr>
          <w:lang w:val="en-US"/>
        </w:rPr>
        <w:t xml:space="preserve">depleted </w:t>
      </w:r>
      <w:r w:rsidR="002F4017" w:rsidRPr="00CD56B9">
        <w:rPr>
          <w:lang w:val="en-US"/>
        </w:rPr>
        <w:t xml:space="preserve">government funds. As the concept is still at a development stage, costing has not </w:t>
      </w:r>
      <w:r w:rsidR="007A48D2">
        <w:rPr>
          <w:lang w:val="en-US"/>
        </w:rPr>
        <w:t xml:space="preserve">yet </w:t>
      </w:r>
      <w:r w:rsidR="002F4017" w:rsidRPr="00CD56B9">
        <w:rPr>
          <w:lang w:val="en-US"/>
        </w:rPr>
        <w:t>been done, but it would be relevant to include cost</w:t>
      </w:r>
      <w:r w:rsidR="003533CF">
        <w:rPr>
          <w:lang w:val="en-US"/>
        </w:rPr>
        <w:t>s</w:t>
      </w:r>
      <w:r w:rsidR="002F4017" w:rsidRPr="00CD56B9">
        <w:rPr>
          <w:lang w:val="en-US"/>
        </w:rPr>
        <w:t xml:space="preserve"> </w:t>
      </w:r>
      <w:r w:rsidR="003533CF" w:rsidRPr="00CD56B9">
        <w:rPr>
          <w:lang w:val="en-US"/>
        </w:rPr>
        <w:t xml:space="preserve">as </w:t>
      </w:r>
      <w:r w:rsidR="003533CF">
        <w:rPr>
          <w:lang w:val="en-US"/>
        </w:rPr>
        <w:t xml:space="preserve">a </w:t>
      </w:r>
      <w:r w:rsidR="003533CF" w:rsidRPr="00CD56B9">
        <w:rPr>
          <w:lang w:val="en-US"/>
        </w:rPr>
        <w:t>key criterion</w:t>
      </w:r>
      <w:r w:rsidR="002F4017" w:rsidRPr="00CD56B9">
        <w:rPr>
          <w:lang w:val="en-US"/>
        </w:rPr>
        <w:t xml:space="preserve"> for the </w:t>
      </w:r>
      <w:r w:rsidR="006E36F2">
        <w:rPr>
          <w:lang w:val="en-US"/>
        </w:rPr>
        <w:t xml:space="preserve">identification of a final model and to explore </w:t>
      </w:r>
      <w:r w:rsidR="006E36F2" w:rsidRPr="006E36F2">
        <w:rPr>
          <w:lang w:val="en-US"/>
        </w:rPr>
        <w:t>alternative sources of funding, such as fuel levies, own contrib</w:t>
      </w:r>
      <w:r w:rsidR="00980263">
        <w:rPr>
          <w:lang w:val="en-US"/>
        </w:rPr>
        <w:t>utions through income generating activities</w:t>
      </w:r>
      <w:r w:rsidR="006E36F2" w:rsidRPr="006E36F2">
        <w:rPr>
          <w:lang w:val="en-US"/>
        </w:rPr>
        <w:t xml:space="preserve"> and donor funding</w:t>
      </w:r>
      <w:r w:rsidR="006E36F2">
        <w:rPr>
          <w:lang w:val="en-US"/>
        </w:rPr>
        <w:t>.</w:t>
      </w:r>
      <w:r w:rsidR="00DF3397" w:rsidRPr="00CD56B9">
        <w:rPr>
          <w:lang w:val="en-US"/>
        </w:rPr>
        <w:t xml:space="preserve"> In the end, a </w:t>
      </w:r>
      <w:r w:rsidR="000E2820" w:rsidRPr="00CD56B9">
        <w:rPr>
          <w:lang w:val="en-US"/>
        </w:rPr>
        <w:t>district-based</w:t>
      </w:r>
      <w:r w:rsidR="00DF3397" w:rsidRPr="00CD56B9">
        <w:rPr>
          <w:lang w:val="en-US"/>
        </w:rPr>
        <w:t xml:space="preserve"> model </w:t>
      </w:r>
      <w:r w:rsidR="006E36F2">
        <w:rPr>
          <w:lang w:val="en-US"/>
        </w:rPr>
        <w:t>could</w:t>
      </w:r>
      <w:r w:rsidR="00DF3397" w:rsidRPr="00CD56B9">
        <w:rPr>
          <w:lang w:val="en-US"/>
        </w:rPr>
        <w:t xml:space="preserve"> become too expensive or make </w:t>
      </w:r>
      <w:r w:rsidR="00530FCC" w:rsidRPr="00CD56B9">
        <w:rPr>
          <w:lang w:val="en-US"/>
        </w:rPr>
        <w:t xml:space="preserve">adverse </w:t>
      </w:r>
      <w:r w:rsidR="00DF3397" w:rsidRPr="00CD56B9">
        <w:rPr>
          <w:lang w:val="en-US"/>
        </w:rPr>
        <w:t xml:space="preserve">inroads </w:t>
      </w:r>
      <w:r w:rsidR="00530FCC" w:rsidRPr="00CD56B9">
        <w:rPr>
          <w:lang w:val="en-US"/>
        </w:rPr>
        <w:t>into</w:t>
      </w:r>
      <w:r w:rsidR="00DF3397" w:rsidRPr="00CD56B9">
        <w:rPr>
          <w:lang w:val="en-US"/>
        </w:rPr>
        <w:t xml:space="preserve"> funds destined for </w:t>
      </w:r>
      <w:r w:rsidR="00530FCC" w:rsidRPr="00CD56B9">
        <w:rPr>
          <w:lang w:val="en-US"/>
        </w:rPr>
        <w:t xml:space="preserve">other reforms such as </w:t>
      </w:r>
      <w:r w:rsidR="00D8625C">
        <w:rPr>
          <w:lang w:val="en-US"/>
        </w:rPr>
        <w:t xml:space="preserve">in </w:t>
      </w:r>
      <w:r w:rsidR="00530FCC" w:rsidRPr="00CD56B9">
        <w:rPr>
          <w:lang w:val="en-US"/>
        </w:rPr>
        <w:t xml:space="preserve">local </w:t>
      </w:r>
      <w:r w:rsidR="00DF3397" w:rsidRPr="00CD56B9">
        <w:rPr>
          <w:lang w:val="en-US"/>
        </w:rPr>
        <w:t>governance</w:t>
      </w:r>
      <w:r w:rsidR="00530FCC" w:rsidRPr="00CD56B9">
        <w:rPr>
          <w:lang w:val="en-US"/>
        </w:rPr>
        <w:t>.</w:t>
      </w:r>
      <w:r w:rsidR="00E80143" w:rsidRPr="00CD56B9">
        <w:rPr>
          <w:lang w:val="en-US"/>
        </w:rPr>
        <w:t xml:space="preserve"> The NPA </w:t>
      </w:r>
      <w:r w:rsidR="007A48D2">
        <w:rPr>
          <w:lang w:val="en-US"/>
        </w:rPr>
        <w:t xml:space="preserve">has potential to </w:t>
      </w:r>
      <w:r w:rsidR="00E80143" w:rsidRPr="00CD56B9">
        <w:rPr>
          <w:lang w:val="en-US"/>
        </w:rPr>
        <w:t xml:space="preserve">become an important </w:t>
      </w:r>
      <w:r w:rsidR="00C563BA">
        <w:rPr>
          <w:lang w:val="en-US"/>
        </w:rPr>
        <w:t>component</w:t>
      </w:r>
      <w:r w:rsidR="00E80143" w:rsidRPr="00CD56B9">
        <w:rPr>
          <w:lang w:val="en-US"/>
        </w:rPr>
        <w:t xml:space="preserve"> to the overall democratic governance </w:t>
      </w:r>
      <w:r w:rsidR="007A48D2">
        <w:rPr>
          <w:lang w:val="en-US"/>
        </w:rPr>
        <w:t>framework</w:t>
      </w:r>
      <w:r w:rsidR="00C563BA">
        <w:rPr>
          <w:lang w:val="en-US"/>
        </w:rPr>
        <w:t>. However, it</w:t>
      </w:r>
      <w:r w:rsidR="00E80143" w:rsidRPr="00CD56B9">
        <w:rPr>
          <w:lang w:val="en-US"/>
        </w:rPr>
        <w:t xml:space="preserve"> </w:t>
      </w:r>
      <w:r w:rsidR="00530FCC" w:rsidRPr="00CD56B9">
        <w:rPr>
          <w:lang w:val="en-US"/>
        </w:rPr>
        <w:t xml:space="preserve">should not be regarded as a </w:t>
      </w:r>
      <w:r w:rsidR="002F4017" w:rsidRPr="00CD56B9">
        <w:rPr>
          <w:lang w:val="en-US"/>
        </w:rPr>
        <w:t xml:space="preserve">substitute for other </w:t>
      </w:r>
      <w:r w:rsidR="00E80143" w:rsidRPr="00CD56B9">
        <w:rPr>
          <w:lang w:val="en-US"/>
        </w:rPr>
        <w:t xml:space="preserve">urgent </w:t>
      </w:r>
      <w:r w:rsidR="002F4017" w:rsidRPr="00CD56B9">
        <w:rPr>
          <w:lang w:val="en-US"/>
        </w:rPr>
        <w:t>governance reform</w:t>
      </w:r>
      <w:r w:rsidR="00E80143" w:rsidRPr="00CD56B9">
        <w:rPr>
          <w:lang w:val="en-US"/>
        </w:rPr>
        <w:t>s</w:t>
      </w:r>
      <w:r w:rsidR="002F4017" w:rsidRPr="00CD56B9">
        <w:rPr>
          <w:lang w:val="en-US"/>
        </w:rPr>
        <w:t xml:space="preserve"> such </w:t>
      </w:r>
      <w:r w:rsidR="00530FCC" w:rsidRPr="00CD56B9">
        <w:rPr>
          <w:lang w:val="en-US"/>
        </w:rPr>
        <w:t xml:space="preserve">as the </w:t>
      </w:r>
      <w:r w:rsidR="00912189" w:rsidRPr="00CD56B9">
        <w:rPr>
          <w:lang w:val="en-US"/>
        </w:rPr>
        <w:t xml:space="preserve">introduction of more proportional </w:t>
      </w:r>
      <w:r w:rsidR="002F4017" w:rsidRPr="00CD56B9">
        <w:rPr>
          <w:lang w:val="en-US"/>
        </w:rPr>
        <w:t xml:space="preserve">elections </w:t>
      </w:r>
      <w:r w:rsidR="00912189" w:rsidRPr="00CD56B9">
        <w:rPr>
          <w:lang w:val="en-US"/>
        </w:rPr>
        <w:t xml:space="preserve">principles </w:t>
      </w:r>
      <w:r w:rsidR="00530FCC" w:rsidRPr="00CD56B9">
        <w:rPr>
          <w:lang w:val="en-US"/>
        </w:rPr>
        <w:t>or</w:t>
      </w:r>
      <w:r w:rsidR="002F4017" w:rsidRPr="00CD56B9">
        <w:rPr>
          <w:lang w:val="en-US"/>
        </w:rPr>
        <w:t xml:space="preserve"> </w:t>
      </w:r>
      <w:r w:rsidR="00530FCC" w:rsidRPr="00CD56B9">
        <w:rPr>
          <w:lang w:val="en-US"/>
        </w:rPr>
        <w:t>progressing on</w:t>
      </w:r>
      <w:r w:rsidR="007A48D2">
        <w:rPr>
          <w:lang w:val="en-US"/>
        </w:rPr>
        <w:t xml:space="preserve"> </w:t>
      </w:r>
      <w:r w:rsidR="009364B8">
        <w:rPr>
          <w:lang w:val="en-US"/>
        </w:rPr>
        <w:t>decentralization</w:t>
      </w:r>
      <w:r w:rsidR="007A48D2">
        <w:rPr>
          <w:lang w:val="en-US"/>
        </w:rPr>
        <w:t xml:space="preserve"> and empowerment of</w:t>
      </w:r>
      <w:r w:rsidR="00530FCC" w:rsidRPr="00CD56B9">
        <w:rPr>
          <w:lang w:val="en-US"/>
        </w:rPr>
        <w:t xml:space="preserve"> the elected district councils. </w:t>
      </w:r>
      <w:r w:rsidR="00E27A70" w:rsidRPr="00825477">
        <w:rPr>
          <w:i/>
          <w:lang w:val="en-US"/>
        </w:rPr>
        <w:t>(See Recommendation</w:t>
      </w:r>
      <w:r w:rsidR="003533CF" w:rsidRPr="00825477">
        <w:rPr>
          <w:i/>
          <w:lang w:val="en-US"/>
        </w:rPr>
        <w:t xml:space="preserve"> #</w:t>
      </w:r>
      <w:r w:rsidR="00FB199D" w:rsidRPr="00825477">
        <w:rPr>
          <w:i/>
          <w:lang w:val="en-US"/>
        </w:rPr>
        <w:t xml:space="preserve"> 11</w:t>
      </w:r>
      <w:r w:rsidR="003533CF" w:rsidRPr="00825477">
        <w:rPr>
          <w:i/>
          <w:lang w:val="en-US"/>
        </w:rPr>
        <w:t>)</w:t>
      </w:r>
      <w:r w:rsidR="00E27A70">
        <w:rPr>
          <w:b/>
          <w:lang w:val="en-US"/>
        </w:rPr>
        <w:t xml:space="preserve"> </w:t>
      </w:r>
    </w:p>
    <w:p w14:paraId="3549749A" w14:textId="77777777" w:rsidR="00E80143" w:rsidRPr="00CD56B9" w:rsidRDefault="00E80143" w:rsidP="006124AC">
      <w:pPr>
        <w:rPr>
          <w:lang w:val="en-US"/>
        </w:rPr>
      </w:pPr>
      <w:r w:rsidRPr="00CD56B9">
        <w:rPr>
          <w:lang w:val="en-US"/>
        </w:rPr>
        <w:t>The NPA</w:t>
      </w:r>
      <w:r w:rsidR="00C563BA">
        <w:rPr>
          <w:lang w:val="en-US"/>
        </w:rPr>
        <w:t>'</w:t>
      </w:r>
      <w:r w:rsidRPr="00CD56B9">
        <w:rPr>
          <w:lang w:val="en-US"/>
        </w:rPr>
        <w:t xml:space="preserve">s potential for strong contributions to the overall development of democratic governance in Malawi has already been proved, however. Not only </w:t>
      </w:r>
      <w:r w:rsidR="001B04FB">
        <w:rPr>
          <w:lang w:val="en-US"/>
        </w:rPr>
        <w:t>during</w:t>
      </w:r>
      <w:r w:rsidRPr="00CD56B9">
        <w:rPr>
          <w:lang w:val="en-US"/>
        </w:rPr>
        <w:t xml:space="preserve"> the conduct of the 2014 elections, but also in the conduct of </w:t>
      </w:r>
      <w:r w:rsidR="008F6999" w:rsidRPr="00CD56B9">
        <w:rPr>
          <w:lang w:val="en-US"/>
        </w:rPr>
        <w:t>the</w:t>
      </w:r>
      <w:r w:rsidRPr="00CD56B9">
        <w:rPr>
          <w:lang w:val="en-US"/>
        </w:rPr>
        <w:t xml:space="preserve"> national dialogue</w:t>
      </w:r>
      <w:r w:rsidR="008F6999" w:rsidRPr="00CD56B9">
        <w:rPr>
          <w:lang w:val="en-US"/>
        </w:rPr>
        <w:t>s</w:t>
      </w:r>
      <w:r w:rsidRPr="00CD56B9">
        <w:rPr>
          <w:lang w:val="en-US"/>
        </w:rPr>
        <w:t xml:space="preserve"> on NPA, which also serves as a venue for </w:t>
      </w:r>
      <w:r w:rsidR="008F6999" w:rsidRPr="00CD56B9">
        <w:rPr>
          <w:lang w:val="en-US"/>
        </w:rPr>
        <w:t>discussions and submission of proposals on other governance reforms such as new election reforms.</w:t>
      </w:r>
    </w:p>
    <w:p w14:paraId="5E0B106F" w14:textId="77777777" w:rsidR="008F6999" w:rsidRPr="00CD56B9" w:rsidRDefault="008F6999" w:rsidP="006124AC">
      <w:pPr>
        <w:rPr>
          <w:lang w:val="en-US"/>
        </w:rPr>
      </w:pPr>
      <w:r w:rsidRPr="00CD56B9">
        <w:rPr>
          <w:lang w:val="en-US"/>
        </w:rPr>
        <w:t xml:space="preserve">The cooperation with the media, which took place under the umbrella of the NPA support project, opens up a more general question on whether the media support should be scaled up as a means of strengthening democratic dialogue and </w:t>
      </w:r>
      <w:r w:rsidR="005142FE">
        <w:rPr>
          <w:lang w:val="en-US"/>
        </w:rPr>
        <w:t>enforcing</w:t>
      </w:r>
      <w:r w:rsidR="00C914E5">
        <w:rPr>
          <w:lang w:val="en-US"/>
        </w:rPr>
        <w:t xml:space="preserve"> stronger transparency and </w:t>
      </w:r>
      <w:r w:rsidRPr="00CD56B9">
        <w:rPr>
          <w:lang w:val="en-US"/>
        </w:rPr>
        <w:t xml:space="preserve">accountability </w:t>
      </w:r>
      <w:r w:rsidR="00C914E5">
        <w:rPr>
          <w:lang w:val="en-US"/>
        </w:rPr>
        <w:t>in public offices</w:t>
      </w:r>
      <w:r w:rsidRPr="00CD56B9">
        <w:rPr>
          <w:lang w:val="en-US"/>
        </w:rPr>
        <w:t xml:space="preserve">. The tabled Access to Information Bill could leverage a new level of transparency and openness in </w:t>
      </w:r>
      <w:r w:rsidR="001103E1">
        <w:rPr>
          <w:lang w:val="en-US"/>
        </w:rPr>
        <w:t>public offices</w:t>
      </w:r>
      <w:r w:rsidRPr="00CD56B9">
        <w:rPr>
          <w:lang w:val="en-US"/>
        </w:rPr>
        <w:t xml:space="preserve"> and improve the dialogue on reform initiatives and ethical conduct</w:t>
      </w:r>
      <w:r w:rsidR="0016437A">
        <w:rPr>
          <w:lang w:val="en-US"/>
        </w:rPr>
        <w:t xml:space="preserve">, </w:t>
      </w:r>
      <w:r w:rsidR="0016437A">
        <w:rPr>
          <w:lang w:val="en-US"/>
        </w:rPr>
        <w:lastRenderedPageBreak/>
        <w:t xml:space="preserve">although </w:t>
      </w:r>
      <w:r w:rsidR="000E2820">
        <w:rPr>
          <w:lang w:val="en-US"/>
        </w:rPr>
        <w:t>the bill has now been d</w:t>
      </w:r>
      <w:r w:rsidR="0016437A">
        <w:rPr>
          <w:lang w:val="en-US"/>
        </w:rPr>
        <w:t xml:space="preserve">eferred to the </w:t>
      </w:r>
      <w:r w:rsidR="00A03CA8">
        <w:rPr>
          <w:lang w:val="en-US"/>
        </w:rPr>
        <w:t>L</w:t>
      </w:r>
      <w:r w:rsidR="0016437A">
        <w:rPr>
          <w:lang w:val="en-US"/>
        </w:rPr>
        <w:t>egal Affairs Committee of the Parliament</w:t>
      </w:r>
      <w:r w:rsidR="00592580">
        <w:rPr>
          <w:lang w:val="en-US"/>
        </w:rPr>
        <w:t xml:space="preserve"> for further scrutiny</w:t>
      </w:r>
      <w:r w:rsidR="001103E1">
        <w:rPr>
          <w:lang w:val="en-US"/>
        </w:rPr>
        <w:t xml:space="preserve">, </w:t>
      </w:r>
      <w:r w:rsidR="005142FE">
        <w:rPr>
          <w:lang w:val="en-US"/>
        </w:rPr>
        <w:t xml:space="preserve">much to the </w:t>
      </w:r>
      <w:r w:rsidR="00A03CA8">
        <w:rPr>
          <w:lang w:val="en-US"/>
        </w:rPr>
        <w:t xml:space="preserve">discontent </w:t>
      </w:r>
      <w:r w:rsidR="001103E1">
        <w:rPr>
          <w:lang w:val="en-US"/>
        </w:rPr>
        <w:t xml:space="preserve">among </w:t>
      </w:r>
      <w:r w:rsidR="00A03CA8">
        <w:rPr>
          <w:lang w:val="en-US"/>
        </w:rPr>
        <w:t xml:space="preserve">the </w:t>
      </w:r>
      <w:r w:rsidR="00592580">
        <w:rPr>
          <w:lang w:val="en-US"/>
        </w:rPr>
        <w:t xml:space="preserve">media </w:t>
      </w:r>
      <w:r w:rsidR="003D7250">
        <w:rPr>
          <w:lang w:val="en-US"/>
        </w:rPr>
        <w:t>and</w:t>
      </w:r>
      <w:r w:rsidR="00592580">
        <w:rPr>
          <w:lang w:val="en-US"/>
        </w:rPr>
        <w:t xml:space="preserve"> CSOs.</w:t>
      </w:r>
    </w:p>
    <w:p w14:paraId="49AA76A8" w14:textId="77777777" w:rsidR="00156DA9" w:rsidRPr="00CD56B9" w:rsidRDefault="0089100F" w:rsidP="00997A7B">
      <w:pPr>
        <w:pStyle w:val="Overskrift2"/>
        <w:numPr>
          <w:ilvl w:val="0"/>
          <w:numId w:val="0"/>
        </w:numPr>
        <w:rPr>
          <w:lang w:val="en-US"/>
        </w:rPr>
      </w:pPr>
      <w:bookmarkStart w:id="41" w:name="_Toc439245593"/>
      <w:r w:rsidRPr="00CD56B9">
        <w:rPr>
          <w:lang w:val="en-US"/>
        </w:rPr>
        <w:t xml:space="preserve">4.3 </w:t>
      </w:r>
      <w:r w:rsidR="00156DA9" w:rsidRPr="00CD56B9">
        <w:rPr>
          <w:lang w:val="en-US"/>
        </w:rPr>
        <w:t xml:space="preserve">Output 4.1.3 </w:t>
      </w:r>
      <w:r w:rsidR="006124AC" w:rsidRPr="00CD56B9">
        <w:rPr>
          <w:lang w:val="en-US"/>
        </w:rPr>
        <w:t xml:space="preserve">- </w:t>
      </w:r>
      <w:r w:rsidR="00156DA9" w:rsidRPr="00CD56B9">
        <w:rPr>
          <w:lang w:val="en-US"/>
        </w:rPr>
        <w:t>Local governance structures strengthened in participatory planning, budgeting and managing integrated rural development</w:t>
      </w:r>
      <w:bookmarkEnd w:id="41"/>
    </w:p>
    <w:p w14:paraId="2B96F8E1" w14:textId="77777777" w:rsidR="00592746" w:rsidRPr="00CD56B9" w:rsidRDefault="00592746" w:rsidP="00592746">
      <w:pPr>
        <w:spacing w:after="0"/>
        <w:rPr>
          <w:lang w:val="en-US"/>
        </w:rPr>
      </w:pPr>
    </w:p>
    <w:p w14:paraId="59D68E27" w14:textId="71BF5AE5" w:rsidR="005B732F" w:rsidRPr="00032FA2" w:rsidRDefault="00A131EB" w:rsidP="00A22C36">
      <w:pPr>
        <w:rPr>
          <w:lang w:val="en-US"/>
        </w:rPr>
      </w:pPr>
      <w:r w:rsidRPr="00CD56B9">
        <w:rPr>
          <w:lang w:val="en-US"/>
        </w:rPr>
        <w:t xml:space="preserve">Output 4.1.3 is in all aspects very ambitious and entails long-term </w:t>
      </w:r>
      <w:r w:rsidR="00625668" w:rsidRPr="00CD56B9">
        <w:rPr>
          <w:lang w:val="en-US"/>
        </w:rPr>
        <w:t xml:space="preserve">government </w:t>
      </w:r>
      <w:r w:rsidR="00854A3F">
        <w:rPr>
          <w:lang w:val="en-US"/>
        </w:rPr>
        <w:t>commitment</w:t>
      </w:r>
      <w:r w:rsidRPr="00CD56B9">
        <w:rPr>
          <w:lang w:val="en-US"/>
        </w:rPr>
        <w:t xml:space="preserve"> and </w:t>
      </w:r>
      <w:r w:rsidR="00625668" w:rsidRPr="00CD56B9">
        <w:rPr>
          <w:lang w:val="en-US"/>
        </w:rPr>
        <w:t>donor support to devolution if</w:t>
      </w:r>
      <w:r w:rsidRPr="00CD56B9">
        <w:rPr>
          <w:lang w:val="en-US"/>
        </w:rPr>
        <w:t xml:space="preserve"> local governance structures are indeed to evolve into strong democratic entities capable of planning, budgeting and managing for integrated rural development. </w:t>
      </w:r>
      <w:r w:rsidR="005B732F" w:rsidRPr="00032FA2">
        <w:rPr>
          <w:lang w:val="en-US"/>
        </w:rPr>
        <w:t xml:space="preserve">The 4.1.3 </w:t>
      </w:r>
      <w:r w:rsidR="00A22C36">
        <w:rPr>
          <w:lang w:val="en-US"/>
        </w:rPr>
        <w:t xml:space="preserve">target </w:t>
      </w:r>
      <w:r w:rsidR="007846CE">
        <w:rPr>
          <w:lang w:val="en-US"/>
        </w:rPr>
        <w:t>i</w:t>
      </w:r>
      <w:r w:rsidR="005B732F" w:rsidRPr="00032FA2">
        <w:rPr>
          <w:lang w:val="en-US"/>
        </w:rPr>
        <w:t>ndicator on percentage of revenues allocated to the District Councils is a relevant benchmark for decentralization, but since the support to local governance has shifted towards the IRD concept</w:t>
      </w:r>
      <w:r w:rsidR="00C563BA">
        <w:rPr>
          <w:lang w:val="en-US"/>
        </w:rPr>
        <w:t>.</w:t>
      </w:r>
      <w:r w:rsidR="005B732F" w:rsidRPr="00032FA2">
        <w:rPr>
          <w:lang w:val="en-US"/>
        </w:rPr>
        <w:t xml:space="preserve"> </w:t>
      </w:r>
      <w:r w:rsidR="00C563BA">
        <w:rPr>
          <w:lang w:val="en-US"/>
        </w:rPr>
        <w:t>T</w:t>
      </w:r>
      <w:r w:rsidR="005B732F" w:rsidRPr="00032FA2">
        <w:rPr>
          <w:lang w:val="en-US"/>
        </w:rPr>
        <w:t>his indicator does not directly measure the support rendered</w:t>
      </w:r>
      <w:r w:rsidR="007846CE">
        <w:rPr>
          <w:lang w:val="en-US"/>
        </w:rPr>
        <w:t xml:space="preserve"> by UNDP</w:t>
      </w:r>
      <w:r w:rsidR="005B732F" w:rsidRPr="00032FA2">
        <w:rPr>
          <w:lang w:val="en-US"/>
        </w:rPr>
        <w:t xml:space="preserve">. Increased fiscal transfers are an important </w:t>
      </w:r>
      <w:r w:rsidR="008B75A7" w:rsidRPr="00032FA2">
        <w:rPr>
          <w:lang w:val="en-US"/>
        </w:rPr>
        <w:t>precondition for</w:t>
      </w:r>
      <w:r w:rsidR="005B732F" w:rsidRPr="00032FA2">
        <w:rPr>
          <w:lang w:val="en-US"/>
        </w:rPr>
        <w:t xml:space="preserve"> </w:t>
      </w:r>
      <w:r w:rsidR="007846CE">
        <w:rPr>
          <w:lang w:val="en-US"/>
        </w:rPr>
        <w:t xml:space="preserve">a </w:t>
      </w:r>
      <w:r w:rsidR="007846CE" w:rsidRPr="00032FA2">
        <w:rPr>
          <w:lang w:val="en-US"/>
        </w:rPr>
        <w:t>successful</w:t>
      </w:r>
      <w:r w:rsidR="007846CE">
        <w:rPr>
          <w:lang w:val="en-US"/>
        </w:rPr>
        <w:t xml:space="preserve"> implementation of</w:t>
      </w:r>
      <w:r w:rsidR="007846CE" w:rsidRPr="00032FA2">
        <w:rPr>
          <w:lang w:val="en-US"/>
        </w:rPr>
        <w:t xml:space="preserve"> </w:t>
      </w:r>
      <w:r w:rsidR="005B732F" w:rsidRPr="00032FA2">
        <w:rPr>
          <w:lang w:val="en-US"/>
        </w:rPr>
        <w:t>the IRD concept</w:t>
      </w:r>
      <w:r w:rsidR="008B75A7">
        <w:rPr>
          <w:lang w:val="en-US"/>
        </w:rPr>
        <w:t xml:space="preserve">, however </w:t>
      </w:r>
      <w:r w:rsidR="008B75A7" w:rsidRPr="00032FA2">
        <w:rPr>
          <w:lang w:val="en-US"/>
        </w:rPr>
        <w:t>(a log frame ‘killer assumption’)</w:t>
      </w:r>
      <w:r w:rsidR="00A22C36">
        <w:rPr>
          <w:lang w:val="en-US"/>
        </w:rPr>
        <w:t xml:space="preserve">. </w:t>
      </w:r>
      <w:r w:rsidR="00A22C36" w:rsidRPr="00CD56B9">
        <w:rPr>
          <w:lang w:val="en-US"/>
        </w:rPr>
        <w:t xml:space="preserve">The </w:t>
      </w:r>
      <w:r w:rsidR="007846CE">
        <w:rPr>
          <w:lang w:val="en-US"/>
        </w:rPr>
        <w:t xml:space="preserve">second </w:t>
      </w:r>
      <w:r w:rsidR="00A22C36" w:rsidRPr="00032FA2">
        <w:rPr>
          <w:lang w:val="en-US"/>
        </w:rPr>
        <w:t xml:space="preserve">4.1.3 </w:t>
      </w:r>
      <w:r w:rsidR="00A22C36">
        <w:rPr>
          <w:lang w:val="en-US"/>
        </w:rPr>
        <w:t>target indicator</w:t>
      </w:r>
      <w:r w:rsidR="00A22C36" w:rsidRPr="00CD56B9">
        <w:rPr>
          <w:lang w:val="en-US"/>
        </w:rPr>
        <w:t xml:space="preserve"> </w:t>
      </w:r>
      <w:r w:rsidR="007846CE">
        <w:rPr>
          <w:lang w:val="en-US"/>
        </w:rPr>
        <w:t xml:space="preserve">on the </w:t>
      </w:r>
      <w:r w:rsidR="007846CE" w:rsidRPr="00032FA2">
        <w:rPr>
          <w:lang w:val="en-US"/>
        </w:rPr>
        <w:t>number of councils trained in the IRD strategy</w:t>
      </w:r>
      <w:r w:rsidR="007846CE" w:rsidRPr="00CD56B9">
        <w:rPr>
          <w:lang w:val="en-US"/>
        </w:rPr>
        <w:t xml:space="preserve"> </w:t>
      </w:r>
      <w:r w:rsidR="00A22C36" w:rsidRPr="00CD56B9">
        <w:rPr>
          <w:lang w:val="en-US"/>
        </w:rPr>
        <w:t>signals more modera</w:t>
      </w:r>
      <w:r w:rsidR="007846CE">
        <w:rPr>
          <w:lang w:val="en-US"/>
        </w:rPr>
        <w:t>te ambitions on the IRD concept. Training is merely an activity and</w:t>
      </w:r>
      <w:r w:rsidR="00A22C36" w:rsidRPr="00CD56B9">
        <w:rPr>
          <w:lang w:val="en-US"/>
        </w:rPr>
        <w:t xml:space="preserve"> </w:t>
      </w:r>
      <w:r w:rsidR="007846CE" w:rsidRPr="00032FA2">
        <w:rPr>
          <w:lang w:val="en-US"/>
        </w:rPr>
        <w:t>not a strong output indicator</w:t>
      </w:r>
      <w:r w:rsidR="005B732F" w:rsidRPr="00032FA2">
        <w:rPr>
          <w:lang w:val="en-US"/>
        </w:rPr>
        <w:t>. Measuring the actual application of the training rendered in new, participatory development plans, would be a much stronger indicator.</w:t>
      </w:r>
    </w:p>
    <w:p w14:paraId="171853C6" w14:textId="77777777" w:rsidR="008B75A7" w:rsidRDefault="008B75A7" w:rsidP="00996722">
      <w:pPr>
        <w:rPr>
          <w:lang w:val="en-US"/>
        </w:rPr>
      </w:pPr>
      <w:r w:rsidRPr="00CD56B9">
        <w:rPr>
          <w:lang w:val="en-US"/>
        </w:rPr>
        <w:t xml:space="preserve">MoLRD </w:t>
      </w:r>
      <w:r>
        <w:rPr>
          <w:lang w:val="en-US"/>
        </w:rPr>
        <w:t xml:space="preserve">has drafted </w:t>
      </w:r>
      <w:r w:rsidRPr="008B75A7">
        <w:rPr>
          <w:lang w:val="en-US"/>
        </w:rPr>
        <w:t xml:space="preserve">two concept notes </w:t>
      </w:r>
      <w:r>
        <w:rPr>
          <w:lang w:val="en-US"/>
        </w:rPr>
        <w:t xml:space="preserve">for the generation of DP </w:t>
      </w:r>
      <w:r w:rsidRPr="008B75A7">
        <w:rPr>
          <w:lang w:val="en-US"/>
        </w:rPr>
        <w:t>support for local authorities, and to set out a road map for full devolution by 2020.</w:t>
      </w:r>
      <w:r>
        <w:rPr>
          <w:lang w:val="en-US"/>
        </w:rPr>
        <w:t xml:space="preserve"> The notes outline </w:t>
      </w:r>
      <w:r w:rsidRPr="008B75A7">
        <w:rPr>
          <w:lang w:val="en-US"/>
        </w:rPr>
        <w:t>the intention to integrate the rural development and devolution programmes that currently run in parallel, and to address</w:t>
      </w:r>
      <w:r>
        <w:rPr>
          <w:lang w:val="en-US"/>
        </w:rPr>
        <w:t xml:space="preserve"> </w:t>
      </w:r>
      <w:r w:rsidRPr="008B75A7">
        <w:rPr>
          <w:lang w:val="en-US"/>
        </w:rPr>
        <w:t>‘gaps’ in knowledge, skills, infrastructure, transparency and accountability, as well as audit and financial management problems</w:t>
      </w:r>
      <w:r>
        <w:rPr>
          <w:lang w:val="en-US"/>
        </w:rPr>
        <w:t xml:space="preserve">. </w:t>
      </w:r>
      <w:r w:rsidR="009C15B1" w:rsidRPr="00CD56B9">
        <w:rPr>
          <w:lang w:val="en-US"/>
        </w:rPr>
        <w:t xml:space="preserve">As the MTE team </w:t>
      </w:r>
      <w:r w:rsidR="000731BC">
        <w:rPr>
          <w:lang w:val="en-US"/>
        </w:rPr>
        <w:t xml:space="preserve">highlighted </w:t>
      </w:r>
      <w:r w:rsidR="009C15B1" w:rsidRPr="00CD56B9">
        <w:rPr>
          <w:lang w:val="en-US"/>
        </w:rPr>
        <w:t xml:space="preserve">in chapter three, any success with the IRD concept </w:t>
      </w:r>
      <w:r w:rsidR="0075442A" w:rsidRPr="00CD56B9">
        <w:rPr>
          <w:lang w:val="en-US"/>
        </w:rPr>
        <w:t>is inherently dependent on the outcomes of the devolution process</w:t>
      </w:r>
      <w:r w:rsidR="009C15B1" w:rsidRPr="00CD56B9">
        <w:rPr>
          <w:lang w:val="en-US"/>
        </w:rPr>
        <w:t xml:space="preserve"> </w:t>
      </w:r>
      <w:r w:rsidR="0075442A" w:rsidRPr="00CD56B9">
        <w:rPr>
          <w:lang w:val="en-US"/>
        </w:rPr>
        <w:t>and whether it can be reinstated</w:t>
      </w:r>
      <w:r>
        <w:rPr>
          <w:lang w:val="en-US"/>
        </w:rPr>
        <w:t xml:space="preserve">. </w:t>
      </w:r>
    </w:p>
    <w:p w14:paraId="1B529219" w14:textId="77777777" w:rsidR="005F42C1" w:rsidRPr="00CD56B9" w:rsidRDefault="00766E94" w:rsidP="00996722">
      <w:pPr>
        <w:rPr>
          <w:lang w:val="en-US"/>
        </w:rPr>
      </w:pPr>
      <w:r w:rsidRPr="00CD56B9">
        <w:rPr>
          <w:lang w:val="en-US"/>
        </w:rPr>
        <w:t xml:space="preserve">Past </w:t>
      </w:r>
      <w:r w:rsidR="00B43778" w:rsidRPr="00CD56B9">
        <w:rPr>
          <w:lang w:val="en-US"/>
        </w:rPr>
        <w:t>experience with devolution in Malawi illustrates the difficulty in mobilizing political consensus aroun</w:t>
      </w:r>
      <w:r w:rsidR="00B43778">
        <w:rPr>
          <w:lang w:val="en-US"/>
        </w:rPr>
        <w:t>d decentralization and in maintaining</w:t>
      </w:r>
      <w:r w:rsidR="00FE4123" w:rsidRPr="00CD56B9">
        <w:rPr>
          <w:lang w:val="en-US"/>
        </w:rPr>
        <w:t xml:space="preserve"> long-term reform momentum. Malawi’s constitution and 1998 </w:t>
      </w:r>
      <w:r w:rsidR="00863307" w:rsidRPr="00CD56B9">
        <w:rPr>
          <w:lang w:val="en-US"/>
        </w:rPr>
        <w:t>LG</w:t>
      </w:r>
      <w:r w:rsidR="00FE4123" w:rsidRPr="00CD56B9">
        <w:rPr>
          <w:lang w:val="en-US"/>
        </w:rPr>
        <w:t xml:space="preserve"> Act committed the government to devolve political and administrative authority to unitary local government units, each with democratic oversight from an elected local council and popular participation in development planning. The LG</w:t>
      </w:r>
      <w:r w:rsidR="00863307" w:rsidRPr="00CD56B9">
        <w:rPr>
          <w:lang w:val="en-US"/>
        </w:rPr>
        <w:t xml:space="preserve"> Act and the </w:t>
      </w:r>
      <w:r w:rsidR="00FE4123" w:rsidRPr="00CD56B9">
        <w:rPr>
          <w:lang w:val="en-US"/>
        </w:rPr>
        <w:t>NDP</w:t>
      </w:r>
      <w:r w:rsidR="00286058" w:rsidRPr="00CD56B9">
        <w:rPr>
          <w:lang w:val="en-US"/>
        </w:rPr>
        <w:t xml:space="preserve"> </w:t>
      </w:r>
      <w:r w:rsidR="00540153">
        <w:rPr>
          <w:lang w:val="en-US"/>
        </w:rPr>
        <w:t>of</w:t>
      </w:r>
      <w:r w:rsidR="00286058" w:rsidRPr="00CD56B9">
        <w:rPr>
          <w:lang w:val="en-US"/>
        </w:rPr>
        <w:t xml:space="preserve"> 1998</w:t>
      </w:r>
      <w:r w:rsidR="00FE4123" w:rsidRPr="00CD56B9">
        <w:rPr>
          <w:lang w:val="en-US"/>
        </w:rPr>
        <w:t xml:space="preserve"> </w:t>
      </w:r>
      <w:r w:rsidR="005F006D" w:rsidRPr="00CD56B9">
        <w:rPr>
          <w:lang w:val="en-US"/>
        </w:rPr>
        <w:t xml:space="preserve">assign responsibilities for district councils and a process for devolving </w:t>
      </w:r>
      <w:r w:rsidR="00FE4123" w:rsidRPr="00CD56B9">
        <w:rPr>
          <w:lang w:val="en-US"/>
        </w:rPr>
        <w:t>power and functions.</w:t>
      </w:r>
      <w:r w:rsidR="005F006D" w:rsidRPr="00CD56B9">
        <w:rPr>
          <w:lang w:val="en-US"/>
        </w:rPr>
        <w:t xml:space="preserve"> </w:t>
      </w:r>
      <w:r w:rsidR="00FE4123" w:rsidRPr="00CD56B9">
        <w:rPr>
          <w:lang w:val="en-US"/>
        </w:rPr>
        <w:t xml:space="preserve">In practice, </w:t>
      </w:r>
      <w:r w:rsidR="005F006D" w:rsidRPr="00CD56B9">
        <w:rPr>
          <w:lang w:val="en-US"/>
        </w:rPr>
        <w:t xml:space="preserve">however, </w:t>
      </w:r>
      <w:r w:rsidR="00FE4123" w:rsidRPr="00CD56B9">
        <w:rPr>
          <w:lang w:val="en-US"/>
        </w:rPr>
        <w:t xml:space="preserve">political </w:t>
      </w:r>
      <w:r w:rsidR="00725B44" w:rsidRPr="00CD56B9">
        <w:rPr>
          <w:lang w:val="en-US"/>
        </w:rPr>
        <w:t>decentralization</w:t>
      </w:r>
      <w:r w:rsidR="00FE4123" w:rsidRPr="00CD56B9">
        <w:rPr>
          <w:lang w:val="en-US"/>
        </w:rPr>
        <w:t xml:space="preserve"> </w:t>
      </w:r>
      <w:r w:rsidR="005F006D" w:rsidRPr="00CD56B9">
        <w:rPr>
          <w:lang w:val="en-US"/>
        </w:rPr>
        <w:t>st</w:t>
      </w:r>
      <w:r w:rsidR="00FE4123" w:rsidRPr="00CD56B9">
        <w:rPr>
          <w:lang w:val="en-US"/>
        </w:rPr>
        <w:t>alled indefinitely in 2005</w:t>
      </w:r>
      <w:r w:rsidR="005F006D" w:rsidRPr="00CD56B9">
        <w:rPr>
          <w:lang w:val="en-US"/>
        </w:rPr>
        <w:t xml:space="preserve"> with the cancellation of </w:t>
      </w:r>
      <w:r w:rsidR="00FE4123" w:rsidRPr="00CD56B9">
        <w:rPr>
          <w:lang w:val="en-US"/>
        </w:rPr>
        <w:t xml:space="preserve">local council elections, while both administrative and fiscal </w:t>
      </w:r>
      <w:r w:rsidR="00725B44" w:rsidRPr="00CD56B9">
        <w:rPr>
          <w:lang w:val="en-US"/>
        </w:rPr>
        <w:t>decentralization</w:t>
      </w:r>
      <w:r w:rsidR="00893837" w:rsidRPr="00CD56B9">
        <w:rPr>
          <w:lang w:val="en-US"/>
        </w:rPr>
        <w:t xml:space="preserve"> </w:t>
      </w:r>
      <w:r w:rsidR="0090529C">
        <w:rPr>
          <w:lang w:val="en-US"/>
        </w:rPr>
        <w:t>have been</w:t>
      </w:r>
      <w:r w:rsidR="00FE4123" w:rsidRPr="00CD56B9">
        <w:rPr>
          <w:lang w:val="en-US"/>
        </w:rPr>
        <w:t xml:space="preserve"> rolled out in a disjointed fashion over a 15-year period.</w:t>
      </w:r>
      <w:r w:rsidR="005F006D" w:rsidRPr="00CD56B9">
        <w:rPr>
          <w:lang w:val="en-US"/>
        </w:rPr>
        <w:t xml:space="preserve"> </w:t>
      </w:r>
      <w:r w:rsidR="00FE4123" w:rsidRPr="00CD56B9">
        <w:rPr>
          <w:lang w:val="en-US"/>
        </w:rPr>
        <w:t>SWAps</w:t>
      </w:r>
      <w:r w:rsidR="005F006D" w:rsidRPr="00CD56B9">
        <w:rPr>
          <w:lang w:val="en-US"/>
        </w:rPr>
        <w:t xml:space="preserve"> have since been </w:t>
      </w:r>
      <w:r w:rsidR="0090529C">
        <w:rPr>
          <w:lang w:val="en-US"/>
        </w:rPr>
        <w:t>implemented in</w:t>
      </w:r>
      <w:r w:rsidR="00EB5B68" w:rsidRPr="00CD56B9">
        <w:rPr>
          <w:lang w:val="en-US"/>
        </w:rPr>
        <w:t xml:space="preserve"> </w:t>
      </w:r>
      <w:r w:rsidR="00FE4123" w:rsidRPr="00CD56B9">
        <w:rPr>
          <w:lang w:val="en-US"/>
        </w:rPr>
        <w:t xml:space="preserve">a </w:t>
      </w:r>
      <w:r w:rsidR="00EB5B68" w:rsidRPr="00CD56B9">
        <w:rPr>
          <w:lang w:val="en-US"/>
        </w:rPr>
        <w:t xml:space="preserve">few </w:t>
      </w:r>
      <w:r w:rsidR="00FE4123" w:rsidRPr="00CD56B9">
        <w:rPr>
          <w:lang w:val="en-US"/>
        </w:rPr>
        <w:t>sectors</w:t>
      </w:r>
      <w:r w:rsidR="005F006D" w:rsidRPr="00CD56B9">
        <w:rPr>
          <w:lang w:val="en-US"/>
        </w:rPr>
        <w:t xml:space="preserve">, </w:t>
      </w:r>
      <w:r w:rsidR="00FE4123" w:rsidRPr="00CD56B9">
        <w:rPr>
          <w:lang w:val="en-US"/>
        </w:rPr>
        <w:t>including education and health</w:t>
      </w:r>
      <w:r w:rsidR="0098299D" w:rsidRPr="00CD56B9">
        <w:rPr>
          <w:lang w:val="en-US"/>
        </w:rPr>
        <w:t xml:space="preserve"> based on the assumption that service provision would be delivered by </w:t>
      </w:r>
      <w:r w:rsidR="007D00BC" w:rsidRPr="00CD56B9">
        <w:rPr>
          <w:lang w:val="en-US"/>
        </w:rPr>
        <w:t>devolved</w:t>
      </w:r>
      <w:r w:rsidR="0098299D" w:rsidRPr="00CD56B9">
        <w:rPr>
          <w:lang w:val="en-US"/>
        </w:rPr>
        <w:t xml:space="preserve"> local government entities</w:t>
      </w:r>
      <w:r w:rsidR="00FE4123" w:rsidRPr="00CD56B9">
        <w:rPr>
          <w:lang w:val="en-US"/>
        </w:rPr>
        <w:t>.</w:t>
      </w:r>
      <w:r w:rsidR="007D00BC" w:rsidRPr="00CD56B9">
        <w:rPr>
          <w:lang w:val="en-US"/>
        </w:rPr>
        <w:t xml:space="preserve"> </w:t>
      </w:r>
    </w:p>
    <w:p w14:paraId="49BB8147" w14:textId="77777777" w:rsidR="00C24887" w:rsidRPr="00CD56B9" w:rsidRDefault="007D00BC" w:rsidP="00FE4123">
      <w:pPr>
        <w:rPr>
          <w:lang w:val="en-US"/>
        </w:rPr>
      </w:pPr>
      <w:r w:rsidRPr="00CD56B9">
        <w:rPr>
          <w:lang w:val="en-US"/>
        </w:rPr>
        <w:t>Coherent political backing of devolution</w:t>
      </w:r>
      <w:r w:rsidR="00996722" w:rsidRPr="00CD56B9">
        <w:rPr>
          <w:lang w:val="en-US"/>
        </w:rPr>
        <w:t xml:space="preserve">, an indispensable precondition of any local government reform, </w:t>
      </w:r>
      <w:r w:rsidRPr="00CD56B9">
        <w:rPr>
          <w:lang w:val="en-US"/>
        </w:rPr>
        <w:t>has no</w:t>
      </w:r>
      <w:r w:rsidR="0090529C">
        <w:rPr>
          <w:lang w:val="en-US"/>
        </w:rPr>
        <w:t>t been established and classic</w:t>
      </w:r>
      <w:r w:rsidRPr="00CD56B9">
        <w:rPr>
          <w:lang w:val="en-US"/>
        </w:rPr>
        <w:t xml:space="preserve"> pitfalls</w:t>
      </w:r>
      <w:r w:rsidR="00996722" w:rsidRPr="00CD56B9">
        <w:rPr>
          <w:lang w:val="en-US"/>
        </w:rPr>
        <w:t xml:space="preserve"> such as</w:t>
      </w:r>
      <w:r w:rsidR="00FE4123" w:rsidRPr="00CD56B9">
        <w:rPr>
          <w:lang w:val="en-US"/>
        </w:rPr>
        <w:t xml:space="preserve"> poor coordination among central government ministries, by resistance, subversion and delays, and </w:t>
      </w:r>
      <w:r w:rsidR="0090529C">
        <w:rPr>
          <w:lang w:val="en-US"/>
        </w:rPr>
        <w:t>by</w:t>
      </w:r>
      <w:r w:rsidR="00FE4123" w:rsidRPr="00CD56B9">
        <w:rPr>
          <w:lang w:val="en-US"/>
        </w:rPr>
        <w:t xml:space="preserve"> informal and formal </w:t>
      </w:r>
      <w:r w:rsidR="00725B44" w:rsidRPr="00CD56B9">
        <w:rPr>
          <w:lang w:val="en-US"/>
        </w:rPr>
        <w:t>re</w:t>
      </w:r>
      <w:r w:rsidR="00725B44">
        <w:rPr>
          <w:lang w:val="en-US"/>
        </w:rPr>
        <w:t>-</w:t>
      </w:r>
      <w:r w:rsidR="00725B44" w:rsidRPr="00CD56B9">
        <w:rPr>
          <w:lang w:val="en-US"/>
        </w:rPr>
        <w:t>centralization</w:t>
      </w:r>
      <w:r w:rsidR="005F42C1" w:rsidRPr="00CD56B9">
        <w:rPr>
          <w:lang w:val="en-US"/>
        </w:rPr>
        <w:t xml:space="preserve"> of power and functions.</w:t>
      </w:r>
      <w:r w:rsidR="00996722">
        <w:rPr>
          <w:rStyle w:val="Fodnotehenvisning"/>
        </w:rPr>
        <w:footnoteReference w:id="49"/>
      </w:r>
      <w:r w:rsidR="00FE4123" w:rsidRPr="00CD56B9">
        <w:rPr>
          <w:lang w:val="en-US"/>
        </w:rPr>
        <w:t xml:space="preserve"> </w:t>
      </w:r>
      <w:r w:rsidR="005F42C1" w:rsidRPr="00CD56B9">
        <w:rPr>
          <w:lang w:val="en-US"/>
        </w:rPr>
        <w:t xml:space="preserve">The result so far is underachievement </w:t>
      </w:r>
      <w:r w:rsidR="003F63BC" w:rsidRPr="00CD56B9">
        <w:rPr>
          <w:lang w:val="en-US"/>
        </w:rPr>
        <w:t>vis-a-vis</w:t>
      </w:r>
      <w:r w:rsidR="005F42C1" w:rsidRPr="00CD56B9">
        <w:rPr>
          <w:lang w:val="en-US"/>
        </w:rPr>
        <w:t xml:space="preserve"> targets established by the </w:t>
      </w:r>
      <w:r w:rsidR="003F63BC" w:rsidRPr="00CD56B9">
        <w:rPr>
          <w:lang w:val="en-US"/>
        </w:rPr>
        <w:t xml:space="preserve">LG </w:t>
      </w:r>
      <w:r w:rsidR="005F42C1" w:rsidRPr="00CD56B9">
        <w:rPr>
          <w:lang w:val="en-US"/>
        </w:rPr>
        <w:t>Act and the NDP, but perhaps more critical</w:t>
      </w:r>
      <w:r w:rsidR="0090529C">
        <w:rPr>
          <w:lang w:val="en-US"/>
        </w:rPr>
        <w:t>ly</w:t>
      </w:r>
      <w:r w:rsidR="005F42C1" w:rsidRPr="00CD56B9">
        <w:rPr>
          <w:lang w:val="en-US"/>
        </w:rPr>
        <w:t xml:space="preserve"> a fragmented, ad ho</w:t>
      </w:r>
      <w:r w:rsidR="008C10D5" w:rsidRPr="00CD56B9">
        <w:rPr>
          <w:lang w:val="en-US"/>
        </w:rPr>
        <w:t xml:space="preserve">c </w:t>
      </w:r>
      <w:r w:rsidR="003F63BC" w:rsidRPr="00CD56B9">
        <w:rPr>
          <w:lang w:val="en-US"/>
        </w:rPr>
        <w:t xml:space="preserve">governance </w:t>
      </w:r>
      <w:r w:rsidR="008C10D5" w:rsidRPr="00CD56B9">
        <w:rPr>
          <w:lang w:val="en-US"/>
        </w:rPr>
        <w:t>structure in the districts, which do not correspond to the formal definitions by the LG Act.</w:t>
      </w:r>
      <w:r w:rsidR="003F63BC" w:rsidRPr="00CD56B9">
        <w:rPr>
          <w:lang w:val="en-US"/>
        </w:rPr>
        <w:t xml:space="preserve"> </w:t>
      </w:r>
    </w:p>
    <w:p w14:paraId="395B6379" w14:textId="03A2BB54" w:rsidR="00451329" w:rsidRPr="00CD56B9" w:rsidRDefault="00FE4123" w:rsidP="00FE4123">
      <w:pPr>
        <w:rPr>
          <w:lang w:val="en-US"/>
        </w:rPr>
      </w:pPr>
      <w:r w:rsidRPr="00CD56B9">
        <w:rPr>
          <w:lang w:val="en-US"/>
        </w:rPr>
        <w:lastRenderedPageBreak/>
        <w:t xml:space="preserve">Since </w:t>
      </w:r>
      <w:r w:rsidR="003F63BC" w:rsidRPr="00CD56B9">
        <w:rPr>
          <w:lang w:val="en-US"/>
        </w:rPr>
        <w:t xml:space="preserve">2005, </w:t>
      </w:r>
      <w:r w:rsidR="00725B44" w:rsidRPr="00CD56B9">
        <w:rPr>
          <w:lang w:val="en-US"/>
        </w:rPr>
        <w:t>re</w:t>
      </w:r>
      <w:r w:rsidR="00725B44">
        <w:rPr>
          <w:lang w:val="en-US"/>
        </w:rPr>
        <w:t>-</w:t>
      </w:r>
      <w:r w:rsidR="00725B44" w:rsidRPr="00CD56B9">
        <w:rPr>
          <w:lang w:val="en-US"/>
        </w:rPr>
        <w:t>centralization</w:t>
      </w:r>
      <w:r w:rsidRPr="00CD56B9">
        <w:rPr>
          <w:lang w:val="en-US"/>
        </w:rPr>
        <w:t xml:space="preserve"> of political authority </w:t>
      </w:r>
      <w:r w:rsidR="00720F57" w:rsidRPr="00CD56B9">
        <w:rPr>
          <w:lang w:val="en-US"/>
        </w:rPr>
        <w:t xml:space="preserve">has occurred </w:t>
      </w:r>
      <w:r w:rsidRPr="00CD56B9">
        <w:rPr>
          <w:lang w:val="en-US"/>
        </w:rPr>
        <w:t xml:space="preserve">alongside deconcentration of administrative functions. District Executive Committees </w:t>
      </w:r>
      <w:r w:rsidR="00696E6F" w:rsidRPr="00CD56B9">
        <w:rPr>
          <w:lang w:val="en-US"/>
        </w:rPr>
        <w:t>with deconcentrated members (sector heads and senior administrators) and c</w:t>
      </w:r>
      <w:r w:rsidRPr="00CD56B9">
        <w:rPr>
          <w:lang w:val="en-US"/>
        </w:rPr>
        <w:t xml:space="preserve">haired by </w:t>
      </w:r>
      <w:r w:rsidR="00696E6F" w:rsidRPr="00CD56B9">
        <w:rPr>
          <w:lang w:val="en-US"/>
        </w:rPr>
        <w:t>DCs have operated with</w:t>
      </w:r>
      <w:r w:rsidR="00681A0C">
        <w:rPr>
          <w:lang w:val="en-US"/>
        </w:rPr>
        <w:t xml:space="preserve"> </w:t>
      </w:r>
      <w:r w:rsidR="001301BB">
        <w:rPr>
          <w:lang w:val="en-US"/>
        </w:rPr>
        <w:t>minimal</w:t>
      </w:r>
      <w:r w:rsidR="00696E6F" w:rsidRPr="00CD56B9">
        <w:rPr>
          <w:lang w:val="en-US"/>
        </w:rPr>
        <w:t xml:space="preserve"> local accountability links and varying degree of oversight. </w:t>
      </w:r>
      <w:r w:rsidR="00AF5B90" w:rsidRPr="00CD56B9">
        <w:rPr>
          <w:lang w:val="en-US"/>
        </w:rPr>
        <w:t>Before</w:t>
      </w:r>
      <w:r w:rsidR="00DF3337" w:rsidRPr="00CD56B9">
        <w:rPr>
          <w:lang w:val="en-US"/>
        </w:rPr>
        <w:t xml:space="preserve"> the 2014 local elections, </w:t>
      </w:r>
      <w:r w:rsidRPr="00CD56B9">
        <w:rPr>
          <w:lang w:val="en-US"/>
        </w:rPr>
        <w:t>Consultative Forums</w:t>
      </w:r>
      <w:r w:rsidR="00DF3337" w:rsidRPr="00CD56B9">
        <w:rPr>
          <w:lang w:val="en-US"/>
        </w:rPr>
        <w:t xml:space="preserve"> </w:t>
      </w:r>
      <w:r w:rsidR="00681A0C">
        <w:rPr>
          <w:lang w:val="en-US"/>
        </w:rPr>
        <w:t>were established</w:t>
      </w:r>
      <w:r w:rsidR="00DF3337" w:rsidRPr="00CD56B9">
        <w:rPr>
          <w:lang w:val="en-US"/>
        </w:rPr>
        <w:t xml:space="preserve"> </w:t>
      </w:r>
      <w:r w:rsidRPr="00CD56B9">
        <w:rPr>
          <w:lang w:val="en-US"/>
        </w:rPr>
        <w:t>and comprised of politicians, chiefs, business people</w:t>
      </w:r>
      <w:r w:rsidR="00DF3337" w:rsidRPr="00CD56B9">
        <w:rPr>
          <w:lang w:val="en-US"/>
        </w:rPr>
        <w:t>, and CSOs</w:t>
      </w:r>
      <w:r w:rsidR="00681A0C">
        <w:rPr>
          <w:lang w:val="en-US"/>
        </w:rPr>
        <w:t xml:space="preserve"> and engaged in</w:t>
      </w:r>
      <w:r w:rsidR="001301BB">
        <w:rPr>
          <w:lang w:val="en-US"/>
        </w:rPr>
        <w:t xml:space="preserve"> </w:t>
      </w:r>
      <w:r w:rsidR="008060E9" w:rsidRPr="00CD56B9">
        <w:rPr>
          <w:lang w:val="en-US"/>
        </w:rPr>
        <w:t xml:space="preserve">consultations with the </w:t>
      </w:r>
      <w:r w:rsidR="00DF3337" w:rsidRPr="00CD56B9">
        <w:rPr>
          <w:lang w:val="en-US"/>
        </w:rPr>
        <w:t>local elite so to speak.</w:t>
      </w:r>
      <w:r w:rsidR="00AF5B90" w:rsidRPr="00CD56B9">
        <w:rPr>
          <w:lang w:val="en-US"/>
        </w:rPr>
        <w:t xml:space="preserve"> </w:t>
      </w:r>
      <w:r w:rsidR="008060E9" w:rsidRPr="00CD56B9">
        <w:rPr>
          <w:lang w:val="en-US"/>
        </w:rPr>
        <w:t>C</w:t>
      </w:r>
      <w:r w:rsidRPr="00CD56B9">
        <w:rPr>
          <w:lang w:val="en-US"/>
        </w:rPr>
        <w:t xml:space="preserve">entral government </w:t>
      </w:r>
      <w:r w:rsidR="00AF5B90" w:rsidRPr="00CD56B9">
        <w:rPr>
          <w:lang w:val="en-US"/>
        </w:rPr>
        <w:t xml:space="preserve">still </w:t>
      </w:r>
      <w:r w:rsidRPr="00CD56B9">
        <w:rPr>
          <w:lang w:val="en-US"/>
        </w:rPr>
        <w:t>retains many administrative and fiscal functions</w:t>
      </w:r>
      <w:r w:rsidR="00AF5B90" w:rsidRPr="00CD56B9">
        <w:rPr>
          <w:lang w:val="en-US"/>
        </w:rPr>
        <w:t xml:space="preserve"> and t</w:t>
      </w:r>
      <w:r w:rsidRPr="00CD56B9">
        <w:rPr>
          <w:lang w:val="en-US"/>
        </w:rPr>
        <w:t xml:space="preserve">here has been </w:t>
      </w:r>
      <w:r w:rsidR="00AF5B90" w:rsidRPr="00CD56B9">
        <w:rPr>
          <w:lang w:val="en-US"/>
        </w:rPr>
        <w:t xml:space="preserve">limited fiscal </w:t>
      </w:r>
      <w:r w:rsidR="00725B44" w:rsidRPr="00CD56B9">
        <w:rPr>
          <w:lang w:val="en-US"/>
        </w:rPr>
        <w:t>decentralization</w:t>
      </w:r>
      <w:r w:rsidR="00AF5B90" w:rsidRPr="00CD56B9">
        <w:rPr>
          <w:lang w:val="en-US"/>
        </w:rPr>
        <w:t xml:space="preserve">. The local </w:t>
      </w:r>
      <w:r w:rsidR="00980D3D">
        <w:rPr>
          <w:lang w:val="en-US"/>
        </w:rPr>
        <w:t>budget</w:t>
      </w:r>
      <w:r w:rsidR="00AF5B90" w:rsidRPr="00CD56B9">
        <w:rPr>
          <w:lang w:val="en-US"/>
        </w:rPr>
        <w:t xml:space="preserve"> envelope is mainly based on tied </w:t>
      </w:r>
      <w:r w:rsidRPr="00CD56B9">
        <w:rPr>
          <w:lang w:val="en-US"/>
        </w:rPr>
        <w:t>sector budgets</w:t>
      </w:r>
      <w:r w:rsidR="00AF5B90" w:rsidRPr="00CD56B9">
        <w:rPr>
          <w:lang w:val="en-US"/>
        </w:rPr>
        <w:t xml:space="preserve"> and very </w:t>
      </w:r>
      <w:r w:rsidRPr="00CD56B9">
        <w:rPr>
          <w:lang w:val="en-US"/>
        </w:rPr>
        <w:t>few discretionary funds</w:t>
      </w:r>
      <w:r w:rsidR="00AF5B90" w:rsidRPr="00CD56B9">
        <w:rPr>
          <w:lang w:val="en-US"/>
        </w:rPr>
        <w:t xml:space="preserve"> (</w:t>
      </w:r>
      <w:r w:rsidRPr="00CD56B9">
        <w:rPr>
          <w:lang w:val="en-US"/>
        </w:rPr>
        <w:t xml:space="preserve">although cities are able to raise </w:t>
      </w:r>
      <w:r w:rsidR="00AF5B90" w:rsidRPr="00CD56B9">
        <w:rPr>
          <w:lang w:val="en-US"/>
        </w:rPr>
        <w:t>property taxes)</w:t>
      </w:r>
      <w:r w:rsidRPr="00CD56B9">
        <w:rPr>
          <w:lang w:val="en-US"/>
        </w:rPr>
        <w:t>.</w:t>
      </w:r>
    </w:p>
    <w:p w14:paraId="0203FB44" w14:textId="67E639D4" w:rsidR="00FE4123" w:rsidRPr="00CD56B9" w:rsidRDefault="00451329" w:rsidP="00FE4123">
      <w:pPr>
        <w:rPr>
          <w:lang w:val="en-US"/>
        </w:rPr>
      </w:pPr>
      <w:r w:rsidRPr="00CD56B9">
        <w:rPr>
          <w:lang w:val="en-US"/>
        </w:rPr>
        <w:t xml:space="preserve">Ministries </w:t>
      </w:r>
      <w:r w:rsidR="005025F1">
        <w:rPr>
          <w:lang w:val="en-US"/>
        </w:rPr>
        <w:t xml:space="preserve">also </w:t>
      </w:r>
      <w:r w:rsidRPr="00CD56B9">
        <w:rPr>
          <w:lang w:val="en-US"/>
        </w:rPr>
        <w:t xml:space="preserve">still appoint sector staff at local levels, </w:t>
      </w:r>
      <w:r w:rsidR="00A10D5A" w:rsidRPr="00CD56B9">
        <w:rPr>
          <w:lang w:val="en-US"/>
        </w:rPr>
        <w:t>which</w:t>
      </w:r>
      <w:r w:rsidRPr="00CD56B9">
        <w:rPr>
          <w:lang w:val="en-US"/>
        </w:rPr>
        <w:t xml:space="preserve"> are accountable to the mother ministry although they also report on technical issues to DCs and to senior staff based locally.</w:t>
      </w:r>
    </w:p>
    <w:p w14:paraId="6DCB1F2A" w14:textId="65789140" w:rsidR="00FE4123" w:rsidRPr="00CD56B9" w:rsidRDefault="005C09BD" w:rsidP="00FE4123">
      <w:pPr>
        <w:rPr>
          <w:lang w:val="en-US"/>
        </w:rPr>
      </w:pPr>
      <w:r>
        <w:rPr>
          <w:noProof/>
          <w:lang w:eastAsia="da-DK"/>
        </w:rPr>
        <mc:AlternateContent>
          <mc:Choice Requires="wps">
            <w:drawing>
              <wp:anchor distT="45720" distB="45720" distL="114300" distR="114300" simplePos="0" relativeHeight="251658752" behindDoc="0" locked="0" layoutInCell="1" allowOverlap="1" wp14:anchorId="2F5929AF" wp14:editId="36B1FE61">
                <wp:simplePos x="0" y="0"/>
                <wp:positionH relativeFrom="column">
                  <wp:posOffset>2852420</wp:posOffset>
                </wp:positionH>
                <wp:positionV relativeFrom="paragraph">
                  <wp:posOffset>8890</wp:posOffset>
                </wp:positionV>
                <wp:extent cx="3157220" cy="4206240"/>
                <wp:effectExtent l="95250" t="95250" r="81280" b="137160"/>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7220" cy="4206240"/>
                        </a:xfrm>
                        <a:prstGeom prst="rect">
                          <a:avLst/>
                        </a:prstGeom>
                        <a:gradFill>
                          <a:gsLst>
                            <a:gs pos="0">
                              <a:srgbClr val="A5A5A5">
                                <a:lumMod val="5000"/>
                                <a:lumOff val="95000"/>
                              </a:srgbClr>
                            </a:gs>
                            <a:gs pos="74000">
                              <a:srgbClr val="A5A5A5">
                                <a:lumMod val="45000"/>
                                <a:lumOff val="55000"/>
                              </a:srgbClr>
                            </a:gs>
                            <a:gs pos="83000">
                              <a:srgbClr val="A5A5A5">
                                <a:lumMod val="45000"/>
                                <a:lumOff val="55000"/>
                              </a:srgbClr>
                            </a:gs>
                            <a:gs pos="100000">
                              <a:srgbClr val="A5A5A5">
                                <a:lumMod val="30000"/>
                                <a:lumOff val="70000"/>
                              </a:srgbClr>
                            </a:gs>
                          </a:gsLst>
                          <a:lin ang="5400000" scaled="0"/>
                        </a:gradFill>
                        <a:ln w="9525">
                          <a:noFill/>
                          <a:miter lim="800000"/>
                          <a:headEnd/>
                          <a:tailEnd/>
                        </a:ln>
                        <a:effectLst>
                          <a:glow rad="63500">
                            <a:srgbClr val="ED7D31">
                              <a:satMod val="175000"/>
                              <a:alpha val="40000"/>
                            </a:srgbClr>
                          </a:glow>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14:paraId="704750CA" w14:textId="77777777" w:rsidR="00C141F8" w:rsidRPr="00CD56B9" w:rsidRDefault="00C141F8" w:rsidP="00C24887">
                            <w:pPr>
                              <w:jc w:val="left"/>
                              <w:rPr>
                                <w:b/>
                                <w:lang w:val="en-US"/>
                              </w:rPr>
                            </w:pPr>
                            <w:r w:rsidRPr="00CD56B9">
                              <w:rPr>
                                <w:b/>
                                <w:lang w:val="en-US"/>
                              </w:rPr>
                              <w:t>Deconstructing local “capacity” problems</w:t>
                            </w:r>
                          </w:p>
                          <w:p w14:paraId="7AF33DFB" w14:textId="77777777" w:rsidR="00C141F8" w:rsidRPr="00CD56B9" w:rsidRDefault="00C141F8" w:rsidP="00C24887">
                            <w:pPr>
                              <w:rPr>
                                <w:lang w:val="en-US"/>
                              </w:rPr>
                            </w:pPr>
                            <w:r w:rsidRPr="00CD56B9">
                              <w:rPr>
                                <w:lang w:val="en-US"/>
                              </w:rPr>
                              <w:t xml:space="preserve">Beware of viewing capacity problems as all “inherent” to LGs. There are indeed “inherent” problems, especially in poor rural areas (personnel gaps, quality, training, “elite” capture; remoteness &amp; communications; etc.) </w:t>
                            </w:r>
                          </w:p>
                          <w:p w14:paraId="609DB5E6" w14:textId="77777777" w:rsidR="00C141F8" w:rsidRPr="00CD56B9" w:rsidRDefault="00C141F8" w:rsidP="00C24887">
                            <w:pPr>
                              <w:rPr>
                                <w:lang w:val="en-US"/>
                              </w:rPr>
                            </w:pPr>
                            <w:r w:rsidRPr="00CD56B9">
                              <w:rPr>
                                <w:lang w:val="en-US"/>
                              </w:rPr>
                              <w:t>Many constraints are externally imposed:</w:t>
                            </w:r>
                          </w:p>
                          <w:p w14:paraId="1D58322A" w14:textId="77777777" w:rsidR="00C141F8" w:rsidRDefault="00C141F8" w:rsidP="00F769B0">
                            <w:pPr>
                              <w:pStyle w:val="Listeafsnit"/>
                              <w:numPr>
                                <w:ilvl w:val="0"/>
                                <w:numId w:val="26"/>
                              </w:numPr>
                            </w:pPr>
                            <w:r>
                              <w:t>Inadequate or perverse financing</w:t>
                            </w:r>
                          </w:p>
                          <w:p w14:paraId="5B894787" w14:textId="77777777" w:rsidR="00C141F8" w:rsidRDefault="00C141F8" w:rsidP="00F769B0">
                            <w:pPr>
                              <w:pStyle w:val="Listeafsnit"/>
                              <w:numPr>
                                <w:ilvl w:val="0"/>
                                <w:numId w:val="26"/>
                              </w:numPr>
                            </w:pPr>
                            <w:r>
                              <w:t>Unclear roles, functions &amp; expectations</w:t>
                            </w:r>
                          </w:p>
                          <w:p w14:paraId="3C89F0D1" w14:textId="77777777" w:rsidR="00C141F8" w:rsidRPr="00CD56B9" w:rsidRDefault="00C141F8" w:rsidP="00F769B0">
                            <w:pPr>
                              <w:pStyle w:val="Listeafsnit"/>
                              <w:numPr>
                                <w:ilvl w:val="0"/>
                                <w:numId w:val="26"/>
                              </w:numPr>
                              <w:rPr>
                                <w:lang w:val="en-US"/>
                              </w:rPr>
                            </w:pPr>
                            <w:r w:rsidRPr="00CD56B9">
                              <w:rPr>
                                <w:lang w:val="en-US"/>
                              </w:rPr>
                              <w:t>Unclear procedures &amp; poor guidance for participatory involvement, or for planning, budgeting, procurement, financial management, etc.</w:t>
                            </w:r>
                          </w:p>
                          <w:p w14:paraId="12E8558D" w14:textId="77777777" w:rsidR="00C141F8" w:rsidRPr="00CD56B9" w:rsidRDefault="00C141F8" w:rsidP="00F769B0">
                            <w:pPr>
                              <w:pStyle w:val="Listeafsnit"/>
                              <w:numPr>
                                <w:ilvl w:val="0"/>
                                <w:numId w:val="26"/>
                              </w:numPr>
                              <w:rPr>
                                <w:lang w:val="en-US"/>
                              </w:rPr>
                            </w:pPr>
                            <w:r w:rsidRPr="00CD56B9">
                              <w:rPr>
                                <w:lang w:val="en-US"/>
                              </w:rPr>
                              <w:t>Weak institutional accountability arrangements or coordinating between levels of governments</w:t>
                            </w:r>
                          </w:p>
                          <w:p w14:paraId="7626AA9B" w14:textId="77777777" w:rsidR="00C141F8" w:rsidRPr="00CD56B9" w:rsidRDefault="00C141F8" w:rsidP="00F769B0">
                            <w:pPr>
                              <w:pStyle w:val="Listeafsnit"/>
                              <w:numPr>
                                <w:ilvl w:val="0"/>
                                <w:numId w:val="26"/>
                              </w:numPr>
                              <w:rPr>
                                <w:lang w:val="en-US"/>
                              </w:rPr>
                            </w:pPr>
                            <w:r w:rsidRPr="00CD56B9">
                              <w:rPr>
                                <w:lang w:val="en-US"/>
                              </w:rPr>
                              <w:t>Inadequate arrangements to allow “hiring in” of government or private  technical expertise</w:t>
                            </w:r>
                          </w:p>
                          <w:p w14:paraId="446BF8D7" w14:textId="77777777" w:rsidR="00C141F8" w:rsidRPr="00CD56B9" w:rsidRDefault="00C141F8" w:rsidP="00F769B0">
                            <w:pPr>
                              <w:pStyle w:val="Listeafsnit"/>
                              <w:numPr>
                                <w:ilvl w:val="0"/>
                                <w:numId w:val="26"/>
                              </w:numPr>
                              <w:rPr>
                                <w:lang w:val="en-US"/>
                              </w:rPr>
                            </w:pPr>
                            <w:r w:rsidRPr="00CD56B9">
                              <w:rPr>
                                <w:lang w:val="en-US"/>
                              </w:rPr>
                              <w:t>Weak monitoring &amp; ineffective incentives/sanctions for performance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5929AF" id="_x0000_t202" coordsize="21600,21600" o:spt="202" path="m,l,21600r21600,l21600,xe">
                <v:stroke joinstyle="miter"/>
                <v:path gradientshapeok="t" o:connecttype="rect"/>
              </v:shapetype>
              <v:shape id="Tekstfelt 2" o:spid="_x0000_s1026" type="#_x0000_t202" style="position:absolute;left:0;text-align:left;margin-left:224.6pt;margin-top:.7pt;width:248.6pt;height:331.2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" fillcolor="#fafafa" stroked="f">
                <v:fill color2="#e4e4e4" colors="0 #fafafa;48497f #d7d7d7;54395f #d7d7d7;1 #e4e4e4" focus="100%" type="gradient">
                  <o:fill v:ext="view" type="gradientUnscaled"/>
                </v:fill>
                <v:shadow on="t" color="black" opacity="20971f" offset="0,2.2pt"/>
                <v:textbox>
                  <w:txbxContent>
                    <w:p w14:paraId="704750CA" w14:textId="77777777" w:rsidR="00C141F8" w:rsidRPr="00CD56B9" w:rsidRDefault="00C141F8" w:rsidP="00C24887">
                      <w:pPr>
                        <w:jc w:val="left"/>
                        <w:rPr>
                          <w:b/>
                          <w:lang w:val="en-US"/>
                        </w:rPr>
                      </w:pPr>
                      <w:r w:rsidRPr="00CD56B9">
                        <w:rPr>
                          <w:b/>
                          <w:lang w:val="en-US"/>
                        </w:rPr>
                        <w:t>Deconstructing local “capacity” problems</w:t>
                      </w:r>
                    </w:p>
                    <w:p w14:paraId="7AF33DFB" w14:textId="77777777" w:rsidR="00C141F8" w:rsidRPr="00CD56B9" w:rsidRDefault="00C141F8" w:rsidP="00C24887">
                      <w:pPr>
                        <w:rPr>
                          <w:lang w:val="en-US"/>
                        </w:rPr>
                      </w:pPr>
                      <w:r w:rsidRPr="00CD56B9">
                        <w:rPr>
                          <w:lang w:val="en-US"/>
                        </w:rPr>
                        <w:t xml:space="preserve">Beware of viewing capacity problems as all “inherent” to LGs. There are indeed “inherent” problems, especially in poor rural areas (personnel gaps, quality, training, “elite” capture; remoteness &amp; communications; etc.) </w:t>
                      </w:r>
                    </w:p>
                    <w:p w14:paraId="609DB5E6" w14:textId="77777777" w:rsidR="00C141F8" w:rsidRPr="00CD56B9" w:rsidRDefault="00C141F8" w:rsidP="00C24887">
                      <w:pPr>
                        <w:rPr>
                          <w:lang w:val="en-US"/>
                        </w:rPr>
                      </w:pPr>
                      <w:r w:rsidRPr="00CD56B9">
                        <w:rPr>
                          <w:lang w:val="en-US"/>
                        </w:rPr>
                        <w:t>Many constraints are externally imposed:</w:t>
                      </w:r>
                    </w:p>
                    <w:p w14:paraId="1D58322A" w14:textId="77777777" w:rsidR="00C141F8" w:rsidRDefault="00C141F8" w:rsidP="00F769B0">
                      <w:pPr>
                        <w:pStyle w:val="Listeafsnit"/>
                        <w:numPr>
                          <w:ilvl w:val="0"/>
                          <w:numId w:val="26"/>
                        </w:numPr>
                      </w:pPr>
                      <w:r>
                        <w:t>Inadequate or perverse financing</w:t>
                      </w:r>
                    </w:p>
                    <w:p w14:paraId="5B894787" w14:textId="77777777" w:rsidR="00C141F8" w:rsidRDefault="00C141F8" w:rsidP="00F769B0">
                      <w:pPr>
                        <w:pStyle w:val="Listeafsnit"/>
                        <w:numPr>
                          <w:ilvl w:val="0"/>
                          <w:numId w:val="26"/>
                        </w:numPr>
                      </w:pPr>
                      <w:r>
                        <w:t>Unclear roles, functions &amp; expectations</w:t>
                      </w:r>
                    </w:p>
                    <w:p w14:paraId="3C89F0D1" w14:textId="77777777" w:rsidR="00C141F8" w:rsidRPr="00CD56B9" w:rsidRDefault="00C141F8" w:rsidP="00F769B0">
                      <w:pPr>
                        <w:pStyle w:val="Listeafsnit"/>
                        <w:numPr>
                          <w:ilvl w:val="0"/>
                          <w:numId w:val="26"/>
                        </w:numPr>
                        <w:rPr>
                          <w:lang w:val="en-US"/>
                        </w:rPr>
                      </w:pPr>
                      <w:r w:rsidRPr="00CD56B9">
                        <w:rPr>
                          <w:lang w:val="en-US"/>
                        </w:rPr>
                        <w:t>Unclear procedures &amp; poor guidance for participatory involvement, or for planning, budgeting, procurement, financial management, etc.</w:t>
                      </w:r>
                    </w:p>
                    <w:p w14:paraId="12E8558D" w14:textId="77777777" w:rsidR="00C141F8" w:rsidRPr="00CD56B9" w:rsidRDefault="00C141F8" w:rsidP="00F769B0">
                      <w:pPr>
                        <w:pStyle w:val="Listeafsnit"/>
                        <w:numPr>
                          <w:ilvl w:val="0"/>
                          <w:numId w:val="26"/>
                        </w:numPr>
                        <w:rPr>
                          <w:lang w:val="en-US"/>
                        </w:rPr>
                      </w:pPr>
                      <w:r w:rsidRPr="00CD56B9">
                        <w:rPr>
                          <w:lang w:val="en-US"/>
                        </w:rPr>
                        <w:t>Weak institutional accountability arrangements or coordinating between levels of governments</w:t>
                      </w:r>
                    </w:p>
                    <w:p w14:paraId="7626AA9B" w14:textId="77777777" w:rsidR="00C141F8" w:rsidRPr="00CD56B9" w:rsidRDefault="00C141F8" w:rsidP="00F769B0">
                      <w:pPr>
                        <w:pStyle w:val="Listeafsnit"/>
                        <w:numPr>
                          <w:ilvl w:val="0"/>
                          <w:numId w:val="26"/>
                        </w:numPr>
                        <w:rPr>
                          <w:lang w:val="en-US"/>
                        </w:rPr>
                      </w:pPr>
                      <w:r w:rsidRPr="00CD56B9">
                        <w:rPr>
                          <w:lang w:val="en-US"/>
                        </w:rPr>
                        <w:t>Inadequate arrangements to allow “hiring in” of government or private  technical expertise</w:t>
                      </w:r>
                    </w:p>
                    <w:p w14:paraId="446BF8D7" w14:textId="77777777" w:rsidR="00C141F8" w:rsidRPr="00CD56B9" w:rsidRDefault="00C141F8" w:rsidP="00F769B0">
                      <w:pPr>
                        <w:pStyle w:val="Listeafsnit"/>
                        <w:numPr>
                          <w:ilvl w:val="0"/>
                          <w:numId w:val="26"/>
                        </w:numPr>
                        <w:rPr>
                          <w:lang w:val="en-US"/>
                        </w:rPr>
                      </w:pPr>
                      <w:r w:rsidRPr="00CD56B9">
                        <w:rPr>
                          <w:lang w:val="en-US"/>
                        </w:rPr>
                        <w:t>Weak monitoring &amp; ineffective incentives/sanctions for performance</w:t>
                      </w:r>
                    </w:p>
                  </w:txbxContent>
                </v:textbox>
                <w10:wrap type="square"/>
              </v:shape>
            </w:pict>
          </mc:Fallback>
        </mc:AlternateContent>
      </w:r>
      <w:r w:rsidR="00FE4123" w:rsidRPr="00CD56B9">
        <w:rPr>
          <w:lang w:val="en-US"/>
        </w:rPr>
        <w:t xml:space="preserve">While planning is undertaken annually, the planning processes of the different sectors are poorly coordinated and their plans frequently undermined by funding shortages and </w:t>
      </w:r>
      <w:r w:rsidR="009A509B" w:rsidRPr="00CD56B9">
        <w:rPr>
          <w:lang w:val="en-US"/>
        </w:rPr>
        <w:t xml:space="preserve">off-budget (often donor-funded) </w:t>
      </w:r>
      <w:r w:rsidR="00FE4123" w:rsidRPr="00CD56B9">
        <w:rPr>
          <w:lang w:val="en-US"/>
        </w:rPr>
        <w:t xml:space="preserve">projects. Meanwhile, many local development committees have ceased operating, and citizens are largely disconnected from local government processes. Chiefs fill that gap, relaying information from government to the public, and sometimes accessing resources for local development projects. MPs try to fill the gap too, using their influence and </w:t>
      </w:r>
      <w:r w:rsidR="000E39C5" w:rsidRPr="00CD56B9">
        <w:rPr>
          <w:lang w:val="en-US"/>
        </w:rPr>
        <w:t>the Constituency Funds and now the newly elected district c</w:t>
      </w:r>
      <w:r w:rsidR="00FE4123" w:rsidRPr="00CD56B9">
        <w:rPr>
          <w:lang w:val="en-US"/>
        </w:rPr>
        <w:t xml:space="preserve">ouncils </w:t>
      </w:r>
      <w:r w:rsidR="0090529C">
        <w:rPr>
          <w:lang w:val="en-US"/>
        </w:rPr>
        <w:t xml:space="preserve">have entered </w:t>
      </w:r>
      <w:r w:rsidR="000E39C5" w:rsidRPr="00CD56B9">
        <w:rPr>
          <w:lang w:val="en-US"/>
        </w:rPr>
        <w:t xml:space="preserve">this governance framework, formally as </w:t>
      </w:r>
      <w:r w:rsidR="00FB4FD7" w:rsidRPr="00CD56B9">
        <w:rPr>
          <w:lang w:val="en-US"/>
        </w:rPr>
        <w:t xml:space="preserve">the highest local authority, in reality as a </w:t>
      </w:r>
      <w:r w:rsidR="00BC5B2D">
        <w:rPr>
          <w:lang w:val="en-US"/>
        </w:rPr>
        <w:t xml:space="preserve">new </w:t>
      </w:r>
      <w:r w:rsidR="00FB4FD7" w:rsidRPr="00CD56B9">
        <w:rPr>
          <w:lang w:val="en-US"/>
        </w:rPr>
        <w:t xml:space="preserve">competitor for </w:t>
      </w:r>
      <w:r w:rsidR="0090529C">
        <w:rPr>
          <w:lang w:val="en-US"/>
        </w:rPr>
        <w:t xml:space="preserve">exercising </w:t>
      </w:r>
      <w:r w:rsidR="00FB4FD7" w:rsidRPr="00CD56B9">
        <w:rPr>
          <w:lang w:val="en-US"/>
        </w:rPr>
        <w:t>local authority</w:t>
      </w:r>
      <w:r w:rsidR="00FE4123" w:rsidRPr="00CD56B9">
        <w:rPr>
          <w:lang w:val="en-US"/>
        </w:rPr>
        <w:t>.</w:t>
      </w:r>
    </w:p>
    <w:p w14:paraId="247788B2" w14:textId="35E732A6" w:rsidR="00C82E73" w:rsidRPr="00CD56B9" w:rsidRDefault="00FB4FD7" w:rsidP="002B6044">
      <w:pPr>
        <w:rPr>
          <w:lang w:val="en-US"/>
        </w:rPr>
      </w:pPr>
      <w:r w:rsidRPr="00E80C62">
        <w:rPr>
          <w:lang w:val="en-US"/>
        </w:rPr>
        <w:t xml:space="preserve">It is in this </w:t>
      </w:r>
      <w:r w:rsidR="00725B44">
        <w:rPr>
          <w:lang w:val="en-US"/>
        </w:rPr>
        <w:t>context</w:t>
      </w:r>
      <w:r w:rsidRPr="00E80C62">
        <w:rPr>
          <w:lang w:val="en-US"/>
        </w:rPr>
        <w:t xml:space="preserve"> of </w:t>
      </w:r>
      <w:r w:rsidR="00FE4123" w:rsidRPr="00E80C62">
        <w:rPr>
          <w:lang w:val="en-US"/>
        </w:rPr>
        <w:t>functional fragmentation, unclear mandates, overlapping jurisdictions and responsibilities, and complex administrative processes (e.g.,</w:t>
      </w:r>
      <w:r w:rsidRPr="00E80C62">
        <w:rPr>
          <w:lang w:val="en-US"/>
        </w:rPr>
        <w:t xml:space="preserve"> for procurement and reporting), that the IRD strategy is fielded</w:t>
      </w:r>
      <w:r w:rsidR="009D4835">
        <w:rPr>
          <w:lang w:val="en-US"/>
        </w:rPr>
        <w:t xml:space="preserve">. There are also </w:t>
      </w:r>
      <w:r w:rsidR="00E80C62" w:rsidRPr="00E80C62">
        <w:rPr>
          <w:lang w:val="en-US"/>
        </w:rPr>
        <w:t xml:space="preserve">differing </w:t>
      </w:r>
      <w:r w:rsidR="00F047F2" w:rsidRPr="00E80C62">
        <w:rPr>
          <w:lang w:val="en-US"/>
        </w:rPr>
        <w:t xml:space="preserve">levels of devolution </w:t>
      </w:r>
      <w:r w:rsidR="00FE4123" w:rsidRPr="00E80C62">
        <w:rPr>
          <w:lang w:val="en-US"/>
        </w:rPr>
        <w:t>between sectors</w:t>
      </w:r>
      <w:r w:rsidR="00E80C62">
        <w:rPr>
          <w:lang w:val="en-US"/>
        </w:rPr>
        <w:t>. E</w:t>
      </w:r>
      <w:r w:rsidR="00FE4123" w:rsidRPr="00E80C62">
        <w:rPr>
          <w:lang w:val="en-US"/>
        </w:rPr>
        <w:t>ducation</w:t>
      </w:r>
      <w:r w:rsidR="00681A0C">
        <w:rPr>
          <w:lang w:val="en-US"/>
        </w:rPr>
        <w:t xml:space="preserve"> and Health sectors have</w:t>
      </w:r>
      <w:r w:rsidR="00E80C62">
        <w:rPr>
          <w:lang w:val="en-US"/>
        </w:rPr>
        <w:t xml:space="preserve"> advanced furthest while hardly any progress </w:t>
      </w:r>
      <w:r w:rsidR="00E80C62" w:rsidRPr="00E80C62">
        <w:rPr>
          <w:lang w:val="en-US"/>
        </w:rPr>
        <w:t>at</w:t>
      </w:r>
      <w:r w:rsidR="00FE4123" w:rsidRPr="00E80C62">
        <w:rPr>
          <w:lang w:val="en-US"/>
        </w:rPr>
        <w:t xml:space="preserve"> all </w:t>
      </w:r>
      <w:r w:rsidR="00E80C62">
        <w:rPr>
          <w:lang w:val="en-US"/>
        </w:rPr>
        <w:t xml:space="preserve">has occurred </w:t>
      </w:r>
      <w:r w:rsidR="00FE4123" w:rsidRPr="00E80C62">
        <w:rPr>
          <w:lang w:val="en-US"/>
        </w:rPr>
        <w:t xml:space="preserve">in the water sector. </w:t>
      </w:r>
      <w:r w:rsidR="00FE4123" w:rsidRPr="00CD56B9">
        <w:rPr>
          <w:lang w:val="en-US"/>
        </w:rPr>
        <w:t xml:space="preserve">Yet even in education, central government retains control of pivotal functions, such as human resources, payroll and capital development. </w:t>
      </w:r>
    </w:p>
    <w:p w14:paraId="18C3D794" w14:textId="77777777" w:rsidR="0005022E" w:rsidRPr="00E80C62" w:rsidRDefault="00120C36" w:rsidP="002B6044">
      <w:pPr>
        <w:rPr>
          <w:lang w:val="en-US"/>
        </w:rPr>
      </w:pPr>
      <w:r w:rsidRPr="00CD56B9">
        <w:rPr>
          <w:lang w:val="en-US"/>
        </w:rPr>
        <w:t xml:space="preserve">Despite the indisputable urgency of economic growth in the rural areas and more equitable development across the nation, the </w:t>
      </w:r>
      <w:r w:rsidR="00C82E73" w:rsidRPr="00CD56B9">
        <w:rPr>
          <w:lang w:val="en-US"/>
        </w:rPr>
        <w:t xml:space="preserve">MTE team remains </w:t>
      </w:r>
      <w:r w:rsidR="00725B44" w:rsidRPr="00CD56B9">
        <w:rPr>
          <w:lang w:val="en-US"/>
        </w:rPr>
        <w:t>skeptical</w:t>
      </w:r>
      <w:r w:rsidR="00C82E73" w:rsidRPr="00CD56B9">
        <w:rPr>
          <w:lang w:val="en-US"/>
        </w:rPr>
        <w:t xml:space="preserve"> about the </w:t>
      </w:r>
      <w:r w:rsidRPr="00CD56B9">
        <w:rPr>
          <w:lang w:val="en-US"/>
        </w:rPr>
        <w:t xml:space="preserve">timing and </w:t>
      </w:r>
      <w:r w:rsidR="00C82E73" w:rsidRPr="00CD56B9">
        <w:rPr>
          <w:lang w:val="en-US"/>
        </w:rPr>
        <w:t xml:space="preserve">sequencing </w:t>
      </w:r>
      <w:r w:rsidR="0062652B">
        <w:rPr>
          <w:lang w:val="en-US"/>
        </w:rPr>
        <w:t>of</w:t>
      </w:r>
      <w:r w:rsidR="00FF7BDD" w:rsidRPr="00CD56B9">
        <w:rPr>
          <w:lang w:val="en-US"/>
        </w:rPr>
        <w:t xml:space="preserve"> </w:t>
      </w:r>
      <w:r w:rsidRPr="00CD56B9">
        <w:rPr>
          <w:lang w:val="en-US"/>
        </w:rPr>
        <w:t xml:space="preserve">the </w:t>
      </w:r>
      <w:r w:rsidR="00C82E73" w:rsidRPr="00CD56B9">
        <w:rPr>
          <w:lang w:val="en-US"/>
        </w:rPr>
        <w:t>devolution</w:t>
      </w:r>
      <w:r w:rsidRPr="00CD56B9">
        <w:rPr>
          <w:lang w:val="en-US"/>
        </w:rPr>
        <w:t xml:space="preserve"> process</w:t>
      </w:r>
      <w:r w:rsidR="00C82E73" w:rsidRPr="00CD56B9">
        <w:rPr>
          <w:lang w:val="en-US"/>
        </w:rPr>
        <w:t xml:space="preserve">, which has </w:t>
      </w:r>
      <w:r w:rsidRPr="00CD56B9">
        <w:rPr>
          <w:lang w:val="en-US"/>
        </w:rPr>
        <w:t xml:space="preserve">yet </w:t>
      </w:r>
      <w:r w:rsidR="00C82E73" w:rsidRPr="00CD56B9">
        <w:rPr>
          <w:lang w:val="en-US"/>
        </w:rPr>
        <w:t xml:space="preserve">to </w:t>
      </w:r>
      <w:r w:rsidR="00725B44" w:rsidRPr="00CD56B9">
        <w:rPr>
          <w:lang w:val="en-US"/>
        </w:rPr>
        <w:t>mobilize</w:t>
      </w:r>
      <w:r w:rsidR="00C82E73" w:rsidRPr="00CD56B9">
        <w:rPr>
          <w:lang w:val="en-US"/>
        </w:rPr>
        <w:t xml:space="preserve"> substantial support</w:t>
      </w:r>
      <w:r w:rsidR="00FF7BDD" w:rsidRPr="00CD56B9">
        <w:rPr>
          <w:lang w:val="en-US"/>
        </w:rPr>
        <w:t>,</w:t>
      </w:r>
      <w:r w:rsidR="00C82E73" w:rsidRPr="00CD56B9">
        <w:rPr>
          <w:lang w:val="en-US"/>
        </w:rPr>
        <w:t xml:space="preserve"> and the </w:t>
      </w:r>
      <w:r w:rsidR="00143619" w:rsidRPr="00CD56B9">
        <w:rPr>
          <w:lang w:val="en-US"/>
        </w:rPr>
        <w:t xml:space="preserve">roll out of the </w:t>
      </w:r>
      <w:r w:rsidR="00C82E73" w:rsidRPr="00CD56B9">
        <w:rPr>
          <w:lang w:val="en-US"/>
        </w:rPr>
        <w:t xml:space="preserve">IRD strategy, which is deeply dependent on the </w:t>
      </w:r>
      <w:r w:rsidRPr="00CD56B9">
        <w:rPr>
          <w:lang w:val="en-US"/>
        </w:rPr>
        <w:t xml:space="preserve">overall </w:t>
      </w:r>
      <w:r w:rsidR="00C82E73" w:rsidRPr="00CD56B9">
        <w:rPr>
          <w:lang w:val="en-US"/>
        </w:rPr>
        <w:t>reform process.</w:t>
      </w:r>
      <w:r w:rsidR="0005022E" w:rsidRPr="00CD56B9">
        <w:rPr>
          <w:lang w:val="en-US"/>
        </w:rPr>
        <w:t xml:space="preserve"> </w:t>
      </w:r>
      <w:r w:rsidRPr="00E80C62">
        <w:rPr>
          <w:lang w:val="en-US"/>
        </w:rPr>
        <w:t xml:space="preserve">It could be argued, that the </w:t>
      </w:r>
      <w:r w:rsidR="00C82E73" w:rsidRPr="00E80C62">
        <w:rPr>
          <w:lang w:val="en-US"/>
        </w:rPr>
        <w:t xml:space="preserve">IRD strategy is introduced </w:t>
      </w:r>
      <w:r w:rsidR="00F35C59">
        <w:rPr>
          <w:lang w:val="en-US"/>
        </w:rPr>
        <w:t xml:space="preserve">too </w:t>
      </w:r>
      <w:r w:rsidR="00C82E73" w:rsidRPr="00E80C62">
        <w:rPr>
          <w:lang w:val="en-US"/>
        </w:rPr>
        <w:t xml:space="preserve">early and </w:t>
      </w:r>
      <w:r w:rsidR="0005022E" w:rsidRPr="00E80C62">
        <w:rPr>
          <w:lang w:val="en-US"/>
        </w:rPr>
        <w:t xml:space="preserve">that </w:t>
      </w:r>
      <w:r w:rsidR="00F35C59">
        <w:rPr>
          <w:lang w:val="en-US"/>
        </w:rPr>
        <w:t>references</w:t>
      </w:r>
      <w:r w:rsidR="00E80C62" w:rsidRPr="00E80C62">
        <w:rPr>
          <w:lang w:val="en-US"/>
        </w:rPr>
        <w:t xml:space="preserve"> to</w:t>
      </w:r>
      <w:r w:rsidR="0005022E" w:rsidRPr="00E80C62">
        <w:rPr>
          <w:lang w:val="en-US"/>
        </w:rPr>
        <w:t xml:space="preserve"> experience</w:t>
      </w:r>
      <w:r w:rsidR="00E80C62">
        <w:rPr>
          <w:lang w:val="en-US"/>
        </w:rPr>
        <w:t>s</w:t>
      </w:r>
      <w:r w:rsidR="0005022E" w:rsidRPr="00E80C62">
        <w:rPr>
          <w:lang w:val="en-US"/>
        </w:rPr>
        <w:t xml:space="preserve"> from Tanzania, which </w:t>
      </w:r>
      <w:r w:rsidR="0005022E" w:rsidRPr="00E80C62">
        <w:rPr>
          <w:lang w:val="en-US"/>
        </w:rPr>
        <w:lastRenderedPageBreak/>
        <w:t>are embedded in a more advanced local government framework, needs to take into account the different sta</w:t>
      </w:r>
      <w:r w:rsidR="00E80C62">
        <w:rPr>
          <w:lang w:val="en-US"/>
        </w:rPr>
        <w:t>ges of devolution i</w:t>
      </w:r>
      <w:r w:rsidR="0005022E" w:rsidRPr="00E80C62">
        <w:rPr>
          <w:lang w:val="en-US"/>
        </w:rPr>
        <w:t xml:space="preserve">n the </w:t>
      </w:r>
      <w:r w:rsidR="00BC3340" w:rsidRPr="00E80C62">
        <w:rPr>
          <w:lang w:val="en-US"/>
        </w:rPr>
        <w:t>two countries.</w:t>
      </w:r>
    </w:p>
    <w:p w14:paraId="2C32041C" w14:textId="77777777" w:rsidR="0021143B" w:rsidRPr="0087238B" w:rsidRDefault="00162472" w:rsidP="0021143B">
      <w:pPr>
        <w:rPr>
          <w:i/>
          <w:lang w:val="en-US"/>
        </w:rPr>
      </w:pPr>
      <w:r w:rsidRPr="00CD56B9">
        <w:rPr>
          <w:lang w:val="en-US"/>
        </w:rPr>
        <w:t xml:space="preserve">For these reasons, progress on the </w:t>
      </w:r>
      <w:r w:rsidR="00BC3340" w:rsidRPr="00CD56B9">
        <w:rPr>
          <w:lang w:val="en-US"/>
        </w:rPr>
        <w:t xml:space="preserve">devolution </w:t>
      </w:r>
      <w:r w:rsidRPr="00CD56B9">
        <w:rPr>
          <w:lang w:val="en-US"/>
        </w:rPr>
        <w:t xml:space="preserve">process </w:t>
      </w:r>
      <w:r w:rsidR="00BC3340" w:rsidRPr="00CD56B9">
        <w:rPr>
          <w:lang w:val="en-US"/>
        </w:rPr>
        <w:t xml:space="preserve">and </w:t>
      </w:r>
      <w:r w:rsidRPr="00CD56B9">
        <w:rPr>
          <w:lang w:val="en-US"/>
        </w:rPr>
        <w:t xml:space="preserve">the </w:t>
      </w:r>
      <w:r w:rsidR="00BC3340" w:rsidRPr="00CD56B9">
        <w:rPr>
          <w:lang w:val="en-US"/>
        </w:rPr>
        <w:t xml:space="preserve">support to IRD should be </w:t>
      </w:r>
      <w:r w:rsidR="008F5A4A" w:rsidRPr="00CD56B9">
        <w:rPr>
          <w:lang w:val="en-US"/>
        </w:rPr>
        <w:t>carefully monitored</w:t>
      </w:r>
      <w:r w:rsidR="00B253FD">
        <w:rPr>
          <w:lang w:val="en-US"/>
        </w:rPr>
        <w:t xml:space="preserve">, and ideally the SWG </w:t>
      </w:r>
      <w:r w:rsidR="00B253FD" w:rsidRPr="00CD56B9">
        <w:rPr>
          <w:lang w:val="en-US"/>
        </w:rPr>
        <w:t xml:space="preserve">Decentralization and IRD </w:t>
      </w:r>
      <w:r w:rsidR="00B253FD">
        <w:rPr>
          <w:lang w:val="en-US"/>
        </w:rPr>
        <w:t xml:space="preserve">should operate as an integrated part of the SWG on </w:t>
      </w:r>
      <w:r w:rsidR="00FE4055">
        <w:rPr>
          <w:lang w:val="en-US"/>
        </w:rPr>
        <w:t>Public administration/</w:t>
      </w:r>
      <w:r w:rsidR="00B253FD">
        <w:rPr>
          <w:lang w:val="en-US"/>
        </w:rPr>
        <w:t xml:space="preserve">Public Sector Reform. Even </w:t>
      </w:r>
      <w:r w:rsidR="008E3917">
        <w:rPr>
          <w:lang w:val="en-US"/>
        </w:rPr>
        <w:t>if</w:t>
      </w:r>
      <w:r w:rsidR="00B253FD">
        <w:rPr>
          <w:lang w:val="en-US"/>
        </w:rPr>
        <w:t xml:space="preserve"> this is not feasible at present, the</w:t>
      </w:r>
      <w:r w:rsidR="00DF5B9A" w:rsidRPr="00CD56B9">
        <w:rPr>
          <w:lang w:val="en-US"/>
        </w:rPr>
        <w:t xml:space="preserve"> </w:t>
      </w:r>
      <w:r w:rsidR="008F5A4A" w:rsidRPr="00CD56B9">
        <w:rPr>
          <w:lang w:val="en-US"/>
        </w:rPr>
        <w:t xml:space="preserve">SWG </w:t>
      </w:r>
      <w:r w:rsidR="00B253FD">
        <w:rPr>
          <w:lang w:val="en-US"/>
        </w:rPr>
        <w:t xml:space="preserve">should at least </w:t>
      </w:r>
      <w:r w:rsidR="008F5A4A" w:rsidRPr="00CD56B9">
        <w:rPr>
          <w:lang w:val="en-US"/>
        </w:rPr>
        <w:t xml:space="preserve">include elected </w:t>
      </w:r>
      <w:r w:rsidR="00725B44" w:rsidRPr="00CD56B9">
        <w:rPr>
          <w:lang w:val="en-US"/>
        </w:rPr>
        <w:t>councilors</w:t>
      </w:r>
      <w:r w:rsidR="008F5A4A" w:rsidRPr="00CD56B9">
        <w:rPr>
          <w:lang w:val="en-US"/>
        </w:rPr>
        <w:t xml:space="preserve"> in their meetings, preferably the Chair of MALGA, and given the cross-sectoral nature of devolution and the IRD strategy, </w:t>
      </w:r>
      <w:r w:rsidR="008E3917">
        <w:rPr>
          <w:lang w:val="en-US"/>
        </w:rPr>
        <w:t>also</w:t>
      </w:r>
      <w:r w:rsidR="008F5A4A" w:rsidRPr="00CD56B9">
        <w:rPr>
          <w:lang w:val="en-US"/>
        </w:rPr>
        <w:t xml:space="preserve"> include line ministries (agriculture, education, health) as </w:t>
      </w:r>
      <w:r w:rsidR="008E3917">
        <w:rPr>
          <w:lang w:val="en-US"/>
        </w:rPr>
        <w:t xml:space="preserve">already </w:t>
      </w:r>
      <w:r w:rsidR="008F5A4A" w:rsidRPr="00CD56B9">
        <w:rPr>
          <w:lang w:val="en-US"/>
        </w:rPr>
        <w:t>foreseen by the TOR for the SWG</w:t>
      </w:r>
      <w:r w:rsidR="00B2199A" w:rsidRPr="00CD56B9">
        <w:rPr>
          <w:lang w:val="en-US"/>
        </w:rPr>
        <w:t xml:space="preserve">. </w:t>
      </w:r>
      <w:r w:rsidR="0059381C" w:rsidRPr="0059381C">
        <w:rPr>
          <w:lang w:val="en-US"/>
        </w:rPr>
        <w:t xml:space="preserve">Ultimately, </w:t>
      </w:r>
      <w:r w:rsidR="0059381C">
        <w:rPr>
          <w:lang w:val="en-US"/>
        </w:rPr>
        <w:t xml:space="preserve">however, </w:t>
      </w:r>
      <w:r w:rsidR="0059381C" w:rsidRPr="0059381C">
        <w:rPr>
          <w:lang w:val="en-US"/>
        </w:rPr>
        <w:t xml:space="preserve">strong OPC support might be needed in order to sanction any non-participation in intra-ministry coordination and to ensure a very close integration with the public sector reform efforts </w:t>
      </w:r>
      <w:r w:rsidR="00E27A70" w:rsidRPr="0087238B">
        <w:rPr>
          <w:i/>
          <w:lang w:val="en-US"/>
        </w:rPr>
        <w:t>(See Recommendation #</w:t>
      </w:r>
      <w:r w:rsidR="0087238B" w:rsidRPr="0087238B">
        <w:rPr>
          <w:i/>
          <w:lang w:val="en-US"/>
        </w:rPr>
        <w:t xml:space="preserve"> 12</w:t>
      </w:r>
      <w:r w:rsidR="0059381C" w:rsidRPr="0087238B">
        <w:rPr>
          <w:i/>
          <w:lang w:val="en-US"/>
        </w:rPr>
        <w:t>)</w:t>
      </w:r>
      <w:r w:rsidR="00681A0C">
        <w:rPr>
          <w:i/>
          <w:lang w:val="en-US"/>
        </w:rPr>
        <w:t>.</w:t>
      </w:r>
      <w:r w:rsidR="0059381C" w:rsidRPr="001633EE">
        <w:rPr>
          <w:b/>
          <w:lang w:val="en-US"/>
        </w:rPr>
        <w:t xml:space="preserve"> </w:t>
      </w:r>
      <w:r w:rsidR="0059381C" w:rsidRPr="0059381C">
        <w:rPr>
          <w:lang w:val="en-US"/>
        </w:rPr>
        <w:t>As</w:t>
      </w:r>
      <w:r w:rsidR="00B2199A" w:rsidRPr="00CD56B9">
        <w:rPr>
          <w:lang w:val="en-US"/>
        </w:rPr>
        <w:t xml:space="preserve"> discussed </w:t>
      </w:r>
      <w:r w:rsidR="00E9160D">
        <w:rPr>
          <w:lang w:val="en-US"/>
        </w:rPr>
        <w:t>by</w:t>
      </w:r>
      <w:r w:rsidR="00B2199A" w:rsidRPr="00CD56B9">
        <w:rPr>
          <w:lang w:val="en-US"/>
        </w:rPr>
        <w:t xml:space="preserve"> the </w:t>
      </w:r>
      <w:r w:rsidR="00E9160D">
        <w:rPr>
          <w:lang w:val="en-US"/>
        </w:rPr>
        <w:t xml:space="preserve">members of the </w:t>
      </w:r>
      <w:r w:rsidR="00B2199A" w:rsidRPr="00CD56B9">
        <w:rPr>
          <w:lang w:val="en-US"/>
        </w:rPr>
        <w:t>SWG, i</w:t>
      </w:r>
      <w:r w:rsidR="00DF5B9A" w:rsidRPr="00CD56B9">
        <w:rPr>
          <w:lang w:val="en-US"/>
        </w:rPr>
        <w:t xml:space="preserve">mproved oversight of the devolution process through </w:t>
      </w:r>
      <w:r w:rsidR="001E2841" w:rsidRPr="00CD56B9">
        <w:rPr>
          <w:lang w:val="en-US"/>
        </w:rPr>
        <w:t>an</w:t>
      </w:r>
      <w:r w:rsidR="00DF5B9A" w:rsidRPr="00CD56B9">
        <w:rPr>
          <w:lang w:val="en-US"/>
        </w:rPr>
        <w:t xml:space="preserve"> M&amp;E framework and </w:t>
      </w:r>
      <w:r w:rsidR="0021143B" w:rsidRPr="00CD56B9">
        <w:rPr>
          <w:lang w:val="en-US"/>
        </w:rPr>
        <w:t>joint M&amp;E exercises with DP participation</w:t>
      </w:r>
      <w:r w:rsidR="00DF5B9A" w:rsidRPr="00CD56B9">
        <w:rPr>
          <w:lang w:val="en-US"/>
        </w:rPr>
        <w:t xml:space="preserve"> could </w:t>
      </w:r>
      <w:r w:rsidR="00B2199A" w:rsidRPr="00CD56B9">
        <w:rPr>
          <w:lang w:val="en-US"/>
        </w:rPr>
        <w:t xml:space="preserve">further </w:t>
      </w:r>
      <w:r w:rsidR="00DF5B9A" w:rsidRPr="00CD56B9">
        <w:rPr>
          <w:lang w:val="en-US"/>
        </w:rPr>
        <w:t>benefit the process</w:t>
      </w:r>
      <w:r w:rsidR="0021143B" w:rsidRPr="00CD56B9">
        <w:rPr>
          <w:lang w:val="en-US"/>
        </w:rPr>
        <w:t xml:space="preserve">. </w:t>
      </w:r>
      <w:r w:rsidR="00B2199A" w:rsidRPr="00CD56B9">
        <w:rPr>
          <w:lang w:val="en-US"/>
        </w:rPr>
        <w:t>J</w:t>
      </w:r>
      <w:r w:rsidR="0021143B" w:rsidRPr="00CD56B9">
        <w:rPr>
          <w:lang w:val="en-US"/>
        </w:rPr>
        <w:t xml:space="preserve">oint decentralization monitoring frameworks </w:t>
      </w:r>
      <w:r w:rsidR="00C10B72" w:rsidRPr="00CD56B9">
        <w:rPr>
          <w:lang w:val="en-US"/>
        </w:rPr>
        <w:t xml:space="preserve">in </w:t>
      </w:r>
      <w:r w:rsidR="0021143B" w:rsidRPr="00CD56B9">
        <w:rPr>
          <w:lang w:val="en-US"/>
        </w:rPr>
        <w:t>the region</w:t>
      </w:r>
      <w:r w:rsidR="00C10B72" w:rsidRPr="00CD56B9">
        <w:rPr>
          <w:lang w:val="en-US"/>
        </w:rPr>
        <w:t xml:space="preserve">, including </w:t>
      </w:r>
      <w:r w:rsidR="0021143B" w:rsidRPr="00CD56B9">
        <w:rPr>
          <w:lang w:val="en-US"/>
        </w:rPr>
        <w:t>Tanzania, Rwanda, Uganda and Ghana can provide valuable inputs to a monitoring framework for Malawi</w:t>
      </w:r>
      <w:r w:rsidR="00C10B72" w:rsidRPr="00CD56B9">
        <w:rPr>
          <w:lang w:val="en-US"/>
        </w:rPr>
        <w:t xml:space="preserve">, including how to apply </w:t>
      </w:r>
      <w:r w:rsidR="0021143B" w:rsidRPr="00CD56B9">
        <w:rPr>
          <w:lang w:val="en-US"/>
        </w:rPr>
        <w:t xml:space="preserve">performance incentives in </w:t>
      </w:r>
      <w:r w:rsidR="00C10B72" w:rsidRPr="00CD56B9">
        <w:rPr>
          <w:lang w:val="en-US"/>
        </w:rPr>
        <w:t>the process</w:t>
      </w:r>
      <w:r w:rsidR="001E2841" w:rsidRPr="00CD56B9">
        <w:rPr>
          <w:lang w:val="en-US"/>
        </w:rPr>
        <w:t>.</w:t>
      </w:r>
      <w:r w:rsidR="001633EE" w:rsidRPr="001633EE">
        <w:rPr>
          <w:b/>
          <w:lang w:val="en-US"/>
        </w:rPr>
        <w:t xml:space="preserve"> </w:t>
      </w:r>
      <w:r w:rsidR="00E27A70" w:rsidRPr="0087238B">
        <w:rPr>
          <w:i/>
          <w:lang w:val="en-US"/>
        </w:rPr>
        <w:t>(See Recommendation</w:t>
      </w:r>
      <w:r w:rsidR="0087238B" w:rsidRPr="0087238B">
        <w:rPr>
          <w:i/>
          <w:lang w:val="en-US"/>
        </w:rPr>
        <w:t>s</w:t>
      </w:r>
      <w:r w:rsidR="0087238B">
        <w:rPr>
          <w:i/>
          <w:lang w:val="en-US"/>
        </w:rPr>
        <w:t xml:space="preserve"> </w:t>
      </w:r>
      <w:r w:rsidR="0087238B" w:rsidRPr="0087238B">
        <w:rPr>
          <w:i/>
          <w:lang w:val="en-US"/>
        </w:rPr>
        <w:t># 13</w:t>
      </w:r>
      <w:r w:rsidR="00E27A70" w:rsidRPr="0087238B">
        <w:rPr>
          <w:i/>
          <w:lang w:val="en-US"/>
        </w:rPr>
        <w:t>)</w:t>
      </w:r>
      <w:r w:rsidR="001633EE" w:rsidRPr="0087238B">
        <w:rPr>
          <w:b/>
          <w:i/>
          <w:lang w:val="en-US"/>
        </w:rPr>
        <w:t xml:space="preserve">  </w:t>
      </w:r>
    </w:p>
    <w:p w14:paraId="15D47A9E" w14:textId="77777777" w:rsidR="0007034E" w:rsidRDefault="00904CA1" w:rsidP="001E2841">
      <w:pPr>
        <w:spacing w:after="0"/>
        <w:rPr>
          <w:b/>
          <w:lang w:val="en-US"/>
        </w:rPr>
      </w:pPr>
      <w:r w:rsidRPr="00CD56B9">
        <w:rPr>
          <w:lang w:val="en-US"/>
        </w:rPr>
        <w:t>The</w:t>
      </w:r>
      <w:r w:rsidR="0021143B" w:rsidRPr="00CD56B9">
        <w:rPr>
          <w:lang w:val="en-US"/>
        </w:rPr>
        <w:t xml:space="preserve"> </w:t>
      </w:r>
      <w:r w:rsidR="00725B44" w:rsidRPr="00CD56B9">
        <w:rPr>
          <w:lang w:val="en-US"/>
        </w:rPr>
        <w:t>finalization</w:t>
      </w:r>
      <w:r w:rsidR="008271A9" w:rsidRPr="00CD56B9">
        <w:rPr>
          <w:lang w:val="en-US"/>
        </w:rPr>
        <w:t xml:space="preserve"> of the </w:t>
      </w:r>
      <w:r w:rsidR="0021143B" w:rsidRPr="00CD56B9">
        <w:rPr>
          <w:lang w:val="en-US"/>
        </w:rPr>
        <w:t xml:space="preserve">IRD strategy should </w:t>
      </w:r>
      <w:r w:rsidR="008271A9" w:rsidRPr="00CD56B9">
        <w:rPr>
          <w:lang w:val="en-US"/>
        </w:rPr>
        <w:t xml:space="preserve">also revisit </w:t>
      </w:r>
      <w:r w:rsidR="0021143B" w:rsidRPr="00CD56B9">
        <w:rPr>
          <w:lang w:val="en-US"/>
        </w:rPr>
        <w:t>the conduciveness of the current local government framework towards successful</w:t>
      </w:r>
      <w:r w:rsidR="008271A9" w:rsidRPr="00CD56B9">
        <w:rPr>
          <w:lang w:val="en-US"/>
        </w:rPr>
        <w:t xml:space="preserve"> implementation of the strategy and the lessons learned </w:t>
      </w:r>
      <w:r w:rsidR="0021143B" w:rsidRPr="00CD56B9">
        <w:rPr>
          <w:lang w:val="en-US"/>
        </w:rPr>
        <w:t>from the Millennium Village Project in Mwandama and Gumulira</w:t>
      </w:r>
      <w:r w:rsidR="00B77595">
        <w:rPr>
          <w:lang w:val="en-US"/>
        </w:rPr>
        <w:t>. I</w:t>
      </w:r>
      <w:r w:rsidR="0021143B" w:rsidRPr="00CD56B9">
        <w:rPr>
          <w:lang w:val="en-US"/>
        </w:rPr>
        <w:t>nternational research on support to local government’s role in local economic development, and the conducive elements in the local government framework, which makes the IRD approach implementable in Tanzania</w:t>
      </w:r>
      <w:r w:rsidR="00B77595">
        <w:rPr>
          <w:lang w:val="en-US"/>
        </w:rPr>
        <w:t xml:space="preserve"> may also provide inspiration to the way forward. On this background, a set of </w:t>
      </w:r>
      <w:r w:rsidR="0021143B" w:rsidRPr="00CD56B9">
        <w:rPr>
          <w:lang w:val="en-US"/>
        </w:rPr>
        <w:t xml:space="preserve">minimum conditions </w:t>
      </w:r>
      <w:r w:rsidR="00B77595">
        <w:rPr>
          <w:lang w:val="en-US"/>
        </w:rPr>
        <w:t xml:space="preserve">for the </w:t>
      </w:r>
      <w:r w:rsidR="0021143B" w:rsidRPr="00CD56B9">
        <w:rPr>
          <w:lang w:val="en-US"/>
        </w:rPr>
        <w:t>LG framework</w:t>
      </w:r>
      <w:r w:rsidR="00B77595">
        <w:rPr>
          <w:lang w:val="en-US"/>
        </w:rPr>
        <w:t xml:space="preserve"> should be defined</w:t>
      </w:r>
      <w:r w:rsidR="0021143B" w:rsidRPr="00CD56B9">
        <w:rPr>
          <w:lang w:val="en-US"/>
        </w:rPr>
        <w:t>, which are key for the IRD success in Malawi</w:t>
      </w:r>
      <w:r w:rsidR="00B77595">
        <w:rPr>
          <w:lang w:val="en-US"/>
        </w:rPr>
        <w:t>. These minimum conditions should open for a discussion on the conduciveness of the present LG framework towards the IRD strategy</w:t>
      </w:r>
      <w:r w:rsidR="0021143B" w:rsidRPr="00CD56B9">
        <w:rPr>
          <w:lang w:val="en-US"/>
        </w:rPr>
        <w:t xml:space="preserve"> and whether </w:t>
      </w:r>
      <w:r w:rsidR="00B77595">
        <w:rPr>
          <w:lang w:val="en-US"/>
        </w:rPr>
        <w:t xml:space="preserve">critical IRD dimensions </w:t>
      </w:r>
      <w:r w:rsidR="0021143B" w:rsidRPr="00CD56B9">
        <w:rPr>
          <w:lang w:val="en-US"/>
        </w:rPr>
        <w:t xml:space="preserve">are </w:t>
      </w:r>
      <w:r w:rsidR="008F5A4A" w:rsidRPr="00CD56B9">
        <w:rPr>
          <w:lang w:val="en-US"/>
        </w:rPr>
        <w:t xml:space="preserve">sufficiently </w:t>
      </w:r>
      <w:r w:rsidR="0021143B" w:rsidRPr="00CD56B9">
        <w:rPr>
          <w:lang w:val="en-US"/>
        </w:rPr>
        <w:t xml:space="preserve">addressed in the present devolution process. </w:t>
      </w:r>
      <w:r w:rsidR="00E27A70" w:rsidRPr="0087238B">
        <w:rPr>
          <w:i/>
          <w:lang w:val="en-US"/>
        </w:rPr>
        <w:t>(See Recommendation #</w:t>
      </w:r>
      <w:r w:rsidR="0087238B" w:rsidRPr="0087238B">
        <w:rPr>
          <w:i/>
          <w:lang w:val="en-US"/>
        </w:rPr>
        <w:t xml:space="preserve"> 14</w:t>
      </w:r>
      <w:r w:rsidR="00E27A70" w:rsidRPr="0087238B">
        <w:rPr>
          <w:i/>
          <w:lang w:val="en-US"/>
        </w:rPr>
        <w:t>)</w:t>
      </w:r>
      <w:r w:rsidR="001633EE" w:rsidRPr="001633EE">
        <w:rPr>
          <w:b/>
          <w:lang w:val="en-US"/>
        </w:rPr>
        <w:t xml:space="preserve">  </w:t>
      </w:r>
    </w:p>
    <w:p w14:paraId="1370CE14" w14:textId="77777777" w:rsidR="0007034E" w:rsidRDefault="0007034E" w:rsidP="001E2841">
      <w:pPr>
        <w:spacing w:after="0"/>
        <w:rPr>
          <w:b/>
          <w:lang w:val="en-US"/>
        </w:rPr>
      </w:pPr>
    </w:p>
    <w:p w14:paraId="699E7E19" w14:textId="286B450E" w:rsidR="0021143B" w:rsidRPr="0087238B" w:rsidRDefault="0021143B" w:rsidP="001E2841">
      <w:pPr>
        <w:spacing w:after="0"/>
        <w:rPr>
          <w:i/>
          <w:lang w:val="en-US"/>
        </w:rPr>
      </w:pPr>
      <w:r w:rsidRPr="00CD56B9">
        <w:rPr>
          <w:lang w:val="en-US"/>
        </w:rPr>
        <w:t xml:space="preserve">If the IRD strategy moves forward, </w:t>
      </w:r>
      <w:r w:rsidR="00785915" w:rsidRPr="00CD56B9">
        <w:rPr>
          <w:lang w:val="en-US"/>
        </w:rPr>
        <w:t xml:space="preserve">it might also be considered to </w:t>
      </w:r>
      <w:r w:rsidRPr="00CD56B9">
        <w:rPr>
          <w:lang w:val="en-US"/>
        </w:rPr>
        <w:t xml:space="preserve">support </w:t>
      </w:r>
      <w:r w:rsidR="00785915" w:rsidRPr="00CD56B9">
        <w:rPr>
          <w:lang w:val="en-US"/>
        </w:rPr>
        <w:t xml:space="preserve">establishment of </w:t>
      </w:r>
      <w:r w:rsidR="00BE6FA6" w:rsidRPr="00CD56B9">
        <w:rPr>
          <w:lang w:val="en-US"/>
        </w:rPr>
        <w:t xml:space="preserve">a </w:t>
      </w:r>
      <w:r w:rsidR="00785915" w:rsidRPr="00CD56B9">
        <w:rPr>
          <w:lang w:val="en-US"/>
        </w:rPr>
        <w:t xml:space="preserve">national capacity </w:t>
      </w:r>
      <w:r w:rsidR="00BE6FA6" w:rsidRPr="00CD56B9">
        <w:rPr>
          <w:lang w:val="en-US"/>
        </w:rPr>
        <w:t xml:space="preserve">in the field of IRD. Elements of IRD can be found </w:t>
      </w:r>
      <w:r w:rsidR="00681A0C">
        <w:rPr>
          <w:lang w:val="en-US"/>
        </w:rPr>
        <w:t xml:space="preserve">in </w:t>
      </w:r>
      <w:r w:rsidR="00BE6FA6" w:rsidRPr="00CD56B9">
        <w:rPr>
          <w:lang w:val="en-US"/>
        </w:rPr>
        <w:t xml:space="preserve">institutions such as </w:t>
      </w:r>
      <w:r w:rsidRPr="00CD56B9">
        <w:rPr>
          <w:lang w:val="en-US"/>
        </w:rPr>
        <w:t>LUNANAR</w:t>
      </w:r>
      <w:r w:rsidR="00B61B25">
        <w:rPr>
          <w:lang w:val="en-US"/>
        </w:rPr>
        <w:t>, t</w:t>
      </w:r>
      <w:r w:rsidRPr="00CD56B9">
        <w:rPr>
          <w:lang w:val="en-US"/>
        </w:rPr>
        <w:t>he Malawi Institu</w:t>
      </w:r>
      <w:r w:rsidR="00BE6FA6" w:rsidRPr="00CD56B9">
        <w:rPr>
          <w:lang w:val="en-US"/>
        </w:rPr>
        <w:t>te of Management</w:t>
      </w:r>
      <w:r w:rsidR="0007034E">
        <w:rPr>
          <w:lang w:val="en-US"/>
        </w:rPr>
        <w:t xml:space="preserve">, and </w:t>
      </w:r>
      <w:r w:rsidR="0007034E" w:rsidRPr="0007034E">
        <w:rPr>
          <w:lang w:val="en-US"/>
        </w:rPr>
        <w:t>the Faculty of Social Science, University of Malawi</w:t>
      </w:r>
      <w:r w:rsidR="0007034E">
        <w:rPr>
          <w:lang w:val="en-US"/>
        </w:rPr>
        <w:t>.</w:t>
      </w:r>
      <w:r w:rsidR="00550F7B">
        <w:rPr>
          <w:lang w:val="en-US"/>
        </w:rPr>
        <w:t xml:space="preserve"> </w:t>
      </w:r>
      <w:r w:rsidR="0007034E" w:rsidRPr="0007034E">
        <w:rPr>
          <w:lang w:val="en-GB"/>
        </w:rPr>
        <w:t>LUANNAR</w:t>
      </w:r>
      <w:r w:rsidR="0007034E">
        <w:rPr>
          <w:lang w:val="en-GB"/>
        </w:rPr>
        <w:t xml:space="preserve"> </w:t>
      </w:r>
      <w:r w:rsidR="0007034E" w:rsidRPr="0007034E">
        <w:rPr>
          <w:lang w:val="en-GB"/>
        </w:rPr>
        <w:t xml:space="preserve">already </w:t>
      </w:r>
      <w:r w:rsidR="004508C5">
        <w:rPr>
          <w:lang w:val="en-GB"/>
        </w:rPr>
        <w:t>has</w:t>
      </w:r>
      <w:r w:rsidR="0007034E" w:rsidRPr="0007034E">
        <w:rPr>
          <w:lang w:val="en-GB"/>
        </w:rPr>
        <w:t xml:space="preserve"> a department and a research unit</w:t>
      </w:r>
      <w:r w:rsidR="007C04B6">
        <w:rPr>
          <w:lang w:val="en-GB"/>
        </w:rPr>
        <w:t xml:space="preserve">, </w:t>
      </w:r>
      <w:r w:rsidR="0007034E" w:rsidRPr="0007034E">
        <w:rPr>
          <w:lang w:val="en-GB"/>
        </w:rPr>
        <w:t xml:space="preserve">which has done </w:t>
      </w:r>
      <w:r w:rsidR="007C04B6">
        <w:rPr>
          <w:lang w:val="en-GB"/>
        </w:rPr>
        <w:t>extensive</w:t>
      </w:r>
      <w:r w:rsidR="0007034E" w:rsidRPr="0007034E">
        <w:rPr>
          <w:lang w:val="en-GB"/>
        </w:rPr>
        <w:t xml:space="preserve"> work specifically on rural development. Their involvement </w:t>
      </w:r>
      <w:r w:rsidR="007C04B6">
        <w:rPr>
          <w:lang w:val="en-GB"/>
        </w:rPr>
        <w:t>c</w:t>
      </w:r>
      <w:r w:rsidR="0007034E" w:rsidRPr="0007034E">
        <w:rPr>
          <w:lang w:val="en-GB"/>
        </w:rPr>
        <w:t xml:space="preserve">ould help build on the existing capacities, and </w:t>
      </w:r>
      <w:r w:rsidR="005025F1">
        <w:rPr>
          <w:lang w:val="en-GB"/>
        </w:rPr>
        <w:t>domestic</w:t>
      </w:r>
      <w:r w:rsidR="00C3389D" w:rsidRPr="0007034E">
        <w:rPr>
          <w:lang w:val="en-GB"/>
        </w:rPr>
        <w:t> knowledge</w:t>
      </w:r>
      <w:r w:rsidR="0007034E" w:rsidRPr="0007034E">
        <w:rPr>
          <w:lang w:val="en-GB"/>
        </w:rPr>
        <w:t>, skills</w:t>
      </w:r>
      <w:r w:rsidR="00751F57" w:rsidRPr="0007034E">
        <w:rPr>
          <w:lang w:val="en-GB"/>
        </w:rPr>
        <w:t> and</w:t>
      </w:r>
      <w:r w:rsidR="0007034E" w:rsidRPr="0007034E">
        <w:rPr>
          <w:lang w:val="en-GB"/>
        </w:rPr>
        <w:t xml:space="preserve"> experience</w:t>
      </w:r>
      <w:r w:rsidR="007C04B6">
        <w:rPr>
          <w:lang w:val="en-GB"/>
        </w:rPr>
        <w:t xml:space="preserve"> on</w:t>
      </w:r>
      <w:r w:rsidR="0007034E" w:rsidRPr="0007034E">
        <w:rPr>
          <w:lang w:val="en-GB"/>
        </w:rPr>
        <w:t xml:space="preserve"> IRD. </w:t>
      </w:r>
      <w:r w:rsidR="007C04B6">
        <w:rPr>
          <w:lang w:val="en-GB"/>
        </w:rPr>
        <w:t xml:space="preserve">MIM </w:t>
      </w:r>
      <w:r w:rsidR="00362CAB">
        <w:rPr>
          <w:lang w:val="en-GB"/>
        </w:rPr>
        <w:t>has</w:t>
      </w:r>
      <w:r w:rsidR="0007034E" w:rsidRPr="0007034E">
        <w:rPr>
          <w:lang w:val="en-GB"/>
        </w:rPr>
        <w:t xml:space="preserve"> the mandate to build capacity for senior leadership and public officials. They have been engaged in </w:t>
      </w:r>
      <w:r w:rsidR="00716611">
        <w:rPr>
          <w:lang w:val="en-GB"/>
        </w:rPr>
        <w:t xml:space="preserve">the </w:t>
      </w:r>
      <w:r w:rsidR="0007034E" w:rsidRPr="0007034E">
        <w:rPr>
          <w:lang w:val="en-GB"/>
        </w:rPr>
        <w:t>decentralisation process in terms of contributions to the decentralisation policy formulation and capacity building during NDP</w:t>
      </w:r>
      <w:r w:rsidR="00362CAB">
        <w:rPr>
          <w:lang w:val="en-GB"/>
        </w:rPr>
        <w:t xml:space="preserve"> I. T</w:t>
      </w:r>
      <w:r w:rsidR="0007034E" w:rsidRPr="0007034E">
        <w:rPr>
          <w:lang w:val="en-GB"/>
        </w:rPr>
        <w:t xml:space="preserve">he </w:t>
      </w:r>
      <w:r w:rsidR="00C3389D">
        <w:rPr>
          <w:lang w:val="en-GB"/>
        </w:rPr>
        <w:t>D</w:t>
      </w:r>
      <w:r w:rsidR="00362CAB" w:rsidRPr="0007034E">
        <w:rPr>
          <w:lang w:val="en-GB"/>
        </w:rPr>
        <w:t>epartments</w:t>
      </w:r>
      <w:r w:rsidR="0007034E" w:rsidRPr="0007034E">
        <w:rPr>
          <w:lang w:val="en-GB"/>
        </w:rPr>
        <w:t xml:space="preserve"> of </w:t>
      </w:r>
      <w:r w:rsidR="00C3389D">
        <w:rPr>
          <w:lang w:val="en-GB"/>
        </w:rPr>
        <w:t>Political and Administrative S</w:t>
      </w:r>
      <w:r w:rsidR="0007034E" w:rsidRPr="0007034E">
        <w:rPr>
          <w:lang w:val="en-GB"/>
        </w:rPr>
        <w:t xml:space="preserve">tudies, Economics and Sociology </w:t>
      </w:r>
      <w:r w:rsidR="00716611">
        <w:rPr>
          <w:lang w:val="en-GB"/>
        </w:rPr>
        <w:t>under the Faculty of Social S</w:t>
      </w:r>
      <w:r w:rsidR="00716611" w:rsidRPr="0007034E">
        <w:rPr>
          <w:lang w:val="en-GB"/>
        </w:rPr>
        <w:t>cience</w:t>
      </w:r>
      <w:r w:rsidR="004508C5">
        <w:rPr>
          <w:lang w:val="en-GB"/>
        </w:rPr>
        <w:t xml:space="preserve"> at the </w:t>
      </w:r>
      <w:r w:rsidR="00716611">
        <w:rPr>
          <w:lang w:val="en-GB"/>
        </w:rPr>
        <w:t>U</w:t>
      </w:r>
      <w:r w:rsidR="00716611" w:rsidRPr="0007034E">
        <w:rPr>
          <w:lang w:val="en-GB"/>
        </w:rPr>
        <w:t xml:space="preserve">niversity of Malawi </w:t>
      </w:r>
      <w:r w:rsidR="0007034E" w:rsidRPr="0007034E">
        <w:rPr>
          <w:lang w:val="en-GB"/>
        </w:rPr>
        <w:t xml:space="preserve">have Units and research components in local economic development, decentralisation, and general development studies. </w:t>
      </w:r>
      <w:r w:rsidR="00DF37FB">
        <w:rPr>
          <w:lang w:val="en-GB"/>
        </w:rPr>
        <w:t xml:space="preserve">Collaboration between these institutions and a </w:t>
      </w:r>
      <w:r w:rsidR="00DF37FB">
        <w:rPr>
          <w:lang w:val="en-US"/>
        </w:rPr>
        <w:t xml:space="preserve">merger of the knowledge base on </w:t>
      </w:r>
      <w:r w:rsidR="00DF37FB" w:rsidRPr="00CD56B9">
        <w:rPr>
          <w:lang w:val="en-US"/>
        </w:rPr>
        <w:t>governance and technical aspects</w:t>
      </w:r>
      <w:r w:rsidR="00DF37FB" w:rsidRPr="0007034E">
        <w:rPr>
          <w:lang w:val="en-GB"/>
        </w:rPr>
        <w:t xml:space="preserve"> </w:t>
      </w:r>
      <w:r w:rsidR="0007034E" w:rsidRPr="0007034E">
        <w:rPr>
          <w:lang w:val="en-GB"/>
        </w:rPr>
        <w:t xml:space="preserve">in IRD and decentralisation </w:t>
      </w:r>
      <w:r w:rsidR="00DF37FB">
        <w:rPr>
          <w:lang w:val="en-GB"/>
        </w:rPr>
        <w:t>c</w:t>
      </w:r>
      <w:r w:rsidR="0007034E" w:rsidRPr="0007034E">
        <w:rPr>
          <w:lang w:val="en-GB"/>
        </w:rPr>
        <w:t xml:space="preserve">ould lay a </w:t>
      </w:r>
      <w:r w:rsidR="00716611" w:rsidRPr="0007034E">
        <w:rPr>
          <w:lang w:val="en-GB"/>
        </w:rPr>
        <w:t>strong</w:t>
      </w:r>
      <w:r w:rsidR="0007034E" w:rsidRPr="0007034E">
        <w:rPr>
          <w:lang w:val="en-GB"/>
        </w:rPr>
        <w:t xml:space="preserve"> base for sustainable contribution</w:t>
      </w:r>
      <w:r w:rsidR="00716611">
        <w:rPr>
          <w:lang w:val="en-GB"/>
        </w:rPr>
        <w:t xml:space="preserve"> to </w:t>
      </w:r>
      <w:r w:rsidR="00DF37FB">
        <w:rPr>
          <w:lang w:val="en-GB"/>
        </w:rPr>
        <w:t>the reform process</w:t>
      </w:r>
      <w:r w:rsidR="00716611">
        <w:rPr>
          <w:lang w:val="en-GB"/>
        </w:rPr>
        <w:t xml:space="preserve"> </w:t>
      </w:r>
      <w:r w:rsidR="00D66597">
        <w:rPr>
          <w:lang w:val="en-GB"/>
        </w:rPr>
        <w:t xml:space="preserve">(policy support and in-service training) </w:t>
      </w:r>
      <w:r w:rsidR="00BE6FA6" w:rsidRPr="00CD56B9">
        <w:rPr>
          <w:lang w:val="en-US"/>
        </w:rPr>
        <w:t>that MoLGRD can tap into.</w:t>
      </w:r>
      <w:r w:rsidR="001633EE" w:rsidRPr="001633EE">
        <w:rPr>
          <w:b/>
          <w:lang w:val="en-US"/>
        </w:rPr>
        <w:t xml:space="preserve"> </w:t>
      </w:r>
      <w:r w:rsidR="00E27A70" w:rsidRPr="0087238B">
        <w:rPr>
          <w:i/>
          <w:lang w:val="en-US"/>
        </w:rPr>
        <w:t>(See Recommendation #</w:t>
      </w:r>
      <w:r w:rsidR="0087238B">
        <w:rPr>
          <w:i/>
          <w:lang w:val="en-US"/>
        </w:rPr>
        <w:t xml:space="preserve"> 15</w:t>
      </w:r>
      <w:r w:rsidR="00E27A70" w:rsidRPr="0087238B">
        <w:rPr>
          <w:i/>
          <w:lang w:val="en-US"/>
        </w:rPr>
        <w:t>)</w:t>
      </w:r>
      <w:r w:rsidR="001633EE" w:rsidRPr="0087238B">
        <w:rPr>
          <w:i/>
          <w:lang w:val="en-US"/>
        </w:rPr>
        <w:t xml:space="preserve">  </w:t>
      </w:r>
    </w:p>
    <w:p w14:paraId="00588510" w14:textId="77777777" w:rsidR="001E2841" w:rsidRPr="00CD56B9" w:rsidRDefault="001E2841" w:rsidP="001E2841">
      <w:pPr>
        <w:spacing w:after="0"/>
        <w:rPr>
          <w:lang w:val="en-US"/>
        </w:rPr>
      </w:pPr>
    </w:p>
    <w:p w14:paraId="5EF57394" w14:textId="77777777" w:rsidR="0089100F" w:rsidRPr="00032DD2" w:rsidRDefault="00C70CDE" w:rsidP="00997A7B">
      <w:pPr>
        <w:pStyle w:val="Overskrift2"/>
        <w:numPr>
          <w:ilvl w:val="0"/>
          <w:numId w:val="0"/>
        </w:numPr>
        <w:rPr>
          <w:lang w:val="en-US"/>
        </w:rPr>
      </w:pPr>
      <w:bookmarkStart w:id="42" w:name="_Toc439245594"/>
      <w:r>
        <w:rPr>
          <w:lang w:val="en-US"/>
        </w:rPr>
        <w:t>4.4 Concluding R</w:t>
      </w:r>
      <w:r w:rsidR="0089100F" w:rsidRPr="00032DD2">
        <w:rPr>
          <w:lang w:val="en-US"/>
        </w:rPr>
        <w:t>emarks</w:t>
      </w:r>
      <w:bookmarkEnd w:id="42"/>
      <w:r w:rsidR="0089100F" w:rsidRPr="00032DD2">
        <w:rPr>
          <w:lang w:val="en-US"/>
        </w:rPr>
        <w:t xml:space="preserve"> </w:t>
      </w:r>
    </w:p>
    <w:p w14:paraId="095FDA86" w14:textId="77777777" w:rsidR="00785915" w:rsidRPr="00032DD2" w:rsidRDefault="00785915" w:rsidP="00785915">
      <w:pPr>
        <w:spacing w:after="0"/>
        <w:rPr>
          <w:lang w:val="en-US"/>
        </w:rPr>
      </w:pPr>
    </w:p>
    <w:p w14:paraId="3D4EFBCE" w14:textId="77777777" w:rsidR="00032DD2" w:rsidRDefault="00032DD2" w:rsidP="002B6044">
      <w:pPr>
        <w:rPr>
          <w:lang w:val="en-US"/>
        </w:rPr>
      </w:pPr>
      <w:r>
        <w:rPr>
          <w:lang w:val="en-US"/>
        </w:rPr>
        <w:t>Outcome 4.1 is broad and ambitious</w:t>
      </w:r>
      <w:r w:rsidR="00DE28F4">
        <w:rPr>
          <w:lang w:val="en-US"/>
        </w:rPr>
        <w:t>. D</w:t>
      </w:r>
      <w:r w:rsidR="00961976">
        <w:rPr>
          <w:lang w:val="en-US"/>
        </w:rPr>
        <w:t>evelopment</w:t>
      </w:r>
      <w:r>
        <w:rPr>
          <w:lang w:val="en-US"/>
        </w:rPr>
        <w:t xml:space="preserve"> of democratic governance will take decades, </w:t>
      </w:r>
      <w:r w:rsidR="00961976">
        <w:rPr>
          <w:lang w:val="en-US"/>
        </w:rPr>
        <w:t xml:space="preserve">and </w:t>
      </w:r>
      <w:r w:rsidR="0039651B">
        <w:rPr>
          <w:lang w:val="en-US"/>
        </w:rPr>
        <w:t>good results achievement</w:t>
      </w:r>
      <w:r w:rsidR="00C70CDE">
        <w:rPr>
          <w:lang w:val="en-US"/>
        </w:rPr>
        <w:t>s</w:t>
      </w:r>
      <w:r w:rsidR="0039651B">
        <w:rPr>
          <w:lang w:val="en-US"/>
        </w:rPr>
        <w:t xml:space="preserve"> will be conditional on f</w:t>
      </w:r>
      <w:r w:rsidR="00961976">
        <w:rPr>
          <w:lang w:val="en-US"/>
        </w:rPr>
        <w:t xml:space="preserve">undamental </w:t>
      </w:r>
      <w:r w:rsidR="009C2C4F">
        <w:rPr>
          <w:lang w:val="en-US"/>
        </w:rPr>
        <w:t>transformation</w:t>
      </w:r>
      <w:r>
        <w:rPr>
          <w:lang w:val="en-US"/>
        </w:rPr>
        <w:t xml:space="preserve"> </w:t>
      </w:r>
      <w:r w:rsidR="00961976">
        <w:rPr>
          <w:lang w:val="en-US"/>
        </w:rPr>
        <w:t xml:space="preserve">of </w:t>
      </w:r>
      <w:r>
        <w:rPr>
          <w:lang w:val="en-US"/>
        </w:rPr>
        <w:t>neo-patrimonial behaviors into a democratic</w:t>
      </w:r>
      <w:r w:rsidR="00C70CDE">
        <w:rPr>
          <w:lang w:val="en-US"/>
        </w:rPr>
        <w:t>, issues-based</w:t>
      </w:r>
      <w:r>
        <w:rPr>
          <w:lang w:val="en-US"/>
        </w:rPr>
        <w:t xml:space="preserve"> </w:t>
      </w:r>
      <w:r w:rsidR="00BF1652">
        <w:rPr>
          <w:lang w:val="en-US"/>
        </w:rPr>
        <w:t xml:space="preserve">governance </w:t>
      </w:r>
      <w:r>
        <w:rPr>
          <w:lang w:val="en-US"/>
        </w:rPr>
        <w:t xml:space="preserve">culture. Some of the institutional reforms targeted by Outcome 4.1 </w:t>
      </w:r>
      <w:r w:rsidR="00961976">
        <w:rPr>
          <w:lang w:val="en-US"/>
        </w:rPr>
        <w:t xml:space="preserve">such as </w:t>
      </w:r>
      <w:r w:rsidR="00C80A27">
        <w:rPr>
          <w:lang w:val="en-US"/>
        </w:rPr>
        <w:t>IRD/</w:t>
      </w:r>
      <w:r w:rsidR="00961976">
        <w:rPr>
          <w:lang w:val="en-US"/>
        </w:rPr>
        <w:t xml:space="preserve">decentralization </w:t>
      </w:r>
      <w:r>
        <w:rPr>
          <w:lang w:val="en-US"/>
        </w:rPr>
        <w:t xml:space="preserve">are </w:t>
      </w:r>
      <w:r w:rsidR="0096665E">
        <w:rPr>
          <w:lang w:val="en-US"/>
        </w:rPr>
        <w:t xml:space="preserve">also long-term </w:t>
      </w:r>
      <w:r w:rsidR="0096665E">
        <w:rPr>
          <w:lang w:val="en-US"/>
        </w:rPr>
        <w:lastRenderedPageBreak/>
        <w:t xml:space="preserve">endeavors, which are cyclic in nature and never really end, </w:t>
      </w:r>
      <w:r w:rsidR="00C80A27">
        <w:rPr>
          <w:lang w:val="en-US"/>
        </w:rPr>
        <w:t>and</w:t>
      </w:r>
      <w:r w:rsidR="0096665E">
        <w:rPr>
          <w:lang w:val="en-US"/>
        </w:rPr>
        <w:t xml:space="preserve"> depend</w:t>
      </w:r>
      <w:r w:rsidR="001C1577">
        <w:rPr>
          <w:lang w:val="en-US"/>
        </w:rPr>
        <w:t xml:space="preserve"> </w:t>
      </w:r>
      <w:r w:rsidR="00646F7F">
        <w:rPr>
          <w:lang w:val="en-US"/>
        </w:rPr>
        <w:t>on long</w:t>
      </w:r>
      <w:r w:rsidR="001C1577">
        <w:rPr>
          <w:lang w:val="en-US"/>
        </w:rPr>
        <w:t>-term political consensus</w:t>
      </w:r>
      <w:r w:rsidR="00961976">
        <w:rPr>
          <w:lang w:val="en-US"/>
        </w:rPr>
        <w:t>.</w:t>
      </w:r>
    </w:p>
    <w:p w14:paraId="1A1EDF5C" w14:textId="77777777" w:rsidR="002B6044" w:rsidRPr="00CD56B9" w:rsidRDefault="00576FDC" w:rsidP="002B6044">
      <w:pPr>
        <w:rPr>
          <w:lang w:val="en-US"/>
        </w:rPr>
      </w:pPr>
      <w:r>
        <w:rPr>
          <w:lang w:val="en-US"/>
        </w:rPr>
        <w:t>None</w:t>
      </w:r>
      <w:r w:rsidR="00961976">
        <w:rPr>
          <w:lang w:val="en-US"/>
        </w:rPr>
        <w:t xml:space="preserve">theless, </w:t>
      </w:r>
      <w:r w:rsidR="00032DD2">
        <w:rPr>
          <w:lang w:val="en-US"/>
        </w:rPr>
        <w:t xml:space="preserve">important achievements </w:t>
      </w:r>
      <w:r>
        <w:rPr>
          <w:lang w:val="en-US"/>
        </w:rPr>
        <w:t xml:space="preserve">are </w:t>
      </w:r>
      <w:r w:rsidR="00A84BA2">
        <w:rPr>
          <w:lang w:val="en-US"/>
        </w:rPr>
        <w:t xml:space="preserve">potentially </w:t>
      </w:r>
      <w:r>
        <w:rPr>
          <w:lang w:val="en-US"/>
        </w:rPr>
        <w:t>emerging within</w:t>
      </w:r>
      <w:r w:rsidR="00961976">
        <w:rPr>
          <w:lang w:val="en-US"/>
        </w:rPr>
        <w:t xml:space="preserve"> </w:t>
      </w:r>
      <w:r w:rsidR="002B6044" w:rsidRPr="00CD56B9">
        <w:rPr>
          <w:lang w:val="en-US"/>
        </w:rPr>
        <w:t>Outcome 4.1</w:t>
      </w:r>
      <w:r w:rsidR="00BF1652">
        <w:rPr>
          <w:lang w:val="en-US"/>
        </w:rPr>
        <w:t xml:space="preserve">, </w:t>
      </w:r>
      <w:r>
        <w:rPr>
          <w:lang w:val="en-US"/>
        </w:rPr>
        <w:t>including</w:t>
      </w:r>
      <w:r w:rsidR="00961976">
        <w:rPr>
          <w:lang w:val="en-US"/>
        </w:rPr>
        <w:t xml:space="preserve"> </w:t>
      </w:r>
      <w:r w:rsidR="002B6044" w:rsidRPr="00CD56B9">
        <w:rPr>
          <w:lang w:val="en-US"/>
        </w:rPr>
        <w:t xml:space="preserve">three </w:t>
      </w:r>
      <w:r w:rsidR="00961976">
        <w:rPr>
          <w:lang w:val="en-US"/>
        </w:rPr>
        <w:t xml:space="preserve">highly </w:t>
      </w:r>
      <w:r>
        <w:rPr>
          <w:lang w:val="en-US"/>
        </w:rPr>
        <w:t>r</w:t>
      </w:r>
      <w:r w:rsidR="00961976">
        <w:rPr>
          <w:lang w:val="en-US"/>
        </w:rPr>
        <w:t xml:space="preserve">elevant </w:t>
      </w:r>
      <w:r w:rsidR="00961976" w:rsidRPr="00CD56B9">
        <w:rPr>
          <w:lang w:val="en-US"/>
        </w:rPr>
        <w:t xml:space="preserve">democratic governance </w:t>
      </w:r>
      <w:r w:rsidR="002B6044" w:rsidRPr="00CD56B9">
        <w:rPr>
          <w:lang w:val="en-US"/>
        </w:rPr>
        <w:t>reforms</w:t>
      </w:r>
      <w:r w:rsidR="00961976">
        <w:rPr>
          <w:lang w:val="en-US"/>
        </w:rPr>
        <w:t xml:space="preserve">, </w:t>
      </w:r>
      <w:r w:rsidR="002B6044" w:rsidRPr="00CD56B9">
        <w:rPr>
          <w:lang w:val="en-US"/>
        </w:rPr>
        <w:t>which are key to democratic transformation in Malawi</w:t>
      </w:r>
      <w:r w:rsidR="009C2C4F">
        <w:rPr>
          <w:lang w:val="en-US"/>
        </w:rPr>
        <w:t xml:space="preserve"> and to </w:t>
      </w:r>
      <w:r w:rsidR="00743AD3">
        <w:rPr>
          <w:lang w:val="en-US"/>
        </w:rPr>
        <w:t xml:space="preserve">consolidate the unitary state structure and oppose </w:t>
      </w:r>
      <w:r w:rsidR="009C2C4F">
        <w:rPr>
          <w:lang w:val="en-US"/>
        </w:rPr>
        <w:t>calls for federalism</w:t>
      </w:r>
      <w:r w:rsidR="002B6044" w:rsidRPr="00CD56B9">
        <w:rPr>
          <w:lang w:val="en-US"/>
        </w:rPr>
        <w:t>: The elections reform</w:t>
      </w:r>
      <w:r w:rsidR="009C2C4F">
        <w:rPr>
          <w:lang w:val="en-US"/>
        </w:rPr>
        <w:t xml:space="preserve"> targeting </w:t>
      </w:r>
      <w:r w:rsidR="002B6044" w:rsidRPr="00CD56B9">
        <w:rPr>
          <w:lang w:val="en-US"/>
        </w:rPr>
        <w:t>a more proportional election system, the establishment of a national peace architecture and promotion of devolution and the</w:t>
      </w:r>
      <w:r w:rsidR="00743AD3">
        <w:rPr>
          <w:lang w:val="en-US"/>
        </w:rPr>
        <w:t xml:space="preserve"> IRD approach in the districts with the aim </w:t>
      </w:r>
      <w:r w:rsidR="005412E2">
        <w:rPr>
          <w:lang w:val="en-US"/>
        </w:rPr>
        <w:t>to</w:t>
      </w:r>
      <w:r w:rsidR="00743AD3">
        <w:rPr>
          <w:lang w:val="en-US"/>
        </w:rPr>
        <w:t xml:space="preserve"> deepen fiscal and </w:t>
      </w:r>
      <w:r w:rsidR="005412E2">
        <w:rPr>
          <w:lang w:val="en-US"/>
        </w:rPr>
        <w:t xml:space="preserve">democratic space, strengthen basic service delivery and promote economic opportunity for all. </w:t>
      </w:r>
    </w:p>
    <w:p w14:paraId="2D6B97E0" w14:textId="77777777" w:rsidR="00511A5F" w:rsidRDefault="002B6044" w:rsidP="00E7337A">
      <w:pPr>
        <w:spacing w:after="0"/>
        <w:rPr>
          <w:lang w:val="en-US"/>
        </w:rPr>
      </w:pPr>
      <w:r w:rsidRPr="00CD56B9">
        <w:rPr>
          <w:lang w:val="en-US"/>
        </w:rPr>
        <w:t>Of the</w:t>
      </w:r>
      <w:r w:rsidR="00237271">
        <w:rPr>
          <w:lang w:val="en-US"/>
        </w:rPr>
        <w:t>se</w:t>
      </w:r>
      <w:r w:rsidRPr="00CD56B9">
        <w:rPr>
          <w:lang w:val="en-US"/>
        </w:rPr>
        <w:t xml:space="preserve"> major reform</w:t>
      </w:r>
      <w:r w:rsidR="00E7337A">
        <w:rPr>
          <w:lang w:val="en-US"/>
        </w:rPr>
        <w:t>s</w:t>
      </w:r>
      <w:r w:rsidRPr="00CD56B9">
        <w:rPr>
          <w:lang w:val="en-US"/>
        </w:rPr>
        <w:t>, the NPA is most likely to succeed</w:t>
      </w:r>
      <w:r w:rsidR="009C2C4F">
        <w:rPr>
          <w:lang w:val="en-US"/>
        </w:rPr>
        <w:t xml:space="preserve"> in the short-term</w:t>
      </w:r>
      <w:r w:rsidRPr="00CD56B9">
        <w:rPr>
          <w:lang w:val="en-US"/>
        </w:rPr>
        <w:t xml:space="preserve">. While the policy is still in the making and a funding modality needs to identified, there seems to be broad backing behind such a measure, which will </w:t>
      </w:r>
      <w:r w:rsidR="00511A5F">
        <w:rPr>
          <w:lang w:val="en-US"/>
        </w:rPr>
        <w:t xml:space="preserve">also </w:t>
      </w:r>
      <w:r w:rsidRPr="00CD56B9">
        <w:rPr>
          <w:lang w:val="en-US"/>
        </w:rPr>
        <w:t xml:space="preserve">build on lessons </w:t>
      </w:r>
      <w:r w:rsidR="006A7ED2">
        <w:rPr>
          <w:lang w:val="en-US"/>
        </w:rPr>
        <w:t>learnt from the region. UN</w:t>
      </w:r>
      <w:r w:rsidR="00511A5F">
        <w:rPr>
          <w:lang w:val="en-US"/>
        </w:rPr>
        <w:t>DP partner</w:t>
      </w:r>
      <w:r w:rsidR="00646F7F">
        <w:rPr>
          <w:lang w:val="en-US"/>
        </w:rPr>
        <w:t xml:space="preserve">ships with </w:t>
      </w:r>
      <w:r w:rsidRPr="00CD56B9">
        <w:rPr>
          <w:lang w:val="en-US"/>
        </w:rPr>
        <w:t>CSO</w:t>
      </w:r>
      <w:r w:rsidR="00646F7F">
        <w:rPr>
          <w:lang w:val="en-US"/>
        </w:rPr>
        <w:t>s</w:t>
      </w:r>
      <w:r w:rsidRPr="00CD56B9">
        <w:rPr>
          <w:lang w:val="en-US"/>
        </w:rPr>
        <w:t xml:space="preserve"> during the 2014 elections also made significant contribution</w:t>
      </w:r>
      <w:r w:rsidR="00646F7F">
        <w:rPr>
          <w:lang w:val="en-US"/>
        </w:rPr>
        <w:t>s</w:t>
      </w:r>
      <w:r w:rsidRPr="00CD56B9">
        <w:rPr>
          <w:lang w:val="en-US"/>
        </w:rPr>
        <w:t xml:space="preserve"> to the prevention of election related conflicts, and demonstrated the val</w:t>
      </w:r>
      <w:r w:rsidR="009C2C4F">
        <w:rPr>
          <w:lang w:val="en-US"/>
        </w:rPr>
        <w:t xml:space="preserve">ue-addition of a NPA approach. </w:t>
      </w:r>
    </w:p>
    <w:p w14:paraId="13AE42D8" w14:textId="77777777" w:rsidR="00745713" w:rsidRDefault="00745713" w:rsidP="00745713">
      <w:pPr>
        <w:spacing w:after="0"/>
        <w:rPr>
          <w:lang w:val="en-US"/>
        </w:rPr>
      </w:pPr>
    </w:p>
    <w:p w14:paraId="1F472379" w14:textId="77777777" w:rsidR="002B6044" w:rsidRPr="00CD56B9" w:rsidRDefault="009C2C4F" w:rsidP="002B6044">
      <w:pPr>
        <w:rPr>
          <w:lang w:val="en-US"/>
        </w:rPr>
      </w:pPr>
      <w:r>
        <w:rPr>
          <w:lang w:val="en-US"/>
        </w:rPr>
        <w:t xml:space="preserve">Short-term success </w:t>
      </w:r>
      <w:r w:rsidR="002B6044" w:rsidRPr="00CD56B9">
        <w:rPr>
          <w:lang w:val="en-US"/>
        </w:rPr>
        <w:t xml:space="preserve">with the electoral reforms, the local government reform and the IRD strategy is more </w:t>
      </w:r>
      <w:r w:rsidRPr="00CD56B9">
        <w:rPr>
          <w:lang w:val="en-US"/>
        </w:rPr>
        <w:t>questionable</w:t>
      </w:r>
      <w:r w:rsidR="002B6044" w:rsidRPr="00CD56B9">
        <w:rPr>
          <w:lang w:val="en-US"/>
        </w:rPr>
        <w:t xml:space="preserve"> </w:t>
      </w:r>
      <w:r>
        <w:rPr>
          <w:lang w:val="en-US"/>
        </w:rPr>
        <w:t xml:space="preserve">and </w:t>
      </w:r>
      <w:r w:rsidR="00B87D36">
        <w:rPr>
          <w:lang w:val="en-US"/>
        </w:rPr>
        <w:t>less</w:t>
      </w:r>
      <w:r>
        <w:rPr>
          <w:lang w:val="en-US"/>
        </w:rPr>
        <w:t xml:space="preserve"> </w:t>
      </w:r>
      <w:r w:rsidR="00D0727B">
        <w:rPr>
          <w:lang w:val="en-US"/>
        </w:rPr>
        <w:t>likely</w:t>
      </w:r>
      <w:r>
        <w:rPr>
          <w:lang w:val="en-US"/>
        </w:rPr>
        <w:t xml:space="preserve"> </w:t>
      </w:r>
      <w:r w:rsidR="002B6044" w:rsidRPr="00CD56B9">
        <w:rPr>
          <w:lang w:val="en-US"/>
        </w:rPr>
        <w:t xml:space="preserve">within the present UNDAF cycle. The political economy of the electoral reform and </w:t>
      </w:r>
      <w:r w:rsidR="00D0727B">
        <w:rPr>
          <w:lang w:val="en-US"/>
        </w:rPr>
        <w:t>decentralization</w:t>
      </w:r>
      <w:r w:rsidR="002B6044" w:rsidRPr="00CD56B9">
        <w:rPr>
          <w:lang w:val="en-US"/>
        </w:rPr>
        <w:t xml:space="preserve"> </w:t>
      </w:r>
      <w:r w:rsidR="00D0727B">
        <w:rPr>
          <w:lang w:val="en-US"/>
        </w:rPr>
        <w:t xml:space="preserve">is </w:t>
      </w:r>
      <w:r w:rsidR="002B6044" w:rsidRPr="00CD56B9">
        <w:rPr>
          <w:lang w:val="en-US"/>
        </w:rPr>
        <w:t>difficult and inherent resistance</w:t>
      </w:r>
      <w:r w:rsidR="00D0727B">
        <w:rPr>
          <w:lang w:val="en-US"/>
        </w:rPr>
        <w:t xml:space="preserve"> will </w:t>
      </w:r>
      <w:r w:rsidR="00195F55" w:rsidRPr="00CD56B9">
        <w:rPr>
          <w:lang w:val="en-US"/>
        </w:rPr>
        <w:t xml:space="preserve">most likely </w:t>
      </w:r>
      <w:r w:rsidR="002B6044" w:rsidRPr="00CD56B9">
        <w:rPr>
          <w:lang w:val="en-US"/>
        </w:rPr>
        <w:t xml:space="preserve">delay </w:t>
      </w:r>
      <w:r w:rsidR="00D0727B">
        <w:rPr>
          <w:lang w:val="en-US"/>
        </w:rPr>
        <w:t xml:space="preserve">any progress. </w:t>
      </w:r>
      <w:r w:rsidR="008C230C">
        <w:rPr>
          <w:lang w:val="en-US"/>
        </w:rPr>
        <w:t>A change in current systems</w:t>
      </w:r>
      <w:r w:rsidR="00A84BA2">
        <w:rPr>
          <w:lang w:val="en-US"/>
        </w:rPr>
        <w:t xml:space="preserve"> and </w:t>
      </w:r>
      <w:r w:rsidR="008C230C">
        <w:rPr>
          <w:lang w:val="en-US"/>
        </w:rPr>
        <w:t>practices</w:t>
      </w:r>
      <w:r w:rsidR="00A84BA2">
        <w:rPr>
          <w:lang w:val="en-US"/>
        </w:rPr>
        <w:t xml:space="preserve"> </w:t>
      </w:r>
      <w:r w:rsidR="008C230C">
        <w:rPr>
          <w:lang w:val="en-US"/>
        </w:rPr>
        <w:t>implies</w:t>
      </w:r>
      <w:r w:rsidR="002B6044" w:rsidRPr="00CD56B9">
        <w:rPr>
          <w:lang w:val="en-US"/>
        </w:rPr>
        <w:t xml:space="preserve"> sign</w:t>
      </w:r>
      <w:r w:rsidR="00381C93">
        <w:rPr>
          <w:lang w:val="en-US"/>
        </w:rPr>
        <w:t>ificant transformation of power</w:t>
      </w:r>
      <w:r w:rsidR="00A84BA2" w:rsidRPr="00A84BA2">
        <w:rPr>
          <w:lang w:val="en-US"/>
        </w:rPr>
        <w:t xml:space="preserve"> </w:t>
      </w:r>
      <w:r w:rsidR="00A84BA2">
        <w:rPr>
          <w:lang w:val="en-US"/>
        </w:rPr>
        <w:t>and privileges</w:t>
      </w:r>
      <w:r w:rsidR="00381C93">
        <w:rPr>
          <w:lang w:val="en-US"/>
        </w:rPr>
        <w:t>,</w:t>
      </w:r>
      <w:r w:rsidR="00E100AF" w:rsidRPr="00CD56B9">
        <w:rPr>
          <w:lang w:val="en-US"/>
        </w:rPr>
        <w:t xml:space="preserve"> </w:t>
      </w:r>
      <w:r w:rsidR="0037252E">
        <w:rPr>
          <w:lang w:val="en-US"/>
        </w:rPr>
        <w:t xml:space="preserve">and the </w:t>
      </w:r>
      <w:r w:rsidR="0037252E" w:rsidRPr="00CD56B9">
        <w:rPr>
          <w:lang w:val="en-US"/>
        </w:rPr>
        <w:t xml:space="preserve">political </w:t>
      </w:r>
      <w:r w:rsidR="0037252E">
        <w:rPr>
          <w:lang w:val="en-US"/>
        </w:rPr>
        <w:t xml:space="preserve">sensitiveness to such changes have </w:t>
      </w:r>
      <w:r w:rsidR="00D0727B">
        <w:rPr>
          <w:lang w:val="en-US"/>
        </w:rPr>
        <w:t xml:space="preserve">slowed down or </w:t>
      </w:r>
      <w:r w:rsidR="0037252E">
        <w:rPr>
          <w:lang w:val="en-US"/>
        </w:rPr>
        <w:t xml:space="preserve">completely </w:t>
      </w:r>
      <w:r w:rsidR="00D0727B">
        <w:rPr>
          <w:lang w:val="en-US"/>
        </w:rPr>
        <w:t xml:space="preserve">stopped </w:t>
      </w:r>
      <w:r w:rsidR="0037252E">
        <w:rPr>
          <w:lang w:val="en-US"/>
        </w:rPr>
        <w:t xml:space="preserve">reform attempts </w:t>
      </w:r>
      <w:r w:rsidR="00E100AF" w:rsidRPr="00CD56B9">
        <w:rPr>
          <w:lang w:val="en-US"/>
        </w:rPr>
        <w:t xml:space="preserve">in </w:t>
      </w:r>
      <w:r w:rsidR="002B6044" w:rsidRPr="00CD56B9">
        <w:rPr>
          <w:lang w:val="en-US"/>
        </w:rPr>
        <w:t xml:space="preserve">the past. </w:t>
      </w:r>
    </w:p>
    <w:p w14:paraId="0728ABFB" w14:textId="77777777" w:rsidR="002B6044" w:rsidRPr="00CD56B9" w:rsidRDefault="003160CF" w:rsidP="002B6044">
      <w:pPr>
        <w:rPr>
          <w:lang w:val="en-US"/>
        </w:rPr>
      </w:pPr>
      <w:r>
        <w:rPr>
          <w:lang w:val="en-US"/>
        </w:rPr>
        <w:t>The d</w:t>
      </w:r>
      <w:r w:rsidR="005D1FCB" w:rsidRPr="00CD56B9">
        <w:rPr>
          <w:lang w:val="en-US"/>
        </w:rPr>
        <w:t xml:space="preserve">isproportional election </w:t>
      </w:r>
      <w:r w:rsidR="005D1FCB">
        <w:rPr>
          <w:lang w:val="en-US"/>
        </w:rPr>
        <w:t>outcomes inherent in current election principles and rules ris</w:t>
      </w:r>
      <w:r w:rsidR="002B6044" w:rsidRPr="00CD56B9">
        <w:rPr>
          <w:lang w:val="en-US"/>
        </w:rPr>
        <w:t>k undermining the legitimacy of the whole election process</w:t>
      </w:r>
      <w:r>
        <w:rPr>
          <w:lang w:val="en-US"/>
        </w:rPr>
        <w:t xml:space="preserve"> and the cohesion of the unitary state and there is an urgent need for a</w:t>
      </w:r>
      <w:r w:rsidR="002B6044" w:rsidRPr="00CD56B9">
        <w:rPr>
          <w:lang w:val="en-US"/>
        </w:rPr>
        <w:t>more proportional system</w:t>
      </w:r>
      <w:r>
        <w:rPr>
          <w:lang w:val="en-US"/>
        </w:rPr>
        <w:t xml:space="preserve">, </w:t>
      </w:r>
      <w:r w:rsidR="00651AEA">
        <w:rPr>
          <w:lang w:val="en-US"/>
        </w:rPr>
        <w:t>and</w:t>
      </w:r>
      <w:r>
        <w:rPr>
          <w:lang w:val="en-US"/>
        </w:rPr>
        <w:t xml:space="preserve"> </w:t>
      </w:r>
      <w:r w:rsidR="009C2C4F" w:rsidRPr="00CD56B9">
        <w:rPr>
          <w:lang w:val="en-US"/>
        </w:rPr>
        <w:t>realign</w:t>
      </w:r>
      <w:r w:rsidR="00651AEA">
        <w:rPr>
          <w:lang w:val="en-US"/>
        </w:rPr>
        <w:t xml:space="preserve">ment of </w:t>
      </w:r>
      <w:r w:rsidR="002B6044" w:rsidRPr="00CD56B9">
        <w:rPr>
          <w:lang w:val="en-US"/>
        </w:rPr>
        <w:t xml:space="preserve">constituency demarcations </w:t>
      </w:r>
      <w:r>
        <w:rPr>
          <w:lang w:val="en-US"/>
        </w:rPr>
        <w:t xml:space="preserve">with </w:t>
      </w:r>
      <w:r w:rsidR="002B6044" w:rsidRPr="00CD56B9">
        <w:rPr>
          <w:lang w:val="en-US"/>
        </w:rPr>
        <w:t>the very high urban migration patterns in Malawi. Broad consultations on these issues</w:t>
      </w:r>
      <w:r>
        <w:rPr>
          <w:lang w:val="en-US"/>
        </w:rPr>
        <w:t xml:space="preserve"> are currently been carried out and </w:t>
      </w:r>
      <w:r w:rsidR="007A627F">
        <w:rPr>
          <w:lang w:val="en-US"/>
        </w:rPr>
        <w:t>UNDP should continue its support to this area.</w:t>
      </w:r>
    </w:p>
    <w:p w14:paraId="3E5A798D" w14:textId="77777777" w:rsidR="002B6044" w:rsidRPr="00CD56B9" w:rsidRDefault="002B6044" w:rsidP="00356D5F">
      <w:pPr>
        <w:rPr>
          <w:lang w:val="en-US"/>
        </w:rPr>
      </w:pPr>
      <w:r w:rsidRPr="00CD56B9">
        <w:rPr>
          <w:lang w:val="en-US"/>
        </w:rPr>
        <w:t>Reforming local governments has also been attempted in the past with modest results</w:t>
      </w:r>
      <w:r w:rsidR="00A15709">
        <w:rPr>
          <w:lang w:val="en-US"/>
        </w:rPr>
        <w:t>;</w:t>
      </w:r>
      <w:r w:rsidRPr="00CD56B9">
        <w:rPr>
          <w:lang w:val="en-US"/>
        </w:rPr>
        <w:t xml:space="preserve"> not least compared with </w:t>
      </w:r>
      <w:r w:rsidR="00844D3C" w:rsidRPr="00CD56B9">
        <w:rPr>
          <w:lang w:val="en-US"/>
        </w:rPr>
        <w:t xml:space="preserve">other </w:t>
      </w:r>
      <w:r w:rsidRPr="00CD56B9">
        <w:rPr>
          <w:lang w:val="en-US"/>
        </w:rPr>
        <w:t xml:space="preserve">countries in the region, some of which are world leaders </w:t>
      </w:r>
      <w:r w:rsidR="00844D3C" w:rsidRPr="00CD56B9">
        <w:rPr>
          <w:lang w:val="en-US"/>
        </w:rPr>
        <w:t xml:space="preserve">among developing countries </w:t>
      </w:r>
      <w:r w:rsidRPr="00CD56B9">
        <w:rPr>
          <w:lang w:val="en-US"/>
        </w:rPr>
        <w:t xml:space="preserve">in innovating local governance measures </w:t>
      </w:r>
      <w:r w:rsidR="009C2C4F">
        <w:rPr>
          <w:lang w:val="en-US"/>
        </w:rPr>
        <w:t xml:space="preserve">such as </w:t>
      </w:r>
      <w:r w:rsidR="002A2725">
        <w:rPr>
          <w:lang w:val="en-US"/>
        </w:rPr>
        <w:t xml:space="preserve">significant </w:t>
      </w:r>
      <w:r w:rsidR="00E45B95" w:rsidRPr="00CD56B9">
        <w:rPr>
          <w:lang w:val="en-US"/>
        </w:rPr>
        <w:t xml:space="preserve">fiscal transfers paired with </w:t>
      </w:r>
      <w:r w:rsidRPr="00CD56B9">
        <w:rPr>
          <w:lang w:val="en-US"/>
        </w:rPr>
        <w:t>p</w:t>
      </w:r>
      <w:r w:rsidR="00E45B95" w:rsidRPr="00CD56B9">
        <w:rPr>
          <w:lang w:val="en-US"/>
        </w:rPr>
        <w:t xml:space="preserve">erformance based grants systems and joint </w:t>
      </w:r>
      <w:r w:rsidR="009C2C4F">
        <w:rPr>
          <w:lang w:val="en-US"/>
        </w:rPr>
        <w:t xml:space="preserve">reform </w:t>
      </w:r>
      <w:r w:rsidR="00E45B95" w:rsidRPr="00CD56B9">
        <w:rPr>
          <w:lang w:val="en-US"/>
        </w:rPr>
        <w:t>M&amp;E measures with the DPs</w:t>
      </w:r>
      <w:r w:rsidRPr="00CD56B9">
        <w:rPr>
          <w:lang w:val="en-US"/>
        </w:rPr>
        <w:t xml:space="preserve">. </w:t>
      </w:r>
      <w:r w:rsidR="00874C8D">
        <w:rPr>
          <w:lang w:val="en-US"/>
        </w:rPr>
        <w:t xml:space="preserve">The political economy among </w:t>
      </w:r>
      <w:r w:rsidR="00356D5F">
        <w:rPr>
          <w:lang w:val="en-US"/>
        </w:rPr>
        <w:t xml:space="preserve">countries in the </w:t>
      </w:r>
      <w:r w:rsidR="00874C8D">
        <w:rPr>
          <w:lang w:val="en-US"/>
        </w:rPr>
        <w:t xml:space="preserve">region has been such that governments </w:t>
      </w:r>
      <w:r w:rsidR="00356D5F">
        <w:rPr>
          <w:lang w:val="en-US"/>
        </w:rPr>
        <w:t>have</w:t>
      </w:r>
      <w:r w:rsidR="00874C8D">
        <w:rPr>
          <w:lang w:val="en-US"/>
        </w:rPr>
        <w:t xml:space="preserve"> been able to build </w:t>
      </w:r>
      <w:r w:rsidR="00356D5F">
        <w:rPr>
          <w:lang w:val="en-US"/>
        </w:rPr>
        <w:t xml:space="preserve">national </w:t>
      </w:r>
      <w:r w:rsidR="00874C8D">
        <w:rPr>
          <w:lang w:val="en-US"/>
        </w:rPr>
        <w:t>consensus and overcome resistance from vested interests</w:t>
      </w:r>
      <w:r w:rsidR="00356D5F">
        <w:rPr>
          <w:lang w:val="en-US"/>
        </w:rPr>
        <w:t xml:space="preserve">. Whether this can be that case in Malawi remains to be seen and a first step will be approval of the reform plan formulated by MoLRD. </w:t>
      </w:r>
    </w:p>
    <w:p w14:paraId="2FF5E6FF" w14:textId="77777777" w:rsidR="002B6044" w:rsidRPr="00CD56B9" w:rsidRDefault="002B6044" w:rsidP="002B6044">
      <w:pPr>
        <w:rPr>
          <w:lang w:val="en-US"/>
        </w:rPr>
      </w:pPr>
      <w:r w:rsidRPr="00CD56B9">
        <w:rPr>
          <w:lang w:val="en-US"/>
        </w:rPr>
        <w:t>UN</w:t>
      </w:r>
      <w:r w:rsidR="009C2C4F">
        <w:rPr>
          <w:lang w:val="en-US"/>
        </w:rPr>
        <w:t xml:space="preserve">DP (and </w:t>
      </w:r>
      <w:r w:rsidR="0056280B">
        <w:rPr>
          <w:lang w:val="en-US"/>
        </w:rPr>
        <w:t>DP</w:t>
      </w:r>
      <w:r w:rsidR="009C2C4F">
        <w:rPr>
          <w:lang w:val="en-US"/>
        </w:rPr>
        <w:t xml:space="preserve">) </w:t>
      </w:r>
      <w:r w:rsidRPr="00CD56B9">
        <w:rPr>
          <w:lang w:val="en-US"/>
        </w:rPr>
        <w:t xml:space="preserve">support to </w:t>
      </w:r>
      <w:r w:rsidR="0056280B">
        <w:rPr>
          <w:lang w:val="en-US"/>
        </w:rPr>
        <w:t>decentralization</w:t>
      </w:r>
      <w:r w:rsidRPr="00CD56B9">
        <w:rPr>
          <w:lang w:val="en-US"/>
        </w:rPr>
        <w:t xml:space="preserve"> has diminished over the years </w:t>
      </w:r>
      <w:r w:rsidR="004A2CA8">
        <w:rPr>
          <w:lang w:val="en-US"/>
        </w:rPr>
        <w:t>in response to declining government priorities</w:t>
      </w:r>
      <w:r w:rsidR="0056280B">
        <w:rPr>
          <w:lang w:val="en-US"/>
        </w:rPr>
        <w:t>, annulment of local elections</w:t>
      </w:r>
      <w:r w:rsidR="004A2CA8">
        <w:rPr>
          <w:lang w:val="en-US"/>
        </w:rPr>
        <w:t xml:space="preserve"> and </w:t>
      </w:r>
      <w:r w:rsidR="00421C5F">
        <w:rPr>
          <w:lang w:val="en-US"/>
        </w:rPr>
        <w:t xml:space="preserve">DP reluctance has been </w:t>
      </w:r>
      <w:r w:rsidR="0056280B">
        <w:rPr>
          <w:lang w:val="en-US"/>
        </w:rPr>
        <w:t xml:space="preserve">significantly </w:t>
      </w:r>
      <w:r w:rsidR="004A2CA8">
        <w:rPr>
          <w:lang w:val="en-US"/>
        </w:rPr>
        <w:t xml:space="preserve">amplified by the cashgate scandal. </w:t>
      </w:r>
      <w:r w:rsidR="00D23064" w:rsidRPr="00D23064">
        <w:rPr>
          <w:lang w:val="en-GB"/>
        </w:rPr>
        <w:t xml:space="preserve">There </w:t>
      </w:r>
      <w:r w:rsidR="00D23064">
        <w:rPr>
          <w:lang w:val="en-GB"/>
        </w:rPr>
        <w:t xml:space="preserve">now seems to be a revived </w:t>
      </w:r>
      <w:r w:rsidR="00D23064" w:rsidRPr="00D23064">
        <w:rPr>
          <w:lang w:val="en-GB"/>
        </w:rPr>
        <w:t xml:space="preserve">interest on decentralisation and IRD since the </w:t>
      </w:r>
      <w:r w:rsidR="00D23064">
        <w:rPr>
          <w:lang w:val="en-GB"/>
        </w:rPr>
        <w:t xml:space="preserve">reinstatement of elected district </w:t>
      </w:r>
      <w:r w:rsidR="00D23064" w:rsidRPr="00D23064">
        <w:rPr>
          <w:lang w:val="en-GB"/>
        </w:rPr>
        <w:t>councillors</w:t>
      </w:r>
      <w:r w:rsidR="00651AEA">
        <w:rPr>
          <w:lang w:val="en-GB"/>
        </w:rPr>
        <w:t xml:space="preserve">, </w:t>
      </w:r>
      <w:r w:rsidR="00D23064" w:rsidRPr="00D23064">
        <w:rPr>
          <w:lang w:val="en-GB"/>
        </w:rPr>
        <w:t xml:space="preserve">and inclusion </w:t>
      </w:r>
      <w:r w:rsidR="00651AEA">
        <w:rPr>
          <w:lang w:val="en-GB"/>
        </w:rPr>
        <w:t xml:space="preserve">of </w:t>
      </w:r>
      <w:r w:rsidR="00D23064" w:rsidRPr="00D23064">
        <w:rPr>
          <w:lang w:val="en-GB"/>
        </w:rPr>
        <w:t xml:space="preserve">decentralisation and </w:t>
      </w:r>
      <w:r w:rsidR="00641F2D" w:rsidRPr="00D23064">
        <w:rPr>
          <w:lang w:val="en-GB"/>
        </w:rPr>
        <w:t>rural</w:t>
      </w:r>
      <w:r w:rsidR="00D23064" w:rsidRPr="00D23064">
        <w:rPr>
          <w:lang w:val="en-GB"/>
        </w:rPr>
        <w:t xml:space="preserve"> de</w:t>
      </w:r>
      <w:r w:rsidR="00641F2D">
        <w:rPr>
          <w:lang w:val="en-GB"/>
        </w:rPr>
        <w:t>velopment in the Public Sector R</w:t>
      </w:r>
      <w:r w:rsidR="00D23064" w:rsidRPr="00D23064">
        <w:rPr>
          <w:lang w:val="en-GB"/>
        </w:rPr>
        <w:t xml:space="preserve">eform </w:t>
      </w:r>
      <w:r w:rsidR="00651AEA">
        <w:rPr>
          <w:lang w:val="en-GB"/>
        </w:rPr>
        <w:t xml:space="preserve">is </w:t>
      </w:r>
      <w:r w:rsidR="00D23064" w:rsidRPr="00D23064">
        <w:rPr>
          <w:lang w:val="en-GB"/>
        </w:rPr>
        <w:t>being championed by the current government</w:t>
      </w:r>
      <w:r w:rsidR="00641F2D">
        <w:rPr>
          <w:lang w:val="en-GB"/>
        </w:rPr>
        <w:t xml:space="preserve">. </w:t>
      </w:r>
      <w:r w:rsidR="0056280B">
        <w:rPr>
          <w:lang w:val="en-US"/>
        </w:rPr>
        <w:t xml:space="preserve">While USAID </w:t>
      </w:r>
      <w:r w:rsidR="00641F2D">
        <w:rPr>
          <w:lang w:val="en-US"/>
        </w:rPr>
        <w:t>seeks</w:t>
      </w:r>
      <w:r w:rsidR="0056280B">
        <w:rPr>
          <w:lang w:val="en-US"/>
        </w:rPr>
        <w:t xml:space="preserve"> to support the pilots in the reform plan, </w:t>
      </w:r>
      <w:r w:rsidRPr="00CD56B9">
        <w:rPr>
          <w:lang w:val="en-US"/>
        </w:rPr>
        <w:t xml:space="preserve">UNDP </w:t>
      </w:r>
      <w:r w:rsidR="00835169" w:rsidRPr="00CD56B9">
        <w:rPr>
          <w:lang w:val="en-US"/>
        </w:rPr>
        <w:t>support is focusing</w:t>
      </w:r>
      <w:r w:rsidRPr="00CD56B9">
        <w:rPr>
          <w:lang w:val="en-US"/>
        </w:rPr>
        <w:t xml:space="preserve"> on </w:t>
      </w:r>
      <w:r w:rsidR="004A2CA8">
        <w:rPr>
          <w:lang w:val="en-US"/>
        </w:rPr>
        <w:t xml:space="preserve">support to </w:t>
      </w:r>
      <w:r w:rsidRPr="00CD56B9">
        <w:rPr>
          <w:lang w:val="en-US"/>
        </w:rPr>
        <w:t>the IRD strategy</w:t>
      </w:r>
      <w:r w:rsidR="0056280B">
        <w:rPr>
          <w:lang w:val="en-US"/>
        </w:rPr>
        <w:t xml:space="preserve">. </w:t>
      </w:r>
      <w:r w:rsidR="00B027D2">
        <w:rPr>
          <w:lang w:val="en-US"/>
        </w:rPr>
        <w:t xml:space="preserve">However, </w:t>
      </w:r>
      <w:r w:rsidRPr="00CD56B9">
        <w:rPr>
          <w:lang w:val="en-US"/>
        </w:rPr>
        <w:t>the success of the IRD strategy depend</w:t>
      </w:r>
      <w:r w:rsidR="00D26276">
        <w:rPr>
          <w:lang w:val="en-US"/>
        </w:rPr>
        <w:t>s</w:t>
      </w:r>
      <w:r w:rsidRPr="00CD56B9">
        <w:rPr>
          <w:lang w:val="en-US"/>
        </w:rPr>
        <w:t xml:space="preserve"> on the general reform process</w:t>
      </w:r>
      <w:r w:rsidR="004A2CA8">
        <w:rPr>
          <w:lang w:val="en-US"/>
        </w:rPr>
        <w:t xml:space="preserve"> and establishment of a conducive framework for local government </w:t>
      </w:r>
      <w:r w:rsidR="00D26276">
        <w:rPr>
          <w:lang w:val="en-US"/>
        </w:rPr>
        <w:t>for</w:t>
      </w:r>
      <w:r w:rsidR="004A2CA8">
        <w:rPr>
          <w:lang w:val="en-US"/>
        </w:rPr>
        <w:t xml:space="preserve"> the new</w:t>
      </w:r>
      <w:r w:rsidR="00D26276">
        <w:rPr>
          <w:lang w:val="en-US"/>
        </w:rPr>
        <w:t>ly</w:t>
      </w:r>
      <w:r w:rsidR="004A2CA8">
        <w:rPr>
          <w:lang w:val="en-US"/>
        </w:rPr>
        <w:t xml:space="preserve"> elected councils</w:t>
      </w:r>
      <w:r w:rsidRPr="00CD56B9">
        <w:rPr>
          <w:lang w:val="en-US"/>
        </w:rPr>
        <w:t xml:space="preserve">. </w:t>
      </w:r>
      <w:r w:rsidR="00D26276">
        <w:rPr>
          <w:lang w:val="en-US"/>
        </w:rPr>
        <w:t xml:space="preserve">The strategy could be introduced </w:t>
      </w:r>
      <w:r w:rsidRPr="00CD56B9">
        <w:rPr>
          <w:lang w:val="en-US"/>
        </w:rPr>
        <w:t>to</w:t>
      </w:r>
      <w:r w:rsidR="00D26276">
        <w:rPr>
          <w:lang w:val="en-US"/>
        </w:rPr>
        <w:t>o</w:t>
      </w:r>
      <w:r w:rsidRPr="00CD56B9">
        <w:rPr>
          <w:lang w:val="en-US"/>
        </w:rPr>
        <w:t xml:space="preserve"> early and</w:t>
      </w:r>
      <w:r w:rsidR="00B027D2">
        <w:rPr>
          <w:lang w:val="en-US"/>
        </w:rPr>
        <w:t xml:space="preserve"> </w:t>
      </w:r>
      <w:r w:rsidR="002707F5">
        <w:rPr>
          <w:lang w:val="en-US"/>
        </w:rPr>
        <w:t>UNDP needs to dedicate its attention to the sustainability of the strategy</w:t>
      </w:r>
      <w:r w:rsidRPr="00CD56B9">
        <w:rPr>
          <w:lang w:val="en-US"/>
        </w:rPr>
        <w:t xml:space="preserve">.  </w:t>
      </w:r>
    </w:p>
    <w:p w14:paraId="07AB9723" w14:textId="77777777" w:rsidR="001E2841" w:rsidRDefault="00961976" w:rsidP="00C02EA2">
      <w:pPr>
        <w:rPr>
          <w:lang w:val="en-US"/>
        </w:rPr>
      </w:pPr>
      <w:r w:rsidRPr="00961976">
        <w:rPr>
          <w:lang w:val="en-US"/>
        </w:rPr>
        <w:t xml:space="preserve">The promotion of human rights </w:t>
      </w:r>
      <w:r w:rsidR="0011462B">
        <w:rPr>
          <w:lang w:val="en-US"/>
        </w:rPr>
        <w:t>is</w:t>
      </w:r>
      <w:r w:rsidRPr="00961976">
        <w:rPr>
          <w:lang w:val="en-US"/>
        </w:rPr>
        <w:t xml:space="preserve"> anchored in th</w:t>
      </w:r>
      <w:r w:rsidR="00621155">
        <w:rPr>
          <w:lang w:val="en-US"/>
        </w:rPr>
        <w:t xml:space="preserve">e MHRC. </w:t>
      </w:r>
      <w:r w:rsidR="002707F5" w:rsidRPr="00CD56B9">
        <w:rPr>
          <w:lang w:val="en-US"/>
        </w:rPr>
        <w:t xml:space="preserve">While the </w:t>
      </w:r>
      <w:r w:rsidR="002707F5">
        <w:rPr>
          <w:lang w:val="en-US"/>
        </w:rPr>
        <w:t xml:space="preserve">UN </w:t>
      </w:r>
      <w:r w:rsidR="002707F5" w:rsidRPr="00CD56B9">
        <w:rPr>
          <w:lang w:val="en-US"/>
        </w:rPr>
        <w:t xml:space="preserve">support </w:t>
      </w:r>
      <w:r w:rsidR="002707F5">
        <w:rPr>
          <w:lang w:val="en-US"/>
        </w:rPr>
        <w:t xml:space="preserve">to MHRC </w:t>
      </w:r>
      <w:r w:rsidR="002707F5" w:rsidRPr="00CD56B9">
        <w:rPr>
          <w:lang w:val="en-US"/>
        </w:rPr>
        <w:t xml:space="preserve">is doing good progress in terms of meeting project level outputs (especially the formulation of the next NAP and progress in treaty reporting) </w:t>
      </w:r>
      <w:r w:rsidR="0011462B">
        <w:rPr>
          <w:lang w:val="en-US"/>
        </w:rPr>
        <w:t xml:space="preserve">critical questions are raised </w:t>
      </w:r>
      <w:r w:rsidR="003C43B8">
        <w:rPr>
          <w:lang w:val="en-US"/>
        </w:rPr>
        <w:t xml:space="preserve">about the independence of the </w:t>
      </w:r>
      <w:r w:rsidR="002707F5" w:rsidRPr="00CD56B9">
        <w:rPr>
          <w:lang w:val="en-US"/>
        </w:rPr>
        <w:lastRenderedPageBreak/>
        <w:t xml:space="preserve">committee </w:t>
      </w:r>
      <w:r w:rsidR="003C43B8">
        <w:rPr>
          <w:lang w:val="en-US"/>
        </w:rPr>
        <w:t xml:space="preserve">and ability </w:t>
      </w:r>
      <w:r w:rsidR="002707F5" w:rsidRPr="00CD56B9">
        <w:rPr>
          <w:lang w:val="en-US"/>
        </w:rPr>
        <w:t xml:space="preserve">to bring transformation and </w:t>
      </w:r>
      <w:r w:rsidR="002707F5">
        <w:rPr>
          <w:lang w:val="en-US"/>
        </w:rPr>
        <w:t xml:space="preserve">take </w:t>
      </w:r>
      <w:r w:rsidR="002707F5" w:rsidRPr="00CD56B9">
        <w:rPr>
          <w:lang w:val="en-US"/>
        </w:rPr>
        <w:t xml:space="preserve">lead </w:t>
      </w:r>
      <w:r w:rsidR="002707F5">
        <w:rPr>
          <w:lang w:val="en-US"/>
        </w:rPr>
        <w:t xml:space="preserve">on emerging </w:t>
      </w:r>
      <w:r w:rsidR="002707F5" w:rsidRPr="00CD56B9">
        <w:rPr>
          <w:lang w:val="en-US"/>
        </w:rPr>
        <w:t xml:space="preserve">human rights </w:t>
      </w:r>
      <w:r w:rsidR="002707F5">
        <w:rPr>
          <w:lang w:val="en-US"/>
        </w:rPr>
        <w:t xml:space="preserve">issues </w:t>
      </w:r>
      <w:r w:rsidR="002707F5" w:rsidRPr="00CD56B9">
        <w:rPr>
          <w:lang w:val="en-US"/>
        </w:rPr>
        <w:t xml:space="preserve">in Malawi. </w:t>
      </w:r>
      <w:r w:rsidR="002B6044" w:rsidRPr="00CD56B9">
        <w:rPr>
          <w:lang w:val="en-US"/>
        </w:rPr>
        <w:t xml:space="preserve">While treaty reporting is part of </w:t>
      </w:r>
      <w:r w:rsidR="000C5488" w:rsidRPr="00CD56B9">
        <w:rPr>
          <w:lang w:val="en-US"/>
        </w:rPr>
        <w:t>its</w:t>
      </w:r>
      <w:r w:rsidR="002B6044" w:rsidRPr="00CD56B9">
        <w:rPr>
          <w:lang w:val="en-US"/>
        </w:rPr>
        <w:t xml:space="preserve"> mandate, </w:t>
      </w:r>
      <w:r w:rsidR="001C5052">
        <w:rPr>
          <w:lang w:val="en-US"/>
        </w:rPr>
        <w:t xml:space="preserve">it is </w:t>
      </w:r>
      <w:r w:rsidR="002D3F4D">
        <w:rPr>
          <w:lang w:val="en-US"/>
        </w:rPr>
        <w:t xml:space="preserve">also </w:t>
      </w:r>
      <w:r w:rsidR="001C5052">
        <w:rPr>
          <w:lang w:val="en-US"/>
        </w:rPr>
        <w:t xml:space="preserve">important </w:t>
      </w:r>
      <w:r w:rsidR="00F04050">
        <w:rPr>
          <w:lang w:val="en-US"/>
        </w:rPr>
        <w:t xml:space="preserve">that the </w:t>
      </w:r>
      <w:r w:rsidR="002707F5">
        <w:rPr>
          <w:lang w:val="en-US"/>
        </w:rPr>
        <w:t xml:space="preserve">commission </w:t>
      </w:r>
      <w:r w:rsidR="003C43B8">
        <w:rPr>
          <w:lang w:val="en-US"/>
        </w:rPr>
        <w:t xml:space="preserve">advocate </w:t>
      </w:r>
      <w:r w:rsidR="0011462B">
        <w:rPr>
          <w:lang w:val="en-US"/>
        </w:rPr>
        <w:t>on</w:t>
      </w:r>
      <w:r w:rsidR="002D3F4D">
        <w:rPr>
          <w:lang w:val="en-US"/>
        </w:rPr>
        <w:t xml:space="preserve"> n</w:t>
      </w:r>
      <w:r w:rsidR="002B6044" w:rsidRPr="00CD56B9">
        <w:rPr>
          <w:lang w:val="en-US"/>
        </w:rPr>
        <w:t>ew emerging HR issues such a</w:t>
      </w:r>
      <w:r w:rsidR="003D2FA2" w:rsidRPr="00CD56B9">
        <w:rPr>
          <w:lang w:val="en-US"/>
        </w:rPr>
        <w:t xml:space="preserve">s protection of </w:t>
      </w:r>
      <w:r w:rsidR="00C02EA2">
        <w:rPr>
          <w:lang w:val="en-US"/>
        </w:rPr>
        <w:t xml:space="preserve">LGBT </w:t>
      </w:r>
      <w:r w:rsidR="003D2FA2" w:rsidRPr="00CD56B9">
        <w:rPr>
          <w:lang w:val="en-US"/>
        </w:rPr>
        <w:t xml:space="preserve">rights. </w:t>
      </w:r>
      <w:r w:rsidR="00644D03">
        <w:rPr>
          <w:lang w:val="en-US"/>
        </w:rPr>
        <w:t>A</w:t>
      </w:r>
      <w:r w:rsidR="003D7FBC">
        <w:rPr>
          <w:lang w:val="en-US"/>
        </w:rPr>
        <w:t xml:space="preserve">ctive engagement in </w:t>
      </w:r>
      <w:r w:rsidR="004B066D">
        <w:rPr>
          <w:lang w:val="en-US"/>
        </w:rPr>
        <w:t xml:space="preserve">human rights </w:t>
      </w:r>
      <w:r w:rsidR="003D7FBC">
        <w:rPr>
          <w:lang w:val="en-US"/>
        </w:rPr>
        <w:t xml:space="preserve">issues </w:t>
      </w:r>
      <w:r w:rsidR="00A15709">
        <w:rPr>
          <w:lang w:val="en-US"/>
        </w:rPr>
        <w:t xml:space="preserve">needs to be encouraged, while support should be mobilized to enhance the independence and the resource envelope of the commission. UNDP advocacy on these matters could be strengthened through alliances and partnerships </w:t>
      </w:r>
      <w:r w:rsidR="003D7FBC">
        <w:rPr>
          <w:lang w:val="en-US"/>
        </w:rPr>
        <w:t>the P</w:t>
      </w:r>
      <w:r w:rsidR="00C02EA2">
        <w:rPr>
          <w:lang w:val="en-US"/>
        </w:rPr>
        <w:t xml:space="preserve">arliaments HR commission, the Law Commission </w:t>
      </w:r>
      <w:r w:rsidR="00A15709">
        <w:rPr>
          <w:lang w:val="en-US"/>
        </w:rPr>
        <w:t>and</w:t>
      </w:r>
      <w:r w:rsidR="00C02EA2">
        <w:rPr>
          <w:lang w:val="en-US"/>
        </w:rPr>
        <w:t xml:space="preserve"> the MoJCA</w:t>
      </w:r>
      <w:r w:rsidR="001652DE">
        <w:rPr>
          <w:lang w:val="en-US"/>
        </w:rPr>
        <w:t xml:space="preserve">. </w:t>
      </w:r>
      <w:r w:rsidR="00A15709">
        <w:rPr>
          <w:lang w:val="en-US"/>
        </w:rPr>
        <w:t xml:space="preserve">The same arguments </w:t>
      </w:r>
      <w:r w:rsidR="002517B2">
        <w:rPr>
          <w:lang w:val="en-US"/>
        </w:rPr>
        <w:t>can</w:t>
      </w:r>
      <w:r w:rsidR="00A15709">
        <w:rPr>
          <w:lang w:val="en-US"/>
        </w:rPr>
        <w:t xml:space="preserve"> be tabled for the OO, although </w:t>
      </w:r>
      <w:r w:rsidR="009D4835">
        <w:rPr>
          <w:lang w:val="en-US"/>
        </w:rPr>
        <w:t xml:space="preserve">UNDP should await the nomination of a </w:t>
      </w:r>
      <w:r w:rsidR="00A15709">
        <w:rPr>
          <w:lang w:val="en-US"/>
        </w:rPr>
        <w:t xml:space="preserve">new </w:t>
      </w:r>
      <w:r w:rsidR="009D4835">
        <w:rPr>
          <w:lang w:val="en-US"/>
        </w:rPr>
        <w:t>Ombudsman before engaging in a dialogue on further support.</w:t>
      </w:r>
    </w:p>
    <w:p w14:paraId="5CD1CCAA" w14:textId="77777777" w:rsidR="00C02EA2" w:rsidRDefault="001652DE" w:rsidP="00C02EA2">
      <w:pPr>
        <w:rPr>
          <w:lang w:val="en-US"/>
        </w:rPr>
      </w:pPr>
      <w:r>
        <w:rPr>
          <w:lang w:val="en-US"/>
        </w:rPr>
        <w:t>Support to g</w:t>
      </w:r>
      <w:r w:rsidR="008D28B9" w:rsidRPr="008D28B9">
        <w:rPr>
          <w:lang w:val="en-US"/>
        </w:rPr>
        <w:t>ender mainstreaming</w:t>
      </w:r>
      <w:r>
        <w:rPr>
          <w:lang w:val="en-US"/>
        </w:rPr>
        <w:t xml:space="preserve"> appear </w:t>
      </w:r>
      <w:r w:rsidR="008D28B9" w:rsidRPr="008D28B9">
        <w:rPr>
          <w:lang w:val="en-US"/>
        </w:rPr>
        <w:t xml:space="preserve">to be good progress across the outcome, although gender assessments and disaggregate data is not consistently applied across the sector. With the arrival of UN Women in Malawi and in partnership with UNDP, UNFPA and UNICEF, the UNCT is a good position to strengthen its support to the gender mainstreaming </w:t>
      </w:r>
      <w:r w:rsidR="00C57D62">
        <w:rPr>
          <w:lang w:val="en-US"/>
        </w:rPr>
        <w:t>in</w:t>
      </w:r>
      <w:r w:rsidR="008D28B9" w:rsidRPr="008D28B9">
        <w:rPr>
          <w:lang w:val="en-US"/>
        </w:rPr>
        <w:t xml:space="preserve"> the DG sector and to target specific intervention areas. UN Women a. o. is very active in promoting the Gender Equality Act and the 40/60 quota for women in public sector institutions and among CSOs and looks to engage more permanently in the 50/50 campaign to mobilize more female political candidates. In general, </w:t>
      </w:r>
      <w:r w:rsidR="00C57D62">
        <w:rPr>
          <w:lang w:val="en-US"/>
        </w:rPr>
        <w:t xml:space="preserve">however </w:t>
      </w:r>
      <w:r w:rsidR="008D28B9" w:rsidRPr="008D28B9">
        <w:rPr>
          <w:lang w:val="en-US"/>
        </w:rPr>
        <w:t xml:space="preserve">the designs of the next UNDAF, the RRF and the support projects </w:t>
      </w:r>
      <w:r w:rsidR="00C57D62">
        <w:rPr>
          <w:lang w:val="en-US"/>
        </w:rPr>
        <w:t xml:space="preserve">could </w:t>
      </w:r>
      <w:r w:rsidR="008D28B9" w:rsidRPr="008D28B9">
        <w:rPr>
          <w:lang w:val="en-US"/>
        </w:rPr>
        <w:t>benefit from a stronger integration of gender mainstreaming</w:t>
      </w:r>
      <w:r w:rsidR="00C57D62">
        <w:rPr>
          <w:lang w:val="en-US"/>
        </w:rPr>
        <w:t xml:space="preserve"> in individual project designs rather than applying support through a separate </w:t>
      </w:r>
      <w:r w:rsidR="004F1D31">
        <w:rPr>
          <w:lang w:val="en-US"/>
        </w:rPr>
        <w:t>project</w:t>
      </w:r>
      <w:r w:rsidR="008D28B9" w:rsidRPr="008D28B9">
        <w:rPr>
          <w:lang w:val="en-US"/>
        </w:rPr>
        <w:t>.</w:t>
      </w:r>
    </w:p>
    <w:p w14:paraId="77A58360" w14:textId="77777777" w:rsidR="00C02EA2" w:rsidRPr="00C02EA2" w:rsidRDefault="00C02EA2" w:rsidP="00C02EA2">
      <w:pPr>
        <w:rPr>
          <w:lang w:val="en-US"/>
        </w:rPr>
        <w:sectPr w:rsidR="00C02EA2" w:rsidRPr="00C02EA2" w:rsidSect="000C1092">
          <w:pgSz w:w="12240" w:h="15840"/>
          <w:pgMar w:top="1440" w:right="1440" w:bottom="1440" w:left="1440" w:header="720" w:footer="720" w:gutter="0"/>
          <w:cols w:space="720"/>
          <w:docGrid w:linePitch="360"/>
        </w:sectPr>
      </w:pPr>
    </w:p>
    <w:p w14:paraId="23ADF01D" w14:textId="77777777" w:rsidR="005353EA" w:rsidRPr="00CD56B9" w:rsidRDefault="00655C7E" w:rsidP="001315B3">
      <w:pPr>
        <w:pStyle w:val="Overskrift1"/>
        <w:spacing w:before="0"/>
        <w:jc w:val="both"/>
        <w:rPr>
          <w:lang w:val="en-US"/>
        </w:rPr>
      </w:pPr>
      <w:bookmarkStart w:id="43" w:name="_Toc439245595"/>
      <w:r w:rsidRPr="00CD56B9">
        <w:rPr>
          <w:lang w:val="en-US"/>
        </w:rPr>
        <w:lastRenderedPageBreak/>
        <w:t xml:space="preserve">5. </w:t>
      </w:r>
      <w:r w:rsidR="005353EA" w:rsidRPr="00CD56B9">
        <w:rPr>
          <w:lang w:val="en-US"/>
        </w:rPr>
        <w:t>External Factors impeding Implementation and Results Achievements</w:t>
      </w:r>
      <w:bookmarkEnd w:id="43"/>
    </w:p>
    <w:p w14:paraId="62E15449" w14:textId="77777777" w:rsidR="005353EA" w:rsidRPr="00CD56B9" w:rsidRDefault="005353EA" w:rsidP="005353EA">
      <w:pPr>
        <w:spacing w:after="0"/>
        <w:rPr>
          <w:lang w:val="en-US"/>
        </w:rPr>
      </w:pPr>
    </w:p>
    <w:p w14:paraId="796B66DB" w14:textId="77777777" w:rsidR="005353EA" w:rsidRPr="00CD56B9" w:rsidRDefault="006E5761" w:rsidP="005353EA">
      <w:pPr>
        <w:rPr>
          <w:lang w:val="en-US"/>
        </w:rPr>
      </w:pPr>
      <w:r w:rsidRPr="00CD56B9">
        <w:rPr>
          <w:lang w:val="en-US"/>
        </w:rPr>
        <w:t>C</w:t>
      </w:r>
      <w:r w:rsidR="005353EA" w:rsidRPr="00CD56B9">
        <w:rPr>
          <w:lang w:val="en-US"/>
        </w:rPr>
        <w:t xml:space="preserve">hapter </w:t>
      </w:r>
      <w:r w:rsidRPr="00CD56B9">
        <w:rPr>
          <w:lang w:val="en-US"/>
        </w:rPr>
        <w:t xml:space="preserve">4 </w:t>
      </w:r>
      <w:r w:rsidR="005353EA" w:rsidRPr="00CD56B9">
        <w:rPr>
          <w:lang w:val="en-US"/>
        </w:rPr>
        <w:t xml:space="preserve">concluded that the support under Outcome 4.1 remain aligned to relevant </w:t>
      </w:r>
      <w:r w:rsidR="00D0398C" w:rsidRPr="00CD56B9">
        <w:rPr>
          <w:lang w:val="en-US"/>
        </w:rPr>
        <w:t xml:space="preserve">DG </w:t>
      </w:r>
      <w:r w:rsidR="005353EA" w:rsidRPr="00CD56B9">
        <w:rPr>
          <w:lang w:val="en-US"/>
        </w:rPr>
        <w:t>policies and strategies</w:t>
      </w:r>
      <w:r w:rsidR="000537DD">
        <w:rPr>
          <w:lang w:val="en-US"/>
        </w:rPr>
        <w:t xml:space="preserve"> and that support projects demonstrate fair progress according to their designs</w:t>
      </w:r>
      <w:r w:rsidR="005353EA" w:rsidRPr="00CD56B9">
        <w:rPr>
          <w:lang w:val="en-US"/>
        </w:rPr>
        <w:t xml:space="preserve">. The implementation is nonetheless facing a number of bottlenecks and straining implementation frameworks, </w:t>
      </w:r>
      <w:r w:rsidR="00A921F3" w:rsidRPr="00CD56B9">
        <w:rPr>
          <w:lang w:val="en-US"/>
        </w:rPr>
        <w:t xml:space="preserve">some </w:t>
      </w:r>
      <w:r w:rsidR="005353EA" w:rsidRPr="00CD56B9">
        <w:rPr>
          <w:lang w:val="en-US"/>
        </w:rPr>
        <w:t xml:space="preserve">caused by external factors partly beyond the influence of the support rendered and partly linked to assumptions, which the original UNDAF design was based on, but did not </w:t>
      </w:r>
      <w:r w:rsidR="00675316" w:rsidRPr="00CD56B9">
        <w:rPr>
          <w:lang w:val="en-US"/>
        </w:rPr>
        <w:t>materialize</w:t>
      </w:r>
      <w:r w:rsidR="005353EA" w:rsidRPr="00CD56B9">
        <w:rPr>
          <w:lang w:val="en-US"/>
        </w:rPr>
        <w:t xml:space="preserve"> as planned.  </w:t>
      </w:r>
    </w:p>
    <w:p w14:paraId="2855E6CE" w14:textId="77777777" w:rsidR="005353EA" w:rsidRPr="00CD56B9" w:rsidRDefault="005353EA" w:rsidP="005353EA">
      <w:pPr>
        <w:spacing w:after="0"/>
        <w:rPr>
          <w:b/>
          <w:lang w:val="en-US"/>
        </w:rPr>
      </w:pPr>
      <w:r w:rsidRPr="00CD56B9">
        <w:rPr>
          <w:b/>
          <w:lang w:val="en-US"/>
        </w:rPr>
        <w:t xml:space="preserve">Political tensions, </w:t>
      </w:r>
      <w:r w:rsidR="004424AF">
        <w:rPr>
          <w:b/>
          <w:lang w:val="en-US"/>
        </w:rPr>
        <w:t>c</w:t>
      </w:r>
      <w:r w:rsidR="00C42C62" w:rsidRPr="00CD56B9">
        <w:rPr>
          <w:b/>
          <w:lang w:val="en-US"/>
        </w:rPr>
        <w:t>ashg</w:t>
      </w:r>
      <w:r w:rsidRPr="00CD56B9">
        <w:rPr>
          <w:b/>
          <w:lang w:val="en-US"/>
        </w:rPr>
        <w:t xml:space="preserve">ate and funds </w:t>
      </w:r>
      <w:r w:rsidR="00AD4678" w:rsidRPr="00CD56B9">
        <w:rPr>
          <w:b/>
          <w:lang w:val="en-US"/>
        </w:rPr>
        <w:t>mobilization</w:t>
      </w:r>
      <w:r w:rsidRPr="00CD56B9">
        <w:rPr>
          <w:b/>
          <w:lang w:val="en-US"/>
        </w:rPr>
        <w:t xml:space="preserve"> </w:t>
      </w:r>
    </w:p>
    <w:p w14:paraId="0284416F" w14:textId="77777777" w:rsidR="005353EA" w:rsidRPr="00CD56B9" w:rsidRDefault="005353EA" w:rsidP="005353EA">
      <w:pPr>
        <w:rPr>
          <w:lang w:val="en-US"/>
        </w:rPr>
      </w:pPr>
      <w:r w:rsidRPr="00CD56B9">
        <w:rPr>
          <w:lang w:val="en-US"/>
        </w:rPr>
        <w:t xml:space="preserve">Since 2011, political tensions </w:t>
      </w:r>
      <w:r w:rsidR="009C7566" w:rsidRPr="00CD56B9">
        <w:rPr>
          <w:lang w:val="en-US"/>
        </w:rPr>
        <w:t xml:space="preserve">and the </w:t>
      </w:r>
      <w:r w:rsidRPr="00CD56B9">
        <w:rPr>
          <w:lang w:val="en-US"/>
        </w:rPr>
        <w:t xml:space="preserve">human rights </w:t>
      </w:r>
      <w:r w:rsidR="009C7566" w:rsidRPr="00CD56B9">
        <w:rPr>
          <w:lang w:val="en-US"/>
        </w:rPr>
        <w:t xml:space="preserve">situation </w:t>
      </w:r>
      <w:r w:rsidR="004424AF" w:rsidRPr="00CD56B9">
        <w:rPr>
          <w:lang w:val="en-US"/>
        </w:rPr>
        <w:t>have</w:t>
      </w:r>
      <w:r w:rsidRPr="00CD56B9">
        <w:rPr>
          <w:lang w:val="en-US"/>
        </w:rPr>
        <w:t xml:space="preserve"> caused DPs to withhold funds. In response to the resulting national budget gap, the Kwacha was devalued by 33% in 2012, which greatly affected the country. Growing </w:t>
      </w:r>
      <w:r w:rsidR="009C7566" w:rsidRPr="00CD56B9">
        <w:rPr>
          <w:lang w:val="en-US"/>
        </w:rPr>
        <w:t xml:space="preserve">accountability </w:t>
      </w:r>
      <w:r w:rsidRPr="00CD56B9">
        <w:rPr>
          <w:lang w:val="en-US"/>
        </w:rPr>
        <w:t>concerns</w:t>
      </w:r>
      <w:r w:rsidR="00800339" w:rsidRPr="00CD56B9">
        <w:rPr>
          <w:lang w:val="en-US"/>
        </w:rPr>
        <w:t xml:space="preserve"> and </w:t>
      </w:r>
      <w:r w:rsidRPr="00CD56B9">
        <w:rPr>
          <w:lang w:val="en-US"/>
        </w:rPr>
        <w:t>a lack of p</w:t>
      </w:r>
      <w:r w:rsidR="00800339" w:rsidRPr="00CD56B9">
        <w:rPr>
          <w:lang w:val="en-US"/>
        </w:rPr>
        <w:t xml:space="preserve">rogress in </w:t>
      </w:r>
      <w:r w:rsidRPr="00CD56B9">
        <w:rPr>
          <w:lang w:val="en-US"/>
        </w:rPr>
        <w:t>public sector reform</w:t>
      </w:r>
      <w:r w:rsidR="00800339" w:rsidRPr="00CD56B9">
        <w:rPr>
          <w:lang w:val="en-US"/>
        </w:rPr>
        <w:t>s</w:t>
      </w:r>
      <w:r w:rsidRPr="00CD56B9">
        <w:rPr>
          <w:lang w:val="en-US"/>
        </w:rPr>
        <w:t xml:space="preserve"> eventually</w:t>
      </w:r>
      <w:r w:rsidR="00C42C62" w:rsidRPr="00CD56B9">
        <w:rPr>
          <w:lang w:val="en-US"/>
        </w:rPr>
        <w:t xml:space="preserve"> culminated when the 2013 c</w:t>
      </w:r>
      <w:r w:rsidR="00800339" w:rsidRPr="00CD56B9">
        <w:rPr>
          <w:lang w:val="en-US"/>
        </w:rPr>
        <w:t>ashg</w:t>
      </w:r>
      <w:r w:rsidRPr="00CD56B9">
        <w:rPr>
          <w:lang w:val="en-US"/>
        </w:rPr>
        <w:t>ate financial scandal broke, and exposed the theft of millions of dollars from public sector coffers, and resulted in the freeze of direct budget support from donors, leaving the GoM with the challenge of fulfilling its mandate towards its citizens with fewer resources.</w:t>
      </w:r>
    </w:p>
    <w:p w14:paraId="26CEF593" w14:textId="77777777" w:rsidR="005353EA" w:rsidRPr="00CD56B9" w:rsidRDefault="005353EA" w:rsidP="005353EA">
      <w:pPr>
        <w:rPr>
          <w:lang w:val="en-US"/>
        </w:rPr>
      </w:pPr>
      <w:r w:rsidRPr="00CD56B9">
        <w:rPr>
          <w:lang w:val="en-US"/>
        </w:rPr>
        <w:t>These events have affected the overall relationships between the GoM and DPs and led donors to look for alternative support modal</w:t>
      </w:r>
      <w:r w:rsidR="00800339" w:rsidRPr="00CD56B9">
        <w:rPr>
          <w:lang w:val="en-US"/>
        </w:rPr>
        <w:t>ities and partnerships. In the Democratic Governance S</w:t>
      </w:r>
      <w:r w:rsidRPr="00CD56B9">
        <w:rPr>
          <w:lang w:val="en-US"/>
        </w:rPr>
        <w:t xml:space="preserve">ector this has resulted in a shift towards support to demand side of accountability, supporting and </w:t>
      </w:r>
      <w:r w:rsidR="004424AF" w:rsidRPr="00CD56B9">
        <w:rPr>
          <w:lang w:val="en-US"/>
        </w:rPr>
        <w:t>mobilizing</w:t>
      </w:r>
      <w:r w:rsidRPr="00CD56B9">
        <w:rPr>
          <w:lang w:val="en-US"/>
        </w:rPr>
        <w:t xml:space="preserve"> civil society and increase citizens capacity to claim their rights. The focus of the DCP can be seen in this light.</w:t>
      </w:r>
    </w:p>
    <w:p w14:paraId="6CAFCF5C" w14:textId="77777777" w:rsidR="005353EA" w:rsidRPr="00CD56B9" w:rsidRDefault="005353EA" w:rsidP="005353EA">
      <w:pPr>
        <w:rPr>
          <w:lang w:val="en-US"/>
        </w:rPr>
      </w:pPr>
      <w:r w:rsidRPr="00CD56B9">
        <w:rPr>
          <w:lang w:val="en-US"/>
        </w:rPr>
        <w:t xml:space="preserve">Such developments </w:t>
      </w:r>
      <w:r w:rsidR="00BB72FC">
        <w:rPr>
          <w:lang w:val="en-US"/>
        </w:rPr>
        <w:t>also have adverse i</w:t>
      </w:r>
      <w:r w:rsidRPr="00CD56B9">
        <w:rPr>
          <w:lang w:val="en-US"/>
        </w:rPr>
        <w:t xml:space="preserve">mpact on the government </w:t>
      </w:r>
      <w:r w:rsidR="00BB72FC">
        <w:rPr>
          <w:lang w:val="en-US"/>
        </w:rPr>
        <w:t>operations and absorption capacity on government institutions vis a vis technical assistance rendered by the DPs</w:t>
      </w:r>
      <w:r w:rsidR="00D25885">
        <w:rPr>
          <w:lang w:val="en-US"/>
        </w:rPr>
        <w:t xml:space="preserve">. The SWAp suffers from this development as well as a </w:t>
      </w:r>
      <w:r w:rsidR="008B7DCB">
        <w:rPr>
          <w:lang w:val="en-US"/>
        </w:rPr>
        <w:t xml:space="preserve">an overall </w:t>
      </w:r>
      <w:r w:rsidR="00D25885">
        <w:rPr>
          <w:lang w:val="en-US"/>
        </w:rPr>
        <w:t>g</w:t>
      </w:r>
      <w:r w:rsidRPr="00CD56B9">
        <w:rPr>
          <w:lang w:val="en-US"/>
        </w:rPr>
        <w:t xml:space="preserve">eneral decline in </w:t>
      </w:r>
      <w:r w:rsidR="008B7DCB" w:rsidRPr="00CD56B9">
        <w:rPr>
          <w:lang w:val="en-US"/>
        </w:rPr>
        <w:t xml:space="preserve">traditional </w:t>
      </w:r>
      <w:r w:rsidRPr="00CD56B9">
        <w:rPr>
          <w:lang w:val="en-US"/>
        </w:rPr>
        <w:t xml:space="preserve">development funds, </w:t>
      </w:r>
      <w:r w:rsidR="008B7DCB">
        <w:rPr>
          <w:lang w:val="en-US"/>
        </w:rPr>
        <w:t xml:space="preserve">which </w:t>
      </w:r>
      <w:r w:rsidRPr="00CD56B9">
        <w:rPr>
          <w:lang w:val="en-US"/>
        </w:rPr>
        <w:t>strain</w:t>
      </w:r>
      <w:r w:rsidR="008B7DCB">
        <w:rPr>
          <w:lang w:val="en-US"/>
        </w:rPr>
        <w:t>s</w:t>
      </w:r>
      <w:r w:rsidRPr="00CD56B9">
        <w:rPr>
          <w:lang w:val="en-US"/>
        </w:rPr>
        <w:t xml:space="preserve"> </w:t>
      </w:r>
      <w:r w:rsidR="008B7DCB">
        <w:rPr>
          <w:lang w:val="en-US"/>
        </w:rPr>
        <w:t>the government’s a</w:t>
      </w:r>
      <w:r w:rsidRPr="00CD56B9">
        <w:rPr>
          <w:lang w:val="en-US"/>
        </w:rPr>
        <w:t xml:space="preserve">bility to fund its development costs and force DPs to prioritize harder within their project portfolios. Declining project funds are also </w:t>
      </w:r>
      <w:r w:rsidR="00C62FD7" w:rsidRPr="00CD56B9">
        <w:rPr>
          <w:lang w:val="en-US"/>
        </w:rPr>
        <w:t xml:space="preserve">affecting </w:t>
      </w:r>
      <w:r w:rsidRPr="00CD56B9">
        <w:rPr>
          <w:lang w:val="en-US"/>
        </w:rPr>
        <w:t xml:space="preserve">project implementation within the Outcome 4.1, e.g. </w:t>
      </w:r>
      <w:r w:rsidR="00C62FD7" w:rsidRPr="00CD56B9">
        <w:rPr>
          <w:lang w:val="en-US"/>
        </w:rPr>
        <w:t xml:space="preserve">the </w:t>
      </w:r>
      <w:r w:rsidRPr="00CD56B9">
        <w:rPr>
          <w:lang w:val="en-US"/>
        </w:rPr>
        <w:t>25% decline in the DCP funds allocations this year.</w:t>
      </w:r>
    </w:p>
    <w:p w14:paraId="2FB2EDCA" w14:textId="77777777" w:rsidR="005353EA" w:rsidRPr="00CD56B9" w:rsidRDefault="005353EA" w:rsidP="005353EA">
      <w:pPr>
        <w:spacing w:after="0"/>
        <w:rPr>
          <w:b/>
          <w:lang w:val="en-US"/>
        </w:rPr>
      </w:pPr>
      <w:r w:rsidRPr="00CD56B9">
        <w:rPr>
          <w:b/>
          <w:lang w:val="en-US"/>
        </w:rPr>
        <w:t>Tripartite elections and change of government</w:t>
      </w:r>
    </w:p>
    <w:p w14:paraId="7E59317A" w14:textId="77777777" w:rsidR="005353EA" w:rsidRPr="00FD6F03" w:rsidRDefault="005353EA" w:rsidP="005353EA">
      <w:pPr>
        <w:spacing w:after="0"/>
        <w:rPr>
          <w:lang w:val="en-US"/>
        </w:rPr>
      </w:pPr>
      <w:r w:rsidRPr="00CD56B9">
        <w:rPr>
          <w:lang w:val="en-US"/>
        </w:rPr>
        <w:t xml:space="preserve">Five-year UNDAF cycles are inevitably going to span across election terms and the 2014 elections saw a new government coming into office. Such events are bound to </w:t>
      </w:r>
      <w:r w:rsidR="008B7DCB">
        <w:rPr>
          <w:lang w:val="en-US"/>
        </w:rPr>
        <w:t>affect</w:t>
      </w:r>
      <w:r w:rsidRPr="00CD56B9">
        <w:rPr>
          <w:lang w:val="en-US"/>
        </w:rPr>
        <w:t xml:space="preserve"> support linked to policy development, changes in legal frameworks, and public reforms with</w:t>
      </w:r>
      <w:r w:rsidR="00D015B9">
        <w:rPr>
          <w:lang w:val="en-US"/>
        </w:rPr>
        <w:t>in</w:t>
      </w:r>
      <w:r w:rsidRPr="00CD56B9">
        <w:rPr>
          <w:lang w:val="en-US"/>
        </w:rPr>
        <w:t xml:space="preserve"> a challenging political economy. </w:t>
      </w:r>
      <w:r w:rsidR="009D09C8">
        <w:rPr>
          <w:lang w:val="en-US"/>
        </w:rPr>
        <w:t>Most r</w:t>
      </w:r>
      <w:r w:rsidRPr="00CD56B9">
        <w:rPr>
          <w:lang w:val="en-US"/>
        </w:rPr>
        <w:t>eform</w:t>
      </w:r>
      <w:r w:rsidR="009D09C8">
        <w:rPr>
          <w:lang w:val="en-US"/>
        </w:rPr>
        <w:t xml:space="preserve">s </w:t>
      </w:r>
      <w:r w:rsidRPr="00CD56B9">
        <w:rPr>
          <w:lang w:val="en-US"/>
        </w:rPr>
        <w:t xml:space="preserve">targeted by the UNDAF Outcome 4.1 are dependent on broad political consensus, </w:t>
      </w:r>
      <w:r w:rsidR="009D09C8">
        <w:rPr>
          <w:lang w:val="en-US"/>
        </w:rPr>
        <w:t xml:space="preserve">which is </w:t>
      </w:r>
      <w:r w:rsidRPr="00CD56B9">
        <w:rPr>
          <w:lang w:val="en-US"/>
        </w:rPr>
        <w:t xml:space="preserve">difficult to </w:t>
      </w:r>
      <w:r w:rsidR="009D09C8" w:rsidRPr="00CD56B9">
        <w:rPr>
          <w:lang w:val="en-US"/>
        </w:rPr>
        <w:t>mobilize</w:t>
      </w:r>
      <w:r w:rsidRPr="00CD56B9">
        <w:rPr>
          <w:lang w:val="en-US"/>
        </w:rPr>
        <w:t xml:space="preserve"> in </w:t>
      </w:r>
      <w:r w:rsidR="000F5CED" w:rsidRPr="00CD56B9">
        <w:rPr>
          <w:lang w:val="en-US"/>
        </w:rPr>
        <w:t xml:space="preserve">across election terms </w:t>
      </w:r>
      <w:r w:rsidRPr="00CD56B9">
        <w:rPr>
          <w:lang w:val="en-US"/>
        </w:rPr>
        <w:t>and leaves many initiatives vulnerable due to lack of ownership. Core area</w:t>
      </w:r>
      <w:r w:rsidR="007B2926">
        <w:rPr>
          <w:lang w:val="en-US"/>
        </w:rPr>
        <w:t>s</w:t>
      </w:r>
      <w:r w:rsidRPr="00CD56B9">
        <w:rPr>
          <w:lang w:val="en-US"/>
        </w:rPr>
        <w:t xml:space="preserve"> of the election reforms will be difficult to move in any case as explained above, and </w:t>
      </w:r>
      <w:r w:rsidR="0058602B">
        <w:rPr>
          <w:lang w:val="en-US"/>
        </w:rPr>
        <w:t xml:space="preserve">the </w:t>
      </w:r>
      <w:r w:rsidRPr="00CD56B9">
        <w:rPr>
          <w:lang w:val="en-US"/>
        </w:rPr>
        <w:t xml:space="preserve">local government reform relies heavily on political consensus across </w:t>
      </w:r>
      <w:r w:rsidR="0058602B">
        <w:rPr>
          <w:lang w:val="en-US"/>
        </w:rPr>
        <w:t xml:space="preserve">governments and </w:t>
      </w:r>
      <w:r w:rsidRPr="00CD56B9">
        <w:rPr>
          <w:lang w:val="en-US"/>
        </w:rPr>
        <w:t xml:space="preserve">political party fault lines. The previous stop-and-go policy on </w:t>
      </w:r>
      <w:r w:rsidR="0058602B" w:rsidRPr="00CD56B9">
        <w:rPr>
          <w:lang w:val="en-US"/>
        </w:rPr>
        <w:t>decentralization</w:t>
      </w:r>
      <w:r w:rsidRPr="00CD56B9">
        <w:rPr>
          <w:lang w:val="en-US"/>
        </w:rPr>
        <w:t xml:space="preserve"> </w:t>
      </w:r>
      <w:r w:rsidR="007B2926">
        <w:rPr>
          <w:lang w:val="en-US"/>
        </w:rPr>
        <w:t xml:space="preserve">illustrates </w:t>
      </w:r>
      <w:r w:rsidRPr="00CD56B9">
        <w:rPr>
          <w:lang w:val="en-US"/>
        </w:rPr>
        <w:t xml:space="preserve">the </w:t>
      </w:r>
      <w:r w:rsidR="0058602B">
        <w:rPr>
          <w:lang w:val="en-US"/>
        </w:rPr>
        <w:t xml:space="preserve">political and </w:t>
      </w:r>
      <w:r w:rsidRPr="00CD56B9">
        <w:rPr>
          <w:lang w:val="en-US"/>
        </w:rPr>
        <w:t xml:space="preserve">bureaucratic inertia it </w:t>
      </w:r>
      <w:r w:rsidR="0058602B">
        <w:rPr>
          <w:lang w:val="en-US"/>
        </w:rPr>
        <w:t xml:space="preserve">needs to bridge. </w:t>
      </w:r>
      <w:r w:rsidRPr="00CD56B9">
        <w:rPr>
          <w:lang w:val="en-US"/>
        </w:rPr>
        <w:t>The PPRR</w:t>
      </w:r>
      <w:r>
        <w:rPr>
          <w:lang w:val="en-US"/>
        </w:rPr>
        <w:t xml:space="preserve"> Bill was tabled in </w:t>
      </w:r>
      <w:r w:rsidR="0058602B">
        <w:rPr>
          <w:lang w:val="en-US"/>
        </w:rPr>
        <w:t xml:space="preserve">the </w:t>
      </w:r>
      <w:r>
        <w:rPr>
          <w:lang w:val="en-US"/>
        </w:rPr>
        <w:t xml:space="preserve">Parliament prior to the 2014 elections and now seems to </w:t>
      </w:r>
      <w:r w:rsidR="0058602B">
        <w:rPr>
          <w:lang w:val="en-US"/>
        </w:rPr>
        <w:t>be</w:t>
      </w:r>
      <w:r>
        <w:rPr>
          <w:lang w:val="en-US"/>
        </w:rPr>
        <w:t xml:space="preserve"> sidelined</w:t>
      </w:r>
      <w:r w:rsidR="0058602B">
        <w:rPr>
          <w:lang w:val="en-US"/>
        </w:rPr>
        <w:t xml:space="preserve"> </w:t>
      </w:r>
      <w:r>
        <w:rPr>
          <w:lang w:val="en-US"/>
        </w:rPr>
        <w:t xml:space="preserve">for the time being. </w:t>
      </w:r>
      <w:r w:rsidRPr="00914E3F">
        <w:rPr>
          <w:lang w:val="en-US"/>
        </w:rPr>
        <w:t xml:space="preserve">The </w:t>
      </w:r>
      <w:r>
        <w:rPr>
          <w:lang w:val="en-US"/>
        </w:rPr>
        <w:t xml:space="preserve">change of </w:t>
      </w:r>
      <w:r w:rsidRPr="00914E3F">
        <w:rPr>
          <w:lang w:val="en-US"/>
        </w:rPr>
        <w:t xml:space="preserve">leadership at various levels of both the executive and legislative arms of government has slowed progress as there has been considerable loss of institutional memory and also uncertainty on the part of the bureaucracy to move on certain commitments. At a local level, the nine-year absence of councilors has undermined traditions and </w:t>
      </w:r>
      <w:r w:rsidR="00C25A0D">
        <w:rPr>
          <w:lang w:val="en-US"/>
        </w:rPr>
        <w:t xml:space="preserve">the </w:t>
      </w:r>
      <w:r w:rsidRPr="00914E3F">
        <w:rPr>
          <w:lang w:val="en-US"/>
        </w:rPr>
        <w:t>culture of local government</w:t>
      </w:r>
      <w:r w:rsidR="009C20AB">
        <w:rPr>
          <w:lang w:val="en-US"/>
        </w:rPr>
        <w:t xml:space="preserve"> and the </w:t>
      </w:r>
      <w:r w:rsidRPr="00914E3F">
        <w:rPr>
          <w:lang w:val="en-US"/>
        </w:rPr>
        <w:t xml:space="preserve">lower </w:t>
      </w:r>
      <w:r w:rsidR="009C20AB">
        <w:rPr>
          <w:lang w:val="en-US"/>
        </w:rPr>
        <w:t xml:space="preserve">governance </w:t>
      </w:r>
      <w:r w:rsidRPr="00914E3F">
        <w:rPr>
          <w:lang w:val="en-US"/>
        </w:rPr>
        <w:t xml:space="preserve">structures, in particular the Area Development Committees and Village Development Committees are to be reconstituted. </w:t>
      </w:r>
    </w:p>
    <w:p w14:paraId="3ECC0005" w14:textId="77777777" w:rsidR="005353EA" w:rsidRPr="00CD56B9" w:rsidRDefault="005353EA" w:rsidP="005353EA">
      <w:pPr>
        <w:spacing w:after="0"/>
        <w:rPr>
          <w:lang w:val="en-US"/>
        </w:rPr>
      </w:pPr>
    </w:p>
    <w:p w14:paraId="461F8B16" w14:textId="77777777" w:rsidR="00C141F8" w:rsidRDefault="00C141F8" w:rsidP="005353EA">
      <w:pPr>
        <w:spacing w:after="0"/>
        <w:rPr>
          <w:b/>
          <w:lang w:val="en-US"/>
        </w:rPr>
      </w:pPr>
    </w:p>
    <w:p w14:paraId="33298C78" w14:textId="77777777" w:rsidR="005353EA" w:rsidRPr="00701664" w:rsidRDefault="005353EA" w:rsidP="005353EA">
      <w:pPr>
        <w:spacing w:after="0"/>
        <w:rPr>
          <w:b/>
          <w:lang w:val="en-US"/>
        </w:rPr>
      </w:pPr>
      <w:r>
        <w:rPr>
          <w:b/>
          <w:lang w:val="en-US"/>
        </w:rPr>
        <w:lastRenderedPageBreak/>
        <w:t>D</w:t>
      </w:r>
      <w:r w:rsidRPr="00701664">
        <w:rPr>
          <w:b/>
          <w:lang w:val="en-US"/>
        </w:rPr>
        <w:t>elay</w:t>
      </w:r>
      <w:r>
        <w:rPr>
          <w:b/>
          <w:lang w:val="en-US"/>
        </w:rPr>
        <w:t>ed funds release</w:t>
      </w:r>
      <w:r w:rsidRPr="00701664">
        <w:rPr>
          <w:b/>
          <w:lang w:val="en-US"/>
        </w:rPr>
        <w:t>, then quick disbursement</w:t>
      </w:r>
      <w:r w:rsidR="0062309B">
        <w:rPr>
          <w:b/>
          <w:lang w:val="en-US"/>
        </w:rPr>
        <w:t>s</w:t>
      </w:r>
    </w:p>
    <w:p w14:paraId="5BFEAA77" w14:textId="77777777" w:rsidR="00B75FD4" w:rsidRPr="00FB199D" w:rsidRDefault="005353EA" w:rsidP="005353EA">
      <w:pPr>
        <w:rPr>
          <w:i/>
          <w:lang w:val="en-US"/>
        </w:rPr>
      </w:pPr>
      <w:r>
        <w:rPr>
          <w:lang w:val="en-US"/>
        </w:rPr>
        <w:t xml:space="preserve">Most </w:t>
      </w:r>
      <w:r w:rsidR="005F0B6A">
        <w:rPr>
          <w:lang w:val="en-US"/>
        </w:rPr>
        <w:t xml:space="preserve">support </w:t>
      </w:r>
      <w:r>
        <w:rPr>
          <w:lang w:val="en-US"/>
        </w:rPr>
        <w:t>projects within the portfolio complained about delayed funds disbursements. Sometimes such delays may be caused by irregularities in project management and accountings other times it might be caused by delays in funds disbursements on behalf of the UNCT. The MTE team got the impression that both factors cause delays in funds disbursements. Some projects are quite capable of doing proper financial management and cannot be blamed for delays. Other projects, e.g. the MHRC support project with its multiple funding sources, attract audit comments, which then need to be complied with before new disbursements can be released. What seems to amplify the impact of</w:t>
      </w:r>
      <w:r w:rsidR="00B75FD4">
        <w:rPr>
          <w:lang w:val="en-US"/>
        </w:rPr>
        <w:t xml:space="preserve"> the funds delays is</w:t>
      </w:r>
      <w:r>
        <w:rPr>
          <w:lang w:val="en-US"/>
        </w:rPr>
        <w:t xml:space="preserve"> the urgency in which the projects then are obliged to spend the funds once released for disbursement, allowing less for time to conduct planned activities. The urgency to spend quickly in less time came across as a common issue among all support projects and </w:t>
      </w:r>
      <w:r w:rsidR="00B75FD4">
        <w:rPr>
          <w:lang w:val="en-US"/>
        </w:rPr>
        <w:t>such un</w:t>
      </w:r>
      <w:r>
        <w:rPr>
          <w:lang w:val="en-US"/>
        </w:rPr>
        <w:t xml:space="preserve">predictability in funds disbursements is not optimal for </w:t>
      </w:r>
      <w:r w:rsidR="00B75FD4">
        <w:rPr>
          <w:lang w:val="en-US"/>
        </w:rPr>
        <w:t xml:space="preserve">the </w:t>
      </w:r>
      <w:r>
        <w:rPr>
          <w:lang w:val="en-US"/>
        </w:rPr>
        <w:t>project management.</w:t>
      </w:r>
      <w:r w:rsidR="0001612E">
        <w:rPr>
          <w:lang w:val="en-US"/>
        </w:rPr>
        <w:t xml:space="preserve"> The MTE would like to call on the UNCT of expedite funds release, when accounting and reporting is done correctly, while engage with beneficiaries not able to do proper accounting.</w:t>
      </w:r>
      <w:r w:rsidR="0085695F" w:rsidRPr="0085695F">
        <w:rPr>
          <w:b/>
          <w:lang w:val="en-US"/>
        </w:rPr>
        <w:t xml:space="preserve"> </w:t>
      </w:r>
      <w:r w:rsidR="00E27A70" w:rsidRPr="00FB199D">
        <w:rPr>
          <w:i/>
          <w:lang w:val="en-US"/>
        </w:rPr>
        <w:t>(See Recommendation #</w:t>
      </w:r>
      <w:r w:rsidR="0087238B">
        <w:rPr>
          <w:i/>
          <w:lang w:val="en-US"/>
        </w:rPr>
        <w:t xml:space="preserve"> 16</w:t>
      </w:r>
      <w:r w:rsidR="00E27A70" w:rsidRPr="00FB199D">
        <w:rPr>
          <w:i/>
          <w:lang w:val="en-US"/>
        </w:rPr>
        <w:t>)</w:t>
      </w:r>
      <w:r w:rsidR="0085695F" w:rsidRPr="00FB199D">
        <w:rPr>
          <w:i/>
          <w:lang w:val="en-US"/>
        </w:rPr>
        <w:t xml:space="preserve">  </w:t>
      </w:r>
    </w:p>
    <w:p w14:paraId="53DE6D06" w14:textId="77777777" w:rsidR="00B75FD4" w:rsidRDefault="00B75FD4" w:rsidP="005353EA">
      <w:pPr>
        <w:rPr>
          <w:lang w:val="en-US"/>
        </w:rPr>
      </w:pPr>
    </w:p>
    <w:p w14:paraId="17095833" w14:textId="77777777" w:rsidR="00DC1F2D" w:rsidRDefault="005353EA" w:rsidP="005353EA">
      <w:pPr>
        <w:rPr>
          <w:lang w:val="en-US"/>
        </w:rPr>
        <w:sectPr w:rsidR="00DC1F2D" w:rsidSect="000C1092">
          <w:pgSz w:w="12240" w:h="15840"/>
          <w:pgMar w:top="1440" w:right="1440" w:bottom="1440" w:left="1440" w:header="720" w:footer="720" w:gutter="0"/>
          <w:cols w:space="720"/>
          <w:docGrid w:linePitch="360"/>
        </w:sectPr>
      </w:pPr>
      <w:r>
        <w:rPr>
          <w:lang w:val="en-US"/>
        </w:rPr>
        <w:t xml:space="preserve"> </w:t>
      </w:r>
    </w:p>
    <w:p w14:paraId="5C8947E9" w14:textId="77777777" w:rsidR="004424AF" w:rsidRPr="004424AF" w:rsidRDefault="00655C7E" w:rsidP="004424AF">
      <w:pPr>
        <w:pStyle w:val="Overskrift1"/>
        <w:spacing w:before="0"/>
        <w:rPr>
          <w:lang w:val="en-US"/>
        </w:rPr>
      </w:pPr>
      <w:bookmarkStart w:id="44" w:name="_Toc439245596"/>
      <w:r w:rsidRPr="00CD56B9">
        <w:rPr>
          <w:lang w:val="en-US"/>
        </w:rPr>
        <w:lastRenderedPageBreak/>
        <w:t xml:space="preserve">6. </w:t>
      </w:r>
      <w:r w:rsidR="00675316" w:rsidRPr="004424AF">
        <w:rPr>
          <w:lang w:val="en-US"/>
        </w:rPr>
        <w:t xml:space="preserve">UNDP </w:t>
      </w:r>
      <w:r w:rsidR="00675316">
        <w:rPr>
          <w:lang w:val="en-US"/>
        </w:rPr>
        <w:t>Leadership</w:t>
      </w:r>
      <w:r w:rsidR="008729FC">
        <w:rPr>
          <w:lang w:val="en-US"/>
        </w:rPr>
        <w:t xml:space="preserve"> </w:t>
      </w:r>
      <w:r w:rsidR="00675316">
        <w:rPr>
          <w:lang w:val="en-US"/>
        </w:rPr>
        <w:t xml:space="preserve">and </w:t>
      </w:r>
      <w:r w:rsidR="00D246D4">
        <w:rPr>
          <w:lang w:val="en-US"/>
        </w:rPr>
        <w:t>Coordination</w:t>
      </w:r>
      <w:bookmarkEnd w:id="44"/>
    </w:p>
    <w:p w14:paraId="19989601" w14:textId="77777777" w:rsidR="004424AF" w:rsidRPr="004424AF" w:rsidRDefault="004424AF" w:rsidP="004424AF">
      <w:pPr>
        <w:spacing w:after="0"/>
        <w:rPr>
          <w:lang w:val="en-US"/>
        </w:rPr>
      </w:pPr>
    </w:p>
    <w:p w14:paraId="0DBF6E79" w14:textId="77777777" w:rsidR="004424AF" w:rsidRPr="004424AF" w:rsidRDefault="004424AF" w:rsidP="004424AF">
      <w:pPr>
        <w:rPr>
          <w:lang w:val="en-US"/>
        </w:rPr>
      </w:pPr>
      <w:r w:rsidRPr="004424AF">
        <w:rPr>
          <w:lang w:val="en-US"/>
        </w:rPr>
        <w:t xml:space="preserve">In terms of relevance vis-à-vis the Malawian development goals in democratic governance, the overall conclusion is that all interventions are firmly anchored in government policies and strategies. Democratic governance and human rights are also core areas within the UN mandate and the UNDP is well positioned to lead support interventions in democratic governance. The broad support delivered through the UN system and the strong, comparative advantage in DG and HR also strongly positions the UNCT to pursue democratic governance and human rights broadly in its UNDAF wide support portfolio.  </w:t>
      </w:r>
    </w:p>
    <w:p w14:paraId="03FDBDBA" w14:textId="77777777" w:rsidR="00675316" w:rsidRDefault="00675316" w:rsidP="002E5A42">
      <w:pPr>
        <w:spacing w:after="0"/>
        <w:rPr>
          <w:lang w:val="en-US"/>
        </w:rPr>
      </w:pPr>
      <w:r w:rsidRPr="004424AF">
        <w:rPr>
          <w:lang w:val="en-US"/>
        </w:rPr>
        <w:t>UNCT</w:t>
      </w:r>
      <w:r w:rsidR="00A92577">
        <w:rPr>
          <w:lang w:val="en-US"/>
        </w:rPr>
        <w:t>,</w:t>
      </w:r>
      <w:r w:rsidRPr="004424AF">
        <w:rPr>
          <w:lang w:val="en-US"/>
        </w:rPr>
        <w:t xml:space="preserve"> </w:t>
      </w:r>
      <w:r>
        <w:rPr>
          <w:lang w:val="en-US"/>
        </w:rPr>
        <w:t>under the leadership of UNDP</w:t>
      </w:r>
      <w:r w:rsidR="00A92577">
        <w:rPr>
          <w:lang w:val="en-US"/>
        </w:rPr>
        <w:t>,</w:t>
      </w:r>
      <w:r>
        <w:rPr>
          <w:lang w:val="en-US"/>
        </w:rPr>
        <w:t xml:space="preserve"> </w:t>
      </w:r>
      <w:r w:rsidRPr="004424AF">
        <w:rPr>
          <w:lang w:val="en-US"/>
        </w:rPr>
        <w:t>has been responsive to changes in government priorities, and maintained the re</w:t>
      </w:r>
      <w:r w:rsidR="00A92577">
        <w:rPr>
          <w:lang w:val="en-US"/>
        </w:rPr>
        <w:t xml:space="preserve">levance of the support </w:t>
      </w:r>
      <w:r w:rsidR="002E5A42">
        <w:rPr>
          <w:lang w:val="en-US"/>
        </w:rPr>
        <w:t>rendered. This</w:t>
      </w:r>
      <w:r w:rsidR="00A92577">
        <w:rPr>
          <w:lang w:val="en-US"/>
        </w:rPr>
        <w:t xml:space="preserve"> is </w:t>
      </w:r>
      <w:r w:rsidR="002E5A42">
        <w:rPr>
          <w:lang w:val="en-US"/>
        </w:rPr>
        <w:t xml:space="preserve">perhaps </w:t>
      </w:r>
      <w:r>
        <w:rPr>
          <w:lang w:val="en-US"/>
        </w:rPr>
        <w:t xml:space="preserve">best illustrated by the adoption of </w:t>
      </w:r>
      <w:r w:rsidRPr="004424AF">
        <w:rPr>
          <w:lang w:val="en-US"/>
        </w:rPr>
        <w:t xml:space="preserve">the national peace architecture in the UNDAF and </w:t>
      </w:r>
      <w:r w:rsidR="00C82EEA">
        <w:rPr>
          <w:lang w:val="en-US"/>
        </w:rPr>
        <w:t xml:space="preserve">in </w:t>
      </w:r>
      <w:r w:rsidRPr="004424AF">
        <w:rPr>
          <w:lang w:val="en-US"/>
        </w:rPr>
        <w:t xml:space="preserve">the </w:t>
      </w:r>
      <w:r w:rsidR="00C82EEA">
        <w:rPr>
          <w:lang w:val="en-US"/>
        </w:rPr>
        <w:t>support</w:t>
      </w:r>
      <w:r w:rsidRPr="004424AF">
        <w:rPr>
          <w:lang w:val="en-US"/>
        </w:rPr>
        <w:t xml:space="preserve"> portfolio. </w:t>
      </w:r>
      <w:r>
        <w:rPr>
          <w:lang w:val="en-US"/>
        </w:rPr>
        <w:t xml:space="preserve">This upcoming </w:t>
      </w:r>
      <w:r w:rsidRPr="004424AF">
        <w:rPr>
          <w:lang w:val="en-US"/>
        </w:rPr>
        <w:t>addition to the governance structure</w:t>
      </w:r>
      <w:r>
        <w:rPr>
          <w:lang w:val="en-US"/>
        </w:rPr>
        <w:t xml:space="preserve"> </w:t>
      </w:r>
      <w:r w:rsidRPr="004424AF">
        <w:rPr>
          <w:lang w:val="en-US"/>
        </w:rPr>
        <w:t xml:space="preserve">will </w:t>
      </w:r>
      <w:r w:rsidR="009319A3">
        <w:rPr>
          <w:lang w:val="en-US"/>
        </w:rPr>
        <w:t xml:space="preserve">eventually </w:t>
      </w:r>
      <w:r w:rsidRPr="004424AF">
        <w:rPr>
          <w:lang w:val="en-US"/>
        </w:rPr>
        <w:t xml:space="preserve">introduce a permanent </w:t>
      </w:r>
      <w:r w:rsidR="009319A3">
        <w:rPr>
          <w:lang w:val="en-US"/>
        </w:rPr>
        <w:t>mechanism</w:t>
      </w:r>
      <w:r w:rsidRPr="004424AF">
        <w:rPr>
          <w:lang w:val="en-US"/>
        </w:rPr>
        <w:t xml:space="preserve"> for </w:t>
      </w:r>
      <w:r>
        <w:rPr>
          <w:lang w:val="en-US"/>
        </w:rPr>
        <w:t xml:space="preserve">local </w:t>
      </w:r>
      <w:r w:rsidRPr="004424AF">
        <w:rPr>
          <w:lang w:val="en-US"/>
        </w:rPr>
        <w:t xml:space="preserve">conflicts resolutions though partnerships with civil society organizations. </w:t>
      </w:r>
    </w:p>
    <w:p w14:paraId="38642AAA" w14:textId="77777777" w:rsidR="002E5A42" w:rsidRPr="004424AF" w:rsidRDefault="002E5A42" w:rsidP="002E5A42">
      <w:pPr>
        <w:spacing w:after="0"/>
        <w:rPr>
          <w:lang w:val="en-US"/>
        </w:rPr>
      </w:pPr>
    </w:p>
    <w:p w14:paraId="75C58808" w14:textId="77777777" w:rsidR="00A92577" w:rsidRPr="00A92577" w:rsidRDefault="00A92577" w:rsidP="00A92577">
      <w:pPr>
        <w:pStyle w:val="Overskrift2"/>
        <w:numPr>
          <w:ilvl w:val="0"/>
          <w:numId w:val="0"/>
        </w:numPr>
        <w:ind w:left="405" w:hanging="405"/>
        <w:rPr>
          <w:lang w:val="en-US"/>
        </w:rPr>
      </w:pPr>
      <w:bookmarkStart w:id="45" w:name="_Toc439245597"/>
      <w:r>
        <w:rPr>
          <w:lang w:val="en-US"/>
        </w:rPr>
        <w:t xml:space="preserve">6.1 </w:t>
      </w:r>
      <w:r w:rsidRPr="00A92577">
        <w:rPr>
          <w:lang w:val="en-US"/>
        </w:rPr>
        <w:t>Partnerships and Coordination</w:t>
      </w:r>
      <w:bookmarkEnd w:id="45"/>
    </w:p>
    <w:p w14:paraId="360097AA" w14:textId="77777777" w:rsidR="00A92577" w:rsidRPr="00A92577" w:rsidRDefault="00A92577" w:rsidP="00A92577">
      <w:pPr>
        <w:spacing w:after="0"/>
        <w:rPr>
          <w:lang w:val="en-US"/>
        </w:rPr>
      </w:pPr>
    </w:p>
    <w:p w14:paraId="4FC718DE" w14:textId="77777777" w:rsidR="002E5A42" w:rsidRDefault="00A92577" w:rsidP="002E5A42">
      <w:pPr>
        <w:spacing w:after="0"/>
        <w:rPr>
          <w:lang w:val="en-US"/>
        </w:rPr>
      </w:pPr>
      <w:r w:rsidRPr="00A92577">
        <w:rPr>
          <w:lang w:val="en-US"/>
        </w:rPr>
        <w:t xml:space="preserve">Despite the large number of actors in democratic governance in Malawi, there seems to be good cooperation among development partners. Even district plans appear to incorporate off-budget development activities and resources, which in many countries often is a problem. The SWAp is key in coordinating the many actors in democratic governance and even though the basket fund approach does not work well and some question the government ownership to SWAp, </w:t>
      </w:r>
      <w:r w:rsidR="000A25C7">
        <w:rPr>
          <w:lang w:val="en-US"/>
        </w:rPr>
        <w:t>it</w:t>
      </w:r>
      <w:r w:rsidRPr="00A92577">
        <w:rPr>
          <w:lang w:val="en-US"/>
        </w:rPr>
        <w:t xml:space="preserve"> does at least provide for a basic coordination tool to mainstream governance and human rights effort among government institutions and CSOs and </w:t>
      </w:r>
      <w:r w:rsidR="000A25C7" w:rsidRPr="00A92577">
        <w:rPr>
          <w:lang w:val="en-US"/>
        </w:rPr>
        <w:t>harmonize</w:t>
      </w:r>
      <w:r w:rsidRPr="00A92577">
        <w:rPr>
          <w:lang w:val="en-US"/>
        </w:rPr>
        <w:t xml:space="preserve"> the support rendered to the sector. </w:t>
      </w:r>
    </w:p>
    <w:p w14:paraId="2411DAC3" w14:textId="77777777" w:rsidR="002E5A42" w:rsidRDefault="002E5A42" w:rsidP="002E5A42">
      <w:pPr>
        <w:spacing w:after="0"/>
        <w:rPr>
          <w:lang w:val="en-US"/>
        </w:rPr>
      </w:pPr>
    </w:p>
    <w:p w14:paraId="5C0223B6" w14:textId="77777777" w:rsidR="002E5A42" w:rsidRDefault="002E5A42" w:rsidP="002E5A42">
      <w:pPr>
        <w:spacing w:after="0"/>
        <w:rPr>
          <w:lang w:val="en-US"/>
        </w:rPr>
      </w:pPr>
      <w:r w:rsidRPr="004424AF">
        <w:rPr>
          <w:lang w:val="en-US"/>
        </w:rPr>
        <w:t xml:space="preserve">All stakeholders the MTE team met, in government, civil society and among DPs, </w:t>
      </w:r>
      <w:r w:rsidR="00240F95">
        <w:rPr>
          <w:lang w:val="en-US"/>
        </w:rPr>
        <w:t xml:space="preserve">also </w:t>
      </w:r>
      <w:r w:rsidRPr="004424AF">
        <w:rPr>
          <w:lang w:val="en-US"/>
        </w:rPr>
        <w:t>expressed their general appreciation of the lead role of UNDP in democratic governance and the manner, which the UN promotes democratic values and human rights in its cooperation with the government. The DPs highlighted the 2014 tripartite elections as an area where UNDP support has been particularly successful.</w:t>
      </w:r>
    </w:p>
    <w:p w14:paraId="5920D1C9" w14:textId="77777777" w:rsidR="002E5A42" w:rsidRDefault="002E5A42" w:rsidP="002E5A42">
      <w:pPr>
        <w:spacing w:after="0"/>
        <w:rPr>
          <w:lang w:val="en-US"/>
        </w:rPr>
      </w:pPr>
    </w:p>
    <w:p w14:paraId="5B1CEF99" w14:textId="77777777" w:rsidR="00A92577" w:rsidRPr="00A92577" w:rsidRDefault="00A92577" w:rsidP="00A92577">
      <w:pPr>
        <w:spacing w:after="0"/>
        <w:rPr>
          <w:b/>
          <w:lang w:val="en-US"/>
        </w:rPr>
      </w:pPr>
      <w:r w:rsidRPr="00A92577">
        <w:rPr>
          <w:b/>
          <w:lang w:val="en-US"/>
        </w:rPr>
        <w:t>UNCT coordination</w:t>
      </w:r>
    </w:p>
    <w:p w14:paraId="0020A9C9" w14:textId="77777777" w:rsidR="008B1E30" w:rsidRDefault="00A92577" w:rsidP="00A92577">
      <w:pPr>
        <w:rPr>
          <w:lang w:val="en-US"/>
        </w:rPr>
      </w:pPr>
      <w:r w:rsidRPr="00A92577">
        <w:rPr>
          <w:lang w:val="en-US"/>
        </w:rPr>
        <w:t xml:space="preserve">UNDP is lead agency in democratic governance </w:t>
      </w:r>
      <w:r w:rsidR="00240F95">
        <w:rPr>
          <w:lang w:val="en-US"/>
        </w:rPr>
        <w:t xml:space="preserve">support under UNDAF </w:t>
      </w:r>
      <w:r w:rsidRPr="00A92577">
        <w:rPr>
          <w:lang w:val="en-US"/>
        </w:rPr>
        <w:t>and most support</w:t>
      </w:r>
      <w:r w:rsidR="00240F95">
        <w:rPr>
          <w:lang w:val="en-US"/>
        </w:rPr>
        <w:t xml:space="preserve"> </w:t>
      </w:r>
      <w:r w:rsidRPr="00A92577">
        <w:rPr>
          <w:lang w:val="en-US"/>
        </w:rPr>
        <w:t xml:space="preserve">is </w:t>
      </w:r>
      <w:r w:rsidR="00240F95">
        <w:rPr>
          <w:lang w:val="en-US"/>
        </w:rPr>
        <w:t xml:space="preserve">also </w:t>
      </w:r>
      <w:r w:rsidRPr="00A92577">
        <w:rPr>
          <w:lang w:val="en-US"/>
        </w:rPr>
        <w:t xml:space="preserve">delivered by UNDP. However, a number of </w:t>
      </w:r>
      <w:r w:rsidR="00240F95">
        <w:rPr>
          <w:lang w:val="en-US"/>
        </w:rPr>
        <w:t xml:space="preserve">other </w:t>
      </w:r>
      <w:r w:rsidRPr="00A92577">
        <w:rPr>
          <w:lang w:val="en-US"/>
        </w:rPr>
        <w:t xml:space="preserve">UN agencies also support DG interventions, including UNFPA, UNICEF and UN Women. Since 2009, the UNCT has, on a voluntary basis, </w:t>
      </w:r>
      <w:r w:rsidR="00147B22">
        <w:rPr>
          <w:lang w:val="en-US"/>
        </w:rPr>
        <w:t>adopted</w:t>
      </w:r>
      <w:r w:rsidRPr="00A92577">
        <w:rPr>
          <w:lang w:val="en-US"/>
        </w:rPr>
        <w:t xml:space="preserve"> the DaO approach and worked t</w:t>
      </w:r>
      <w:r w:rsidR="00AD461A">
        <w:rPr>
          <w:lang w:val="en-US"/>
        </w:rPr>
        <w:t xml:space="preserve">owards </w:t>
      </w:r>
      <w:r w:rsidRPr="00A92577">
        <w:rPr>
          <w:lang w:val="en-US"/>
        </w:rPr>
        <w:t xml:space="preserve">a common UNDAF, which is incorporated </w:t>
      </w:r>
      <w:r w:rsidR="00D13783">
        <w:rPr>
          <w:lang w:val="en-US"/>
        </w:rPr>
        <w:t>in agency specific C</w:t>
      </w:r>
      <w:r w:rsidR="008B1E30">
        <w:rPr>
          <w:lang w:val="en-US"/>
        </w:rPr>
        <w:t>P</w:t>
      </w:r>
      <w:r w:rsidR="00D13783">
        <w:rPr>
          <w:lang w:val="en-US"/>
        </w:rPr>
        <w:t>Ds and which,</w:t>
      </w:r>
      <w:r w:rsidRPr="00A92577">
        <w:rPr>
          <w:lang w:val="en-US"/>
        </w:rPr>
        <w:t xml:space="preserve"> over time, </w:t>
      </w:r>
      <w:r w:rsidR="00D13783">
        <w:rPr>
          <w:lang w:val="en-US"/>
        </w:rPr>
        <w:t xml:space="preserve">is aimed to be </w:t>
      </w:r>
      <w:r w:rsidRPr="00A92577">
        <w:rPr>
          <w:lang w:val="en-US"/>
        </w:rPr>
        <w:t xml:space="preserve">commonly funded and implemented. </w:t>
      </w:r>
    </w:p>
    <w:p w14:paraId="001E3866" w14:textId="77777777" w:rsidR="00A92577" w:rsidRPr="00A92577" w:rsidRDefault="00A92577" w:rsidP="00A92577">
      <w:pPr>
        <w:rPr>
          <w:lang w:val="en-US"/>
        </w:rPr>
      </w:pPr>
      <w:r w:rsidRPr="00A92577">
        <w:rPr>
          <w:lang w:val="en-US"/>
        </w:rPr>
        <w:t>The UNCT has come a long way towards joint planning, which the UNDAF and t</w:t>
      </w:r>
      <w:r w:rsidR="00D2392C">
        <w:rPr>
          <w:lang w:val="en-US"/>
        </w:rPr>
        <w:t xml:space="preserve">he linkages to agency CPDs </w:t>
      </w:r>
      <w:r w:rsidR="003B445A">
        <w:rPr>
          <w:lang w:val="en-US"/>
        </w:rPr>
        <w:t>illustrate</w:t>
      </w:r>
      <w:r w:rsidR="00D2392C">
        <w:rPr>
          <w:lang w:val="en-US"/>
        </w:rPr>
        <w:t>. T</w:t>
      </w:r>
      <w:r w:rsidRPr="00A92577">
        <w:rPr>
          <w:lang w:val="en-US"/>
        </w:rPr>
        <w:t xml:space="preserve">he </w:t>
      </w:r>
      <w:r w:rsidR="00D13783" w:rsidRPr="00A92577">
        <w:rPr>
          <w:lang w:val="en-US"/>
        </w:rPr>
        <w:t xml:space="preserve">linkages to </w:t>
      </w:r>
      <w:r w:rsidR="00D2392C">
        <w:rPr>
          <w:lang w:val="en-US"/>
        </w:rPr>
        <w:t xml:space="preserve">the </w:t>
      </w:r>
      <w:r w:rsidR="00D13783" w:rsidRPr="00A92577">
        <w:rPr>
          <w:lang w:val="en-US"/>
        </w:rPr>
        <w:t xml:space="preserve">UNDAF RRF and the agency </w:t>
      </w:r>
      <w:r w:rsidR="00D2392C">
        <w:rPr>
          <w:lang w:val="en-US"/>
        </w:rPr>
        <w:t xml:space="preserve">specific </w:t>
      </w:r>
      <w:r w:rsidR="00D13783" w:rsidRPr="00A92577">
        <w:rPr>
          <w:lang w:val="en-US"/>
        </w:rPr>
        <w:t>CDPs are</w:t>
      </w:r>
      <w:r w:rsidRPr="00A92577">
        <w:rPr>
          <w:lang w:val="en-US"/>
        </w:rPr>
        <w:t xml:space="preserve"> not implemented in full, except for UNDP. The CPD of UNFPA e.g. refers to different outcome numbers, where Outcome 29 refers to Outcome 4.1 in UNDAF. Agency projects may be also be implemented across UNDAF Outcomes, such as the UNICEF support to child courts, which refers to UNDAF 4.1.1, but is also linked to support under UNDAF Outcome 2.5. </w:t>
      </w:r>
    </w:p>
    <w:p w14:paraId="22665343" w14:textId="77777777" w:rsidR="006E2B83" w:rsidRDefault="00966220" w:rsidP="00A92577">
      <w:pPr>
        <w:rPr>
          <w:lang w:val="en-US"/>
        </w:rPr>
      </w:pPr>
      <w:r>
        <w:rPr>
          <w:lang w:val="en-US"/>
        </w:rPr>
        <w:t xml:space="preserve">The </w:t>
      </w:r>
      <w:r w:rsidR="00A92577" w:rsidRPr="00A92577">
        <w:rPr>
          <w:lang w:val="en-US"/>
        </w:rPr>
        <w:t xml:space="preserve">joint programming efforts </w:t>
      </w:r>
      <w:r>
        <w:rPr>
          <w:lang w:val="en-US"/>
        </w:rPr>
        <w:t xml:space="preserve">on project support </w:t>
      </w:r>
      <w:r w:rsidR="00A92577" w:rsidRPr="00A92577">
        <w:rPr>
          <w:lang w:val="en-US"/>
        </w:rPr>
        <w:t xml:space="preserve">focus on </w:t>
      </w:r>
      <w:r w:rsidRPr="00A92577">
        <w:rPr>
          <w:lang w:val="en-US"/>
        </w:rPr>
        <w:t>institutions, which</w:t>
      </w:r>
      <w:r w:rsidR="00A92577" w:rsidRPr="00A92577">
        <w:rPr>
          <w:lang w:val="en-US"/>
        </w:rPr>
        <w:t xml:space="preserve"> engage with multiple UN agencies. Within Outcome 4.1, joint programming is now </w:t>
      </w:r>
      <w:r w:rsidR="002F1FD2" w:rsidRPr="00A92577">
        <w:rPr>
          <w:lang w:val="en-US"/>
        </w:rPr>
        <w:t>practiced</w:t>
      </w:r>
      <w:r w:rsidR="00A92577" w:rsidRPr="00A92577">
        <w:rPr>
          <w:lang w:val="en-US"/>
        </w:rPr>
        <w:t xml:space="preserve"> in the MHRC </w:t>
      </w:r>
      <w:r w:rsidRPr="00A92577">
        <w:rPr>
          <w:lang w:val="en-US"/>
        </w:rPr>
        <w:t xml:space="preserve">project, </w:t>
      </w:r>
      <w:r w:rsidR="0032287F">
        <w:rPr>
          <w:lang w:val="en-US"/>
        </w:rPr>
        <w:t>and the</w:t>
      </w:r>
      <w:r>
        <w:rPr>
          <w:lang w:val="en-US"/>
        </w:rPr>
        <w:t xml:space="preserve"> commission </w:t>
      </w:r>
      <w:r w:rsidRPr="00A92577">
        <w:rPr>
          <w:lang w:val="en-US"/>
        </w:rPr>
        <w:t>commended this approach,</w:t>
      </w:r>
      <w:r w:rsidR="007D553A">
        <w:rPr>
          <w:lang w:val="en-US"/>
        </w:rPr>
        <w:t xml:space="preserve"> and a significant improvement towards better coordination and absorption of technical support rendered</w:t>
      </w:r>
      <w:r w:rsidR="00A92577" w:rsidRPr="00A92577">
        <w:rPr>
          <w:lang w:val="en-US"/>
        </w:rPr>
        <w:t xml:space="preserve">. There is a limit </w:t>
      </w:r>
      <w:r w:rsidR="002F1FD2">
        <w:rPr>
          <w:lang w:val="en-US"/>
        </w:rPr>
        <w:t xml:space="preserve">to </w:t>
      </w:r>
      <w:r w:rsidR="00A92577" w:rsidRPr="00A92577">
        <w:rPr>
          <w:lang w:val="en-US"/>
        </w:rPr>
        <w:t>how far this</w:t>
      </w:r>
      <w:r w:rsidR="00F64014">
        <w:rPr>
          <w:lang w:val="en-US"/>
        </w:rPr>
        <w:t xml:space="preserve"> approach can be taken, however as i</w:t>
      </w:r>
      <w:r w:rsidR="0032287F" w:rsidRPr="00A92577">
        <w:rPr>
          <w:lang w:val="en-US"/>
        </w:rPr>
        <w:t xml:space="preserve">ndividual UN agencies </w:t>
      </w:r>
      <w:r w:rsidR="00F64014">
        <w:rPr>
          <w:lang w:val="en-US"/>
        </w:rPr>
        <w:t xml:space="preserve">are accountable to individual </w:t>
      </w:r>
      <w:r w:rsidR="00A92577" w:rsidRPr="00A92577">
        <w:rPr>
          <w:lang w:val="en-US"/>
        </w:rPr>
        <w:t>funding sources</w:t>
      </w:r>
      <w:r w:rsidR="00F64014">
        <w:rPr>
          <w:lang w:val="en-US"/>
        </w:rPr>
        <w:t xml:space="preserve"> </w:t>
      </w:r>
      <w:r w:rsidR="00F64014">
        <w:rPr>
          <w:lang w:val="en-US"/>
        </w:rPr>
        <w:lastRenderedPageBreak/>
        <w:t xml:space="preserve">and the </w:t>
      </w:r>
      <w:r w:rsidR="00A92577" w:rsidRPr="00A92577">
        <w:rPr>
          <w:lang w:val="en-US"/>
        </w:rPr>
        <w:t xml:space="preserve">IP’s </w:t>
      </w:r>
      <w:r w:rsidR="0032287F">
        <w:rPr>
          <w:lang w:val="en-US"/>
        </w:rPr>
        <w:t>again</w:t>
      </w:r>
      <w:r w:rsidR="0032287F" w:rsidRPr="00A92577">
        <w:rPr>
          <w:lang w:val="en-US"/>
        </w:rPr>
        <w:t xml:space="preserve"> </w:t>
      </w:r>
      <w:r w:rsidR="00A92577" w:rsidRPr="00A92577">
        <w:rPr>
          <w:lang w:val="en-US"/>
        </w:rPr>
        <w:t xml:space="preserve">need to </w:t>
      </w:r>
      <w:r w:rsidR="00F64014">
        <w:rPr>
          <w:lang w:val="en-US"/>
        </w:rPr>
        <w:t xml:space="preserve">operate with </w:t>
      </w:r>
      <w:r w:rsidR="00A92577" w:rsidRPr="00A92577">
        <w:rPr>
          <w:lang w:val="en-US"/>
        </w:rPr>
        <w:t>individual budget lines linked to individual agency support</w:t>
      </w:r>
      <w:r w:rsidR="00F64014">
        <w:rPr>
          <w:lang w:val="en-US"/>
        </w:rPr>
        <w:t xml:space="preserve">. This </w:t>
      </w:r>
      <w:r w:rsidR="00A92577" w:rsidRPr="00A92577">
        <w:rPr>
          <w:lang w:val="en-US"/>
        </w:rPr>
        <w:t>add</w:t>
      </w:r>
      <w:r w:rsidR="006E2B83">
        <w:rPr>
          <w:lang w:val="en-US"/>
        </w:rPr>
        <w:t>s</w:t>
      </w:r>
      <w:r w:rsidR="00A92577" w:rsidRPr="00A92577">
        <w:rPr>
          <w:lang w:val="en-US"/>
        </w:rPr>
        <w:t xml:space="preserve"> to the admin</w:t>
      </w:r>
      <w:r w:rsidR="00F64014">
        <w:rPr>
          <w:lang w:val="en-US"/>
        </w:rPr>
        <w:t xml:space="preserve">istrative </w:t>
      </w:r>
      <w:r w:rsidR="00A92577" w:rsidRPr="00A92577">
        <w:rPr>
          <w:lang w:val="en-US"/>
        </w:rPr>
        <w:t>workload and may also delay implementations. UN staff also stated that they not only have to deal with dual reporting requirements caused by different funding sources and agency specific reporting requirements, the reporting workload was actually worsened by the fact that reporting’s were requested in different time sequences, which does not allow for simple cut and paste measures, which could otherwise have lessened the work load.</w:t>
      </w:r>
      <w:r w:rsidR="006E2B83" w:rsidRPr="006E2B83">
        <w:rPr>
          <w:lang w:val="en-US"/>
        </w:rPr>
        <w:t xml:space="preserve"> </w:t>
      </w:r>
    </w:p>
    <w:p w14:paraId="4A94E7A6" w14:textId="77777777" w:rsidR="00A92577" w:rsidRPr="00A92577" w:rsidRDefault="006E2B83" w:rsidP="00A92577">
      <w:pPr>
        <w:rPr>
          <w:lang w:val="en-US"/>
        </w:rPr>
      </w:pPr>
      <w:r w:rsidRPr="00A92577">
        <w:rPr>
          <w:lang w:val="en-US"/>
        </w:rPr>
        <w:t>As long as funds are mobilized and channeled through individual agencies rather than through the One Fund,</w:t>
      </w:r>
      <w:r w:rsidRPr="006E2B83">
        <w:rPr>
          <w:lang w:val="en-US"/>
        </w:rPr>
        <w:t xml:space="preserve"> </w:t>
      </w:r>
      <w:r>
        <w:rPr>
          <w:lang w:val="en-US"/>
        </w:rPr>
        <w:t xml:space="preserve">however, </w:t>
      </w:r>
      <w:r w:rsidRPr="00A92577">
        <w:rPr>
          <w:lang w:val="en-US"/>
        </w:rPr>
        <w:t xml:space="preserve">dual reporting requirements cannot </w:t>
      </w:r>
      <w:r>
        <w:rPr>
          <w:lang w:val="en-US"/>
        </w:rPr>
        <w:t xml:space="preserve">be </w:t>
      </w:r>
      <w:r w:rsidRPr="00A92577">
        <w:rPr>
          <w:lang w:val="en-US"/>
        </w:rPr>
        <w:t>avoid</w:t>
      </w:r>
      <w:r>
        <w:rPr>
          <w:lang w:val="en-US"/>
        </w:rPr>
        <w:t>ed</w:t>
      </w:r>
      <w:r w:rsidRPr="00A92577">
        <w:rPr>
          <w:lang w:val="en-US"/>
        </w:rPr>
        <w:t xml:space="preserve"> entirely.</w:t>
      </w:r>
      <w:r>
        <w:rPr>
          <w:lang w:val="en-US"/>
        </w:rPr>
        <w:t xml:space="preserve"> T</w:t>
      </w:r>
      <w:r w:rsidR="00A92577" w:rsidRPr="00A92577">
        <w:rPr>
          <w:lang w:val="en-US"/>
        </w:rPr>
        <w:t xml:space="preserve">he introduction of the One Fund as a common funding source for UNCT activities was meant as a measure to compensate for inadequate or uneven funds </w:t>
      </w:r>
      <w:r w:rsidR="002F1FD2" w:rsidRPr="00A92577">
        <w:rPr>
          <w:lang w:val="en-US"/>
        </w:rPr>
        <w:t>mobilization</w:t>
      </w:r>
      <w:r w:rsidR="00A92577" w:rsidRPr="00A92577">
        <w:rPr>
          <w:lang w:val="en-US"/>
        </w:rPr>
        <w:t xml:space="preserve"> and ensure a coherent approach towards the</w:t>
      </w:r>
      <w:r w:rsidR="00EF02D0">
        <w:rPr>
          <w:lang w:val="en-US"/>
        </w:rPr>
        <w:t xml:space="preserve"> UNDAF objectives, but the One F</w:t>
      </w:r>
      <w:r w:rsidR="00A92577" w:rsidRPr="00A92577">
        <w:rPr>
          <w:lang w:val="en-US"/>
        </w:rPr>
        <w:t xml:space="preserve">und has not met it targets and cannot compensate for funding gaps in individual support projects. In addition, the basket fund linked to the SWAp is far from meeting its objectives, </w:t>
      </w:r>
      <w:r w:rsidR="006B4424">
        <w:rPr>
          <w:lang w:val="en-US"/>
        </w:rPr>
        <w:t xml:space="preserve">leaving government agencies underfunded </w:t>
      </w:r>
      <w:r w:rsidR="00A92577" w:rsidRPr="00A92577">
        <w:rPr>
          <w:lang w:val="en-US"/>
        </w:rPr>
        <w:t xml:space="preserve">and resource </w:t>
      </w:r>
      <w:r w:rsidR="002F1FD2" w:rsidRPr="00A92577">
        <w:rPr>
          <w:lang w:val="en-US"/>
        </w:rPr>
        <w:t>mobilization</w:t>
      </w:r>
      <w:r w:rsidR="00A92577" w:rsidRPr="00A92577">
        <w:rPr>
          <w:lang w:val="en-US"/>
        </w:rPr>
        <w:t xml:space="preserve"> </w:t>
      </w:r>
      <w:r w:rsidR="006B4424">
        <w:rPr>
          <w:lang w:val="en-US"/>
        </w:rPr>
        <w:t xml:space="preserve">for development projects dependent on </w:t>
      </w:r>
      <w:r w:rsidR="00A92577" w:rsidRPr="00A92577">
        <w:rPr>
          <w:lang w:val="en-US"/>
        </w:rPr>
        <w:t>‘marketing’ o</w:t>
      </w:r>
      <w:r w:rsidR="006B4424">
        <w:rPr>
          <w:lang w:val="en-US"/>
        </w:rPr>
        <w:t>f individual project proposals and priorities of individual DPs.</w:t>
      </w:r>
    </w:p>
    <w:p w14:paraId="4D87B9F0" w14:textId="77777777" w:rsidR="00A92577" w:rsidRPr="00A92577" w:rsidRDefault="00977066" w:rsidP="00A92577">
      <w:pPr>
        <w:rPr>
          <w:lang w:val="en-US"/>
        </w:rPr>
      </w:pPr>
      <w:r w:rsidRPr="00A92577">
        <w:rPr>
          <w:lang w:val="en-US"/>
        </w:rPr>
        <w:t>Overall</w:t>
      </w:r>
      <w:r>
        <w:rPr>
          <w:lang w:val="en-US"/>
        </w:rPr>
        <w:t>, j</w:t>
      </w:r>
      <w:r w:rsidR="00A92577" w:rsidRPr="00A92577">
        <w:rPr>
          <w:lang w:val="en-US"/>
        </w:rPr>
        <w:t xml:space="preserve">oint programming and implementation is work in good progress and </w:t>
      </w:r>
      <w:r w:rsidR="006B4424">
        <w:rPr>
          <w:lang w:val="en-US"/>
        </w:rPr>
        <w:t xml:space="preserve">currently </w:t>
      </w:r>
      <w:r w:rsidR="00A92577" w:rsidRPr="00A92577">
        <w:rPr>
          <w:lang w:val="en-US"/>
        </w:rPr>
        <w:t xml:space="preserve">addressed where it is most needed </w:t>
      </w:r>
      <w:r w:rsidR="006B4424">
        <w:rPr>
          <w:lang w:val="en-US"/>
        </w:rPr>
        <w:t>(MHRC)</w:t>
      </w:r>
      <w:r w:rsidR="006534A5">
        <w:rPr>
          <w:lang w:val="en-US"/>
        </w:rPr>
        <w:t>. B</w:t>
      </w:r>
      <w:r w:rsidR="00A92577" w:rsidRPr="00A92577">
        <w:rPr>
          <w:lang w:val="en-US"/>
        </w:rPr>
        <w:t xml:space="preserve">ottlenecks </w:t>
      </w:r>
      <w:r w:rsidR="008B308E">
        <w:rPr>
          <w:lang w:val="en-US"/>
        </w:rPr>
        <w:t xml:space="preserve">are </w:t>
      </w:r>
      <w:r w:rsidR="00A92577" w:rsidRPr="00A92577">
        <w:rPr>
          <w:lang w:val="en-US"/>
        </w:rPr>
        <w:t>mostly root</w:t>
      </w:r>
      <w:r w:rsidR="006B4424">
        <w:rPr>
          <w:lang w:val="en-US"/>
        </w:rPr>
        <w:t xml:space="preserve">ed in multiple funding sources </w:t>
      </w:r>
      <w:r w:rsidR="00A92577" w:rsidRPr="00A92577">
        <w:rPr>
          <w:lang w:val="en-US"/>
        </w:rPr>
        <w:t>and global reporting requirements</w:t>
      </w:r>
      <w:r w:rsidR="006B4424">
        <w:rPr>
          <w:lang w:val="en-US"/>
        </w:rPr>
        <w:t>, beyond the influence of the UNCT</w:t>
      </w:r>
      <w:r w:rsidR="00A92577" w:rsidRPr="00A92577">
        <w:rPr>
          <w:lang w:val="en-US"/>
        </w:rPr>
        <w:t>. Adding to this is perhaps also a degree of ‘coordinating fatigue’ caused by the many meetings staffs are attending, both internally and in general.</w:t>
      </w:r>
      <w:r>
        <w:rPr>
          <w:lang w:val="en-US"/>
        </w:rPr>
        <w:t xml:space="preserve"> </w:t>
      </w:r>
      <w:r w:rsidR="008E762A">
        <w:rPr>
          <w:lang w:val="en-US"/>
        </w:rPr>
        <w:t>Nevertheless,</w:t>
      </w:r>
      <w:r>
        <w:rPr>
          <w:lang w:val="en-US"/>
        </w:rPr>
        <w:t xml:space="preserve"> t</w:t>
      </w:r>
      <w:r w:rsidRPr="00A92577">
        <w:rPr>
          <w:lang w:val="en-US"/>
        </w:rPr>
        <w:t xml:space="preserve">he MTE team was left with the impression that there is positive </w:t>
      </w:r>
      <w:r>
        <w:rPr>
          <w:lang w:val="en-US"/>
        </w:rPr>
        <w:t>commitment</w:t>
      </w:r>
      <w:r w:rsidRPr="00A92577">
        <w:rPr>
          <w:lang w:val="en-US"/>
        </w:rPr>
        <w:t xml:space="preserve"> among UN agencies and the </w:t>
      </w:r>
      <w:r>
        <w:rPr>
          <w:lang w:val="en-US"/>
        </w:rPr>
        <w:t>leadership of UNDP i</w:t>
      </w:r>
      <w:r w:rsidRPr="00A92577">
        <w:rPr>
          <w:lang w:val="en-US"/>
        </w:rPr>
        <w:t>n aligning and harmonizing UN support to democratic governance.</w:t>
      </w:r>
    </w:p>
    <w:p w14:paraId="6AF4FA43" w14:textId="77777777" w:rsidR="00BF75D2" w:rsidRPr="00032FA2" w:rsidRDefault="00BF75D2" w:rsidP="00BF75D2">
      <w:pPr>
        <w:spacing w:after="0"/>
        <w:rPr>
          <w:lang w:val="en-US"/>
        </w:rPr>
      </w:pPr>
      <w:r w:rsidRPr="00032FA2">
        <w:rPr>
          <w:lang w:val="en-US"/>
        </w:rPr>
        <w:t xml:space="preserve">With the reinstatement of elected councils, the decentralization process needs a new start and more support should be considered in the coming UNDAF cycle, if the reform gets political backing. Decentralization is an area, which can promote cooperation and synergies among the UN agencies as it can fuse national support to devolution with lessons learnt from district-based projects and strengthen the pivotal role of districts in local development, basic service delivery, </w:t>
      </w:r>
      <w:r w:rsidRPr="009C756F">
        <w:rPr>
          <w:lang w:val="en-US"/>
        </w:rPr>
        <w:t xml:space="preserve">access to informal justice, </w:t>
      </w:r>
      <w:r w:rsidRPr="00032FA2">
        <w:rPr>
          <w:lang w:val="en-US"/>
        </w:rPr>
        <w:t>climate change adaptation, resilience and disaster risk management.  Special attention should be paid to the ongoing work of UNDP, UN-Habitat and UCLG on ‘localizing’ the SDGs</w:t>
      </w:r>
      <w:r w:rsidRPr="00032FA2">
        <w:rPr>
          <w:vertAlign w:val="superscript"/>
        </w:rPr>
        <w:footnoteReference w:id="50"/>
      </w:r>
      <w:r w:rsidRPr="00032FA2">
        <w:rPr>
          <w:lang w:val="en-US"/>
        </w:rPr>
        <w:t>, which may inspire further cooperation and synergies on decentralization.</w:t>
      </w:r>
    </w:p>
    <w:p w14:paraId="5331C085" w14:textId="77777777" w:rsidR="00BF75D2" w:rsidRDefault="00BF75D2" w:rsidP="00A92577">
      <w:pPr>
        <w:spacing w:after="0"/>
        <w:rPr>
          <w:b/>
          <w:lang w:val="en-US"/>
        </w:rPr>
      </w:pPr>
    </w:p>
    <w:p w14:paraId="36B3829D" w14:textId="77777777" w:rsidR="00A92577" w:rsidRPr="00A92577" w:rsidRDefault="00A92577" w:rsidP="00A92577">
      <w:pPr>
        <w:spacing w:after="0"/>
        <w:rPr>
          <w:b/>
          <w:lang w:val="en-US"/>
        </w:rPr>
      </w:pPr>
      <w:r w:rsidRPr="00A92577">
        <w:rPr>
          <w:b/>
          <w:lang w:val="en-US"/>
        </w:rPr>
        <w:t>Partnerships with DPs</w:t>
      </w:r>
    </w:p>
    <w:p w14:paraId="1FA681C7" w14:textId="77777777" w:rsidR="00A92577" w:rsidRDefault="00A92577" w:rsidP="00A92577">
      <w:pPr>
        <w:spacing w:after="0"/>
        <w:rPr>
          <w:lang w:val="en-US"/>
        </w:rPr>
      </w:pPr>
      <w:r w:rsidRPr="00A92577">
        <w:rPr>
          <w:lang w:val="en-US"/>
        </w:rPr>
        <w:t xml:space="preserve">As mentioned </w:t>
      </w:r>
      <w:r w:rsidR="005B3DAE">
        <w:rPr>
          <w:lang w:val="en-US"/>
        </w:rPr>
        <w:t>above</w:t>
      </w:r>
      <w:r w:rsidRPr="00A92577">
        <w:rPr>
          <w:lang w:val="en-US"/>
        </w:rPr>
        <w:t xml:space="preserve">, there is a constructive and mutual cooperation between the UNCT and the development partners in democratic governance and the feedback from the DPs on this working relationship is quite positive. While the full potential of the SWAp could not be </w:t>
      </w:r>
      <w:r w:rsidR="005D7C8B" w:rsidRPr="00A92577">
        <w:rPr>
          <w:lang w:val="en-US"/>
        </w:rPr>
        <w:t>realized</w:t>
      </w:r>
      <w:r w:rsidRPr="00A92577">
        <w:rPr>
          <w:lang w:val="en-US"/>
        </w:rPr>
        <w:t xml:space="preserve"> due to the withdrawal from budget support, there is a good DP cooperation on support to individual institutions such as MEC and MHRC, even </w:t>
      </w:r>
      <w:r w:rsidR="000A24F2">
        <w:rPr>
          <w:lang w:val="en-US"/>
        </w:rPr>
        <w:t>when</w:t>
      </w:r>
      <w:r w:rsidRPr="00A92577">
        <w:rPr>
          <w:lang w:val="en-US"/>
        </w:rPr>
        <w:t xml:space="preserve"> </w:t>
      </w:r>
      <w:r w:rsidR="005B3DAE">
        <w:rPr>
          <w:lang w:val="en-US"/>
        </w:rPr>
        <w:t>parallel funding modalities</w:t>
      </w:r>
      <w:r w:rsidRPr="00A92577">
        <w:rPr>
          <w:lang w:val="en-US"/>
        </w:rPr>
        <w:t xml:space="preserve"> </w:t>
      </w:r>
      <w:r w:rsidR="005B3DAE">
        <w:rPr>
          <w:lang w:val="en-US"/>
        </w:rPr>
        <w:t xml:space="preserve">are </w:t>
      </w:r>
      <w:r w:rsidRPr="00A92577">
        <w:rPr>
          <w:lang w:val="en-US"/>
        </w:rPr>
        <w:t xml:space="preserve">applied. The cooperation with the DPs not only creates good synergies, it is also complementary, which </w:t>
      </w:r>
      <w:r w:rsidR="008E762A">
        <w:rPr>
          <w:lang w:val="en-US"/>
        </w:rPr>
        <w:t xml:space="preserve">is equally important. </w:t>
      </w:r>
      <w:r w:rsidRPr="00A92577">
        <w:rPr>
          <w:lang w:val="en-US"/>
        </w:rPr>
        <w:t xml:space="preserve">Outcome </w:t>
      </w:r>
      <w:r w:rsidR="008E762A">
        <w:rPr>
          <w:lang w:val="en-US"/>
        </w:rPr>
        <w:t xml:space="preserve">4.1 </w:t>
      </w:r>
      <w:r w:rsidR="009462C4">
        <w:rPr>
          <w:lang w:val="en-US"/>
        </w:rPr>
        <w:t>anticipates</w:t>
      </w:r>
      <w:r w:rsidRPr="00A92577">
        <w:rPr>
          <w:lang w:val="en-US"/>
        </w:rPr>
        <w:t xml:space="preserve"> UN support to </w:t>
      </w:r>
      <w:r w:rsidR="005B3DAE">
        <w:rPr>
          <w:lang w:val="en-US"/>
        </w:rPr>
        <w:t>access to</w:t>
      </w:r>
      <w:r w:rsidR="005D7C8B">
        <w:rPr>
          <w:lang w:val="en-US"/>
        </w:rPr>
        <w:t xml:space="preserve"> </w:t>
      </w:r>
      <w:r w:rsidRPr="00A92577">
        <w:rPr>
          <w:lang w:val="en-US"/>
        </w:rPr>
        <w:t xml:space="preserve">formal justice, </w:t>
      </w:r>
      <w:r w:rsidR="005D0826">
        <w:rPr>
          <w:lang w:val="en-US"/>
        </w:rPr>
        <w:t>although this</w:t>
      </w:r>
      <w:r w:rsidRPr="00A92577">
        <w:rPr>
          <w:lang w:val="en-US"/>
        </w:rPr>
        <w:t xml:space="preserve"> </w:t>
      </w:r>
      <w:r w:rsidR="005B3DAE">
        <w:rPr>
          <w:lang w:val="en-US"/>
        </w:rPr>
        <w:t>did</w:t>
      </w:r>
      <w:r w:rsidRPr="00A92577">
        <w:rPr>
          <w:lang w:val="en-US"/>
        </w:rPr>
        <w:t xml:space="preserve"> not really </w:t>
      </w:r>
      <w:r w:rsidR="005B3DAE" w:rsidRPr="00A92577">
        <w:rPr>
          <w:lang w:val="en-US"/>
        </w:rPr>
        <w:t>materialize</w:t>
      </w:r>
      <w:r w:rsidR="005B3DAE">
        <w:rPr>
          <w:lang w:val="en-US"/>
        </w:rPr>
        <w:t xml:space="preserve">, but </w:t>
      </w:r>
      <w:r w:rsidRPr="00A92577">
        <w:rPr>
          <w:lang w:val="en-US"/>
        </w:rPr>
        <w:t>DFID and the EU provide such support</w:t>
      </w:r>
      <w:r w:rsidR="005B3DAE">
        <w:rPr>
          <w:lang w:val="en-US"/>
        </w:rPr>
        <w:t>, even if there are still huge gaps to be filled.</w:t>
      </w:r>
    </w:p>
    <w:p w14:paraId="51CD605F" w14:textId="77777777" w:rsidR="00756A76" w:rsidRDefault="00756A76" w:rsidP="00A92577">
      <w:pPr>
        <w:spacing w:after="0"/>
        <w:rPr>
          <w:lang w:val="en-US"/>
        </w:rPr>
      </w:pPr>
    </w:p>
    <w:p w14:paraId="4EF6F560" w14:textId="77777777" w:rsidR="00756A76" w:rsidRPr="00A92577" w:rsidRDefault="00756A76" w:rsidP="00A92577">
      <w:pPr>
        <w:spacing w:after="0"/>
        <w:rPr>
          <w:lang w:val="en-US"/>
        </w:rPr>
      </w:pPr>
      <w:r>
        <w:rPr>
          <w:lang w:val="en-US"/>
        </w:rPr>
        <w:t xml:space="preserve">Any attempt to improve the roles and functioning of the constitutional bodies under this outcome, as proposed by this report also depends on a mutual collaboration between the UNCT and the </w:t>
      </w:r>
      <w:r w:rsidR="006C71A9">
        <w:rPr>
          <w:lang w:val="en-US"/>
        </w:rPr>
        <w:t>other DPs to unify advocacy and provide additional support.</w:t>
      </w:r>
    </w:p>
    <w:p w14:paraId="73304E0C" w14:textId="77777777" w:rsidR="00A92577" w:rsidRPr="00A92577" w:rsidRDefault="00A92577" w:rsidP="00A92577">
      <w:pPr>
        <w:spacing w:after="0"/>
        <w:rPr>
          <w:lang w:val="en-US"/>
        </w:rPr>
      </w:pPr>
    </w:p>
    <w:p w14:paraId="1F2F0AF6" w14:textId="77777777" w:rsidR="00FB199D" w:rsidRDefault="00A92577" w:rsidP="00A92577">
      <w:pPr>
        <w:spacing w:after="0"/>
        <w:rPr>
          <w:i/>
          <w:lang w:val="en-US"/>
        </w:rPr>
      </w:pPr>
      <w:r w:rsidRPr="00A92577">
        <w:rPr>
          <w:lang w:val="en-US"/>
        </w:rPr>
        <w:t xml:space="preserve">The overall decline in funding from the donors to UN programmes does however pose a structural challenge and perhaps a need for diversification of funds </w:t>
      </w:r>
      <w:r w:rsidR="005B3DAE" w:rsidRPr="00A92577">
        <w:rPr>
          <w:lang w:val="en-US"/>
        </w:rPr>
        <w:t>mobilization</w:t>
      </w:r>
      <w:r w:rsidRPr="00A92577">
        <w:rPr>
          <w:lang w:val="en-US"/>
        </w:rPr>
        <w:t xml:space="preserve">. While this may not be easy in the democratic governance sector, an alternative source could be </w:t>
      </w:r>
      <w:r w:rsidR="00723F7C">
        <w:rPr>
          <w:lang w:val="en-US"/>
        </w:rPr>
        <w:t xml:space="preserve">UNDP’s </w:t>
      </w:r>
      <w:r w:rsidR="003B445A">
        <w:rPr>
          <w:lang w:val="en-US"/>
        </w:rPr>
        <w:t xml:space="preserve">global </w:t>
      </w:r>
      <w:r w:rsidR="00723F7C" w:rsidRPr="00723F7C">
        <w:rPr>
          <w:lang w:val="en-US"/>
        </w:rPr>
        <w:t>Democratic Governance Thematic Trust Fund (DGTTF)</w:t>
      </w:r>
      <w:r w:rsidR="003B445A">
        <w:rPr>
          <w:lang w:val="en-US"/>
        </w:rPr>
        <w:t xml:space="preserve">, which sits with UNDP in New York. This vertical trust fund is a challenge fund, </w:t>
      </w:r>
      <w:r w:rsidR="00723F7C" w:rsidRPr="00723F7C">
        <w:rPr>
          <w:lang w:val="en-US"/>
        </w:rPr>
        <w:t xml:space="preserve">established </w:t>
      </w:r>
      <w:r w:rsidR="00723F7C">
        <w:rPr>
          <w:lang w:val="en-US"/>
        </w:rPr>
        <w:t xml:space="preserve">in 2001 as a </w:t>
      </w:r>
      <w:r w:rsidR="00723F7C" w:rsidRPr="00723F7C">
        <w:rPr>
          <w:lang w:val="en-US"/>
        </w:rPr>
        <w:t xml:space="preserve">mechanism through which donor partners </w:t>
      </w:r>
      <w:r w:rsidR="00723F7C">
        <w:rPr>
          <w:lang w:val="en-US"/>
        </w:rPr>
        <w:t xml:space="preserve">can </w:t>
      </w:r>
      <w:r w:rsidR="00723F7C" w:rsidRPr="00723F7C">
        <w:rPr>
          <w:lang w:val="en-US"/>
        </w:rPr>
        <w:t xml:space="preserve">channel non-core contributions to UNDP’s activities on democratic governance. </w:t>
      </w:r>
      <w:r w:rsidR="00723F7C">
        <w:rPr>
          <w:lang w:val="en-US"/>
        </w:rPr>
        <w:t xml:space="preserve">Its </w:t>
      </w:r>
      <w:r w:rsidR="00723F7C" w:rsidRPr="00723F7C">
        <w:rPr>
          <w:lang w:val="en-US"/>
        </w:rPr>
        <w:t>main function is to provide country offices with discretionary funds to explore innovative approaches in democratic governance in politically sensitive environments and within the areas of inclusive participation, responsive institutions or international principles.</w:t>
      </w:r>
      <w:r w:rsidR="00723F7C">
        <w:rPr>
          <w:lang w:val="en-US"/>
        </w:rPr>
        <w:t xml:space="preserve"> Provided UNDP can set aside resources for formulating project applications for DGTTF</w:t>
      </w:r>
      <w:r w:rsidR="00F33241">
        <w:rPr>
          <w:lang w:val="en-US"/>
        </w:rPr>
        <w:t xml:space="preserve">, it could be a source for additional funds, especially if projects applications are </w:t>
      </w:r>
      <w:r w:rsidR="004F174B">
        <w:rPr>
          <w:lang w:val="en-US"/>
        </w:rPr>
        <w:t xml:space="preserve">linked to democratic governance and promotion of the SDGs. </w:t>
      </w:r>
      <w:r w:rsidR="00E27A70" w:rsidRPr="00FB199D">
        <w:rPr>
          <w:i/>
          <w:lang w:val="en-US"/>
        </w:rPr>
        <w:t>(See Recommendation #</w:t>
      </w:r>
      <w:r w:rsidR="0087238B">
        <w:rPr>
          <w:i/>
          <w:lang w:val="en-US"/>
        </w:rPr>
        <w:t xml:space="preserve"> 17</w:t>
      </w:r>
      <w:r w:rsidR="00E27A70" w:rsidRPr="00FB199D">
        <w:rPr>
          <w:i/>
          <w:lang w:val="en-US"/>
        </w:rPr>
        <w:t>)</w:t>
      </w:r>
    </w:p>
    <w:p w14:paraId="6AC448B8" w14:textId="77777777" w:rsidR="00FB199D" w:rsidRDefault="00FB199D" w:rsidP="00A92577">
      <w:pPr>
        <w:spacing w:after="0"/>
        <w:rPr>
          <w:lang w:val="en-US"/>
        </w:rPr>
      </w:pPr>
    </w:p>
    <w:p w14:paraId="0726B462" w14:textId="77777777" w:rsidR="00A92577" w:rsidRPr="00A92577" w:rsidRDefault="00A92577" w:rsidP="00A92577">
      <w:pPr>
        <w:spacing w:after="0"/>
        <w:rPr>
          <w:lang w:val="en-US"/>
        </w:rPr>
      </w:pPr>
      <w:r w:rsidRPr="00A92577">
        <w:rPr>
          <w:lang w:val="en-US"/>
        </w:rPr>
        <w:t xml:space="preserve">CSR funds are already in use in area-based </w:t>
      </w:r>
      <w:r w:rsidR="003B445A" w:rsidRPr="00A92577">
        <w:rPr>
          <w:lang w:val="en-US"/>
        </w:rPr>
        <w:t>projects</w:t>
      </w:r>
      <w:r w:rsidR="003B445A">
        <w:rPr>
          <w:lang w:val="en-US"/>
        </w:rPr>
        <w:t xml:space="preserve"> </w:t>
      </w:r>
      <w:r w:rsidR="003B445A" w:rsidRPr="00A92577">
        <w:rPr>
          <w:lang w:val="en-US"/>
        </w:rPr>
        <w:t>funded</w:t>
      </w:r>
      <w:r w:rsidRPr="00A92577">
        <w:rPr>
          <w:lang w:val="en-US"/>
        </w:rPr>
        <w:t xml:space="preserve"> by UNICEF or UNFPA and </w:t>
      </w:r>
      <w:r w:rsidR="006C71A9" w:rsidRPr="00A92577">
        <w:rPr>
          <w:lang w:val="en-US"/>
        </w:rPr>
        <w:t>might</w:t>
      </w:r>
      <w:r w:rsidRPr="00A92577">
        <w:rPr>
          <w:lang w:val="en-US"/>
        </w:rPr>
        <w:t xml:space="preserve"> be a possibility </w:t>
      </w:r>
      <w:r w:rsidR="00B51271">
        <w:rPr>
          <w:lang w:val="en-US"/>
        </w:rPr>
        <w:t xml:space="preserve">in </w:t>
      </w:r>
      <w:r w:rsidRPr="00A92577">
        <w:rPr>
          <w:lang w:val="en-US"/>
        </w:rPr>
        <w:t xml:space="preserve">democratic governance, e.g. to fund specific pilots in </w:t>
      </w:r>
      <w:r w:rsidR="00B51271" w:rsidRPr="00A92577">
        <w:rPr>
          <w:lang w:val="en-US"/>
        </w:rPr>
        <w:t>decentralization</w:t>
      </w:r>
      <w:r w:rsidRPr="00A92577">
        <w:rPr>
          <w:lang w:val="en-US"/>
        </w:rPr>
        <w:t xml:space="preserve"> like community development pilots coordinated by the district. Finally, the UN system facilitates North-South cooperation agreements with parliaments in the developed world, which could be used in the upcoming proposal from the Parliament</w:t>
      </w:r>
      <w:r w:rsidR="00C02399">
        <w:rPr>
          <w:lang w:val="en-US"/>
        </w:rPr>
        <w:t>, but this also has to be coordinated with the support rendered under the twinning agreement with the Scottish Parliament</w:t>
      </w:r>
      <w:r w:rsidRPr="00A92577">
        <w:rPr>
          <w:lang w:val="en-US"/>
        </w:rPr>
        <w:t xml:space="preserve">. </w:t>
      </w:r>
    </w:p>
    <w:p w14:paraId="72E2B88A" w14:textId="77777777" w:rsidR="00A92577" w:rsidRPr="00A92577" w:rsidRDefault="00A92577" w:rsidP="00A92577">
      <w:pPr>
        <w:spacing w:after="0"/>
        <w:rPr>
          <w:lang w:val="en-US"/>
        </w:rPr>
      </w:pPr>
    </w:p>
    <w:p w14:paraId="7ECE7506" w14:textId="77777777" w:rsidR="00A92577" w:rsidRPr="00A92577" w:rsidRDefault="00A92577" w:rsidP="00A92577">
      <w:pPr>
        <w:spacing w:after="0"/>
        <w:rPr>
          <w:b/>
          <w:lang w:val="en-US"/>
        </w:rPr>
      </w:pPr>
      <w:r w:rsidRPr="00A92577">
        <w:rPr>
          <w:b/>
          <w:lang w:val="en-US"/>
        </w:rPr>
        <w:t xml:space="preserve">Partnerships with CSOs </w:t>
      </w:r>
    </w:p>
    <w:p w14:paraId="516C60CA" w14:textId="266F133A" w:rsidR="00A92577" w:rsidRPr="00FD0E37" w:rsidRDefault="00A92577" w:rsidP="005B3DAE">
      <w:pPr>
        <w:spacing w:after="0"/>
        <w:rPr>
          <w:lang w:val="en-US"/>
        </w:rPr>
      </w:pPr>
      <w:r w:rsidRPr="00A92577">
        <w:rPr>
          <w:lang w:val="en-US"/>
        </w:rPr>
        <w:t>CSOs met by the MTE team also commended the cooperation with the UNCT</w:t>
      </w:r>
      <w:r w:rsidR="00BE2511">
        <w:rPr>
          <w:lang w:val="en-US"/>
        </w:rPr>
        <w:t>,</w:t>
      </w:r>
      <w:r w:rsidRPr="00A92577">
        <w:rPr>
          <w:lang w:val="en-US"/>
        </w:rPr>
        <w:t xml:space="preserve"> and </w:t>
      </w:r>
      <w:r w:rsidR="00516B07">
        <w:rPr>
          <w:lang w:val="en-US"/>
        </w:rPr>
        <w:t>cooperation’s with PAC and under the D</w:t>
      </w:r>
      <w:r w:rsidRPr="00A92577">
        <w:rPr>
          <w:lang w:val="en-US"/>
        </w:rPr>
        <w:t xml:space="preserve">CP </w:t>
      </w:r>
      <w:r w:rsidR="00516B07">
        <w:rPr>
          <w:lang w:val="en-US"/>
        </w:rPr>
        <w:t xml:space="preserve">umbrella are </w:t>
      </w:r>
      <w:r w:rsidRPr="00A92577">
        <w:rPr>
          <w:lang w:val="en-US"/>
        </w:rPr>
        <w:t>fine example</w:t>
      </w:r>
      <w:r w:rsidR="00516B07">
        <w:rPr>
          <w:lang w:val="en-US"/>
        </w:rPr>
        <w:t>s</w:t>
      </w:r>
      <w:r w:rsidRPr="00A92577">
        <w:rPr>
          <w:lang w:val="en-US"/>
        </w:rPr>
        <w:t xml:space="preserve"> of CSO partnerships in local governance</w:t>
      </w:r>
      <w:r w:rsidR="00516B07">
        <w:rPr>
          <w:lang w:val="en-US"/>
        </w:rPr>
        <w:t>, peaceful conflict resolution</w:t>
      </w:r>
      <w:r w:rsidRPr="00A92577">
        <w:rPr>
          <w:lang w:val="en-US"/>
        </w:rPr>
        <w:t xml:space="preserve"> and Right</w:t>
      </w:r>
      <w:r w:rsidR="00516B07">
        <w:rPr>
          <w:lang w:val="en-US"/>
        </w:rPr>
        <w:t>s</w:t>
      </w:r>
      <w:r w:rsidRPr="00A92577">
        <w:rPr>
          <w:lang w:val="en-US"/>
        </w:rPr>
        <w:t xml:space="preserve"> to Development. </w:t>
      </w:r>
      <w:r w:rsidR="00516B07">
        <w:rPr>
          <w:lang w:val="en-US"/>
        </w:rPr>
        <w:t>There are also spinoff effects in term</w:t>
      </w:r>
      <w:r w:rsidR="00C141F8">
        <w:rPr>
          <w:lang w:val="en-US"/>
        </w:rPr>
        <w:t>s</w:t>
      </w:r>
      <w:r w:rsidR="00516B07">
        <w:rPr>
          <w:lang w:val="en-US"/>
        </w:rPr>
        <w:t xml:space="preserve"> of input</w:t>
      </w:r>
      <w:r w:rsidR="00BE352E">
        <w:rPr>
          <w:lang w:val="en-US"/>
        </w:rPr>
        <w:t>s</w:t>
      </w:r>
      <w:r w:rsidR="00516B07">
        <w:rPr>
          <w:lang w:val="en-US"/>
        </w:rPr>
        <w:t xml:space="preserve"> to the overall discussion on the NPA</w:t>
      </w:r>
      <w:r w:rsidR="00BE352E">
        <w:rPr>
          <w:lang w:val="en-US"/>
        </w:rPr>
        <w:t>, federalism</w:t>
      </w:r>
      <w:r w:rsidR="00516B07">
        <w:rPr>
          <w:lang w:val="en-US"/>
        </w:rPr>
        <w:t xml:space="preserve"> and new election rules</w:t>
      </w:r>
      <w:r w:rsidR="00BE352E">
        <w:rPr>
          <w:lang w:val="en-US"/>
        </w:rPr>
        <w:t xml:space="preserve">. </w:t>
      </w:r>
      <w:r w:rsidRPr="00A92577">
        <w:rPr>
          <w:lang w:val="en-US"/>
        </w:rPr>
        <w:t>From CSO quarter</w:t>
      </w:r>
      <w:r w:rsidR="00BE352E">
        <w:rPr>
          <w:lang w:val="en-US"/>
        </w:rPr>
        <w:t>s</w:t>
      </w:r>
      <w:r w:rsidRPr="00A92577">
        <w:rPr>
          <w:lang w:val="en-US"/>
        </w:rPr>
        <w:t xml:space="preserve">, however, there is also a recommendation for the UNCT to be more open about the UNDAF management process, i.e. more involvement in planning, monitoring and evaluations and common learning. </w:t>
      </w:r>
      <w:r w:rsidR="00BE2511">
        <w:rPr>
          <w:lang w:val="en-US"/>
        </w:rPr>
        <w:t>T</w:t>
      </w:r>
      <w:r w:rsidR="00BE2511" w:rsidRPr="00BE2511">
        <w:rPr>
          <w:lang w:val="en-US"/>
        </w:rPr>
        <w:t xml:space="preserve">he considerable experience </w:t>
      </w:r>
      <w:r w:rsidR="00BE2511">
        <w:rPr>
          <w:lang w:val="en-US"/>
        </w:rPr>
        <w:t xml:space="preserve">of the DCP management and the involved CSOs </w:t>
      </w:r>
      <w:r w:rsidR="00BE2511" w:rsidRPr="00BE2511">
        <w:rPr>
          <w:lang w:val="en-US"/>
        </w:rPr>
        <w:t>in Right to Development, including valuable insights into present capacity gaps in government and practical solutions applied by the communities in their interaction with the authorities,</w:t>
      </w:r>
      <w:r w:rsidR="00BE2511">
        <w:rPr>
          <w:lang w:val="en-US"/>
        </w:rPr>
        <w:t xml:space="preserve"> is a fine example of the knowledge and inside experience, which the UNCT can tap into, if engaging more actively with CSOs</w:t>
      </w:r>
      <w:r w:rsidR="00E60C81">
        <w:rPr>
          <w:lang w:val="en-US"/>
        </w:rPr>
        <w:t xml:space="preserve">. </w:t>
      </w:r>
      <w:r w:rsidR="00E27A70" w:rsidRPr="00FB199D">
        <w:rPr>
          <w:i/>
          <w:lang w:val="en-US"/>
        </w:rPr>
        <w:t>(See Recommendation #</w:t>
      </w:r>
      <w:r w:rsidR="0087238B">
        <w:rPr>
          <w:i/>
          <w:lang w:val="en-US"/>
        </w:rPr>
        <w:t xml:space="preserve"> 18</w:t>
      </w:r>
      <w:r w:rsidR="00E27A70" w:rsidRPr="00FB199D">
        <w:rPr>
          <w:i/>
          <w:lang w:val="en-US"/>
        </w:rPr>
        <w:t>)</w:t>
      </w:r>
      <w:r w:rsidR="00FD0E37">
        <w:rPr>
          <w:lang w:val="en-US"/>
        </w:rPr>
        <w:t xml:space="preserve"> From CMD a request was brought forward to receive technical assistance from UNDP on the SDG, as CMD intends to incorporate this into its capacity building of political parties</w:t>
      </w:r>
      <w:r w:rsidR="004F0A9E">
        <w:rPr>
          <w:lang w:val="en-US"/>
        </w:rPr>
        <w:t xml:space="preserve"> and their development of party manifestos addressing the SDG in the Malawian developing context.</w:t>
      </w:r>
    </w:p>
    <w:p w14:paraId="45C9F7BB" w14:textId="77777777" w:rsidR="005B3DAE" w:rsidRPr="00A92577" w:rsidRDefault="005B3DAE" w:rsidP="005B3DAE">
      <w:pPr>
        <w:spacing w:after="0"/>
        <w:rPr>
          <w:lang w:val="en-US"/>
        </w:rPr>
      </w:pPr>
    </w:p>
    <w:p w14:paraId="70318C4F" w14:textId="77777777" w:rsidR="004424AF" w:rsidRDefault="009600F2" w:rsidP="009600F2">
      <w:pPr>
        <w:pStyle w:val="Overskrift2"/>
        <w:numPr>
          <w:ilvl w:val="0"/>
          <w:numId w:val="0"/>
        </w:numPr>
        <w:rPr>
          <w:lang w:val="en-US"/>
        </w:rPr>
      </w:pPr>
      <w:bookmarkStart w:id="46" w:name="_Toc439245598"/>
      <w:r>
        <w:rPr>
          <w:lang w:val="en-US"/>
        </w:rPr>
        <w:t xml:space="preserve">6.1 </w:t>
      </w:r>
      <w:r w:rsidR="004424AF">
        <w:rPr>
          <w:lang w:val="en-US"/>
        </w:rPr>
        <w:t>Portfolio Management</w:t>
      </w:r>
      <w:bookmarkEnd w:id="46"/>
    </w:p>
    <w:p w14:paraId="37E0A890" w14:textId="77777777" w:rsidR="009600F2" w:rsidRPr="009600F2" w:rsidRDefault="009600F2" w:rsidP="009600F2">
      <w:pPr>
        <w:spacing w:after="0"/>
        <w:rPr>
          <w:lang w:val="en-US"/>
        </w:rPr>
      </w:pPr>
    </w:p>
    <w:p w14:paraId="40AF6B83" w14:textId="77777777" w:rsidR="00C02399" w:rsidRPr="004424AF" w:rsidRDefault="00C02399" w:rsidP="00C02399">
      <w:pPr>
        <w:rPr>
          <w:lang w:val="en-US"/>
        </w:rPr>
      </w:pPr>
      <w:r w:rsidRPr="004424AF">
        <w:rPr>
          <w:lang w:val="en-US"/>
        </w:rPr>
        <w:t xml:space="preserve">The project portfolio under DG SWAp in general appear relevant and justified and targets key government </w:t>
      </w:r>
      <w:r w:rsidR="00BE352E">
        <w:rPr>
          <w:lang w:val="en-US"/>
        </w:rPr>
        <w:t xml:space="preserve">areas and </w:t>
      </w:r>
      <w:r w:rsidRPr="004424AF">
        <w:rPr>
          <w:lang w:val="en-US"/>
        </w:rPr>
        <w:t>institutions in democratic governance and hum</w:t>
      </w:r>
      <w:r w:rsidR="00BE352E">
        <w:rPr>
          <w:lang w:val="en-US"/>
        </w:rPr>
        <w:t xml:space="preserve">an rights, which depends on </w:t>
      </w:r>
      <w:r w:rsidRPr="004424AF">
        <w:rPr>
          <w:lang w:val="en-US"/>
        </w:rPr>
        <w:t>UN partnership</w:t>
      </w:r>
      <w:r w:rsidR="00BE352E">
        <w:rPr>
          <w:lang w:val="en-US"/>
        </w:rPr>
        <w:t>s</w:t>
      </w:r>
      <w:r w:rsidRPr="004424AF">
        <w:rPr>
          <w:lang w:val="en-US"/>
        </w:rPr>
        <w:t xml:space="preserve">. Good portfolio synergies have also been achieved, in particular during the 2014 elections and through the NPA </w:t>
      </w:r>
      <w:r w:rsidR="00BE352E" w:rsidRPr="004424AF">
        <w:rPr>
          <w:lang w:val="en-US"/>
        </w:rPr>
        <w:t>consultations, which</w:t>
      </w:r>
      <w:r w:rsidR="009600F2">
        <w:rPr>
          <w:lang w:val="en-US"/>
        </w:rPr>
        <w:t xml:space="preserve"> also makes inroads </w:t>
      </w:r>
      <w:r w:rsidRPr="004424AF">
        <w:rPr>
          <w:lang w:val="en-US"/>
        </w:rPr>
        <w:t>on federalism and the elections reform.</w:t>
      </w:r>
    </w:p>
    <w:p w14:paraId="24BC5A35" w14:textId="018ED131" w:rsidR="00A26028" w:rsidRDefault="004424AF" w:rsidP="004424AF">
      <w:pPr>
        <w:rPr>
          <w:lang w:val="en-US"/>
        </w:rPr>
      </w:pPr>
      <w:r w:rsidRPr="004424AF">
        <w:rPr>
          <w:lang w:val="en-US"/>
        </w:rPr>
        <w:t xml:space="preserve">The support rendered through Outcome 4.1 is generally based on solid problem analyses and capacity assessments, which were conducted when UNDAF and the individual support projects were designed. The support is rendered to key institutions and the projects and strategies are generally addressing root causes in democratic governance. It is also well worth noting, that most projects are based on lessons learned from previous support projects, which has allowed for further improvements in the project designs, such as introducing the election cycle management </w:t>
      </w:r>
      <w:r w:rsidRPr="004424AF">
        <w:rPr>
          <w:lang w:val="en-US"/>
        </w:rPr>
        <w:lastRenderedPageBreak/>
        <w:t xml:space="preserve">approach as basis for the support to MEC. </w:t>
      </w:r>
      <w:r w:rsidR="006E5E2A">
        <w:rPr>
          <w:lang w:val="en-US"/>
        </w:rPr>
        <w:t>I</w:t>
      </w:r>
      <w:r w:rsidRPr="004424AF">
        <w:rPr>
          <w:lang w:val="en-US"/>
        </w:rPr>
        <w:t xml:space="preserve">t is also a fact that the outcome is very broadly defined, spanning democratic governance over human rights to local governance and </w:t>
      </w:r>
      <w:r w:rsidR="00C02399">
        <w:rPr>
          <w:lang w:val="en-US"/>
        </w:rPr>
        <w:t xml:space="preserve">even </w:t>
      </w:r>
      <w:r w:rsidRPr="004424AF">
        <w:rPr>
          <w:lang w:val="en-US"/>
        </w:rPr>
        <w:t xml:space="preserve">promoting </w:t>
      </w:r>
      <w:r w:rsidR="00C02399">
        <w:rPr>
          <w:lang w:val="en-US"/>
        </w:rPr>
        <w:t xml:space="preserve">of </w:t>
      </w:r>
      <w:r w:rsidRPr="004424AF">
        <w:rPr>
          <w:lang w:val="en-US"/>
        </w:rPr>
        <w:t xml:space="preserve">local economic development in the rural areas. While all these intervention areas are linked to government policies and strategies, </w:t>
      </w:r>
      <w:r w:rsidR="0031219C">
        <w:rPr>
          <w:lang w:val="en-US"/>
        </w:rPr>
        <w:t xml:space="preserve">it also makes it more difficult to focus and coordinate. </w:t>
      </w:r>
      <w:r w:rsidRPr="004424AF">
        <w:rPr>
          <w:lang w:val="en-US"/>
        </w:rPr>
        <w:t xml:space="preserve"> </w:t>
      </w:r>
    </w:p>
    <w:p w14:paraId="68DD6005" w14:textId="77777777" w:rsidR="00A26028" w:rsidRDefault="0080633A" w:rsidP="004424AF">
      <w:pPr>
        <w:rPr>
          <w:lang w:val="en-US"/>
        </w:rPr>
      </w:pPr>
      <w:r>
        <w:rPr>
          <w:lang w:val="en-US"/>
        </w:rPr>
        <w:t>T</w:t>
      </w:r>
      <w:r w:rsidR="00A26028" w:rsidRPr="00A26028">
        <w:rPr>
          <w:lang w:val="en-US"/>
        </w:rPr>
        <w:t>he number of support projects has to be balanced with their impact and the capacity of the UNCT to manage them</w:t>
      </w:r>
      <w:r w:rsidR="00A26028">
        <w:rPr>
          <w:lang w:val="en-US"/>
        </w:rPr>
        <w:t xml:space="preserve"> and the IPs capacity to absorb them</w:t>
      </w:r>
      <w:r w:rsidR="00A26028" w:rsidRPr="00A26028">
        <w:rPr>
          <w:lang w:val="en-US"/>
        </w:rPr>
        <w:t>. In this discussion, however the actual size of individual projects is not necessary an argument in itself, as even small projects (such as the support to NPA for the moment) can become important catalysts of change.</w:t>
      </w:r>
      <w:r w:rsidR="00A26028" w:rsidRPr="004424AF">
        <w:rPr>
          <w:lang w:val="en-US"/>
        </w:rPr>
        <w:t xml:space="preserve"> </w:t>
      </w:r>
      <w:r w:rsidR="00A26028">
        <w:rPr>
          <w:lang w:val="en-US"/>
        </w:rPr>
        <w:t>It is the view of the MTE team that the portfolio from the perspective of numbers and size is well-balanced.</w:t>
      </w:r>
    </w:p>
    <w:p w14:paraId="0FB98593" w14:textId="77777777" w:rsidR="004424AF" w:rsidRPr="004424AF" w:rsidRDefault="004424AF" w:rsidP="004424AF">
      <w:pPr>
        <w:spacing w:after="0"/>
        <w:rPr>
          <w:b/>
          <w:lang w:val="en-US"/>
        </w:rPr>
      </w:pPr>
      <w:r w:rsidRPr="004424AF">
        <w:rPr>
          <w:b/>
          <w:lang w:val="en-US"/>
        </w:rPr>
        <w:t xml:space="preserve">Piloting and innovation </w:t>
      </w:r>
    </w:p>
    <w:p w14:paraId="5B45FF24" w14:textId="77777777" w:rsidR="004424AF" w:rsidRPr="004424AF" w:rsidRDefault="004424AF" w:rsidP="004424AF">
      <w:pPr>
        <w:spacing w:after="0"/>
        <w:rPr>
          <w:lang w:val="en-US"/>
        </w:rPr>
      </w:pPr>
      <w:r w:rsidRPr="004424AF">
        <w:rPr>
          <w:lang w:val="en-US"/>
        </w:rPr>
        <w:t>The project portfolio includes support, which is innovative and state of art. Some are small area-based pilots, which are meant for later upscale through the government or CSOs, others are innovations implemented at scale.</w:t>
      </w:r>
    </w:p>
    <w:p w14:paraId="2759DE66" w14:textId="77777777" w:rsidR="004424AF" w:rsidRPr="004424AF" w:rsidRDefault="004424AF" w:rsidP="004424AF">
      <w:pPr>
        <w:spacing w:after="0"/>
        <w:rPr>
          <w:b/>
          <w:lang w:val="en-US"/>
        </w:rPr>
      </w:pPr>
    </w:p>
    <w:p w14:paraId="3DB5AC1F" w14:textId="77777777" w:rsidR="004424AF" w:rsidRPr="004424AF" w:rsidRDefault="004424AF" w:rsidP="004424AF">
      <w:pPr>
        <w:rPr>
          <w:lang w:val="en-US"/>
        </w:rPr>
      </w:pPr>
      <w:r w:rsidRPr="004424AF">
        <w:rPr>
          <w:lang w:val="en-US"/>
        </w:rPr>
        <w:t>Among the notable innovations within the portfolio, the MTE team took particular note of the following:</w:t>
      </w:r>
    </w:p>
    <w:p w14:paraId="7D98FC85" w14:textId="77777777" w:rsidR="004424AF" w:rsidRPr="004424AF" w:rsidRDefault="004424AF" w:rsidP="004424AF">
      <w:pPr>
        <w:numPr>
          <w:ilvl w:val="0"/>
          <w:numId w:val="27"/>
        </w:numPr>
        <w:contextualSpacing/>
        <w:rPr>
          <w:lang w:val="en-US"/>
        </w:rPr>
      </w:pPr>
      <w:r w:rsidRPr="004424AF">
        <w:rPr>
          <w:lang w:val="en-US"/>
        </w:rPr>
        <w:t xml:space="preserve">The support to the juvenile justice system and the promotion of child courts: Through this support, the targeted district magistrates have been able to conduct a considerable amount of child protection cases with good result. With the extension of support to four additional districts, the total number of child courts becomes eleven, and the judiciary can almost operate at scale nationwide extending access to justice </w:t>
      </w:r>
      <w:r w:rsidR="000A3E44" w:rsidRPr="004424AF">
        <w:rPr>
          <w:lang w:val="en-US"/>
        </w:rPr>
        <w:t>to wider circles of</w:t>
      </w:r>
      <w:r w:rsidRPr="004424AF">
        <w:rPr>
          <w:lang w:val="en-US"/>
        </w:rPr>
        <w:t xml:space="preserve"> children and youth.</w:t>
      </w:r>
    </w:p>
    <w:p w14:paraId="711C83A8" w14:textId="77777777" w:rsidR="004424AF" w:rsidRPr="004424AF" w:rsidRDefault="004424AF" w:rsidP="004424AF">
      <w:pPr>
        <w:numPr>
          <w:ilvl w:val="0"/>
          <w:numId w:val="27"/>
        </w:numPr>
        <w:contextualSpacing/>
        <w:rPr>
          <w:lang w:val="en-US"/>
        </w:rPr>
      </w:pPr>
      <w:r w:rsidRPr="004424AF">
        <w:rPr>
          <w:lang w:val="en-US"/>
        </w:rPr>
        <w:t>The one-stop shop approach to legal/admin/governance services piloted in the Kasungu District: The one-stop approach is a</w:t>
      </w:r>
      <w:r w:rsidR="000A24F2">
        <w:rPr>
          <w:lang w:val="en-US"/>
        </w:rPr>
        <w:t>n</w:t>
      </w:r>
      <w:r w:rsidRPr="004424AF">
        <w:rPr>
          <w:lang w:val="en-US"/>
        </w:rPr>
        <w:t xml:space="preserve"> </w:t>
      </w:r>
      <w:r w:rsidR="000A24F2">
        <w:rPr>
          <w:lang w:val="en-US"/>
        </w:rPr>
        <w:t>important</w:t>
      </w:r>
      <w:r w:rsidRPr="004424AF">
        <w:rPr>
          <w:lang w:val="en-US"/>
        </w:rPr>
        <w:t xml:space="preserve"> catalyst for more transparent and efficient service delivery and links directly to the service charter approach. It promotes a service–oriented mind-set in civil service, forces authorities to work together and become more transparent and results-oriented. It’s an approach, which also needs to be incorporated into the devolution process and it is very important that such pilots are carefully documented to allow for later upscaling.</w:t>
      </w:r>
    </w:p>
    <w:p w14:paraId="6DF3C248" w14:textId="77777777" w:rsidR="004424AF" w:rsidRPr="004424AF" w:rsidRDefault="004424AF" w:rsidP="004424AF">
      <w:pPr>
        <w:numPr>
          <w:ilvl w:val="0"/>
          <w:numId w:val="27"/>
        </w:numPr>
        <w:contextualSpacing/>
        <w:rPr>
          <w:lang w:val="en-US"/>
        </w:rPr>
      </w:pPr>
      <w:r w:rsidRPr="004424AF">
        <w:rPr>
          <w:lang w:val="en-US"/>
        </w:rPr>
        <w:t>The presidential elections peace accord, which has gained wide recognition and is replicated in Mozambique.</w:t>
      </w:r>
    </w:p>
    <w:p w14:paraId="3B7146E8" w14:textId="77777777" w:rsidR="004424AF" w:rsidRPr="004424AF" w:rsidRDefault="004424AF" w:rsidP="004424AF">
      <w:pPr>
        <w:numPr>
          <w:ilvl w:val="0"/>
          <w:numId w:val="27"/>
        </w:numPr>
        <w:contextualSpacing/>
        <w:rPr>
          <w:lang w:val="en-US"/>
        </w:rPr>
      </w:pPr>
      <w:r w:rsidRPr="004424AF">
        <w:rPr>
          <w:lang w:val="en-US"/>
        </w:rPr>
        <w:t xml:space="preserve">The entire NPA approach, which represents state of the art in conflict prevention and is a fine example of South-South Cooperation. </w:t>
      </w:r>
    </w:p>
    <w:p w14:paraId="03BA0AC7" w14:textId="77777777" w:rsidR="004424AF" w:rsidRPr="004424AF" w:rsidRDefault="004424AF" w:rsidP="004424AF">
      <w:pPr>
        <w:numPr>
          <w:ilvl w:val="0"/>
          <w:numId w:val="27"/>
        </w:numPr>
        <w:contextualSpacing/>
        <w:rPr>
          <w:lang w:val="en-US"/>
        </w:rPr>
      </w:pPr>
      <w:r w:rsidRPr="004424AF">
        <w:rPr>
          <w:lang w:val="en-US"/>
        </w:rPr>
        <w:t>The Rights to Development approach piloted at scale in the DCP supported districts and with tangible results. The experience is taken over by other CSOs, which allows for further dissemination and replication.</w:t>
      </w:r>
    </w:p>
    <w:p w14:paraId="133C1544" w14:textId="77777777" w:rsidR="00F55FC5" w:rsidRDefault="00F55FC5" w:rsidP="00F55FC5">
      <w:pPr>
        <w:spacing w:after="0"/>
        <w:rPr>
          <w:lang w:val="en-US"/>
        </w:rPr>
      </w:pPr>
    </w:p>
    <w:p w14:paraId="03088230" w14:textId="77777777" w:rsidR="004424AF" w:rsidRPr="004424AF" w:rsidRDefault="004424AF" w:rsidP="004424AF">
      <w:pPr>
        <w:rPr>
          <w:lang w:val="en-US"/>
        </w:rPr>
      </w:pPr>
      <w:r w:rsidRPr="004424AF">
        <w:rPr>
          <w:lang w:val="en-US"/>
        </w:rPr>
        <w:t xml:space="preserve">The promotion of innovations through piloting has many potential advantages provided it is done correctly, and the cases mentioned above are good examples on pilots that </w:t>
      </w:r>
      <w:r w:rsidR="00FB3A0E">
        <w:rPr>
          <w:lang w:val="en-US"/>
        </w:rPr>
        <w:t xml:space="preserve">either </w:t>
      </w:r>
      <w:r w:rsidRPr="004424AF">
        <w:rPr>
          <w:lang w:val="en-US"/>
        </w:rPr>
        <w:t>are</w:t>
      </w:r>
      <w:r w:rsidR="00FB3A0E" w:rsidRPr="00FB3A0E">
        <w:rPr>
          <w:lang w:val="en-US"/>
        </w:rPr>
        <w:t xml:space="preserve"> </w:t>
      </w:r>
      <w:r w:rsidR="00FB3A0E" w:rsidRPr="004424AF">
        <w:rPr>
          <w:lang w:val="en-US"/>
        </w:rPr>
        <w:t>sustainable</w:t>
      </w:r>
      <w:r w:rsidR="00FB3A0E">
        <w:rPr>
          <w:lang w:val="en-US"/>
        </w:rPr>
        <w:t>,</w:t>
      </w:r>
      <w:r w:rsidRPr="004424AF">
        <w:rPr>
          <w:lang w:val="en-US"/>
        </w:rPr>
        <w:t xml:space="preserve"> or stand a good chance of </w:t>
      </w:r>
      <w:r w:rsidR="00FB3A0E" w:rsidRPr="004424AF">
        <w:rPr>
          <w:lang w:val="en-US"/>
        </w:rPr>
        <w:t>becoming</w:t>
      </w:r>
      <w:r w:rsidR="00FB3A0E" w:rsidRPr="00FB3A0E">
        <w:rPr>
          <w:lang w:val="en-US"/>
        </w:rPr>
        <w:t xml:space="preserve"> sustainable</w:t>
      </w:r>
      <w:r w:rsidR="00FB3A0E">
        <w:rPr>
          <w:lang w:val="en-US"/>
        </w:rPr>
        <w:t xml:space="preserve"> </w:t>
      </w:r>
      <w:r w:rsidRPr="004424AF">
        <w:rPr>
          <w:lang w:val="en-US"/>
        </w:rPr>
        <w:t xml:space="preserve">through upscaling. </w:t>
      </w:r>
    </w:p>
    <w:p w14:paraId="78770C8D" w14:textId="77777777" w:rsidR="004424AF" w:rsidRDefault="004424AF" w:rsidP="004424AF">
      <w:pPr>
        <w:rPr>
          <w:lang w:val="en-US"/>
        </w:rPr>
      </w:pPr>
      <w:r w:rsidRPr="004424AF">
        <w:rPr>
          <w:lang w:val="en-US"/>
        </w:rPr>
        <w:t xml:space="preserve">In general, piloting innovations within the present policy, legal and institutional framework can be a viable alternative to </w:t>
      </w:r>
      <w:r w:rsidR="00EE0EF4" w:rsidRPr="004424AF">
        <w:rPr>
          <w:lang w:val="en-US"/>
        </w:rPr>
        <w:t>full-scale</w:t>
      </w:r>
      <w:r w:rsidRPr="004424AF">
        <w:rPr>
          <w:lang w:val="en-US"/>
        </w:rPr>
        <w:t xml:space="preserve"> reforms. Good pilots can bring incremental change, when broader reform</w:t>
      </w:r>
      <w:r w:rsidR="00FB3A0E">
        <w:rPr>
          <w:lang w:val="en-US"/>
        </w:rPr>
        <w:t xml:space="preserve"> agendas</w:t>
      </w:r>
      <w:r w:rsidRPr="004424AF">
        <w:rPr>
          <w:lang w:val="en-US"/>
        </w:rPr>
        <w:t xml:space="preserve"> are difficult to move, but they have to be planned carefully in order not to end up as yet another ad hoc support project.</w:t>
      </w:r>
    </w:p>
    <w:p w14:paraId="0A29885F" w14:textId="77777777" w:rsidR="003F775A" w:rsidRPr="00032FA2" w:rsidRDefault="003F775A" w:rsidP="003F775A">
      <w:pPr>
        <w:spacing w:after="0"/>
        <w:rPr>
          <w:b/>
          <w:lang w:val="en-US"/>
        </w:rPr>
      </w:pPr>
      <w:r w:rsidRPr="009C756F">
        <w:rPr>
          <w:b/>
          <w:lang w:val="en-US"/>
        </w:rPr>
        <w:t>P</w:t>
      </w:r>
      <w:r w:rsidRPr="00032FA2">
        <w:rPr>
          <w:b/>
          <w:lang w:val="en-US"/>
        </w:rPr>
        <w:t xml:space="preserve">ilots and </w:t>
      </w:r>
      <w:r w:rsidRPr="009C756F">
        <w:rPr>
          <w:b/>
          <w:lang w:val="en-US"/>
        </w:rPr>
        <w:t>capacity building</w:t>
      </w:r>
    </w:p>
    <w:p w14:paraId="76615463" w14:textId="77777777" w:rsidR="003F775A" w:rsidRPr="00032FA2" w:rsidRDefault="003F775A" w:rsidP="003F775A">
      <w:pPr>
        <w:rPr>
          <w:lang w:val="en-US"/>
        </w:rPr>
      </w:pPr>
      <w:r w:rsidRPr="00032FA2">
        <w:rPr>
          <w:lang w:val="en-US"/>
        </w:rPr>
        <w:t xml:space="preserve">The support to the IRD strategy raises two issues with regard to strategy development, piloting and capacity building. The way the IRD strategy is developed seems to mix the sequencing somewhat randomly. </w:t>
      </w:r>
    </w:p>
    <w:p w14:paraId="0EEF5CCB" w14:textId="77777777" w:rsidR="003F775A" w:rsidRPr="00032FA2" w:rsidRDefault="003F775A" w:rsidP="003F775A">
      <w:pPr>
        <w:rPr>
          <w:lang w:val="en-US"/>
        </w:rPr>
      </w:pPr>
      <w:r w:rsidRPr="00032FA2">
        <w:rPr>
          <w:lang w:val="en-US"/>
        </w:rPr>
        <w:lastRenderedPageBreak/>
        <w:t xml:space="preserve">Firstly, training on IRD was carried out in pilot districts before the strategy has been finalized and did not have any impact. When strategies are developed, they need to be properly finalized, before being piloted and/or disseminated. For this purpose, relevant stakeholders may seek exposure and lessons learnt from other countries, which was the case in IRD strategy development, and local consultations should be carried out as well. Piloting, however should only be applied once the draft strategy is in place. </w:t>
      </w:r>
    </w:p>
    <w:p w14:paraId="0FC790EB" w14:textId="77777777" w:rsidR="003F775A" w:rsidRPr="00032FA2" w:rsidRDefault="003F775A" w:rsidP="003F775A">
      <w:pPr>
        <w:rPr>
          <w:lang w:val="en-US"/>
        </w:rPr>
      </w:pPr>
      <w:r w:rsidRPr="00032FA2">
        <w:rPr>
          <w:lang w:val="en-US"/>
        </w:rPr>
        <w:t xml:space="preserve">Secondly, the district training on IRD only targeted the DC level, and evidence from the field suggests that IRD knowledge from this training was never shared with other district staff. It is important the pay attention to capacity retention as much as its development. This is all the more important given the high turnover rate in civil service, and its adverse effect on institutional memories. Training delivery in new concepts, such as applying a new planning approach, should not be delivered on an individual basis, but to groups of staffs, which are responsible for implementing new concepts. (E.g. councilors, the DC, the planning officer and sector staff in the IRD case). This will increase impact and improve sustainability.  </w:t>
      </w:r>
    </w:p>
    <w:p w14:paraId="760F518C" w14:textId="77777777" w:rsidR="003F775A" w:rsidRPr="004424AF" w:rsidRDefault="003F775A" w:rsidP="004424AF">
      <w:pPr>
        <w:rPr>
          <w:lang w:val="en-US"/>
        </w:rPr>
      </w:pPr>
    </w:p>
    <w:p w14:paraId="44B86151" w14:textId="77777777" w:rsidR="00655C7E" w:rsidRDefault="00655C7E" w:rsidP="00655C7E">
      <w:pPr>
        <w:rPr>
          <w:lang w:val="en-US"/>
        </w:rPr>
      </w:pPr>
    </w:p>
    <w:p w14:paraId="707A4B32" w14:textId="77777777" w:rsidR="003F775A" w:rsidRPr="00CD56B9" w:rsidRDefault="003F775A" w:rsidP="00655C7E">
      <w:pPr>
        <w:rPr>
          <w:lang w:val="en-US"/>
        </w:rPr>
        <w:sectPr w:rsidR="003F775A" w:rsidRPr="00CD56B9" w:rsidSect="000C1092">
          <w:pgSz w:w="12240" w:h="15840"/>
          <w:pgMar w:top="1440" w:right="1440" w:bottom="1440" w:left="1440" w:header="720" w:footer="720" w:gutter="0"/>
          <w:cols w:space="720"/>
          <w:docGrid w:linePitch="360"/>
        </w:sectPr>
      </w:pPr>
    </w:p>
    <w:p w14:paraId="1EA3B726" w14:textId="77777777" w:rsidR="003105EC" w:rsidRDefault="009C756F" w:rsidP="009C756F">
      <w:pPr>
        <w:keepNext/>
        <w:keepLines/>
        <w:spacing w:before="240" w:after="0"/>
        <w:jc w:val="left"/>
        <w:outlineLvl w:val="0"/>
        <w:rPr>
          <w:rFonts w:eastAsia="Times New Roman"/>
          <w:b/>
          <w:color w:val="000000"/>
          <w:sz w:val="28"/>
          <w:szCs w:val="32"/>
          <w:lang w:val="en-US"/>
        </w:rPr>
      </w:pPr>
      <w:bookmarkStart w:id="47" w:name="_Toc439245599"/>
      <w:r w:rsidRPr="00032FA2">
        <w:rPr>
          <w:rFonts w:eastAsia="Times New Roman"/>
          <w:b/>
          <w:color w:val="000000"/>
          <w:sz w:val="28"/>
          <w:szCs w:val="32"/>
          <w:lang w:val="en-US"/>
        </w:rPr>
        <w:lastRenderedPageBreak/>
        <w:t>7. Lessons Learned</w:t>
      </w:r>
      <w:bookmarkEnd w:id="47"/>
      <w:r w:rsidRPr="009C756F">
        <w:rPr>
          <w:rFonts w:eastAsia="Times New Roman"/>
          <w:b/>
          <w:color w:val="000000"/>
          <w:sz w:val="28"/>
          <w:szCs w:val="32"/>
          <w:lang w:val="en-US"/>
        </w:rPr>
        <w:t xml:space="preserve"> </w:t>
      </w:r>
    </w:p>
    <w:p w14:paraId="09B5FB8F" w14:textId="77777777" w:rsidR="003105EC" w:rsidRDefault="003105EC" w:rsidP="009C756F">
      <w:pPr>
        <w:spacing w:after="0"/>
        <w:rPr>
          <w:b/>
          <w:lang w:val="en-US"/>
        </w:rPr>
      </w:pPr>
    </w:p>
    <w:p w14:paraId="25804CC1" w14:textId="77777777" w:rsidR="009C756F" w:rsidRPr="00032FA2" w:rsidRDefault="009C756F" w:rsidP="009C756F">
      <w:pPr>
        <w:spacing w:after="0"/>
        <w:rPr>
          <w:b/>
          <w:lang w:val="en-US"/>
        </w:rPr>
      </w:pPr>
      <w:r w:rsidRPr="00032FA2">
        <w:rPr>
          <w:b/>
          <w:lang w:val="en-US"/>
        </w:rPr>
        <w:t>Elections</w:t>
      </w:r>
      <w:r w:rsidRPr="009C756F">
        <w:rPr>
          <w:b/>
          <w:lang w:val="en-US"/>
        </w:rPr>
        <w:t xml:space="preserve"> reforms, </w:t>
      </w:r>
      <w:r w:rsidRPr="00032FA2">
        <w:rPr>
          <w:b/>
          <w:lang w:val="en-US"/>
        </w:rPr>
        <w:t xml:space="preserve">NPA </w:t>
      </w:r>
      <w:r w:rsidRPr="009C756F">
        <w:rPr>
          <w:b/>
          <w:lang w:val="en-US"/>
        </w:rPr>
        <w:t xml:space="preserve">and decentralization has </w:t>
      </w:r>
      <w:r w:rsidR="00BF75D2">
        <w:rPr>
          <w:b/>
          <w:lang w:val="en-US"/>
        </w:rPr>
        <w:t>transformational</w:t>
      </w:r>
      <w:r w:rsidRPr="009C756F">
        <w:rPr>
          <w:b/>
          <w:lang w:val="en-US"/>
        </w:rPr>
        <w:t xml:space="preserve"> potential</w:t>
      </w:r>
    </w:p>
    <w:p w14:paraId="460D5D9B" w14:textId="77777777" w:rsidR="009C756F" w:rsidRPr="009C756F" w:rsidRDefault="009C756F" w:rsidP="009C756F">
      <w:pPr>
        <w:spacing w:after="0"/>
        <w:rPr>
          <w:lang w:val="en-US"/>
        </w:rPr>
      </w:pPr>
      <w:r w:rsidRPr="00032FA2">
        <w:rPr>
          <w:lang w:val="en-US"/>
        </w:rPr>
        <w:t>Many of th</w:t>
      </w:r>
      <w:r w:rsidRPr="009C756F">
        <w:rPr>
          <w:lang w:val="en-US"/>
        </w:rPr>
        <w:t xml:space="preserve">e aspirations and frustrations </w:t>
      </w:r>
      <w:r w:rsidRPr="00032FA2">
        <w:rPr>
          <w:lang w:val="en-US"/>
        </w:rPr>
        <w:t>fuel</w:t>
      </w:r>
      <w:r w:rsidRPr="009C756F">
        <w:rPr>
          <w:lang w:val="en-US"/>
        </w:rPr>
        <w:t xml:space="preserve">ing </w:t>
      </w:r>
      <w:r w:rsidRPr="00032FA2">
        <w:rPr>
          <w:lang w:val="en-US"/>
        </w:rPr>
        <w:t>federalism</w:t>
      </w:r>
      <w:r w:rsidRPr="009C756F">
        <w:rPr>
          <w:lang w:val="en-US"/>
        </w:rPr>
        <w:t xml:space="preserve"> and calls for more equitable development</w:t>
      </w:r>
      <w:r w:rsidRPr="00032FA2">
        <w:rPr>
          <w:lang w:val="en-US"/>
        </w:rPr>
        <w:t xml:space="preserve"> (unequal distribution of national resources, poor access to basic services, poor democratic space and muted accountability links between the grass roots and lower levels of government) could potentially be addressed through </w:t>
      </w:r>
      <w:r w:rsidRPr="009C756F">
        <w:rPr>
          <w:lang w:val="en-US"/>
        </w:rPr>
        <w:t>elections reforms, NPA and decentralization</w:t>
      </w:r>
      <w:r w:rsidR="002C1BE2">
        <w:rPr>
          <w:lang w:val="en-US"/>
        </w:rPr>
        <w:t>, which are key pillars of the UNDAF Outcome 4.1.</w:t>
      </w:r>
      <w:r w:rsidRPr="009C756F">
        <w:rPr>
          <w:lang w:val="en-US"/>
        </w:rPr>
        <w:t xml:space="preserve"> None of these reforms are substitutes for the others, but </w:t>
      </w:r>
      <w:r w:rsidR="00727207">
        <w:rPr>
          <w:lang w:val="en-US"/>
        </w:rPr>
        <w:t>are complementarily</w:t>
      </w:r>
      <w:r w:rsidR="000F7906">
        <w:rPr>
          <w:lang w:val="en-US"/>
        </w:rPr>
        <w:t xml:space="preserve"> </w:t>
      </w:r>
      <w:r w:rsidR="00D87E87">
        <w:rPr>
          <w:lang w:val="en-US"/>
        </w:rPr>
        <w:t>interventions</w:t>
      </w:r>
      <w:r w:rsidR="00AF2312">
        <w:rPr>
          <w:lang w:val="en-US"/>
        </w:rPr>
        <w:t xml:space="preserve">, which </w:t>
      </w:r>
      <w:r w:rsidR="00D87E87">
        <w:rPr>
          <w:lang w:val="en-US"/>
        </w:rPr>
        <w:t>needs</w:t>
      </w:r>
      <w:r w:rsidR="00AF2312">
        <w:rPr>
          <w:lang w:val="en-US"/>
        </w:rPr>
        <w:t xml:space="preserve"> </w:t>
      </w:r>
      <w:r w:rsidRPr="009C756F">
        <w:rPr>
          <w:lang w:val="en-US"/>
        </w:rPr>
        <w:t xml:space="preserve">to be pursued </w:t>
      </w:r>
      <w:r w:rsidR="000F7906">
        <w:rPr>
          <w:lang w:val="en-US"/>
        </w:rPr>
        <w:t xml:space="preserve">jointly. </w:t>
      </w:r>
      <w:r w:rsidRPr="009C756F">
        <w:rPr>
          <w:lang w:val="en-US"/>
        </w:rPr>
        <w:t xml:space="preserve">  </w:t>
      </w:r>
      <w:r w:rsidRPr="00032FA2">
        <w:rPr>
          <w:lang w:val="en-US"/>
        </w:rPr>
        <w:t xml:space="preserve"> </w:t>
      </w:r>
    </w:p>
    <w:p w14:paraId="09CCE6D1" w14:textId="77777777" w:rsidR="009C756F" w:rsidRPr="009C756F" w:rsidRDefault="009C756F" w:rsidP="009C756F">
      <w:pPr>
        <w:spacing w:after="0"/>
        <w:rPr>
          <w:lang w:val="en-US"/>
        </w:rPr>
      </w:pPr>
    </w:p>
    <w:p w14:paraId="14BF9BCC" w14:textId="77777777" w:rsidR="004D7664" w:rsidRPr="009C756F" w:rsidRDefault="004D7664" w:rsidP="004D7664">
      <w:pPr>
        <w:spacing w:after="0"/>
        <w:rPr>
          <w:b/>
          <w:lang w:val="en-US"/>
        </w:rPr>
      </w:pPr>
      <w:r w:rsidRPr="009C756F">
        <w:rPr>
          <w:b/>
          <w:lang w:val="en-US"/>
        </w:rPr>
        <w:t>SWAp</w:t>
      </w:r>
    </w:p>
    <w:p w14:paraId="15C8999C" w14:textId="6776F4D2" w:rsidR="00B951C3" w:rsidRDefault="00230243" w:rsidP="004D7664">
      <w:pPr>
        <w:spacing w:after="0"/>
        <w:rPr>
          <w:lang w:val="en-US"/>
        </w:rPr>
      </w:pPr>
      <w:r w:rsidRPr="00230243">
        <w:rPr>
          <w:lang w:val="en-US"/>
        </w:rPr>
        <w:t xml:space="preserve">The sector-wide approach to democratic governance is indispensable for achieving sustainable results in democratic governance and human rights and for building public trust in democratic institutions </w:t>
      </w:r>
      <w:r w:rsidR="00F75058">
        <w:rPr>
          <w:lang w:val="en-US"/>
        </w:rPr>
        <w:t xml:space="preserve">such as </w:t>
      </w:r>
      <w:r w:rsidR="004D7664">
        <w:rPr>
          <w:lang w:val="en-US"/>
        </w:rPr>
        <w:t xml:space="preserve">the </w:t>
      </w:r>
      <w:r w:rsidR="00D64D2A">
        <w:rPr>
          <w:lang w:val="en-US"/>
        </w:rPr>
        <w:t xml:space="preserve">political parties, the electoral system and the functioning of the Parliament and </w:t>
      </w:r>
      <w:r>
        <w:rPr>
          <w:lang w:val="en-US"/>
        </w:rPr>
        <w:t xml:space="preserve">for </w:t>
      </w:r>
      <w:r w:rsidR="00D64D2A">
        <w:rPr>
          <w:lang w:val="en-US"/>
        </w:rPr>
        <w:t xml:space="preserve">the independence and functioning of the constitutional bodies. CSO support to </w:t>
      </w:r>
      <w:r w:rsidR="00E465CE">
        <w:rPr>
          <w:lang w:val="en-US"/>
        </w:rPr>
        <w:t>enforce</w:t>
      </w:r>
      <w:r w:rsidR="00D64D2A">
        <w:rPr>
          <w:lang w:val="en-US"/>
        </w:rPr>
        <w:t xml:space="preserve"> </w:t>
      </w:r>
      <w:r w:rsidR="00E465CE">
        <w:rPr>
          <w:lang w:val="en-US"/>
        </w:rPr>
        <w:t xml:space="preserve">a rights-based development and for advocacy </w:t>
      </w:r>
      <w:r w:rsidR="00CE61D2">
        <w:rPr>
          <w:lang w:val="en-US"/>
        </w:rPr>
        <w:t>purposes</w:t>
      </w:r>
      <w:r w:rsidR="00D96EC1">
        <w:rPr>
          <w:lang w:val="en-US"/>
        </w:rPr>
        <w:t xml:space="preserve"> complements</w:t>
      </w:r>
      <w:r w:rsidR="00E465CE">
        <w:rPr>
          <w:lang w:val="en-US"/>
        </w:rPr>
        <w:t xml:space="preserve"> the SWAp. </w:t>
      </w:r>
      <w:r w:rsidR="004D7664" w:rsidRPr="009C756F">
        <w:rPr>
          <w:lang w:val="en-US"/>
        </w:rPr>
        <w:t>It is clear</w:t>
      </w:r>
      <w:r w:rsidR="00E465CE">
        <w:rPr>
          <w:lang w:val="en-US"/>
        </w:rPr>
        <w:t xml:space="preserve">, however </w:t>
      </w:r>
      <w:r w:rsidR="004D7664" w:rsidRPr="009C756F">
        <w:rPr>
          <w:lang w:val="en-US"/>
        </w:rPr>
        <w:t xml:space="preserve">that the DG SWAp is operating </w:t>
      </w:r>
      <w:r w:rsidR="00674D55">
        <w:rPr>
          <w:lang w:val="en-US"/>
        </w:rPr>
        <w:t xml:space="preserve">below </w:t>
      </w:r>
      <w:r w:rsidR="004D7664" w:rsidRPr="009C756F">
        <w:rPr>
          <w:lang w:val="en-US"/>
        </w:rPr>
        <w:t xml:space="preserve">its original </w:t>
      </w:r>
      <w:r w:rsidR="00674D55">
        <w:rPr>
          <w:lang w:val="en-US"/>
        </w:rPr>
        <w:t>objectives and only c</w:t>
      </w:r>
      <w:r w:rsidR="00CE61D2">
        <w:rPr>
          <w:lang w:val="en-US"/>
        </w:rPr>
        <w:t>ontribute</w:t>
      </w:r>
      <w:r w:rsidR="00530E71">
        <w:rPr>
          <w:lang w:val="en-US"/>
        </w:rPr>
        <w:t>s</w:t>
      </w:r>
      <w:r w:rsidR="00CE61D2">
        <w:rPr>
          <w:lang w:val="en-US"/>
        </w:rPr>
        <w:t xml:space="preserve"> to basic coordination,</w:t>
      </w:r>
      <w:r w:rsidR="006A143D">
        <w:rPr>
          <w:lang w:val="en-US"/>
        </w:rPr>
        <w:t xml:space="preserve"> while it </w:t>
      </w:r>
      <w:r w:rsidR="003067C8">
        <w:rPr>
          <w:lang w:val="en-US"/>
        </w:rPr>
        <w:t xml:space="preserve">has </w:t>
      </w:r>
      <w:r w:rsidR="006A143D">
        <w:rPr>
          <w:lang w:val="en-US"/>
        </w:rPr>
        <w:t xml:space="preserve">yet </w:t>
      </w:r>
      <w:r w:rsidR="003067C8">
        <w:rPr>
          <w:lang w:val="en-US"/>
        </w:rPr>
        <w:t xml:space="preserve">to </w:t>
      </w:r>
      <w:r w:rsidR="00530E71">
        <w:rPr>
          <w:lang w:val="en-US"/>
        </w:rPr>
        <w:t>significant</w:t>
      </w:r>
      <w:r w:rsidR="006A143D">
        <w:rPr>
          <w:lang w:val="en-US"/>
        </w:rPr>
        <w:t>ly</w:t>
      </w:r>
      <w:r w:rsidR="00530E71">
        <w:rPr>
          <w:lang w:val="en-US"/>
        </w:rPr>
        <w:t xml:space="preserve"> </w:t>
      </w:r>
      <w:r w:rsidR="003067C8">
        <w:rPr>
          <w:lang w:val="en-US"/>
        </w:rPr>
        <w:t xml:space="preserve">impact </w:t>
      </w:r>
      <w:r w:rsidR="00530E71">
        <w:rPr>
          <w:lang w:val="en-US"/>
        </w:rPr>
        <w:t xml:space="preserve">on </w:t>
      </w:r>
      <w:r w:rsidR="0073355D">
        <w:rPr>
          <w:lang w:val="en-US"/>
        </w:rPr>
        <w:t xml:space="preserve">policy </w:t>
      </w:r>
      <w:r w:rsidR="003067C8">
        <w:rPr>
          <w:lang w:val="en-US"/>
        </w:rPr>
        <w:t xml:space="preserve">implementation </w:t>
      </w:r>
      <w:r w:rsidR="00530E71">
        <w:rPr>
          <w:lang w:val="en-US"/>
        </w:rPr>
        <w:t>and building synergies among DG institutions.</w:t>
      </w:r>
      <w:r w:rsidR="0073355D">
        <w:rPr>
          <w:lang w:val="en-US"/>
        </w:rPr>
        <w:t xml:space="preserve"> The SWAp is also </w:t>
      </w:r>
      <w:r w:rsidR="00C36072">
        <w:rPr>
          <w:lang w:val="en-US"/>
        </w:rPr>
        <w:t>constrained</w:t>
      </w:r>
      <w:r w:rsidR="0073355D">
        <w:rPr>
          <w:lang w:val="en-US"/>
        </w:rPr>
        <w:t xml:space="preserve"> by </w:t>
      </w:r>
      <w:r w:rsidR="00CE61D2">
        <w:rPr>
          <w:lang w:val="en-US"/>
        </w:rPr>
        <w:t xml:space="preserve">DPs reluctance to </w:t>
      </w:r>
      <w:r w:rsidR="00C36072">
        <w:rPr>
          <w:lang w:val="en-US"/>
        </w:rPr>
        <w:t>render</w:t>
      </w:r>
      <w:r w:rsidR="00F32A02">
        <w:rPr>
          <w:lang w:val="en-US"/>
        </w:rPr>
        <w:t xml:space="preserve"> </w:t>
      </w:r>
      <w:r w:rsidR="00CE61D2">
        <w:rPr>
          <w:lang w:val="en-US"/>
        </w:rPr>
        <w:t xml:space="preserve">budget support and </w:t>
      </w:r>
      <w:r>
        <w:rPr>
          <w:lang w:val="en-US"/>
        </w:rPr>
        <w:t xml:space="preserve">by </w:t>
      </w:r>
      <w:r w:rsidR="00F32A02">
        <w:rPr>
          <w:lang w:val="en-US"/>
        </w:rPr>
        <w:t>the overall decline</w:t>
      </w:r>
      <w:r w:rsidR="00CE61D2">
        <w:rPr>
          <w:lang w:val="en-US"/>
        </w:rPr>
        <w:t xml:space="preserve"> </w:t>
      </w:r>
      <w:r w:rsidR="00F32A02">
        <w:rPr>
          <w:lang w:val="en-US"/>
        </w:rPr>
        <w:t xml:space="preserve">in </w:t>
      </w:r>
      <w:r w:rsidR="00CE61D2">
        <w:rPr>
          <w:lang w:val="en-US"/>
        </w:rPr>
        <w:t xml:space="preserve">development </w:t>
      </w:r>
      <w:r>
        <w:rPr>
          <w:lang w:val="en-US"/>
        </w:rPr>
        <w:t xml:space="preserve">funds. This development </w:t>
      </w:r>
      <w:r w:rsidR="00797034">
        <w:rPr>
          <w:lang w:val="en-US"/>
        </w:rPr>
        <w:t>is constraining the government’s ability to deliver on its commitments</w:t>
      </w:r>
      <w:r w:rsidR="00C36072">
        <w:rPr>
          <w:lang w:val="en-US"/>
        </w:rPr>
        <w:t>;</w:t>
      </w:r>
      <w:r w:rsidR="00D96EC1">
        <w:rPr>
          <w:lang w:val="en-US"/>
        </w:rPr>
        <w:t xml:space="preserve"> a development that is unlikely to change in the near term.</w:t>
      </w:r>
    </w:p>
    <w:p w14:paraId="4BB9A780" w14:textId="77777777" w:rsidR="00B951C3" w:rsidRDefault="00B951C3" w:rsidP="004D7664">
      <w:pPr>
        <w:spacing w:after="0"/>
        <w:rPr>
          <w:lang w:val="en-US"/>
        </w:rPr>
      </w:pPr>
    </w:p>
    <w:p w14:paraId="2C5BAB53" w14:textId="77777777" w:rsidR="00B951C3" w:rsidRPr="00B951C3" w:rsidRDefault="00D96EC1" w:rsidP="004D7664">
      <w:pPr>
        <w:spacing w:after="0"/>
        <w:rPr>
          <w:b/>
          <w:lang w:val="en-US"/>
        </w:rPr>
      </w:pPr>
      <w:r>
        <w:rPr>
          <w:b/>
          <w:lang w:val="en-US"/>
        </w:rPr>
        <w:t>The c</w:t>
      </w:r>
      <w:r w:rsidR="00B951C3" w:rsidRPr="00B951C3">
        <w:rPr>
          <w:b/>
          <w:lang w:val="en-US"/>
        </w:rPr>
        <w:t>onstitutional bodies</w:t>
      </w:r>
    </w:p>
    <w:p w14:paraId="53C8501D" w14:textId="77777777" w:rsidR="00674D55" w:rsidRDefault="00CD2418" w:rsidP="004D7664">
      <w:pPr>
        <w:spacing w:after="0"/>
        <w:rPr>
          <w:lang w:val="en-US"/>
        </w:rPr>
      </w:pPr>
      <w:r>
        <w:rPr>
          <w:lang w:val="en-US"/>
        </w:rPr>
        <w:t xml:space="preserve">The constitutional bodies supported under this outcome are </w:t>
      </w:r>
      <w:r w:rsidR="006954D0">
        <w:rPr>
          <w:lang w:val="en-US"/>
        </w:rPr>
        <w:t>constrained by the inability of the government to sufficiently sustain</w:t>
      </w:r>
      <w:r w:rsidR="00B951C3">
        <w:rPr>
          <w:lang w:val="en-US"/>
        </w:rPr>
        <w:t>ing</w:t>
      </w:r>
      <w:r w:rsidR="006954D0">
        <w:rPr>
          <w:lang w:val="en-US"/>
        </w:rPr>
        <w:t xml:space="preserve"> their operational </w:t>
      </w:r>
      <w:r w:rsidR="001B7C42">
        <w:rPr>
          <w:lang w:val="en-US"/>
        </w:rPr>
        <w:t>capacities. T</w:t>
      </w:r>
      <w:r w:rsidR="00B951C3">
        <w:rPr>
          <w:lang w:val="en-US"/>
        </w:rPr>
        <w:t xml:space="preserve">his ultimately </w:t>
      </w:r>
      <w:r w:rsidR="0055135E">
        <w:rPr>
          <w:lang w:val="en-US"/>
        </w:rPr>
        <w:t>has adverse effects</w:t>
      </w:r>
      <w:r w:rsidR="00B951C3">
        <w:rPr>
          <w:lang w:val="en-US"/>
        </w:rPr>
        <w:t xml:space="preserve"> </w:t>
      </w:r>
      <w:r w:rsidR="00F75058">
        <w:rPr>
          <w:lang w:val="en-US"/>
        </w:rPr>
        <w:t xml:space="preserve">on </w:t>
      </w:r>
      <w:r w:rsidR="00B951C3">
        <w:rPr>
          <w:lang w:val="en-US"/>
        </w:rPr>
        <w:t>the role</w:t>
      </w:r>
      <w:r w:rsidR="001B7C42">
        <w:rPr>
          <w:lang w:val="en-US"/>
        </w:rPr>
        <w:t xml:space="preserve">, </w:t>
      </w:r>
      <w:r w:rsidR="00B951C3">
        <w:rPr>
          <w:lang w:val="en-US"/>
        </w:rPr>
        <w:t xml:space="preserve">functioning </w:t>
      </w:r>
      <w:r w:rsidR="001B7C42">
        <w:rPr>
          <w:lang w:val="en-US"/>
        </w:rPr>
        <w:t xml:space="preserve">and outreach </w:t>
      </w:r>
      <w:r w:rsidR="00B951C3">
        <w:rPr>
          <w:lang w:val="en-US"/>
        </w:rPr>
        <w:t xml:space="preserve">of the </w:t>
      </w:r>
      <w:r w:rsidR="00AF2312">
        <w:rPr>
          <w:lang w:val="en-US"/>
        </w:rPr>
        <w:t>bo</w:t>
      </w:r>
      <w:r w:rsidR="00F91343">
        <w:rPr>
          <w:lang w:val="en-US"/>
        </w:rPr>
        <w:t xml:space="preserve">dies, </w:t>
      </w:r>
      <w:r w:rsidR="00F75058">
        <w:rPr>
          <w:lang w:val="en-US"/>
        </w:rPr>
        <w:t xml:space="preserve">which </w:t>
      </w:r>
      <w:r w:rsidR="001B7C42">
        <w:rPr>
          <w:lang w:val="en-US"/>
        </w:rPr>
        <w:t xml:space="preserve">to some degree </w:t>
      </w:r>
      <w:r w:rsidR="0073355D">
        <w:rPr>
          <w:lang w:val="en-US"/>
        </w:rPr>
        <w:t>diminish the</w:t>
      </w:r>
      <w:r w:rsidR="00BA576D">
        <w:rPr>
          <w:lang w:val="en-US"/>
        </w:rPr>
        <w:t>ir</w:t>
      </w:r>
      <w:r w:rsidR="0073355D">
        <w:rPr>
          <w:lang w:val="en-US"/>
        </w:rPr>
        <w:t xml:space="preserve"> independence and </w:t>
      </w:r>
      <w:r w:rsidR="00F75058">
        <w:rPr>
          <w:lang w:val="en-US"/>
        </w:rPr>
        <w:t xml:space="preserve">erode </w:t>
      </w:r>
      <w:r w:rsidR="00BA576D">
        <w:rPr>
          <w:lang w:val="en-US"/>
        </w:rPr>
        <w:t>public trust</w:t>
      </w:r>
      <w:r w:rsidR="001B7C42">
        <w:rPr>
          <w:lang w:val="en-US"/>
        </w:rPr>
        <w:t xml:space="preserve"> in them</w:t>
      </w:r>
      <w:r w:rsidR="00BA576D">
        <w:rPr>
          <w:lang w:val="en-US"/>
        </w:rPr>
        <w:t>.</w:t>
      </w:r>
      <w:r w:rsidR="00824926">
        <w:rPr>
          <w:lang w:val="en-US"/>
        </w:rPr>
        <w:t xml:space="preserve"> It also affects the absorption capacity of the bodies vis-à-vis the specialized TA rendered by the DPs. </w:t>
      </w:r>
    </w:p>
    <w:p w14:paraId="46B654E2" w14:textId="77777777" w:rsidR="001614A4" w:rsidRDefault="001614A4" w:rsidP="009C756F">
      <w:pPr>
        <w:spacing w:after="0"/>
        <w:rPr>
          <w:b/>
          <w:lang w:val="en-US"/>
        </w:rPr>
      </w:pPr>
    </w:p>
    <w:p w14:paraId="5BE32E9A" w14:textId="77777777" w:rsidR="00316E10" w:rsidRPr="009C756F" w:rsidRDefault="00316E10" w:rsidP="00316E10">
      <w:pPr>
        <w:spacing w:after="0"/>
        <w:rPr>
          <w:b/>
          <w:lang w:val="en-US"/>
        </w:rPr>
      </w:pPr>
      <w:r w:rsidRPr="009C756F">
        <w:rPr>
          <w:b/>
          <w:lang w:val="en-US"/>
        </w:rPr>
        <w:t>Human Rights need more champions</w:t>
      </w:r>
    </w:p>
    <w:p w14:paraId="357FB53E" w14:textId="53532154" w:rsidR="00316E10" w:rsidRPr="009C756F" w:rsidRDefault="00316E10" w:rsidP="00316E10">
      <w:pPr>
        <w:spacing w:after="0"/>
        <w:rPr>
          <w:lang w:val="en-US"/>
        </w:rPr>
      </w:pPr>
      <w:r w:rsidRPr="009C756F">
        <w:rPr>
          <w:lang w:val="en-US"/>
        </w:rPr>
        <w:t xml:space="preserve">The teething issues persisting in human </w:t>
      </w:r>
      <w:r w:rsidR="00C612FC" w:rsidRPr="009C756F">
        <w:rPr>
          <w:lang w:val="en-US"/>
        </w:rPr>
        <w:t>rights</w:t>
      </w:r>
      <w:r w:rsidRPr="009C756F">
        <w:rPr>
          <w:lang w:val="en-US"/>
        </w:rPr>
        <w:t xml:space="preserve"> </w:t>
      </w:r>
      <w:r w:rsidR="00F94B0B">
        <w:rPr>
          <w:lang w:val="en-US"/>
        </w:rPr>
        <w:t xml:space="preserve">may call for the establishment of a broader alliance with the Law Commission, the Human Rights Committee of the Parliament and MoJCA to address the issue of MHRC independence and to move the minority rights agenda. </w:t>
      </w:r>
      <w:r w:rsidRPr="009C756F">
        <w:rPr>
          <w:lang w:val="en-US"/>
        </w:rPr>
        <w:t xml:space="preserve">Supplementing supply side support with demand side support </w:t>
      </w:r>
      <w:r w:rsidR="009857AA">
        <w:rPr>
          <w:lang w:val="en-US"/>
        </w:rPr>
        <w:t>through</w:t>
      </w:r>
      <w:r w:rsidR="00F94B0B">
        <w:rPr>
          <w:lang w:val="en-US"/>
        </w:rPr>
        <w:t xml:space="preserve"> CSOs </w:t>
      </w:r>
      <w:r w:rsidRPr="009C756F">
        <w:rPr>
          <w:lang w:val="en-US"/>
        </w:rPr>
        <w:t xml:space="preserve">in human rights </w:t>
      </w:r>
      <w:r w:rsidR="009857AA">
        <w:rPr>
          <w:lang w:val="en-US"/>
        </w:rPr>
        <w:t xml:space="preserve">to enforce legally established human rights, identify gaps and strengthen human rights advocacy, </w:t>
      </w:r>
      <w:r w:rsidR="0076114B" w:rsidRPr="009C756F">
        <w:rPr>
          <w:lang w:val="en-US"/>
        </w:rPr>
        <w:t xml:space="preserve">is </w:t>
      </w:r>
      <w:r w:rsidR="0076114B">
        <w:rPr>
          <w:lang w:val="en-US"/>
        </w:rPr>
        <w:t xml:space="preserve">also </w:t>
      </w:r>
      <w:r w:rsidR="0076114B" w:rsidRPr="009C756F">
        <w:rPr>
          <w:lang w:val="en-US"/>
        </w:rPr>
        <w:t xml:space="preserve">a valid approach </w:t>
      </w:r>
      <w:r w:rsidRPr="009C756F">
        <w:rPr>
          <w:lang w:val="en-US"/>
        </w:rPr>
        <w:t xml:space="preserve">and should be maintained. </w:t>
      </w:r>
    </w:p>
    <w:p w14:paraId="7F58E98E" w14:textId="77777777" w:rsidR="00316E10" w:rsidRDefault="00316E10" w:rsidP="0005682B">
      <w:pPr>
        <w:spacing w:after="0"/>
        <w:rPr>
          <w:b/>
          <w:lang w:val="en-US"/>
        </w:rPr>
      </w:pPr>
    </w:p>
    <w:p w14:paraId="1104EB38" w14:textId="77777777" w:rsidR="0005682B" w:rsidRPr="00B35862" w:rsidRDefault="00B35862" w:rsidP="0005682B">
      <w:pPr>
        <w:spacing w:after="0"/>
        <w:rPr>
          <w:b/>
          <w:lang w:val="en-US"/>
        </w:rPr>
      </w:pPr>
      <w:r w:rsidRPr="00B35862">
        <w:rPr>
          <w:b/>
          <w:lang w:val="en-US"/>
        </w:rPr>
        <w:t xml:space="preserve">The </w:t>
      </w:r>
      <w:r w:rsidR="0005682B" w:rsidRPr="00B35862">
        <w:rPr>
          <w:b/>
          <w:lang w:val="en-US"/>
        </w:rPr>
        <w:t>IRD strategy and the devolution programme</w:t>
      </w:r>
    </w:p>
    <w:p w14:paraId="04C075ED" w14:textId="05AEE28F" w:rsidR="0005682B" w:rsidRDefault="0005682B" w:rsidP="0095229E">
      <w:pPr>
        <w:spacing w:after="0"/>
        <w:rPr>
          <w:lang w:val="en-US"/>
        </w:rPr>
      </w:pPr>
      <w:r>
        <w:rPr>
          <w:lang w:val="en-US"/>
        </w:rPr>
        <w:t xml:space="preserve">The IRD strategy depends on a </w:t>
      </w:r>
      <w:r w:rsidR="00B35862">
        <w:rPr>
          <w:lang w:val="en-US"/>
        </w:rPr>
        <w:t xml:space="preserve">fundamental </w:t>
      </w:r>
      <w:r>
        <w:rPr>
          <w:lang w:val="en-US"/>
        </w:rPr>
        <w:t xml:space="preserve">devolution </w:t>
      </w:r>
      <w:r w:rsidR="0076114B">
        <w:rPr>
          <w:lang w:val="en-US"/>
        </w:rPr>
        <w:t>reform, which</w:t>
      </w:r>
      <w:r>
        <w:rPr>
          <w:lang w:val="en-US"/>
        </w:rPr>
        <w:t xml:space="preserve"> </w:t>
      </w:r>
      <w:r w:rsidR="00B35862">
        <w:rPr>
          <w:lang w:val="en-US"/>
        </w:rPr>
        <w:t>will a</w:t>
      </w:r>
      <w:r>
        <w:rPr>
          <w:lang w:val="en-US"/>
        </w:rPr>
        <w:t xml:space="preserve">ddress </w:t>
      </w:r>
      <w:r w:rsidR="00B35862">
        <w:rPr>
          <w:lang w:val="en-US"/>
        </w:rPr>
        <w:t xml:space="preserve">root causes of non-conduciveness in the </w:t>
      </w:r>
      <w:r>
        <w:rPr>
          <w:lang w:val="en-US"/>
        </w:rPr>
        <w:t>local government system</w:t>
      </w:r>
      <w:r w:rsidR="00B35862">
        <w:rPr>
          <w:lang w:val="en-US"/>
        </w:rPr>
        <w:t>.</w:t>
      </w:r>
      <w:r w:rsidRPr="0005682B">
        <w:rPr>
          <w:lang w:val="en-US"/>
        </w:rPr>
        <w:t xml:space="preserve"> Training and equipment are not enough to change </w:t>
      </w:r>
      <w:r w:rsidR="00B35862">
        <w:rPr>
          <w:lang w:val="en-US"/>
        </w:rPr>
        <w:t>cur</w:t>
      </w:r>
      <w:r w:rsidR="0076114B">
        <w:rPr>
          <w:lang w:val="en-US"/>
        </w:rPr>
        <w:t>rent practices and malpractices;</w:t>
      </w:r>
      <w:r w:rsidR="00B35862">
        <w:rPr>
          <w:lang w:val="en-US"/>
        </w:rPr>
        <w:t xml:space="preserve"> substantial reforms of the system and central-local working relationships also </w:t>
      </w:r>
      <w:r w:rsidR="005E17C1">
        <w:rPr>
          <w:lang w:val="en-US"/>
        </w:rPr>
        <w:t>need</w:t>
      </w:r>
      <w:r w:rsidR="00B35862">
        <w:rPr>
          <w:lang w:val="en-US"/>
        </w:rPr>
        <w:t xml:space="preserve"> to be addressed</w:t>
      </w:r>
      <w:r w:rsidRPr="0005682B">
        <w:rPr>
          <w:lang w:val="en-US"/>
        </w:rPr>
        <w:t xml:space="preserve">. </w:t>
      </w:r>
      <w:r w:rsidR="00B35862">
        <w:rPr>
          <w:lang w:val="en-US"/>
        </w:rPr>
        <w:t xml:space="preserve">The current IRD strategy and the devolution programme </w:t>
      </w:r>
      <w:r w:rsidR="00B35862" w:rsidRPr="0005682B">
        <w:rPr>
          <w:lang w:val="en-US"/>
        </w:rPr>
        <w:t>do</w:t>
      </w:r>
      <w:r w:rsidR="00B35862">
        <w:rPr>
          <w:lang w:val="en-US"/>
        </w:rPr>
        <w:t xml:space="preserve"> not yet engage sufficiently with </w:t>
      </w:r>
      <w:r w:rsidRPr="0005682B">
        <w:rPr>
          <w:lang w:val="en-US"/>
        </w:rPr>
        <w:t xml:space="preserve">the underlying </w:t>
      </w:r>
      <w:r w:rsidR="009857AA">
        <w:rPr>
          <w:lang w:val="en-US"/>
        </w:rPr>
        <w:t>root causes</w:t>
      </w:r>
      <w:r w:rsidR="0070426A">
        <w:rPr>
          <w:lang w:val="en-US"/>
        </w:rPr>
        <w:t>, which create</w:t>
      </w:r>
      <w:r w:rsidR="00B35862">
        <w:rPr>
          <w:lang w:val="en-US"/>
        </w:rPr>
        <w:t xml:space="preserve"> g</w:t>
      </w:r>
      <w:r w:rsidRPr="0005682B">
        <w:rPr>
          <w:lang w:val="en-US"/>
        </w:rPr>
        <w:t xml:space="preserve">aps and weaknesses </w:t>
      </w:r>
      <w:r w:rsidR="00B35862">
        <w:rPr>
          <w:lang w:val="en-US"/>
        </w:rPr>
        <w:t xml:space="preserve">in </w:t>
      </w:r>
      <w:r w:rsidR="0095229E">
        <w:rPr>
          <w:lang w:val="en-US"/>
        </w:rPr>
        <w:t>local government</w:t>
      </w:r>
      <w:r w:rsidR="00824926">
        <w:rPr>
          <w:lang w:val="en-US"/>
        </w:rPr>
        <w:t>.</w:t>
      </w:r>
    </w:p>
    <w:p w14:paraId="6678A983" w14:textId="77777777" w:rsidR="0005682B" w:rsidRDefault="0005682B" w:rsidP="009C756F">
      <w:pPr>
        <w:spacing w:after="0"/>
        <w:rPr>
          <w:b/>
          <w:lang w:val="en-US"/>
        </w:rPr>
      </w:pPr>
    </w:p>
    <w:p w14:paraId="3E0BEB12" w14:textId="77777777" w:rsidR="00CF4771" w:rsidRPr="00032FA2" w:rsidRDefault="00CF4771" w:rsidP="00CF4771">
      <w:pPr>
        <w:spacing w:after="0"/>
        <w:rPr>
          <w:b/>
          <w:lang w:val="en-US"/>
        </w:rPr>
      </w:pPr>
      <w:r w:rsidRPr="009C756F">
        <w:rPr>
          <w:b/>
          <w:lang w:val="en-US"/>
        </w:rPr>
        <w:t>Decentralization</w:t>
      </w:r>
      <w:r w:rsidR="00EF7AD4">
        <w:rPr>
          <w:b/>
          <w:lang w:val="en-US"/>
        </w:rPr>
        <w:t xml:space="preserve">/IRD should be addressed as </w:t>
      </w:r>
      <w:r>
        <w:rPr>
          <w:b/>
          <w:lang w:val="en-US"/>
        </w:rPr>
        <w:t xml:space="preserve">part of </w:t>
      </w:r>
      <w:r w:rsidR="00EF7AD4">
        <w:rPr>
          <w:b/>
          <w:lang w:val="en-US"/>
        </w:rPr>
        <w:t xml:space="preserve">the wider </w:t>
      </w:r>
      <w:r w:rsidRPr="009C756F">
        <w:rPr>
          <w:b/>
          <w:lang w:val="en-US"/>
        </w:rPr>
        <w:t>P</w:t>
      </w:r>
      <w:r w:rsidR="00EF7AD4">
        <w:rPr>
          <w:b/>
          <w:lang w:val="en-US"/>
        </w:rPr>
        <w:t xml:space="preserve">ublic </w:t>
      </w:r>
      <w:r w:rsidRPr="009C756F">
        <w:rPr>
          <w:b/>
          <w:lang w:val="en-US"/>
        </w:rPr>
        <w:t>S</w:t>
      </w:r>
      <w:r w:rsidR="00EF7AD4">
        <w:rPr>
          <w:b/>
          <w:lang w:val="en-US"/>
        </w:rPr>
        <w:t xml:space="preserve">ector </w:t>
      </w:r>
      <w:r w:rsidRPr="009C756F">
        <w:rPr>
          <w:b/>
          <w:lang w:val="en-US"/>
        </w:rPr>
        <w:t>R</w:t>
      </w:r>
      <w:r w:rsidR="00EF7AD4">
        <w:rPr>
          <w:b/>
          <w:lang w:val="en-US"/>
        </w:rPr>
        <w:t>eform</w:t>
      </w:r>
    </w:p>
    <w:p w14:paraId="667A6C8D" w14:textId="77777777" w:rsidR="00AE0538" w:rsidRDefault="00CF4771" w:rsidP="00CF4771">
      <w:pPr>
        <w:contextualSpacing/>
        <w:rPr>
          <w:lang w:val="en-US"/>
        </w:rPr>
        <w:sectPr w:rsidR="00AE0538" w:rsidSect="00EE0F39">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708" w:footer="708" w:gutter="0"/>
          <w:cols w:space="708"/>
          <w:docGrid w:linePitch="360"/>
        </w:sectPr>
      </w:pPr>
      <w:r w:rsidRPr="00032FA2">
        <w:rPr>
          <w:lang w:val="en-US"/>
        </w:rPr>
        <w:t xml:space="preserve">The </w:t>
      </w:r>
      <w:r>
        <w:rPr>
          <w:lang w:val="en-US"/>
        </w:rPr>
        <w:t xml:space="preserve">4.1 </w:t>
      </w:r>
      <w:r w:rsidRPr="00032FA2">
        <w:rPr>
          <w:lang w:val="en-US"/>
        </w:rPr>
        <w:t xml:space="preserve">outcome is broadly formulated and not very coherent, although the MTE team also recognizes that UNDAF designs are a reflection of multi-stakeholder agendas. The </w:t>
      </w:r>
      <w:r>
        <w:rPr>
          <w:lang w:val="en-US"/>
        </w:rPr>
        <w:t>targeting of d</w:t>
      </w:r>
      <w:r w:rsidRPr="00032FA2">
        <w:rPr>
          <w:lang w:val="en-US"/>
        </w:rPr>
        <w:t xml:space="preserve">emocratic governance, human rights and decentralization/integrated rural development, </w:t>
      </w:r>
      <w:r>
        <w:rPr>
          <w:lang w:val="en-US"/>
        </w:rPr>
        <w:t>within one outcome i</w:t>
      </w:r>
      <w:r w:rsidRPr="00032FA2">
        <w:rPr>
          <w:lang w:val="en-US"/>
        </w:rPr>
        <w:t xml:space="preserve">s mixing many different areas </w:t>
      </w:r>
      <w:r>
        <w:rPr>
          <w:lang w:val="en-US"/>
        </w:rPr>
        <w:t>and the value-addition of including d</w:t>
      </w:r>
      <w:r w:rsidRPr="00032FA2">
        <w:rPr>
          <w:lang w:val="en-US"/>
        </w:rPr>
        <w:t xml:space="preserve">ecentralization/IRD </w:t>
      </w:r>
      <w:r>
        <w:rPr>
          <w:lang w:val="en-US"/>
        </w:rPr>
        <w:t xml:space="preserve">in the outcome is not obvious. The IRD strategy depends on fundamental </w:t>
      </w:r>
      <w:r>
        <w:rPr>
          <w:lang w:val="en-US"/>
        </w:rPr>
        <w:lastRenderedPageBreak/>
        <w:t xml:space="preserve">improvements in the local government system, which again </w:t>
      </w:r>
      <w:r w:rsidR="00D1291A">
        <w:rPr>
          <w:lang w:val="en-US"/>
        </w:rPr>
        <w:t>have to</w:t>
      </w:r>
      <w:r w:rsidRPr="00032FA2">
        <w:rPr>
          <w:lang w:val="en-US"/>
        </w:rPr>
        <w:t xml:space="preserve"> be addressed as part of the </w:t>
      </w:r>
      <w:r w:rsidR="00AE2802">
        <w:rPr>
          <w:lang w:val="en-US"/>
        </w:rPr>
        <w:t xml:space="preserve">overall </w:t>
      </w:r>
      <w:r w:rsidRPr="00032FA2">
        <w:rPr>
          <w:lang w:val="en-US"/>
        </w:rPr>
        <w:t>public sector reform</w:t>
      </w:r>
      <w:r w:rsidR="00AE2802">
        <w:rPr>
          <w:lang w:val="en-US"/>
        </w:rPr>
        <w:t>s.</w:t>
      </w:r>
      <w:r w:rsidRPr="00032FA2">
        <w:rPr>
          <w:lang w:val="en-US"/>
        </w:rPr>
        <w:t xml:space="preserve"> </w:t>
      </w:r>
    </w:p>
    <w:p w14:paraId="14F9B5B8" w14:textId="77777777" w:rsidR="000057A5" w:rsidRPr="000057A5" w:rsidRDefault="008342E7" w:rsidP="000057A5">
      <w:pPr>
        <w:pStyle w:val="Overskrift1"/>
        <w:rPr>
          <w:b w:val="0"/>
          <w:lang w:val="en-US"/>
        </w:rPr>
      </w:pPr>
      <w:bookmarkStart w:id="48" w:name="_Toc439245600"/>
      <w:r w:rsidRPr="00727207">
        <w:rPr>
          <w:rStyle w:val="Overskrift1Tegn"/>
          <w:b/>
          <w:lang w:val="en-GB"/>
        </w:rPr>
        <w:lastRenderedPageBreak/>
        <w:t>8. Overall Conclusion and Recommendations</w:t>
      </w:r>
      <w:bookmarkEnd w:id="48"/>
      <w:r w:rsidR="00C146E9" w:rsidRPr="000057A5">
        <w:rPr>
          <w:b w:val="0"/>
          <w:lang w:val="en-US"/>
        </w:rPr>
        <w:t xml:space="preserve">  </w:t>
      </w:r>
    </w:p>
    <w:p w14:paraId="4ABD0A8B" w14:textId="77777777" w:rsidR="00C146E9" w:rsidRDefault="00C146E9" w:rsidP="008342E7">
      <w:pPr>
        <w:spacing w:after="0"/>
        <w:rPr>
          <w:lang w:val="en-US"/>
        </w:rPr>
      </w:pPr>
    </w:p>
    <w:p w14:paraId="514A40E6" w14:textId="43BD99DD" w:rsidR="008342E7" w:rsidRPr="00CD56B9" w:rsidRDefault="008342E7" w:rsidP="008342E7">
      <w:pPr>
        <w:spacing w:after="0"/>
        <w:rPr>
          <w:lang w:val="en-US"/>
        </w:rPr>
      </w:pPr>
      <w:r w:rsidRPr="00CD56B9">
        <w:rPr>
          <w:lang w:val="en-US"/>
        </w:rPr>
        <w:t xml:space="preserve">Support to democratic governance, human rights and </w:t>
      </w:r>
      <w:r w:rsidR="004419F9" w:rsidRPr="00CD56B9">
        <w:rPr>
          <w:lang w:val="en-US"/>
        </w:rPr>
        <w:t xml:space="preserve">devolution </w:t>
      </w:r>
      <w:r w:rsidRPr="00CD56B9">
        <w:rPr>
          <w:lang w:val="en-US"/>
        </w:rPr>
        <w:t xml:space="preserve">is a long-term, incremental process, which also includes some </w:t>
      </w:r>
      <w:r w:rsidR="004419F9" w:rsidRPr="00CD56B9">
        <w:rPr>
          <w:lang w:val="en-US"/>
        </w:rPr>
        <w:t xml:space="preserve">uncertainty </w:t>
      </w:r>
      <w:r w:rsidR="00EE41EA">
        <w:rPr>
          <w:lang w:val="en-US"/>
        </w:rPr>
        <w:t xml:space="preserve">in </w:t>
      </w:r>
      <w:r w:rsidRPr="00CD56B9">
        <w:rPr>
          <w:lang w:val="en-US"/>
        </w:rPr>
        <w:t>policy outcomes. Any breakthroughs, however, can have huge positive impact and UNDAF Outcome 4.1 provides support to a number of reforms, which potentially could bring demo</w:t>
      </w:r>
      <w:r w:rsidR="00CE45D8" w:rsidRPr="00CD56B9">
        <w:rPr>
          <w:lang w:val="en-US"/>
        </w:rPr>
        <w:t>cratic transformation and change.</w:t>
      </w:r>
    </w:p>
    <w:p w14:paraId="28A89F8F" w14:textId="77777777" w:rsidR="008342E7" w:rsidRDefault="008342E7" w:rsidP="008342E7">
      <w:pPr>
        <w:spacing w:after="0"/>
        <w:rPr>
          <w:lang w:val="en-US"/>
        </w:rPr>
      </w:pPr>
    </w:p>
    <w:p w14:paraId="67FDE8EB" w14:textId="5BC4851B" w:rsidR="00540606" w:rsidRDefault="00BB419A" w:rsidP="008342E7">
      <w:pPr>
        <w:spacing w:after="0"/>
        <w:rPr>
          <w:lang w:val="en-US"/>
        </w:rPr>
      </w:pPr>
      <w:r>
        <w:rPr>
          <w:lang w:val="en-US"/>
        </w:rPr>
        <w:t xml:space="preserve">The SWAp is well justified as transformation and change in democratic governance and public trust in democratic institutions can only be achieved though broad interventions targeting political parties, constitutional bodies, government and CSOs. </w:t>
      </w:r>
      <w:r w:rsidR="00540606" w:rsidRPr="00540606">
        <w:rPr>
          <w:lang w:val="en-US"/>
        </w:rPr>
        <w:t>The UNCT</w:t>
      </w:r>
      <w:r w:rsidR="00540606">
        <w:rPr>
          <w:lang w:val="en-US"/>
        </w:rPr>
        <w:t xml:space="preserve"> under the leadership of UNDP</w:t>
      </w:r>
      <w:r w:rsidR="00540606" w:rsidRPr="00540606">
        <w:rPr>
          <w:lang w:val="en-US"/>
        </w:rPr>
        <w:t xml:space="preserve"> is well positioned to support Malawi in democratic governance and the assistance rendered remains relevant and firmly anchored within the </w:t>
      </w:r>
      <w:r w:rsidR="00540606">
        <w:rPr>
          <w:lang w:val="en-US"/>
        </w:rPr>
        <w:t xml:space="preserve">government </w:t>
      </w:r>
      <w:r w:rsidR="00540606" w:rsidRPr="00540606">
        <w:rPr>
          <w:lang w:val="en-US"/>
        </w:rPr>
        <w:t>policies, strategies and priorities. The MTE team also received overall positive feedback from all stakeholders on the role and responsiveness of the UNCT, and the DPs in particular praised the support rendered during the 2014 tripartite elections.</w:t>
      </w:r>
    </w:p>
    <w:p w14:paraId="12DD7383" w14:textId="77777777" w:rsidR="00540606" w:rsidRDefault="00540606" w:rsidP="008342E7">
      <w:pPr>
        <w:spacing w:after="0"/>
        <w:rPr>
          <w:lang w:val="en-US"/>
        </w:rPr>
      </w:pPr>
    </w:p>
    <w:p w14:paraId="54A530E5" w14:textId="77777777" w:rsidR="00BB419A" w:rsidRDefault="00BB419A" w:rsidP="008342E7">
      <w:pPr>
        <w:spacing w:after="0"/>
        <w:rPr>
          <w:lang w:val="en-US"/>
        </w:rPr>
      </w:pPr>
      <w:r w:rsidRPr="00BB419A">
        <w:rPr>
          <w:lang w:val="en-US"/>
        </w:rPr>
        <w:t xml:space="preserve">Most support projects </w:t>
      </w:r>
      <w:r w:rsidR="00540606">
        <w:rPr>
          <w:lang w:val="en-US"/>
        </w:rPr>
        <w:t xml:space="preserve">under Outcome 4.1 </w:t>
      </w:r>
      <w:r w:rsidRPr="00BB419A">
        <w:rPr>
          <w:lang w:val="en-US"/>
        </w:rPr>
        <w:t>are showing fair progress measured against the outputs they are designed to achieve.</w:t>
      </w:r>
      <w:r>
        <w:rPr>
          <w:lang w:val="en-US"/>
        </w:rPr>
        <w:t xml:space="preserve"> The transformation of the project achievement </w:t>
      </w:r>
      <w:r w:rsidR="006676C9">
        <w:rPr>
          <w:lang w:val="en-US"/>
        </w:rPr>
        <w:t xml:space="preserve">into </w:t>
      </w:r>
      <w:r>
        <w:rPr>
          <w:lang w:val="en-US"/>
        </w:rPr>
        <w:t>achievement</w:t>
      </w:r>
      <w:r w:rsidR="006676C9">
        <w:rPr>
          <w:lang w:val="en-US"/>
        </w:rPr>
        <w:t>s</w:t>
      </w:r>
      <w:r>
        <w:rPr>
          <w:lang w:val="en-US"/>
        </w:rPr>
        <w:t xml:space="preserve"> </w:t>
      </w:r>
      <w:r w:rsidR="006676C9">
        <w:rPr>
          <w:lang w:val="en-US"/>
        </w:rPr>
        <w:t xml:space="preserve">at the </w:t>
      </w:r>
      <w:r>
        <w:rPr>
          <w:lang w:val="en-US"/>
        </w:rPr>
        <w:t xml:space="preserve">outcome </w:t>
      </w:r>
      <w:r w:rsidR="006676C9">
        <w:rPr>
          <w:lang w:val="en-US"/>
        </w:rPr>
        <w:t>level</w:t>
      </w:r>
      <w:r>
        <w:rPr>
          <w:lang w:val="en-US"/>
        </w:rPr>
        <w:t xml:space="preserve"> is more mixed, however.</w:t>
      </w:r>
    </w:p>
    <w:p w14:paraId="6051A5E5" w14:textId="77777777" w:rsidR="00BB419A" w:rsidRDefault="00BB419A" w:rsidP="008342E7">
      <w:pPr>
        <w:spacing w:after="0"/>
        <w:rPr>
          <w:lang w:val="en-US"/>
        </w:rPr>
      </w:pPr>
    </w:p>
    <w:p w14:paraId="375620D4" w14:textId="54FC606A" w:rsidR="008342E7" w:rsidRPr="00CD56B9" w:rsidRDefault="008342E7" w:rsidP="008342E7">
      <w:pPr>
        <w:spacing w:after="0"/>
        <w:rPr>
          <w:lang w:val="en-US"/>
        </w:rPr>
      </w:pPr>
      <w:r w:rsidRPr="00CD56B9">
        <w:rPr>
          <w:lang w:val="en-US"/>
        </w:rPr>
        <w:t>The support to democratic governance provided under UNDAF Outcome 4.1, includes three reform areas, which in particular have potential to bring democratic transformation to Malawi: 1) Support to</w:t>
      </w:r>
      <w:r w:rsidR="009E5C64" w:rsidRPr="00CD56B9">
        <w:rPr>
          <w:lang w:val="en-US"/>
        </w:rPr>
        <w:t xml:space="preserve"> </w:t>
      </w:r>
      <w:r w:rsidRPr="00CD56B9">
        <w:rPr>
          <w:lang w:val="en-US"/>
        </w:rPr>
        <w:t xml:space="preserve">a more proportional and fair election system, which </w:t>
      </w:r>
      <w:r w:rsidR="009E5C64" w:rsidRPr="00CD56B9">
        <w:rPr>
          <w:lang w:val="en-US"/>
        </w:rPr>
        <w:t>t</w:t>
      </w:r>
      <w:r w:rsidRPr="00CD56B9">
        <w:rPr>
          <w:lang w:val="en-US"/>
        </w:rPr>
        <w:t>akes into account the high urb</w:t>
      </w:r>
      <w:r w:rsidR="00AE0538">
        <w:rPr>
          <w:lang w:val="en-US"/>
        </w:rPr>
        <w:t>an migration patterns in Malawi;</w:t>
      </w:r>
      <w:r w:rsidRPr="00CD56B9">
        <w:rPr>
          <w:lang w:val="en-US"/>
        </w:rPr>
        <w:t xml:space="preserve"> 2) the introduction of a National Peace Architecture, with the aim to establish local dialogue platforms, which can defuse and prevent local conflicts</w:t>
      </w:r>
      <w:r w:rsidR="00AE0538">
        <w:rPr>
          <w:lang w:val="en-US"/>
        </w:rPr>
        <w:t>;</w:t>
      </w:r>
      <w:r w:rsidRPr="00CD56B9">
        <w:rPr>
          <w:lang w:val="en-US"/>
        </w:rPr>
        <w:t xml:space="preserve"> and 3) the support to decentralization and IRD, which may expand democratic space and become </w:t>
      </w:r>
      <w:r w:rsidR="009E5C64" w:rsidRPr="00CD56B9">
        <w:rPr>
          <w:lang w:val="en-US"/>
        </w:rPr>
        <w:t>a</w:t>
      </w:r>
      <w:r w:rsidRPr="00CD56B9">
        <w:rPr>
          <w:lang w:val="en-US"/>
        </w:rPr>
        <w:t xml:space="preserve"> </w:t>
      </w:r>
      <w:r w:rsidR="00BB419A">
        <w:rPr>
          <w:lang w:val="en-US"/>
        </w:rPr>
        <w:t>catalyst</w:t>
      </w:r>
      <w:r w:rsidRPr="00CD56B9">
        <w:rPr>
          <w:lang w:val="en-US"/>
        </w:rPr>
        <w:t xml:space="preserve"> for more equitable and pro-poor development in the </w:t>
      </w:r>
      <w:r w:rsidR="009E5C64" w:rsidRPr="00CD56B9">
        <w:rPr>
          <w:lang w:val="en-US"/>
        </w:rPr>
        <w:t xml:space="preserve">rural areas. </w:t>
      </w:r>
      <w:r w:rsidRPr="00CD56B9">
        <w:rPr>
          <w:lang w:val="en-US"/>
        </w:rPr>
        <w:t xml:space="preserve">Successful achievements in these reform areas can </w:t>
      </w:r>
      <w:r w:rsidR="00EE41EA" w:rsidRPr="00CD56B9">
        <w:rPr>
          <w:lang w:val="en-US"/>
        </w:rPr>
        <w:t xml:space="preserve">also </w:t>
      </w:r>
      <w:r w:rsidRPr="00CD56B9">
        <w:rPr>
          <w:lang w:val="en-US"/>
        </w:rPr>
        <w:t xml:space="preserve">address some of the discontent, which is </w:t>
      </w:r>
      <w:r w:rsidR="00EE41EA" w:rsidRPr="00CD56B9">
        <w:rPr>
          <w:lang w:val="en-US"/>
        </w:rPr>
        <w:t>fuel</w:t>
      </w:r>
      <w:r w:rsidR="00EE41EA">
        <w:rPr>
          <w:lang w:val="en-US"/>
        </w:rPr>
        <w:t>i</w:t>
      </w:r>
      <w:r w:rsidR="00EE41EA" w:rsidRPr="00CD56B9">
        <w:rPr>
          <w:lang w:val="en-US"/>
        </w:rPr>
        <w:t>ng</w:t>
      </w:r>
      <w:r w:rsidRPr="00CD56B9">
        <w:rPr>
          <w:lang w:val="en-US"/>
        </w:rPr>
        <w:t xml:space="preserve"> federalism and local conflicts.</w:t>
      </w:r>
    </w:p>
    <w:p w14:paraId="7E36284C" w14:textId="77777777" w:rsidR="008342E7" w:rsidRPr="00CD56B9" w:rsidRDefault="008342E7" w:rsidP="008342E7">
      <w:pPr>
        <w:spacing w:after="0"/>
        <w:rPr>
          <w:lang w:val="en-US"/>
        </w:rPr>
      </w:pPr>
    </w:p>
    <w:p w14:paraId="7EB4F027" w14:textId="63CB11E2" w:rsidR="008342E7" w:rsidRPr="00CD56B9" w:rsidRDefault="008342E7" w:rsidP="008342E7">
      <w:pPr>
        <w:spacing w:after="0"/>
        <w:rPr>
          <w:lang w:val="en-US"/>
        </w:rPr>
      </w:pPr>
      <w:r w:rsidRPr="00CD56B9">
        <w:rPr>
          <w:lang w:val="en-US"/>
        </w:rPr>
        <w:t>The support to the NPA is most likely to achieve good results in the short term, as it introduces a new system, which does not replace or compete with existing dialogue platforms or challenge vested interests.</w:t>
      </w:r>
      <w:r w:rsidR="00602299">
        <w:rPr>
          <w:lang w:val="en-US"/>
        </w:rPr>
        <w:t xml:space="preserve"> I</w:t>
      </w:r>
      <w:r w:rsidR="007517A0" w:rsidRPr="00CD56B9">
        <w:rPr>
          <w:lang w:val="en-US"/>
        </w:rPr>
        <w:t xml:space="preserve">t builds on and includes relevant stakeholders and local </w:t>
      </w:r>
      <w:r w:rsidR="00107764">
        <w:rPr>
          <w:lang w:val="en-US"/>
        </w:rPr>
        <w:t xml:space="preserve">and regional </w:t>
      </w:r>
      <w:r w:rsidR="007517A0" w:rsidRPr="00CD56B9">
        <w:rPr>
          <w:lang w:val="en-US"/>
        </w:rPr>
        <w:t xml:space="preserve">best practices. </w:t>
      </w:r>
      <w:r w:rsidR="007517A0">
        <w:rPr>
          <w:lang w:val="en-US"/>
        </w:rPr>
        <w:t xml:space="preserve">Care needs to be taken, however, that funding of a permanent NPA structure does not compete </w:t>
      </w:r>
      <w:r w:rsidR="00107764">
        <w:rPr>
          <w:lang w:val="en-US"/>
        </w:rPr>
        <w:t xml:space="preserve">adversely </w:t>
      </w:r>
      <w:r w:rsidR="007517A0">
        <w:rPr>
          <w:lang w:val="en-US"/>
        </w:rPr>
        <w:t xml:space="preserve">with funding for devolution. </w:t>
      </w:r>
      <w:r w:rsidR="007517A0" w:rsidRPr="00CD56B9">
        <w:rPr>
          <w:lang w:val="en-US"/>
        </w:rPr>
        <w:t>The elections reform and not least the local government reform are significantly more difficult as they challenge established p</w:t>
      </w:r>
      <w:r w:rsidR="00202F8C">
        <w:rPr>
          <w:lang w:val="en-US"/>
        </w:rPr>
        <w:t xml:space="preserve">ower bases and privileges, but continuous support needs to be provided as both areas are key to democratic change and equitable development. </w:t>
      </w:r>
      <w:r w:rsidR="00E60253" w:rsidRPr="00CD56B9">
        <w:rPr>
          <w:lang w:val="en-US"/>
        </w:rPr>
        <w:t>L</w:t>
      </w:r>
      <w:r w:rsidRPr="00CD56B9">
        <w:rPr>
          <w:lang w:val="en-US"/>
        </w:rPr>
        <w:t xml:space="preserve">ocal government reforms are long-term </w:t>
      </w:r>
      <w:r w:rsidR="00B33EE6" w:rsidRPr="00CD56B9">
        <w:rPr>
          <w:lang w:val="en-US"/>
        </w:rPr>
        <w:t>endeavo</w:t>
      </w:r>
      <w:r w:rsidR="00EE41EA">
        <w:rPr>
          <w:lang w:val="en-US"/>
        </w:rPr>
        <w:t>u</w:t>
      </w:r>
      <w:r w:rsidR="00B33EE6" w:rsidRPr="00CD56B9">
        <w:rPr>
          <w:lang w:val="en-US"/>
        </w:rPr>
        <w:t>rs</w:t>
      </w:r>
      <w:r w:rsidR="00EE41EA">
        <w:rPr>
          <w:lang w:val="en-US"/>
        </w:rPr>
        <w:t xml:space="preserve"> </w:t>
      </w:r>
      <w:r w:rsidRPr="00CD56B9">
        <w:rPr>
          <w:lang w:val="en-US"/>
        </w:rPr>
        <w:t>in need of sustained political backing from consecutive governments and parliaments</w:t>
      </w:r>
      <w:r w:rsidR="00202F8C">
        <w:rPr>
          <w:lang w:val="en-US"/>
        </w:rPr>
        <w:t xml:space="preserve">. Failure to </w:t>
      </w:r>
      <w:r w:rsidRPr="00CD56B9">
        <w:rPr>
          <w:lang w:val="en-US"/>
        </w:rPr>
        <w:t>mobilize such consensus has sta</w:t>
      </w:r>
      <w:r w:rsidR="00202F8C">
        <w:rPr>
          <w:lang w:val="en-US"/>
        </w:rPr>
        <w:t>lled reform efforts in the past and UNDP needs to carefully monitor, if the reinstatement of elected district councils triggers more substantial support for a local government reform.</w:t>
      </w:r>
    </w:p>
    <w:p w14:paraId="7E6E14CE" w14:textId="77777777" w:rsidR="008342E7" w:rsidRPr="00CD56B9" w:rsidRDefault="008342E7" w:rsidP="008342E7">
      <w:pPr>
        <w:spacing w:after="0"/>
        <w:rPr>
          <w:lang w:val="en-US"/>
        </w:rPr>
      </w:pPr>
    </w:p>
    <w:p w14:paraId="602120CA" w14:textId="7D54B320" w:rsidR="007517A0" w:rsidRPr="00CD56B9" w:rsidRDefault="007517A0" w:rsidP="007517A0">
      <w:pPr>
        <w:spacing w:after="0"/>
        <w:rPr>
          <w:lang w:val="en-US"/>
        </w:rPr>
      </w:pPr>
      <w:r w:rsidRPr="00CD56B9">
        <w:rPr>
          <w:lang w:val="en-US"/>
        </w:rPr>
        <w:t xml:space="preserve">While achieving good progress at project output level, there are </w:t>
      </w:r>
      <w:r w:rsidR="00DD7481">
        <w:rPr>
          <w:lang w:val="en-US"/>
        </w:rPr>
        <w:t>some</w:t>
      </w:r>
      <w:r w:rsidR="00202F8C">
        <w:rPr>
          <w:lang w:val="en-US"/>
        </w:rPr>
        <w:t xml:space="preserve"> intervention </w:t>
      </w:r>
      <w:r w:rsidRPr="00CD56B9">
        <w:rPr>
          <w:lang w:val="en-US"/>
        </w:rPr>
        <w:t xml:space="preserve">areas, which may not contribute significantly to the achievement of the outcome 4.1 </w:t>
      </w:r>
      <w:r w:rsidR="00202F8C" w:rsidRPr="00CD56B9">
        <w:rPr>
          <w:lang w:val="en-US"/>
        </w:rPr>
        <w:t>targets</w:t>
      </w:r>
      <w:r w:rsidR="00EE41EA">
        <w:rPr>
          <w:lang w:val="en-US"/>
        </w:rPr>
        <w:t xml:space="preserve"> for 2016</w:t>
      </w:r>
      <w:r w:rsidRPr="00CD56B9">
        <w:rPr>
          <w:lang w:val="en-US"/>
        </w:rPr>
        <w:t xml:space="preserve">. There are </w:t>
      </w:r>
      <w:r>
        <w:rPr>
          <w:lang w:val="en-US"/>
        </w:rPr>
        <w:t xml:space="preserve">some </w:t>
      </w:r>
      <w:r w:rsidRPr="00CD56B9">
        <w:rPr>
          <w:lang w:val="en-US"/>
        </w:rPr>
        <w:t xml:space="preserve">doubts about the government ownership to the DG SWAp and the </w:t>
      </w:r>
      <w:r w:rsidR="00202F8C">
        <w:rPr>
          <w:lang w:val="en-US"/>
        </w:rPr>
        <w:t xml:space="preserve">ability to coordinate among the </w:t>
      </w:r>
      <w:r w:rsidRPr="00CD56B9">
        <w:rPr>
          <w:lang w:val="en-US"/>
        </w:rPr>
        <w:t>many institutions</w:t>
      </w:r>
      <w:r w:rsidR="00202F8C" w:rsidRPr="00202F8C">
        <w:rPr>
          <w:lang w:val="en-US"/>
        </w:rPr>
        <w:t xml:space="preserve"> </w:t>
      </w:r>
      <w:r w:rsidR="00202F8C" w:rsidRPr="00CD56B9">
        <w:rPr>
          <w:lang w:val="en-US"/>
        </w:rPr>
        <w:t>involv</w:t>
      </w:r>
      <w:r w:rsidR="00202F8C">
        <w:rPr>
          <w:lang w:val="en-US"/>
        </w:rPr>
        <w:t xml:space="preserve">ed. </w:t>
      </w:r>
      <w:r w:rsidRPr="00CD56B9">
        <w:rPr>
          <w:lang w:val="en-US"/>
        </w:rPr>
        <w:t>The basket fund is not likely to play a significant role in fund</w:t>
      </w:r>
      <w:r w:rsidR="00272FA1">
        <w:rPr>
          <w:lang w:val="en-US"/>
        </w:rPr>
        <w:t>s</w:t>
      </w:r>
      <w:r w:rsidR="004C1A98">
        <w:rPr>
          <w:lang w:val="en-US"/>
        </w:rPr>
        <w:t xml:space="preserve"> mobilization </w:t>
      </w:r>
      <w:r w:rsidRPr="00CD56B9">
        <w:rPr>
          <w:lang w:val="en-US"/>
        </w:rPr>
        <w:t xml:space="preserve">either </w:t>
      </w:r>
      <w:r w:rsidR="00BD2839">
        <w:rPr>
          <w:lang w:val="en-US"/>
        </w:rPr>
        <w:t xml:space="preserve">since </w:t>
      </w:r>
      <w:r w:rsidRPr="00CD56B9">
        <w:rPr>
          <w:lang w:val="en-US"/>
        </w:rPr>
        <w:t xml:space="preserve">budget support is not a viable option at present. Despite </w:t>
      </w:r>
      <w:r w:rsidR="008D5C71">
        <w:rPr>
          <w:lang w:val="en-US"/>
        </w:rPr>
        <w:t>these shortcomings, there is no</w:t>
      </w:r>
      <w:r w:rsidRPr="00CD56B9">
        <w:rPr>
          <w:lang w:val="en-US"/>
        </w:rPr>
        <w:t xml:space="preserve"> alternative to the SWAp and it does provide a minimum of harmonization and co</w:t>
      </w:r>
      <w:r>
        <w:rPr>
          <w:lang w:val="en-US"/>
        </w:rPr>
        <w:t xml:space="preserve">ordination within the sector. </w:t>
      </w:r>
      <w:r w:rsidR="00EE41EA">
        <w:rPr>
          <w:lang w:val="en-US"/>
        </w:rPr>
        <w:t>However, t</w:t>
      </w:r>
      <w:r>
        <w:rPr>
          <w:lang w:val="en-US"/>
        </w:rPr>
        <w:t>here is now a need for more focus on policy implementation, addressing inter-jurisdictional coordination and cooperation.</w:t>
      </w:r>
      <w:r w:rsidRPr="00CD56B9">
        <w:rPr>
          <w:lang w:val="en-US"/>
        </w:rPr>
        <w:t xml:space="preserve"> </w:t>
      </w:r>
    </w:p>
    <w:p w14:paraId="71F3CC42" w14:textId="77777777" w:rsidR="007517A0" w:rsidRDefault="007517A0" w:rsidP="007517A0">
      <w:pPr>
        <w:spacing w:after="0"/>
        <w:rPr>
          <w:lang w:val="en-US"/>
        </w:rPr>
      </w:pPr>
    </w:p>
    <w:p w14:paraId="30EFE8E1" w14:textId="482DCBC6" w:rsidR="007517A0" w:rsidRPr="00CD56B9" w:rsidRDefault="007517A0" w:rsidP="007517A0">
      <w:pPr>
        <w:spacing w:after="0"/>
        <w:rPr>
          <w:lang w:val="en-US"/>
        </w:rPr>
      </w:pPr>
      <w:r w:rsidRPr="00CD56B9">
        <w:rPr>
          <w:lang w:val="en-US"/>
        </w:rPr>
        <w:lastRenderedPageBreak/>
        <w:t xml:space="preserve">There is </w:t>
      </w:r>
      <w:r>
        <w:rPr>
          <w:lang w:val="en-US"/>
        </w:rPr>
        <w:t xml:space="preserve">also </w:t>
      </w:r>
      <w:r w:rsidRPr="00CD56B9">
        <w:rPr>
          <w:lang w:val="en-US"/>
        </w:rPr>
        <w:t xml:space="preserve">concern that the MHRC is not sufficiently </w:t>
      </w:r>
      <w:r>
        <w:rPr>
          <w:lang w:val="en-US"/>
        </w:rPr>
        <w:t xml:space="preserve">independent from government and that it needs to be more </w:t>
      </w:r>
      <w:r w:rsidRPr="00CD56B9">
        <w:rPr>
          <w:lang w:val="en-US"/>
        </w:rPr>
        <w:t xml:space="preserve">transformative in its work and </w:t>
      </w:r>
      <w:r>
        <w:rPr>
          <w:lang w:val="en-US"/>
        </w:rPr>
        <w:t xml:space="preserve">actively </w:t>
      </w:r>
      <w:r w:rsidRPr="00CD56B9">
        <w:rPr>
          <w:lang w:val="en-US"/>
        </w:rPr>
        <w:t xml:space="preserve">address emerging </w:t>
      </w:r>
      <w:r>
        <w:rPr>
          <w:lang w:val="en-US"/>
        </w:rPr>
        <w:t xml:space="preserve">human rights </w:t>
      </w:r>
      <w:r w:rsidRPr="00CD56B9">
        <w:rPr>
          <w:lang w:val="en-US"/>
        </w:rPr>
        <w:t xml:space="preserve">issues in Malawi. </w:t>
      </w:r>
      <w:r>
        <w:rPr>
          <w:lang w:val="en-US"/>
        </w:rPr>
        <w:t xml:space="preserve">In the end, such transformation might only be achieved through broader alliances with </w:t>
      </w:r>
      <w:r w:rsidR="00EE41EA">
        <w:rPr>
          <w:lang w:val="en-US"/>
        </w:rPr>
        <w:t xml:space="preserve">the </w:t>
      </w:r>
      <w:r>
        <w:rPr>
          <w:lang w:val="en-US"/>
        </w:rPr>
        <w:t>parliament, the Law Commission, the MoJCA and civil society</w:t>
      </w:r>
      <w:r w:rsidRPr="00CD56B9">
        <w:rPr>
          <w:lang w:val="en-US"/>
        </w:rPr>
        <w:t xml:space="preserve">. The MTE team is also not convinced that </w:t>
      </w:r>
      <w:r>
        <w:rPr>
          <w:lang w:val="en-US"/>
        </w:rPr>
        <w:t xml:space="preserve">the simultaneous implementation of </w:t>
      </w:r>
      <w:r w:rsidRPr="00CD56B9">
        <w:rPr>
          <w:lang w:val="en-US"/>
        </w:rPr>
        <w:t xml:space="preserve">the IRD strategy </w:t>
      </w:r>
      <w:r>
        <w:rPr>
          <w:lang w:val="en-US"/>
        </w:rPr>
        <w:t>and the overall devolution strategy is the best way forward</w:t>
      </w:r>
      <w:r w:rsidRPr="00CD56B9">
        <w:rPr>
          <w:lang w:val="en-US"/>
        </w:rPr>
        <w:t xml:space="preserve">. The </w:t>
      </w:r>
      <w:r>
        <w:rPr>
          <w:lang w:val="en-US"/>
        </w:rPr>
        <w:t xml:space="preserve">IRD </w:t>
      </w:r>
      <w:r w:rsidRPr="00CD56B9">
        <w:rPr>
          <w:lang w:val="en-US"/>
        </w:rPr>
        <w:t xml:space="preserve">concept is highly dependent on a conducive local government framework, which Malawi does not have and it might be argued that support to devolution should focus more on core elements of the local government framework, and create a conducive working environment for the newly elected councils, before the IRD approach is channeled through the districts. </w:t>
      </w:r>
    </w:p>
    <w:p w14:paraId="7EC5BE9A" w14:textId="77777777" w:rsidR="007517A0" w:rsidRDefault="007517A0" w:rsidP="008342E7">
      <w:pPr>
        <w:spacing w:after="0"/>
        <w:rPr>
          <w:lang w:val="en-US"/>
        </w:rPr>
      </w:pPr>
    </w:p>
    <w:p w14:paraId="032E0300" w14:textId="583A7C16" w:rsidR="004A2325" w:rsidRDefault="008342E7" w:rsidP="008342E7">
      <w:pPr>
        <w:spacing w:after="0"/>
        <w:rPr>
          <w:lang w:val="en-US"/>
        </w:rPr>
      </w:pPr>
      <w:r w:rsidRPr="00CD56B9">
        <w:rPr>
          <w:lang w:val="en-US"/>
        </w:rPr>
        <w:t xml:space="preserve">The project portfolio as a whole is </w:t>
      </w:r>
      <w:r w:rsidR="00933004" w:rsidRPr="00CD56B9">
        <w:rPr>
          <w:lang w:val="en-US"/>
        </w:rPr>
        <w:t>well composed</w:t>
      </w:r>
      <w:r w:rsidRPr="00CD56B9">
        <w:rPr>
          <w:lang w:val="en-US"/>
        </w:rPr>
        <w:t xml:space="preserve">. It might be diverse, but this more a reflection of the broad outcome it is targeting and does not necessarily signal a need for a reduction in the number of projects. </w:t>
      </w:r>
      <w:r w:rsidR="002124F6">
        <w:rPr>
          <w:lang w:val="en-US"/>
        </w:rPr>
        <w:t>It is crucial, however that support to decentralization/IRD is not delinked from the overall public sector reform, as fundamental changes in public administration and central-</w:t>
      </w:r>
      <w:r w:rsidR="00933004">
        <w:rPr>
          <w:lang w:val="en-US"/>
        </w:rPr>
        <w:t>local govern relationships need</w:t>
      </w:r>
      <w:r w:rsidR="002124F6">
        <w:rPr>
          <w:lang w:val="en-US"/>
        </w:rPr>
        <w:t xml:space="preserve"> to addressed before the IRD strategy can achieve its objectives.</w:t>
      </w:r>
    </w:p>
    <w:p w14:paraId="1735BD97" w14:textId="77777777" w:rsidR="004A2325" w:rsidRDefault="004A2325" w:rsidP="008342E7">
      <w:pPr>
        <w:spacing w:after="0"/>
        <w:rPr>
          <w:lang w:val="en-US"/>
        </w:rPr>
      </w:pPr>
    </w:p>
    <w:p w14:paraId="03B7123E" w14:textId="3D6A11F4" w:rsidR="008342E7" w:rsidRPr="00CD56B9" w:rsidRDefault="008342E7" w:rsidP="008342E7">
      <w:pPr>
        <w:spacing w:after="0"/>
        <w:rPr>
          <w:lang w:val="en-US"/>
        </w:rPr>
      </w:pPr>
      <w:r w:rsidRPr="00CD56B9">
        <w:rPr>
          <w:lang w:val="en-US"/>
        </w:rPr>
        <w:t>The portfolio has demonstrated good synergies</w:t>
      </w:r>
      <w:r w:rsidR="00E60253" w:rsidRPr="00CD56B9">
        <w:rPr>
          <w:lang w:val="en-US"/>
        </w:rPr>
        <w:t xml:space="preserve">, in particular </w:t>
      </w:r>
      <w:r w:rsidRPr="00CD56B9">
        <w:rPr>
          <w:lang w:val="en-US"/>
        </w:rPr>
        <w:t>during the 2014 elections, where most projects contributed to the successful execution of the election process. The portfolio also includes a number of remarkable innovations such</w:t>
      </w:r>
      <w:r w:rsidR="00933004">
        <w:rPr>
          <w:lang w:val="en-US"/>
        </w:rPr>
        <w:t xml:space="preserve"> as the presidential elections Peace D</w:t>
      </w:r>
      <w:r w:rsidRPr="00CD56B9">
        <w:rPr>
          <w:lang w:val="en-US"/>
        </w:rPr>
        <w:t>eclaration, the Child Courts, the Youth Parliament, the governance one-stop shop pilot in Kasun</w:t>
      </w:r>
      <w:r w:rsidR="002124F6">
        <w:rPr>
          <w:lang w:val="en-US"/>
        </w:rPr>
        <w:t>gu and the achievements in RtD, which are scalable and sustainable.</w:t>
      </w:r>
    </w:p>
    <w:p w14:paraId="21438A79" w14:textId="77777777" w:rsidR="008342E7" w:rsidRPr="00CD56B9" w:rsidRDefault="008342E7" w:rsidP="008342E7">
      <w:pPr>
        <w:spacing w:after="0"/>
        <w:rPr>
          <w:lang w:val="en-US"/>
        </w:rPr>
      </w:pPr>
    </w:p>
    <w:p w14:paraId="37241568" w14:textId="3B576C5C" w:rsidR="008342E7" w:rsidRPr="00CD56B9" w:rsidRDefault="008342E7" w:rsidP="008342E7">
      <w:pPr>
        <w:spacing w:after="0"/>
        <w:rPr>
          <w:lang w:val="en-US"/>
        </w:rPr>
      </w:pPr>
      <w:r w:rsidRPr="00CD56B9">
        <w:rPr>
          <w:lang w:val="en-US"/>
        </w:rPr>
        <w:t>The project portfolio also seems to make good progress in gender mainstreaming</w:t>
      </w:r>
      <w:r w:rsidR="00917B35">
        <w:rPr>
          <w:lang w:val="en-US"/>
        </w:rPr>
        <w:t xml:space="preserve">, although UNDAF is </w:t>
      </w:r>
      <w:r w:rsidR="00202F8C">
        <w:rPr>
          <w:lang w:val="en-US"/>
        </w:rPr>
        <w:t>underper</w:t>
      </w:r>
      <w:r w:rsidR="00917B35">
        <w:rPr>
          <w:lang w:val="en-US"/>
        </w:rPr>
        <w:t>forming according to its target</w:t>
      </w:r>
      <w:r w:rsidR="00202F8C">
        <w:rPr>
          <w:lang w:val="en-US"/>
        </w:rPr>
        <w:t xml:space="preserve"> on increased </w:t>
      </w:r>
      <w:r w:rsidR="00917B35">
        <w:rPr>
          <w:lang w:val="en-US"/>
        </w:rPr>
        <w:t xml:space="preserve">percentage of female MPs based on the 2014 general elections. This percentage has decreased. </w:t>
      </w:r>
      <w:r w:rsidR="00DA40FD">
        <w:rPr>
          <w:lang w:val="en-US"/>
        </w:rPr>
        <w:t>In addition, g</w:t>
      </w:r>
      <w:r w:rsidRPr="00CD56B9">
        <w:rPr>
          <w:lang w:val="en-US"/>
        </w:rPr>
        <w:t xml:space="preserve">ender assessments and disaggregate data is not consistently applied </w:t>
      </w:r>
      <w:r w:rsidR="00DA40FD">
        <w:rPr>
          <w:lang w:val="en-US"/>
        </w:rPr>
        <w:t xml:space="preserve">everywhere, and project designs </w:t>
      </w:r>
      <w:r w:rsidRPr="00CD56B9">
        <w:rPr>
          <w:lang w:val="en-US"/>
        </w:rPr>
        <w:t xml:space="preserve">can be further improved on gender mainstreaming. </w:t>
      </w:r>
      <w:r w:rsidR="00917B35">
        <w:rPr>
          <w:lang w:val="en-US"/>
        </w:rPr>
        <w:t>However, w</w:t>
      </w:r>
      <w:r w:rsidRPr="00CD56B9">
        <w:rPr>
          <w:lang w:val="en-US"/>
        </w:rPr>
        <w:t>ith the arrival of UN Women i</w:t>
      </w:r>
      <w:r w:rsidR="00917B35">
        <w:rPr>
          <w:lang w:val="en-US"/>
        </w:rPr>
        <w:t>n</w:t>
      </w:r>
      <w:r w:rsidRPr="00CD56B9">
        <w:rPr>
          <w:lang w:val="en-US"/>
        </w:rPr>
        <w:t xml:space="preserve"> Malawi and in partnership with UNDP, UNFPA and UNICEF, there is a good </w:t>
      </w:r>
      <w:r w:rsidR="00AD0B58" w:rsidRPr="00CD56B9">
        <w:rPr>
          <w:lang w:val="en-US"/>
        </w:rPr>
        <w:t>basis</w:t>
      </w:r>
      <w:r w:rsidRPr="00CD56B9">
        <w:rPr>
          <w:lang w:val="en-US"/>
        </w:rPr>
        <w:t xml:space="preserve"> to further strengthen the </w:t>
      </w:r>
      <w:r w:rsidR="00DA40FD">
        <w:rPr>
          <w:lang w:val="en-US"/>
        </w:rPr>
        <w:t>support on</w:t>
      </w:r>
      <w:r w:rsidR="00AD0B58" w:rsidRPr="00CD56B9">
        <w:rPr>
          <w:lang w:val="en-US"/>
        </w:rPr>
        <w:t xml:space="preserve"> </w:t>
      </w:r>
      <w:r w:rsidR="00DA40FD">
        <w:rPr>
          <w:lang w:val="en-US"/>
        </w:rPr>
        <w:t xml:space="preserve">the </w:t>
      </w:r>
      <w:r w:rsidRPr="00CD56B9">
        <w:rPr>
          <w:lang w:val="en-US"/>
        </w:rPr>
        <w:t xml:space="preserve">gender aspects of the DG reforms and </w:t>
      </w:r>
      <w:r w:rsidR="00917B35">
        <w:rPr>
          <w:lang w:val="en-US"/>
        </w:rPr>
        <w:t xml:space="preserve">in </w:t>
      </w:r>
      <w:r w:rsidRPr="00CD56B9">
        <w:rPr>
          <w:lang w:val="en-US"/>
        </w:rPr>
        <w:t>the next-</w:t>
      </w:r>
      <w:r w:rsidR="00917B35">
        <w:rPr>
          <w:lang w:val="en-US"/>
        </w:rPr>
        <w:t>cycle</w:t>
      </w:r>
      <w:r w:rsidRPr="00CD56B9">
        <w:rPr>
          <w:lang w:val="en-US"/>
        </w:rPr>
        <w:t xml:space="preserve"> support projects.</w:t>
      </w:r>
    </w:p>
    <w:p w14:paraId="7E55FB43" w14:textId="77777777" w:rsidR="008342E7" w:rsidRPr="00CD56B9" w:rsidRDefault="008342E7" w:rsidP="008342E7">
      <w:pPr>
        <w:spacing w:after="0"/>
        <w:rPr>
          <w:lang w:val="en-US"/>
        </w:rPr>
      </w:pPr>
    </w:p>
    <w:p w14:paraId="43953A4B" w14:textId="26DB23BC" w:rsidR="008342E7" w:rsidRPr="00CD56B9" w:rsidRDefault="00824DD2" w:rsidP="008342E7">
      <w:pPr>
        <w:spacing w:after="0"/>
        <w:rPr>
          <w:lang w:val="en-US"/>
        </w:rPr>
      </w:pPr>
      <w:r w:rsidRPr="00CD56B9">
        <w:rPr>
          <w:lang w:val="en-US"/>
        </w:rPr>
        <w:t>T</w:t>
      </w:r>
      <w:r w:rsidR="008342E7" w:rsidRPr="00CD56B9">
        <w:rPr>
          <w:lang w:val="en-US"/>
        </w:rPr>
        <w:t xml:space="preserve">he cooperation </w:t>
      </w:r>
      <w:r w:rsidR="00917B35">
        <w:rPr>
          <w:lang w:val="en-US"/>
        </w:rPr>
        <w:t>of</w:t>
      </w:r>
      <w:r w:rsidR="008342E7" w:rsidRPr="00CD56B9">
        <w:rPr>
          <w:lang w:val="en-US"/>
        </w:rPr>
        <w:t xml:space="preserve"> the UNCT </w:t>
      </w:r>
      <w:r w:rsidR="007517A0">
        <w:rPr>
          <w:lang w:val="en-US"/>
        </w:rPr>
        <w:t xml:space="preserve">under the DaO </w:t>
      </w:r>
      <w:r w:rsidR="00917B35">
        <w:rPr>
          <w:lang w:val="en-US"/>
        </w:rPr>
        <w:t xml:space="preserve">approach </w:t>
      </w:r>
      <w:r w:rsidR="008342E7" w:rsidRPr="00CD56B9">
        <w:rPr>
          <w:lang w:val="en-US"/>
        </w:rPr>
        <w:t xml:space="preserve">is improving and the 2013 refocus of UNDAF has increased the relevance of the support rendered. There is also good progress towards joint planning and implementation </w:t>
      </w:r>
      <w:r w:rsidR="00917B35">
        <w:rPr>
          <w:lang w:val="en-US"/>
        </w:rPr>
        <w:t>in</w:t>
      </w:r>
      <w:r w:rsidR="008342E7" w:rsidRPr="00CD56B9">
        <w:rPr>
          <w:lang w:val="en-US"/>
        </w:rPr>
        <w:t xml:space="preserve"> support projects where multiple UN agencies are supporting the same institution. Some of the bottlenecks still restraining UNCT cooperation owe more to the multiple funding sources </w:t>
      </w:r>
      <w:r w:rsidR="00B33EE6" w:rsidRPr="00CD56B9">
        <w:rPr>
          <w:lang w:val="en-US"/>
        </w:rPr>
        <w:t>channeled</w:t>
      </w:r>
      <w:r w:rsidR="008342E7" w:rsidRPr="00CD56B9">
        <w:rPr>
          <w:lang w:val="en-US"/>
        </w:rPr>
        <w:t xml:space="preserve"> through individual agencies</w:t>
      </w:r>
      <w:r w:rsidR="0050149F" w:rsidRPr="00CD56B9">
        <w:rPr>
          <w:lang w:val="en-US"/>
        </w:rPr>
        <w:t xml:space="preserve"> and global agency reporting requirements</w:t>
      </w:r>
      <w:r w:rsidR="008342E7" w:rsidRPr="00CD56B9">
        <w:rPr>
          <w:lang w:val="en-US"/>
        </w:rPr>
        <w:t xml:space="preserve">, which </w:t>
      </w:r>
      <w:r w:rsidR="003F464B">
        <w:rPr>
          <w:lang w:val="en-US"/>
        </w:rPr>
        <w:t xml:space="preserve">again </w:t>
      </w:r>
      <w:r w:rsidR="008342E7" w:rsidRPr="00CD56B9">
        <w:rPr>
          <w:lang w:val="en-US"/>
        </w:rPr>
        <w:t>creates multiple reporting</w:t>
      </w:r>
      <w:r w:rsidR="003F464B" w:rsidRPr="003F464B">
        <w:rPr>
          <w:lang w:val="en-US"/>
        </w:rPr>
        <w:t xml:space="preserve"> </w:t>
      </w:r>
      <w:r w:rsidR="003F464B" w:rsidRPr="00CD56B9">
        <w:rPr>
          <w:lang w:val="en-US"/>
        </w:rPr>
        <w:t>need</w:t>
      </w:r>
      <w:r w:rsidR="003F464B">
        <w:rPr>
          <w:lang w:val="en-US"/>
        </w:rPr>
        <w:t>s</w:t>
      </w:r>
      <w:r w:rsidR="0050149F" w:rsidRPr="00CD56B9">
        <w:rPr>
          <w:lang w:val="en-US"/>
        </w:rPr>
        <w:t>.</w:t>
      </w:r>
      <w:r w:rsidR="008342E7" w:rsidRPr="00CD56B9">
        <w:rPr>
          <w:lang w:val="en-US"/>
        </w:rPr>
        <w:t xml:space="preserve"> </w:t>
      </w:r>
      <w:r w:rsidR="00917B35">
        <w:rPr>
          <w:lang w:val="en-US"/>
        </w:rPr>
        <w:t>However, t</w:t>
      </w:r>
      <w:r w:rsidR="0072753A" w:rsidRPr="00CD56B9">
        <w:rPr>
          <w:lang w:val="en-US"/>
        </w:rPr>
        <w:t>hese bottlenecks seem to be lesser issues</w:t>
      </w:r>
      <w:r w:rsidR="0050149F" w:rsidRPr="00CD56B9">
        <w:rPr>
          <w:lang w:val="en-US"/>
        </w:rPr>
        <w:t xml:space="preserve">, </w:t>
      </w:r>
      <w:r w:rsidR="0072753A" w:rsidRPr="00CD56B9">
        <w:rPr>
          <w:lang w:val="en-US"/>
        </w:rPr>
        <w:t>and do</w:t>
      </w:r>
      <w:r w:rsidR="008342E7" w:rsidRPr="00CD56B9">
        <w:rPr>
          <w:lang w:val="en-US"/>
        </w:rPr>
        <w:t xml:space="preserve"> not affect the overall impression of </w:t>
      </w:r>
      <w:r w:rsidR="00DA40FD">
        <w:rPr>
          <w:lang w:val="en-US"/>
        </w:rPr>
        <w:t>a</w:t>
      </w:r>
      <w:r w:rsidR="0050149F" w:rsidRPr="00CD56B9">
        <w:rPr>
          <w:lang w:val="en-US"/>
        </w:rPr>
        <w:t xml:space="preserve"> positive trend in UNCT </w:t>
      </w:r>
      <w:r w:rsidR="008342E7" w:rsidRPr="00CD56B9">
        <w:rPr>
          <w:lang w:val="en-US"/>
        </w:rPr>
        <w:t>cooperation. If the devolution process moves forward, more synergies could be explo</w:t>
      </w:r>
      <w:r w:rsidR="0050149F" w:rsidRPr="00CD56B9">
        <w:rPr>
          <w:lang w:val="en-US"/>
        </w:rPr>
        <w:t>red</w:t>
      </w:r>
      <w:r w:rsidR="007517A0">
        <w:rPr>
          <w:lang w:val="en-US"/>
        </w:rPr>
        <w:t>, fusing UN</w:t>
      </w:r>
      <w:r w:rsidR="008342E7" w:rsidRPr="00CD56B9">
        <w:rPr>
          <w:lang w:val="en-US"/>
        </w:rPr>
        <w:t xml:space="preserve"> support to area-based activities in the districts with support to decentralization and local governance. The ongoing work of UNDP, UN-HABITAT and UCLG on a toolkit for implementation of the SDGs at local level may provide further inspiration for such </w:t>
      </w:r>
      <w:r w:rsidR="00AD4449" w:rsidRPr="00CD56B9">
        <w:rPr>
          <w:lang w:val="en-US"/>
        </w:rPr>
        <w:t>synergies</w:t>
      </w:r>
      <w:r w:rsidR="008342E7" w:rsidRPr="00CD56B9">
        <w:rPr>
          <w:lang w:val="en-US"/>
        </w:rPr>
        <w:t>.</w:t>
      </w:r>
    </w:p>
    <w:p w14:paraId="4EEA19F3" w14:textId="77777777" w:rsidR="008342E7" w:rsidRPr="00CD56B9" w:rsidRDefault="008342E7" w:rsidP="008342E7">
      <w:pPr>
        <w:spacing w:after="0"/>
        <w:rPr>
          <w:lang w:val="en-US"/>
        </w:rPr>
      </w:pPr>
    </w:p>
    <w:bookmarkEnd w:id="30"/>
    <w:p w14:paraId="562B67D8" w14:textId="77777777" w:rsidR="00642997" w:rsidRPr="00D66B5B" w:rsidRDefault="00642997" w:rsidP="00642997">
      <w:pPr>
        <w:spacing w:after="0" w:line="256" w:lineRule="auto"/>
        <w:rPr>
          <w:b/>
          <w:lang w:val="en-GB"/>
        </w:rPr>
      </w:pPr>
      <w:r w:rsidRPr="00D66B5B">
        <w:rPr>
          <w:b/>
          <w:lang w:val="en-GB"/>
        </w:rPr>
        <w:t>Recommendations</w:t>
      </w:r>
    </w:p>
    <w:p w14:paraId="5A3BB032" w14:textId="77777777" w:rsidR="00642997" w:rsidRPr="00D66B5B" w:rsidRDefault="00642997" w:rsidP="00642997">
      <w:pPr>
        <w:spacing w:after="0" w:line="256" w:lineRule="auto"/>
        <w:rPr>
          <w:lang w:val="en-GB"/>
        </w:rPr>
      </w:pPr>
      <w:r w:rsidRPr="00D66B5B">
        <w:rPr>
          <w:lang w:val="en-GB"/>
        </w:rPr>
        <w:t>Based on the analyses in this report, the MTE team proposes the following recommendations, which may further improve effectiveness, efficiency and sustainability of the UNDAF Outcome 4.1 interventions:</w:t>
      </w:r>
    </w:p>
    <w:p w14:paraId="696E5452" w14:textId="3346D311" w:rsidR="00AB5496" w:rsidRDefault="00AB5496" w:rsidP="00AB5496">
      <w:pPr>
        <w:spacing w:after="0" w:line="256" w:lineRule="auto"/>
        <w:rPr>
          <w:rFonts w:eastAsia="Calibri" w:cs="Arial"/>
          <w:b/>
          <w:bCs/>
          <w:i/>
          <w:iCs/>
          <w:lang w:val="en-US"/>
        </w:rPr>
      </w:pPr>
    </w:p>
    <w:p w14:paraId="7BA22B9B" w14:textId="37BD943B" w:rsidR="00C85B97" w:rsidRDefault="00C85B97" w:rsidP="00AB5496">
      <w:pPr>
        <w:spacing w:after="0" w:line="256" w:lineRule="auto"/>
        <w:rPr>
          <w:rFonts w:eastAsia="Calibri" w:cs="Arial"/>
          <w:b/>
          <w:bCs/>
          <w:i/>
          <w:iCs/>
          <w:lang w:val="en-US"/>
        </w:rPr>
      </w:pPr>
    </w:p>
    <w:p w14:paraId="6F80B571" w14:textId="77777777" w:rsidR="00C85B97" w:rsidRDefault="00C85B97" w:rsidP="00AB5496">
      <w:pPr>
        <w:spacing w:after="0" w:line="256" w:lineRule="auto"/>
        <w:rPr>
          <w:rFonts w:eastAsia="Calibri" w:cs="Arial"/>
          <w:b/>
          <w:bCs/>
          <w:i/>
          <w:iCs/>
          <w:lang w:val="en-US"/>
        </w:rPr>
      </w:pPr>
    </w:p>
    <w:p w14:paraId="090D06F7" w14:textId="77777777" w:rsidR="00C85B97" w:rsidRPr="00CD56B9" w:rsidRDefault="00C85B97" w:rsidP="00AB5496">
      <w:pPr>
        <w:spacing w:after="0" w:line="256" w:lineRule="auto"/>
        <w:rPr>
          <w:rFonts w:eastAsia="Calibri" w:cs="Arial"/>
          <w:b/>
          <w:bCs/>
          <w:i/>
          <w:iCs/>
          <w:lang w:val="en-US"/>
        </w:rPr>
      </w:pPr>
    </w:p>
    <w:p w14:paraId="48A5C633" w14:textId="77777777" w:rsidR="00AB5496" w:rsidRPr="00D66B5B" w:rsidRDefault="00AB5496" w:rsidP="00AB5496">
      <w:pPr>
        <w:pBdr>
          <w:top w:val="single" w:sz="4" w:space="1" w:color="auto"/>
          <w:left w:val="single" w:sz="4" w:space="4" w:color="auto"/>
          <w:bottom w:val="single" w:sz="4" w:space="1" w:color="auto"/>
          <w:right w:val="single" w:sz="4" w:space="4" w:color="auto"/>
        </w:pBdr>
        <w:rPr>
          <w:rFonts w:eastAsia="Calibri" w:cs="Arial"/>
          <w:bCs/>
          <w:i/>
          <w:iCs/>
          <w:lang w:val="en-GB"/>
        </w:rPr>
      </w:pPr>
      <w:r>
        <w:rPr>
          <w:rFonts w:eastAsia="Calibri" w:cs="Arial"/>
          <w:bCs/>
          <w:i/>
          <w:iCs/>
          <w:lang w:val="en-GB"/>
        </w:rPr>
        <w:lastRenderedPageBreak/>
        <w:t>DG SWAp</w:t>
      </w:r>
    </w:p>
    <w:p w14:paraId="1AB16866" w14:textId="77777777" w:rsidR="00AB5496" w:rsidRPr="005B4669" w:rsidRDefault="00AB5496" w:rsidP="00AB5496">
      <w:pPr>
        <w:spacing w:after="0"/>
        <w:rPr>
          <w:rFonts w:eastAsia="Calibri" w:cs="Arial"/>
          <w:bCs/>
          <w:iCs/>
          <w:lang w:val="en-GB"/>
        </w:rPr>
      </w:pPr>
      <w:r w:rsidRPr="00CD56B9">
        <w:rPr>
          <w:rFonts w:eastAsia="Calibri" w:cs="Arial"/>
          <w:b/>
          <w:bCs/>
          <w:iCs/>
          <w:lang w:val="en-US"/>
        </w:rPr>
        <w:t>Recommendation # 1:</w:t>
      </w:r>
      <w:r>
        <w:rPr>
          <w:rFonts w:eastAsia="Calibri" w:cs="Arial"/>
          <w:b/>
          <w:bCs/>
          <w:iCs/>
          <w:lang w:val="en-US"/>
        </w:rPr>
        <w:t xml:space="preserve"> </w:t>
      </w:r>
      <w:r w:rsidRPr="00D66B5B">
        <w:rPr>
          <w:rFonts w:eastAsia="Calibri" w:cs="Arial"/>
          <w:bCs/>
          <w:iCs/>
          <w:lang w:val="en-GB"/>
        </w:rPr>
        <w:t>UNDP should continue pursuing the SWAp in democratic governance and strengthen its support to MoJCA on implementation of policies, laws and regulations and cooperation across institutional jurisdictions</w:t>
      </w:r>
      <w:r w:rsidRPr="00D66B5B">
        <w:rPr>
          <w:lang w:val="en-GB"/>
        </w:rPr>
        <w:t xml:space="preserve"> </w:t>
      </w:r>
      <w:r w:rsidRPr="00D66B5B">
        <w:rPr>
          <w:rFonts w:eastAsia="Calibri" w:cs="Arial"/>
          <w:bCs/>
          <w:iCs/>
          <w:lang w:val="en-GB"/>
        </w:rPr>
        <w:t xml:space="preserve">such as the police-court-prison cooperation or the institutional gaps in addressing child marriages and GBV. </w:t>
      </w:r>
      <w:r w:rsidRPr="005B4669">
        <w:rPr>
          <w:rFonts w:eastAsia="Calibri" w:cs="Arial"/>
          <w:bCs/>
          <w:iCs/>
          <w:lang w:val="en-GB"/>
        </w:rPr>
        <w:t xml:space="preserve">Policy implementation and inter-jurisdictional cooperation </w:t>
      </w:r>
      <w:r>
        <w:rPr>
          <w:rFonts w:eastAsia="Calibri" w:cs="Arial"/>
          <w:bCs/>
          <w:iCs/>
          <w:lang w:val="en-GB"/>
        </w:rPr>
        <w:t>could</w:t>
      </w:r>
      <w:r w:rsidRPr="005B4669">
        <w:rPr>
          <w:rFonts w:eastAsia="Calibri" w:cs="Arial"/>
          <w:bCs/>
          <w:iCs/>
          <w:lang w:val="en-GB"/>
        </w:rPr>
        <w:t xml:space="preserve"> be furthered by the introduc</w:t>
      </w:r>
      <w:r>
        <w:rPr>
          <w:rFonts w:eastAsia="Calibri" w:cs="Arial"/>
          <w:bCs/>
          <w:iCs/>
          <w:lang w:val="en-GB"/>
        </w:rPr>
        <w:t xml:space="preserve">tion </w:t>
      </w:r>
      <w:r w:rsidRPr="005B4669">
        <w:rPr>
          <w:rFonts w:eastAsia="Calibri" w:cs="Arial"/>
          <w:bCs/>
          <w:iCs/>
          <w:lang w:val="en-GB"/>
        </w:rPr>
        <w:t>of joint thematic M&amp;E exercises with DP participation.</w:t>
      </w:r>
    </w:p>
    <w:p w14:paraId="22FECAAD" w14:textId="77777777" w:rsidR="00AB5496" w:rsidRPr="005B4669" w:rsidRDefault="00AB5496" w:rsidP="00AB5496">
      <w:pPr>
        <w:spacing w:after="0"/>
        <w:rPr>
          <w:rFonts w:eastAsia="Calibri" w:cs="Arial"/>
          <w:b/>
          <w:bCs/>
          <w:iCs/>
          <w:lang w:val="en-GB"/>
        </w:rPr>
      </w:pPr>
    </w:p>
    <w:p w14:paraId="23B21C7A" w14:textId="77777777" w:rsidR="00AB5496" w:rsidRPr="005B4669" w:rsidRDefault="00AB5496" w:rsidP="00AB5496">
      <w:pPr>
        <w:pBdr>
          <w:top w:val="single" w:sz="4" w:space="1" w:color="auto"/>
          <w:left w:val="single" w:sz="4" w:space="4" w:color="auto"/>
          <w:bottom w:val="single" w:sz="4" w:space="1" w:color="auto"/>
          <w:right w:val="single" w:sz="4" w:space="4" w:color="auto"/>
        </w:pBdr>
        <w:spacing w:after="0"/>
        <w:rPr>
          <w:rFonts w:eastAsia="Calibri" w:cs="Arial"/>
          <w:bCs/>
          <w:i/>
          <w:iCs/>
          <w:lang w:val="en-GB"/>
        </w:rPr>
      </w:pPr>
      <w:r w:rsidRPr="005B4669">
        <w:rPr>
          <w:rFonts w:eastAsia="Calibri" w:cs="Arial"/>
          <w:bCs/>
          <w:i/>
          <w:iCs/>
          <w:lang w:val="en-GB"/>
        </w:rPr>
        <w:t xml:space="preserve">Democratic Elections </w:t>
      </w:r>
    </w:p>
    <w:p w14:paraId="02FB2EB2" w14:textId="77777777" w:rsidR="00AB5496" w:rsidRPr="005B4669" w:rsidRDefault="00AB5496" w:rsidP="00AB5496">
      <w:pPr>
        <w:spacing w:after="0"/>
        <w:rPr>
          <w:rFonts w:eastAsia="Calibri" w:cs="Arial"/>
          <w:bCs/>
          <w:iCs/>
          <w:lang w:val="en-GB"/>
        </w:rPr>
      </w:pPr>
    </w:p>
    <w:p w14:paraId="793B02E1" w14:textId="77777777" w:rsidR="00AB5496" w:rsidRPr="005B4669" w:rsidRDefault="00AB5496" w:rsidP="00AB5496">
      <w:pPr>
        <w:rPr>
          <w:rFonts w:eastAsia="Calibri" w:cs="Arial"/>
          <w:bCs/>
          <w:iCs/>
          <w:lang w:val="en-GB"/>
        </w:rPr>
      </w:pPr>
      <w:r w:rsidRPr="005B4669">
        <w:rPr>
          <w:rFonts w:eastAsia="Calibri" w:cs="Arial"/>
          <w:b/>
          <w:bCs/>
          <w:iCs/>
          <w:lang w:val="en-GB"/>
        </w:rPr>
        <w:t xml:space="preserve">Recommendation # 2: </w:t>
      </w:r>
      <w:r w:rsidRPr="005B4669">
        <w:rPr>
          <w:rFonts w:eastAsia="Calibri" w:cs="Arial"/>
          <w:bCs/>
          <w:iCs/>
          <w:lang w:val="en-GB"/>
        </w:rPr>
        <w:t>UNDP should rigorously continue its support to the reform of election rules, including the introduction of a more proportional elections system and realignment of constituency demarcations, taking into account the high urb</w:t>
      </w:r>
      <w:r>
        <w:rPr>
          <w:rFonts w:eastAsia="Calibri" w:cs="Arial"/>
          <w:bCs/>
          <w:iCs/>
          <w:lang w:val="en-GB"/>
        </w:rPr>
        <w:t>an migration patterns in Malawi.</w:t>
      </w:r>
      <w:r w:rsidRPr="005B4669">
        <w:rPr>
          <w:rFonts w:eastAsia="Calibri" w:cs="Arial"/>
          <w:bCs/>
          <w:iCs/>
          <w:lang w:val="en-GB"/>
        </w:rPr>
        <w:t xml:space="preserve"> </w:t>
      </w:r>
    </w:p>
    <w:p w14:paraId="67EA75FD" w14:textId="77777777" w:rsidR="00AB5496" w:rsidRPr="005B4669" w:rsidRDefault="00AB5496" w:rsidP="00AB5496">
      <w:pPr>
        <w:rPr>
          <w:rFonts w:eastAsia="Calibri" w:cs="Arial"/>
          <w:bCs/>
          <w:iCs/>
          <w:lang w:val="en-GB"/>
        </w:rPr>
      </w:pPr>
      <w:r w:rsidRPr="005B4669">
        <w:rPr>
          <w:rFonts w:eastAsia="Calibri" w:cs="Arial"/>
          <w:b/>
          <w:bCs/>
          <w:iCs/>
          <w:lang w:val="en-GB"/>
        </w:rPr>
        <w:t xml:space="preserve">Recommendation # 3: </w:t>
      </w:r>
      <w:r w:rsidRPr="005B4669">
        <w:rPr>
          <w:rFonts w:eastAsia="Calibri" w:cs="Arial"/>
          <w:bCs/>
          <w:iCs/>
          <w:lang w:val="en-GB"/>
        </w:rPr>
        <w:t xml:space="preserve">UNDP should advocate for a more </w:t>
      </w:r>
      <w:r w:rsidRPr="00F62234">
        <w:rPr>
          <w:rFonts w:eastAsia="Calibri" w:cs="Arial"/>
          <w:bCs/>
          <w:iCs/>
          <w:lang w:val="en-GB"/>
        </w:rPr>
        <w:t xml:space="preserve">transparent, accountable and </w:t>
      </w:r>
      <w:r w:rsidRPr="005B4669">
        <w:rPr>
          <w:rFonts w:eastAsia="Calibri" w:cs="Arial"/>
          <w:bCs/>
          <w:iCs/>
          <w:lang w:val="en-GB"/>
        </w:rPr>
        <w:t>sustainable government funding of MEC, which meets the operational costs of managing the electoral process and the costs of applying the full continuous election management approach.</w:t>
      </w:r>
    </w:p>
    <w:p w14:paraId="28BD4C3E" w14:textId="77777777" w:rsidR="00AB5496" w:rsidRPr="005B4669" w:rsidRDefault="00AB5496" w:rsidP="00AB5496">
      <w:pPr>
        <w:rPr>
          <w:rFonts w:eastAsia="Calibri" w:cs="Arial"/>
          <w:bCs/>
          <w:iCs/>
          <w:lang w:val="en-GB"/>
        </w:rPr>
      </w:pPr>
      <w:r w:rsidRPr="005B4669">
        <w:rPr>
          <w:rFonts w:eastAsia="Calibri" w:cs="Arial"/>
          <w:b/>
          <w:bCs/>
          <w:iCs/>
          <w:lang w:val="en-GB"/>
        </w:rPr>
        <w:t xml:space="preserve">Recommendation # 4: </w:t>
      </w:r>
      <w:r w:rsidRPr="005B4669">
        <w:rPr>
          <w:rFonts w:eastAsia="Calibri" w:cs="Arial"/>
          <w:bCs/>
          <w:iCs/>
          <w:lang w:val="en-GB"/>
        </w:rPr>
        <w:t xml:space="preserve">UNDP and UN Women should integrate the gender aspect more consistently in the design of support projects for democratic elections and ensure continuous support to </w:t>
      </w:r>
      <w:r>
        <w:rPr>
          <w:rFonts w:eastAsia="Calibri" w:cs="Arial"/>
          <w:bCs/>
          <w:iCs/>
          <w:lang w:val="en-GB"/>
        </w:rPr>
        <w:t xml:space="preserve">the political empowerment of women </w:t>
      </w:r>
      <w:r w:rsidRPr="005B4669">
        <w:rPr>
          <w:rFonts w:eastAsia="Calibri" w:cs="Arial"/>
          <w:bCs/>
          <w:iCs/>
          <w:lang w:val="en-GB"/>
        </w:rPr>
        <w:t>throughout the election cycle.</w:t>
      </w:r>
    </w:p>
    <w:p w14:paraId="0122BE7E" w14:textId="77777777" w:rsidR="00AB5496" w:rsidRPr="005B4669" w:rsidRDefault="00AB5496" w:rsidP="00AB5496">
      <w:pPr>
        <w:pBdr>
          <w:top w:val="single" w:sz="4" w:space="1" w:color="auto"/>
          <w:left w:val="single" w:sz="4" w:space="4" w:color="auto"/>
          <w:bottom w:val="single" w:sz="4" w:space="1" w:color="auto"/>
          <w:right w:val="single" w:sz="4" w:space="4" w:color="auto"/>
        </w:pBdr>
        <w:spacing w:after="0"/>
        <w:rPr>
          <w:rFonts w:eastAsia="Calibri" w:cs="Arial"/>
          <w:bCs/>
          <w:i/>
          <w:iCs/>
          <w:lang w:val="en-GB"/>
        </w:rPr>
      </w:pPr>
      <w:r w:rsidRPr="005B4669">
        <w:rPr>
          <w:rFonts w:eastAsia="Calibri" w:cs="Arial"/>
          <w:bCs/>
          <w:i/>
          <w:iCs/>
          <w:lang w:val="en-GB"/>
        </w:rPr>
        <w:t>Political Parties</w:t>
      </w:r>
    </w:p>
    <w:p w14:paraId="2CF2A4B1" w14:textId="77777777" w:rsidR="00AB5496" w:rsidRPr="005B4669" w:rsidRDefault="00AB5496" w:rsidP="00AB5496">
      <w:pPr>
        <w:spacing w:after="0"/>
        <w:rPr>
          <w:rFonts w:eastAsia="Calibri" w:cs="Arial"/>
          <w:b/>
          <w:bCs/>
          <w:iCs/>
          <w:lang w:val="en-GB"/>
        </w:rPr>
      </w:pPr>
    </w:p>
    <w:p w14:paraId="73A4E7A0" w14:textId="77777777" w:rsidR="00AB5496" w:rsidRPr="005B4669" w:rsidRDefault="00AB5496" w:rsidP="00AB5496">
      <w:pPr>
        <w:rPr>
          <w:lang w:val="en-GB"/>
        </w:rPr>
      </w:pPr>
      <w:r w:rsidRPr="005B4669">
        <w:rPr>
          <w:rFonts w:eastAsia="Calibri" w:cs="Arial"/>
          <w:b/>
          <w:bCs/>
          <w:iCs/>
          <w:lang w:val="en-GB"/>
        </w:rPr>
        <w:t xml:space="preserve">Recommendation # 5: </w:t>
      </w:r>
      <w:r w:rsidRPr="005B4669">
        <w:rPr>
          <w:lang w:val="en-GB"/>
        </w:rPr>
        <w:t xml:space="preserve">In addition to a continuous lobbying for the PPRR Bill, UNDP in collaboration with CMD and similar stakeholders should facilitate public awareness campaigns on the need for 1) a legal framework on party-internal democratic functioning and management practices, 2) a reduction on the constitutional threshold (of ten percent of the national vote) to qualify for public funding to ensure that a majority of political parties that have secured representation in Parliament can also access public funding, and 3) introduction of a legal framework that will regulate private and campaign financing of political parties.  </w:t>
      </w:r>
    </w:p>
    <w:p w14:paraId="1856DBDA" w14:textId="77777777" w:rsidR="00AB5496" w:rsidRPr="005B4669" w:rsidRDefault="00AB5496" w:rsidP="00AB5496">
      <w:pPr>
        <w:rPr>
          <w:lang w:val="en-GB"/>
        </w:rPr>
      </w:pPr>
      <w:r w:rsidRPr="005B4669">
        <w:rPr>
          <w:rFonts w:eastAsia="Calibri" w:cs="Arial"/>
          <w:b/>
          <w:bCs/>
          <w:iCs/>
          <w:lang w:val="en-GB"/>
        </w:rPr>
        <w:t xml:space="preserve">Recommendation # 6: </w:t>
      </w:r>
      <w:r w:rsidRPr="005B4669">
        <w:rPr>
          <w:lang w:val="en-GB"/>
        </w:rPr>
        <w:t xml:space="preserve">The support to CMD remains relevant, despite the delay in the new PPRR Bill and UNDP and UN Women should continue supporting CMD. There is a need for long-term support to the collaborative efforts of the political parties as a whole to help parties and factions to work together by offering a supplementary neutral platform where politicians can get together to discuss issues away from public arenas such as the Parliament and the media. </w:t>
      </w:r>
    </w:p>
    <w:p w14:paraId="573CF9A9" w14:textId="77777777" w:rsidR="00AB5496" w:rsidRPr="005B4669" w:rsidRDefault="00AB5496" w:rsidP="00AB5496">
      <w:pPr>
        <w:spacing w:after="0"/>
        <w:rPr>
          <w:lang w:val="en-GB"/>
        </w:rPr>
      </w:pPr>
      <w:r w:rsidRPr="005B4669">
        <w:rPr>
          <w:rFonts w:eastAsia="Calibri" w:cs="Arial"/>
          <w:b/>
          <w:bCs/>
          <w:iCs/>
          <w:lang w:val="en-GB"/>
        </w:rPr>
        <w:t xml:space="preserve">Recommendation # 7: </w:t>
      </w:r>
      <w:r w:rsidRPr="005B4669">
        <w:rPr>
          <w:lang w:val="en-GB"/>
        </w:rPr>
        <w:t xml:space="preserve">The elections of new District and City Councils create a need for support to local party politicians. Similar to national MPs, council members need to be able to work collaboratively with each other, and to facilitate such collaborations, they need a neutral space for productive discussions outside of pubic council meetings. UNDP should discuss with CMD, if CMD is in a position to deliver such assistance at the local level or if other institutions with a sound understanding of local conditions and with adequate skills to broker political relationships could do this, </w:t>
      </w:r>
      <w:r>
        <w:rPr>
          <w:lang w:val="en-GB"/>
        </w:rPr>
        <w:t xml:space="preserve">if possible </w:t>
      </w:r>
      <w:r w:rsidRPr="005B4669">
        <w:rPr>
          <w:lang w:val="en-GB"/>
        </w:rPr>
        <w:t>in partnership</w:t>
      </w:r>
      <w:r>
        <w:rPr>
          <w:lang w:val="en-GB"/>
        </w:rPr>
        <w:t>s</w:t>
      </w:r>
      <w:r w:rsidRPr="005B4669">
        <w:rPr>
          <w:lang w:val="en-GB"/>
        </w:rPr>
        <w:t xml:space="preserve"> with NIMD </w:t>
      </w:r>
      <w:r>
        <w:rPr>
          <w:lang w:val="en-GB"/>
        </w:rPr>
        <w:t>and/</w:t>
      </w:r>
      <w:r w:rsidRPr="005B4669">
        <w:rPr>
          <w:lang w:val="en-GB"/>
        </w:rPr>
        <w:t xml:space="preserve">or DIPD. </w:t>
      </w:r>
    </w:p>
    <w:p w14:paraId="59429C76" w14:textId="77777777" w:rsidR="00AB5496" w:rsidRPr="005B4669" w:rsidRDefault="00AB5496" w:rsidP="00AB5496">
      <w:pPr>
        <w:spacing w:after="0"/>
        <w:rPr>
          <w:rFonts w:eastAsia="Calibri" w:cs="Arial"/>
          <w:bCs/>
          <w:iCs/>
          <w:lang w:val="en-GB"/>
        </w:rPr>
      </w:pPr>
    </w:p>
    <w:p w14:paraId="6B79536D" w14:textId="77777777" w:rsidR="00AB5496" w:rsidRPr="005B4669" w:rsidRDefault="00AB5496" w:rsidP="00AB5496">
      <w:pPr>
        <w:pBdr>
          <w:top w:val="single" w:sz="4" w:space="1" w:color="auto"/>
          <w:left w:val="single" w:sz="4" w:space="4" w:color="auto"/>
          <w:bottom w:val="single" w:sz="4" w:space="1" w:color="auto"/>
          <w:right w:val="single" w:sz="4" w:space="4" w:color="auto"/>
        </w:pBdr>
        <w:spacing w:after="0"/>
        <w:rPr>
          <w:rFonts w:eastAsia="Calibri" w:cs="Arial"/>
          <w:bCs/>
          <w:i/>
          <w:iCs/>
          <w:lang w:val="en-GB"/>
        </w:rPr>
      </w:pPr>
      <w:r w:rsidRPr="005B4669">
        <w:rPr>
          <w:rFonts w:eastAsia="Calibri" w:cs="Arial"/>
          <w:bCs/>
          <w:i/>
          <w:iCs/>
          <w:lang w:val="en-GB"/>
        </w:rPr>
        <w:t>Human Rights</w:t>
      </w:r>
    </w:p>
    <w:p w14:paraId="28826067" w14:textId="77777777" w:rsidR="00AB5496" w:rsidRPr="005B4669" w:rsidRDefault="00AB5496" w:rsidP="00AB5496">
      <w:pPr>
        <w:spacing w:after="0"/>
        <w:jc w:val="left"/>
        <w:rPr>
          <w:rFonts w:eastAsia="Calibri" w:cs="Arial"/>
          <w:b/>
          <w:bCs/>
          <w:iCs/>
          <w:lang w:val="en-GB"/>
        </w:rPr>
      </w:pPr>
    </w:p>
    <w:p w14:paraId="2CB92729" w14:textId="77777777" w:rsidR="00AB5496" w:rsidRPr="005B4669" w:rsidRDefault="00AB5496" w:rsidP="00AB5496">
      <w:pPr>
        <w:rPr>
          <w:rFonts w:eastAsia="Calibri" w:cs="Arial"/>
          <w:bCs/>
          <w:iCs/>
          <w:lang w:val="en-GB"/>
        </w:rPr>
      </w:pPr>
      <w:r w:rsidRPr="005B4669">
        <w:rPr>
          <w:rFonts w:eastAsia="Calibri" w:cs="Arial"/>
          <w:b/>
          <w:bCs/>
          <w:iCs/>
          <w:lang w:val="en-GB"/>
        </w:rPr>
        <w:t xml:space="preserve">Recommendation # 8: </w:t>
      </w:r>
      <w:r w:rsidRPr="005B4669">
        <w:rPr>
          <w:rFonts w:eastAsia="Calibri" w:cs="Arial"/>
          <w:bCs/>
          <w:iCs/>
          <w:lang w:val="en-GB"/>
        </w:rPr>
        <w:t xml:space="preserve">UNDP should continue advocating for the implementation of the recommendations </w:t>
      </w:r>
      <w:r>
        <w:rPr>
          <w:rFonts w:eastAsia="Calibri" w:cs="Arial"/>
          <w:bCs/>
          <w:iCs/>
          <w:lang w:val="en-GB"/>
        </w:rPr>
        <w:t xml:space="preserve">made </w:t>
      </w:r>
      <w:r w:rsidRPr="005B4669">
        <w:rPr>
          <w:rFonts w:eastAsia="Calibri" w:cs="Arial"/>
          <w:bCs/>
          <w:iCs/>
          <w:lang w:val="en-GB"/>
        </w:rPr>
        <w:t>by the United Nations Human Rights Committee, including the amendment of the HRC Act to ensure full independ</w:t>
      </w:r>
      <w:r>
        <w:rPr>
          <w:rFonts w:eastAsia="Calibri" w:cs="Arial"/>
          <w:bCs/>
          <w:iCs/>
          <w:lang w:val="en-GB"/>
        </w:rPr>
        <w:t xml:space="preserve">ence of the committee and to remedy </w:t>
      </w:r>
      <w:r w:rsidRPr="005B4669">
        <w:rPr>
          <w:rFonts w:eastAsia="Calibri" w:cs="Arial"/>
          <w:bCs/>
          <w:iCs/>
          <w:lang w:val="en-GB"/>
        </w:rPr>
        <w:t>the capacity constraints pertaining to the Commission</w:t>
      </w:r>
      <w:r>
        <w:rPr>
          <w:rFonts w:eastAsia="Calibri" w:cs="Arial"/>
          <w:bCs/>
          <w:iCs/>
          <w:lang w:val="en-GB"/>
        </w:rPr>
        <w:t>’</w:t>
      </w:r>
      <w:r w:rsidRPr="005B4669">
        <w:rPr>
          <w:rFonts w:eastAsia="Calibri" w:cs="Arial"/>
          <w:bCs/>
          <w:iCs/>
          <w:lang w:val="en-GB"/>
        </w:rPr>
        <w:t xml:space="preserve">s resource envelope and </w:t>
      </w:r>
      <w:r>
        <w:rPr>
          <w:rFonts w:eastAsia="Calibri" w:cs="Arial"/>
          <w:bCs/>
          <w:iCs/>
          <w:lang w:val="en-GB"/>
        </w:rPr>
        <w:t xml:space="preserve">its </w:t>
      </w:r>
      <w:r w:rsidRPr="005B4669">
        <w:rPr>
          <w:rFonts w:eastAsia="Calibri" w:cs="Arial"/>
          <w:bCs/>
          <w:iCs/>
          <w:lang w:val="en-GB"/>
        </w:rPr>
        <w:t>ability to attract and retain the right quantity and quality of personnel.</w:t>
      </w:r>
      <w:r>
        <w:rPr>
          <w:rFonts w:eastAsia="Calibri" w:cs="Arial"/>
          <w:bCs/>
          <w:iCs/>
          <w:lang w:val="en-GB"/>
        </w:rPr>
        <w:t xml:space="preserve"> UNDP should liaise with </w:t>
      </w:r>
      <w:r w:rsidRPr="005B4669">
        <w:rPr>
          <w:rFonts w:eastAsia="Calibri" w:cs="Arial"/>
          <w:bCs/>
          <w:iCs/>
          <w:lang w:val="en-GB"/>
        </w:rPr>
        <w:t xml:space="preserve">the Law </w:t>
      </w:r>
      <w:r w:rsidRPr="005B4669">
        <w:rPr>
          <w:rFonts w:eastAsia="Calibri" w:cs="Arial"/>
          <w:bCs/>
          <w:iCs/>
          <w:lang w:val="en-GB"/>
        </w:rPr>
        <w:lastRenderedPageBreak/>
        <w:t xml:space="preserve">Commission, the HR Committee of the Parliament and MoJCA to rally support for the </w:t>
      </w:r>
      <w:r>
        <w:rPr>
          <w:rFonts w:eastAsia="Calibri" w:cs="Arial"/>
          <w:bCs/>
          <w:iCs/>
          <w:lang w:val="en-GB"/>
        </w:rPr>
        <w:t xml:space="preserve">independence of the </w:t>
      </w:r>
      <w:r w:rsidRPr="005B4669">
        <w:rPr>
          <w:rFonts w:eastAsia="Calibri" w:cs="Arial"/>
          <w:bCs/>
          <w:iCs/>
          <w:lang w:val="en-GB"/>
        </w:rPr>
        <w:t>MHRC</w:t>
      </w:r>
      <w:r>
        <w:rPr>
          <w:rFonts w:eastAsia="Calibri" w:cs="Arial"/>
          <w:bCs/>
          <w:iCs/>
          <w:lang w:val="en-GB"/>
        </w:rPr>
        <w:t>.</w:t>
      </w:r>
      <w:r w:rsidRPr="005B4669">
        <w:rPr>
          <w:rFonts w:eastAsia="Calibri" w:cs="Arial"/>
          <w:bCs/>
          <w:iCs/>
          <w:lang w:val="en-GB"/>
        </w:rPr>
        <w:t xml:space="preserve"> </w:t>
      </w:r>
    </w:p>
    <w:p w14:paraId="56201E45" w14:textId="77777777" w:rsidR="00AB5496" w:rsidRPr="005B4669" w:rsidRDefault="00AB5496" w:rsidP="00AB5496">
      <w:pPr>
        <w:spacing w:after="0"/>
        <w:rPr>
          <w:rFonts w:eastAsia="Calibri" w:cs="Arial"/>
          <w:bCs/>
          <w:iCs/>
          <w:lang w:val="en-GB"/>
        </w:rPr>
      </w:pPr>
      <w:r w:rsidRPr="005B4669">
        <w:rPr>
          <w:rFonts w:eastAsia="Calibri" w:cs="Arial"/>
          <w:b/>
          <w:bCs/>
          <w:iCs/>
          <w:lang w:val="en-GB"/>
        </w:rPr>
        <w:t xml:space="preserve">Recommendation # 9: </w:t>
      </w:r>
      <w:r w:rsidRPr="005B4669">
        <w:rPr>
          <w:rFonts w:eastAsia="Calibri" w:cs="Arial"/>
          <w:bCs/>
          <w:iCs/>
          <w:lang w:val="en-GB"/>
        </w:rPr>
        <w:t xml:space="preserve">UNDP should continue </w:t>
      </w:r>
      <w:r>
        <w:rPr>
          <w:rFonts w:eastAsia="Calibri" w:cs="Arial"/>
          <w:bCs/>
          <w:iCs/>
          <w:lang w:val="en-GB"/>
        </w:rPr>
        <w:t>its dialogue with</w:t>
      </w:r>
      <w:r w:rsidRPr="005B4669">
        <w:rPr>
          <w:rFonts w:eastAsia="Calibri" w:cs="Arial"/>
          <w:bCs/>
          <w:iCs/>
          <w:lang w:val="en-GB"/>
        </w:rPr>
        <w:t xml:space="preserve"> the MHRC to</w:t>
      </w:r>
      <w:r>
        <w:rPr>
          <w:rFonts w:eastAsia="Calibri" w:cs="Arial"/>
          <w:bCs/>
          <w:iCs/>
          <w:lang w:val="en-GB"/>
        </w:rPr>
        <w:t xml:space="preserve"> actively engage in LGBT rights. </w:t>
      </w:r>
      <w:r w:rsidRPr="005B4669">
        <w:rPr>
          <w:rFonts w:eastAsia="Calibri" w:cs="Arial"/>
          <w:bCs/>
          <w:iCs/>
          <w:lang w:val="en-GB"/>
        </w:rPr>
        <w:t>Technical support in this area should be offered</w:t>
      </w:r>
      <w:r w:rsidRPr="005B4669">
        <w:rPr>
          <w:lang w:val="en-GB"/>
        </w:rPr>
        <w:t xml:space="preserve"> by </w:t>
      </w:r>
      <w:r w:rsidRPr="005B4669">
        <w:rPr>
          <w:rFonts w:eastAsia="Calibri" w:cs="Arial"/>
          <w:bCs/>
          <w:iCs/>
          <w:lang w:val="en-GB"/>
        </w:rPr>
        <w:t xml:space="preserve">OHCHR, If MHRC considers this could improve its capacity and impact. </w:t>
      </w:r>
    </w:p>
    <w:p w14:paraId="293616C2" w14:textId="77777777" w:rsidR="00AB5496" w:rsidRPr="005B4669" w:rsidRDefault="00AB5496" w:rsidP="00AB5496">
      <w:pPr>
        <w:spacing w:after="0"/>
        <w:jc w:val="left"/>
        <w:rPr>
          <w:rFonts w:eastAsia="Calibri" w:cs="Arial"/>
          <w:bCs/>
          <w:iCs/>
          <w:lang w:val="en-GB"/>
        </w:rPr>
      </w:pPr>
    </w:p>
    <w:p w14:paraId="1B13D437" w14:textId="77777777" w:rsidR="00AB5496" w:rsidRPr="005B4669" w:rsidRDefault="00AB5496" w:rsidP="00AB5496">
      <w:pPr>
        <w:pBdr>
          <w:top w:val="single" w:sz="4" w:space="1" w:color="auto"/>
          <w:left w:val="single" w:sz="4" w:space="4" w:color="auto"/>
          <w:bottom w:val="single" w:sz="4" w:space="1" w:color="auto"/>
          <w:right w:val="single" w:sz="4" w:space="4" w:color="auto"/>
        </w:pBdr>
        <w:spacing w:after="0"/>
        <w:rPr>
          <w:rFonts w:eastAsia="Calibri" w:cs="Arial"/>
          <w:bCs/>
          <w:i/>
          <w:iCs/>
          <w:lang w:val="en-GB"/>
        </w:rPr>
      </w:pPr>
      <w:r w:rsidRPr="005B4669">
        <w:rPr>
          <w:rFonts w:cs="Arial"/>
          <w:i/>
          <w:lang w:val="en-GB"/>
        </w:rPr>
        <w:t>The Ombudsman</w:t>
      </w:r>
      <w:r w:rsidRPr="005B4669">
        <w:rPr>
          <w:rFonts w:eastAsia="Calibri" w:cs="Arial"/>
          <w:bCs/>
          <w:i/>
          <w:iCs/>
          <w:lang w:val="en-GB"/>
        </w:rPr>
        <w:t xml:space="preserve"> Institution</w:t>
      </w:r>
    </w:p>
    <w:p w14:paraId="62C0FD3F" w14:textId="77777777" w:rsidR="00AB5496" w:rsidRPr="005B4669" w:rsidRDefault="00AB5496" w:rsidP="00AB5496">
      <w:pPr>
        <w:spacing w:after="0"/>
        <w:rPr>
          <w:rFonts w:eastAsia="Calibri" w:cs="Arial"/>
          <w:bCs/>
          <w:iCs/>
          <w:lang w:val="en-GB"/>
        </w:rPr>
      </w:pPr>
    </w:p>
    <w:p w14:paraId="20C04DBA" w14:textId="77777777" w:rsidR="00AB5496" w:rsidRPr="005B4669" w:rsidRDefault="00AB5496" w:rsidP="00AB5496">
      <w:pPr>
        <w:spacing w:after="0"/>
        <w:rPr>
          <w:rFonts w:eastAsia="Calibri" w:cs="Arial"/>
          <w:bCs/>
          <w:iCs/>
          <w:lang w:val="en-GB"/>
        </w:rPr>
      </w:pPr>
      <w:r w:rsidRPr="005B4669">
        <w:rPr>
          <w:rFonts w:eastAsia="Calibri" w:cs="Arial"/>
          <w:b/>
          <w:bCs/>
          <w:iCs/>
          <w:lang w:val="en-GB"/>
        </w:rPr>
        <w:t xml:space="preserve">Recommendation # 10: </w:t>
      </w:r>
      <w:r w:rsidRPr="005B4669">
        <w:rPr>
          <w:rFonts w:eastAsia="Calibri" w:cs="Arial"/>
          <w:bCs/>
          <w:iCs/>
          <w:lang w:val="en-GB"/>
        </w:rPr>
        <w:t xml:space="preserve">UNDP should initiate discussions with the incoming Ombudsman on future needs for institutional development of the Office of the Ombudsman. This should include the need for improving parliamentary oversight of the OO, </w:t>
      </w:r>
      <w:r>
        <w:rPr>
          <w:rFonts w:eastAsia="Calibri" w:cs="Arial"/>
          <w:bCs/>
          <w:iCs/>
          <w:lang w:val="en-GB"/>
        </w:rPr>
        <w:t xml:space="preserve">improving </w:t>
      </w:r>
      <w:r w:rsidRPr="005B4669">
        <w:rPr>
          <w:rFonts w:eastAsia="Calibri" w:cs="Arial"/>
          <w:bCs/>
          <w:iCs/>
          <w:lang w:val="en-GB"/>
        </w:rPr>
        <w:t xml:space="preserve">the legal framework of the institution as well as </w:t>
      </w:r>
      <w:r>
        <w:rPr>
          <w:rFonts w:eastAsia="Calibri" w:cs="Arial"/>
          <w:bCs/>
          <w:iCs/>
          <w:lang w:val="en-GB"/>
        </w:rPr>
        <w:t xml:space="preserve">enhancing </w:t>
      </w:r>
      <w:r w:rsidRPr="005B4669">
        <w:rPr>
          <w:rFonts w:eastAsia="Calibri" w:cs="Arial"/>
          <w:bCs/>
          <w:iCs/>
          <w:lang w:val="en-GB"/>
        </w:rPr>
        <w:t>the resource envelope, skills development and outreach activities. The dialogue should form the basis for a broader discussion with the government</w:t>
      </w:r>
      <w:r>
        <w:rPr>
          <w:rFonts w:eastAsia="Calibri" w:cs="Arial"/>
          <w:bCs/>
          <w:iCs/>
          <w:lang w:val="en-GB"/>
        </w:rPr>
        <w:t xml:space="preserve"> (executive)</w:t>
      </w:r>
      <w:r w:rsidRPr="005B4669">
        <w:rPr>
          <w:rFonts w:eastAsia="Calibri" w:cs="Arial"/>
          <w:bCs/>
          <w:iCs/>
          <w:lang w:val="en-GB"/>
        </w:rPr>
        <w:t>, parliament and the DPs on how the independence and operational capacity of the institution can be improved and supported.</w:t>
      </w:r>
    </w:p>
    <w:p w14:paraId="0C72AB5F" w14:textId="77777777" w:rsidR="00AB5496" w:rsidRPr="005B4669" w:rsidRDefault="00AB5496" w:rsidP="00AB5496">
      <w:pPr>
        <w:spacing w:after="0"/>
        <w:rPr>
          <w:rFonts w:eastAsia="Calibri" w:cs="Arial"/>
          <w:bCs/>
          <w:iCs/>
          <w:lang w:val="en-GB"/>
        </w:rPr>
      </w:pPr>
    </w:p>
    <w:p w14:paraId="262503FA" w14:textId="77777777" w:rsidR="00AB5496" w:rsidRPr="005B4669" w:rsidRDefault="00AB5496" w:rsidP="00AB5496">
      <w:pPr>
        <w:pBdr>
          <w:top w:val="single" w:sz="4" w:space="1" w:color="auto"/>
          <w:left w:val="single" w:sz="4" w:space="4" w:color="auto"/>
          <w:bottom w:val="single" w:sz="4" w:space="1" w:color="auto"/>
          <w:right w:val="single" w:sz="4" w:space="4" w:color="auto"/>
        </w:pBdr>
        <w:spacing w:after="0"/>
        <w:jc w:val="left"/>
        <w:rPr>
          <w:rFonts w:eastAsia="Calibri" w:cs="Arial"/>
          <w:bCs/>
          <w:i/>
          <w:iCs/>
          <w:lang w:val="en-GB"/>
        </w:rPr>
      </w:pPr>
      <w:r w:rsidRPr="005B4669">
        <w:rPr>
          <w:rFonts w:eastAsia="Calibri" w:cs="Arial"/>
          <w:bCs/>
          <w:i/>
          <w:iCs/>
          <w:lang w:val="en-GB"/>
        </w:rPr>
        <w:t>The National Peace Architecture</w:t>
      </w:r>
    </w:p>
    <w:p w14:paraId="75164497" w14:textId="77777777" w:rsidR="00AB5496" w:rsidRPr="005B4669" w:rsidRDefault="00AB5496" w:rsidP="00AB5496">
      <w:pPr>
        <w:spacing w:after="0"/>
        <w:jc w:val="left"/>
        <w:rPr>
          <w:rFonts w:eastAsia="Calibri" w:cs="Arial"/>
          <w:bCs/>
          <w:i/>
          <w:iCs/>
          <w:lang w:val="en-GB"/>
        </w:rPr>
      </w:pPr>
      <w:r w:rsidRPr="005B4669">
        <w:rPr>
          <w:rFonts w:eastAsia="Calibri" w:cs="Arial"/>
          <w:bCs/>
          <w:i/>
          <w:iCs/>
          <w:lang w:val="en-GB"/>
        </w:rPr>
        <w:t xml:space="preserve"> </w:t>
      </w:r>
    </w:p>
    <w:p w14:paraId="72524C97" w14:textId="77777777" w:rsidR="00AB5496" w:rsidRPr="005B4669" w:rsidRDefault="00AB5496" w:rsidP="00AB5496">
      <w:pPr>
        <w:spacing w:after="0"/>
        <w:rPr>
          <w:rFonts w:eastAsia="Calibri" w:cs="Arial"/>
          <w:bCs/>
          <w:iCs/>
          <w:lang w:val="en-GB"/>
        </w:rPr>
      </w:pPr>
      <w:r w:rsidRPr="005B4669">
        <w:rPr>
          <w:rFonts w:eastAsia="Calibri" w:cs="Arial"/>
          <w:b/>
          <w:bCs/>
          <w:iCs/>
          <w:lang w:val="en-GB"/>
        </w:rPr>
        <w:t xml:space="preserve">Recommendation # 11: </w:t>
      </w:r>
      <w:r w:rsidRPr="005B4669">
        <w:rPr>
          <w:rFonts w:eastAsia="Calibri" w:cs="Arial"/>
          <w:bCs/>
          <w:iCs/>
          <w:lang w:val="en-GB"/>
        </w:rPr>
        <w:t xml:space="preserve">UNDP should encourage OPC to include costing as a key criterion for the design of the NPA. The NPA is an important supplement to the broader devolution process, </w:t>
      </w:r>
      <w:r>
        <w:rPr>
          <w:rFonts w:eastAsia="Calibri" w:cs="Arial"/>
          <w:bCs/>
          <w:iCs/>
          <w:lang w:val="en-GB"/>
        </w:rPr>
        <w:t xml:space="preserve">but </w:t>
      </w:r>
      <w:r w:rsidRPr="005B4669">
        <w:rPr>
          <w:rFonts w:eastAsia="Calibri" w:cs="Arial"/>
          <w:bCs/>
          <w:iCs/>
          <w:lang w:val="en-GB"/>
        </w:rPr>
        <w:t>not a substitute for it and funding of a permanent NPA structure must not make adverse inroads into overall funding of the devolution process. Instead, alternative sources of funding should be pursued, such as fuel levies, own contributions through income generation activities and donor funding.</w:t>
      </w:r>
    </w:p>
    <w:p w14:paraId="5A5120E2" w14:textId="77777777" w:rsidR="00AB5496" w:rsidRPr="005B4669" w:rsidRDefault="00AB5496" w:rsidP="00AB5496">
      <w:pPr>
        <w:spacing w:after="0"/>
        <w:jc w:val="left"/>
        <w:rPr>
          <w:rFonts w:eastAsia="Calibri" w:cs="Arial"/>
          <w:bCs/>
          <w:iCs/>
          <w:lang w:val="en-GB"/>
        </w:rPr>
      </w:pPr>
    </w:p>
    <w:p w14:paraId="75676AD2" w14:textId="77777777" w:rsidR="00AB5496" w:rsidRPr="005B4669" w:rsidRDefault="00AB5496" w:rsidP="00AB5496">
      <w:pPr>
        <w:pBdr>
          <w:top w:val="single" w:sz="4" w:space="1" w:color="auto"/>
          <w:left w:val="single" w:sz="4" w:space="4" w:color="auto"/>
          <w:bottom w:val="single" w:sz="4" w:space="1" w:color="auto"/>
          <w:right w:val="single" w:sz="4" w:space="4" w:color="auto"/>
        </w:pBdr>
        <w:spacing w:after="0"/>
        <w:rPr>
          <w:rFonts w:eastAsia="Calibri" w:cs="Arial"/>
          <w:b/>
          <w:bCs/>
          <w:iCs/>
          <w:lang w:val="en-GB"/>
        </w:rPr>
      </w:pPr>
      <w:r w:rsidRPr="005B4669">
        <w:rPr>
          <w:i/>
          <w:lang w:val="en-GB"/>
        </w:rPr>
        <w:t>IRD</w:t>
      </w:r>
      <w:r w:rsidRPr="005B4669">
        <w:rPr>
          <w:rFonts w:eastAsia="Calibri" w:cs="Arial"/>
          <w:bCs/>
          <w:i/>
          <w:iCs/>
          <w:lang w:val="en-GB"/>
        </w:rPr>
        <w:t xml:space="preserve"> and decentralization</w:t>
      </w:r>
    </w:p>
    <w:p w14:paraId="1B79E9A3" w14:textId="77777777" w:rsidR="00AB5496" w:rsidRPr="005B4669" w:rsidRDefault="00AB5496" w:rsidP="00AB5496">
      <w:pPr>
        <w:spacing w:after="0"/>
        <w:rPr>
          <w:rFonts w:eastAsia="Calibri" w:cs="Arial"/>
          <w:b/>
          <w:bCs/>
          <w:iCs/>
          <w:lang w:val="en-GB"/>
        </w:rPr>
      </w:pPr>
      <w:r w:rsidRPr="005B4669">
        <w:rPr>
          <w:rFonts w:eastAsia="Calibri" w:cs="Arial"/>
          <w:b/>
          <w:bCs/>
          <w:iCs/>
          <w:lang w:val="en-GB"/>
        </w:rPr>
        <w:t xml:space="preserve"> </w:t>
      </w:r>
    </w:p>
    <w:p w14:paraId="2F04C2B2" w14:textId="77777777" w:rsidR="00AB5496" w:rsidRPr="005B4669" w:rsidRDefault="00AB5496" w:rsidP="00AB5496">
      <w:pPr>
        <w:rPr>
          <w:rFonts w:eastAsia="Calibri" w:cs="Arial"/>
          <w:bCs/>
          <w:iCs/>
          <w:lang w:val="en-GB"/>
        </w:rPr>
      </w:pPr>
      <w:r w:rsidRPr="005B4669">
        <w:rPr>
          <w:rFonts w:eastAsia="Calibri" w:cs="Arial"/>
          <w:b/>
          <w:bCs/>
          <w:iCs/>
          <w:lang w:val="en-GB"/>
        </w:rPr>
        <w:t xml:space="preserve">Recommendation # 12: </w:t>
      </w:r>
      <w:r w:rsidRPr="005B4669">
        <w:rPr>
          <w:rFonts w:eastAsia="Calibri" w:cs="Arial"/>
          <w:bCs/>
          <w:iCs/>
          <w:lang w:val="en-GB"/>
        </w:rPr>
        <w:t xml:space="preserve">UNDP should discuss with MoLRD and relevant DPs how reform oversight can be improved. Coordination of </w:t>
      </w:r>
      <w:r>
        <w:rPr>
          <w:rFonts w:eastAsia="Calibri" w:cs="Arial"/>
          <w:bCs/>
          <w:iCs/>
          <w:lang w:val="en-GB"/>
        </w:rPr>
        <w:t xml:space="preserve">the dual </w:t>
      </w:r>
      <w:r w:rsidRPr="005B4669">
        <w:rPr>
          <w:rFonts w:eastAsia="Calibri" w:cs="Arial"/>
          <w:bCs/>
          <w:iCs/>
          <w:lang w:val="en-GB"/>
        </w:rPr>
        <w:t xml:space="preserve">local government reform and IRD </w:t>
      </w:r>
      <w:r>
        <w:rPr>
          <w:rFonts w:eastAsia="Calibri" w:cs="Arial"/>
          <w:bCs/>
          <w:iCs/>
          <w:lang w:val="en-GB"/>
        </w:rPr>
        <w:t xml:space="preserve">approach </w:t>
      </w:r>
      <w:r w:rsidRPr="005B4669">
        <w:rPr>
          <w:rFonts w:eastAsia="Calibri" w:cs="Arial"/>
          <w:bCs/>
          <w:iCs/>
          <w:lang w:val="en-GB"/>
        </w:rPr>
        <w:t>need</w:t>
      </w:r>
      <w:r>
        <w:rPr>
          <w:rFonts w:eastAsia="Calibri" w:cs="Arial"/>
          <w:bCs/>
          <w:iCs/>
          <w:lang w:val="en-GB"/>
        </w:rPr>
        <w:t>s</w:t>
      </w:r>
      <w:r w:rsidRPr="005B4669">
        <w:rPr>
          <w:rFonts w:eastAsia="Calibri" w:cs="Arial"/>
          <w:bCs/>
          <w:iCs/>
          <w:lang w:val="en-GB"/>
        </w:rPr>
        <w:t xml:space="preserve"> strong oversight and coordination which can build linkages to more fundamental reforms in fiscal assignments and transfers, in </w:t>
      </w:r>
      <w:r>
        <w:rPr>
          <w:rFonts w:eastAsia="Calibri" w:cs="Arial"/>
          <w:bCs/>
          <w:iCs/>
          <w:lang w:val="en-GB"/>
        </w:rPr>
        <w:t>civil service</w:t>
      </w:r>
      <w:r w:rsidRPr="005B4669">
        <w:rPr>
          <w:rFonts w:eastAsia="Calibri" w:cs="Arial"/>
          <w:bCs/>
          <w:iCs/>
          <w:lang w:val="en-GB"/>
        </w:rPr>
        <w:t>, IFMIS, sector planning, etc.</w:t>
      </w:r>
      <w:r w:rsidRPr="005B4669">
        <w:rPr>
          <w:lang w:val="en-GB"/>
        </w:rPr>
        <w:t xml:space="preserve"> As a minimum, t</w:t>
      </w:r>
      <w:r w:rsidRPr="005B4669">
        <w:rPr>
          <w:rFonts w:eastAsia="Calibri" w:cs="Arial"/>
          <w:bCs/>
          <w:iCs/>
          <w:lang w:val="en-GB"/>
        </w:rPr>
        <w:t>he SWG on Decentralization and IRD should include elected councillors in their meetings, preferably the Chair of MALGA and participants from the key line ministries (agriculture, education, health) as foreseen by the TOR for the SWG.</w:t>
      </w:r>
      <w:r w:rsidRPr="005B4669">
        <w:rPr>
          <w:lang w:val="en-GB"/>
        </w:rPr>
        <w:t xml:space="preserve"> Ultimately, strong OPC support might be needed </w:t>
      </w:r>
      <w:r w:rsidRPr="005B4669">
        <w:rPr>
          <w:rFonts w:eastAsia="Calibri" w:cs="Arial"/>
          <w:bCs/>
          <w:iCs/>
          <w:lang w:val="en-GB"/>
        </w:rPr>
        <w:t>in order to sanction any resistance to inter-ministry coordination and to ensure a very close integration with the public sector reform efforts.</w:t>
      </w:r>
    </w:p>
    <w:p w14:paraId="64ADEE25" w14:textId="77777777" w:rsidR="00AB5496" w:rsidRPr="005B4669" w:rsidRDefault="00AB5496" w:rsidP="00AB5496">
      <w:pPr>
        <w:rPr>
          <w:rFonts w:eastAsia="Calibri" w:cs="Arial"/>
          <w:bCs/>
          <w:iCs/>
          <w:lang w:val="en-GB"/>
        </w:rPr>
      </w:pPr>
      <w:r w:rsidRPr="005B4669">
        <w:rPr>
          <w:rFonts w:eastAsia="Calibri" w:cs="Arial"/>
          <w:b/>
          <w:bCs/>
          <w:iCs/>
          <w:lang w:val="en-GB"/>
        </w:rPr>
        <w:t xml:space="preserve">Recommendation # 13: </w:t>
      </w:r>
      <w:r w:rsidRPr="005B4669">
        <w:rPr>
          <w:rFonts w:eastAsia="Calibri" w:cs="Arial"/>
          <w:bCs/>
          <w:iCs/>
          <w:lang w:val="en-GB"/>
        </w:rPr>
        <w:t xml:space="preserve">UNDP should support the SWG decision </w:t>
      </w:r>
      <w:r>
        <w:rPr>
          <w:rFonts w:eastAsia="Calibri" w:cs="Arial"/>
          <w:bCs/>
          <w:iCs/>
          <w:lang w:val="en-GB"/>
        </w:rPr>
        <w:t>on designing</w:t>
      </w:r>
      <w:r w:rsidRPr="005B4669">
        <w:rPr>
          <w:rFonts w:eastAsia="Calibri" w:cs="Arial"/>
          <w:bCs/>
          <w:iCs/>
          <w:lang w:val="en-GB"/>
        </w:rPr>
        <w:t xml:space="preserve"> a joint decent</w:t>
      </w:r>
      <w:r>
        <w:rPr>
          <w:rFonts w:eastAsia="Calibri" w:cs="Arial"/>
          <w:bCs/>
          <w:iCs/>
          <w:lang w:val="en-GB"/>
        </w:rPr>
        <w:t>ralization monitoring framework</w:t>
      </w:r>
      <w:r w:rsidRPr="005B4669">
        <w:rPr>
          <w:rFonts w:eastAsia="Calibri" w:cs="Arial"/>
          <w:bCs/>
          <w:iCs/>
          <w:lang w:val="en-GB"/>
        </w:rPr>
        <w:t>. Lessons learnt from countries in the region such as Tanzania, Rwanda, Uganda and Ghana should be studied carefully as they can provide valuable inputs to a monitoring framework for Malawi. Particular attention should be paid to</w:t>
      </w:r>
      <w:r>
        <w:rPr>
          <w:rFonts w:eastAsia="Calibri" w:cs="Arial"/>
          <w:bCs/>
          <w:iCs/>
          <w:lang w:val="en-GB"/>
        </w:rPr>
        <w:t xml:space="preserve"> the application of performance-based </w:t>
      </w:r>
      <w:r w:rsidRPr="005B4669">
        <w:rPr>
          <w:rFonts w:eastAsia="Calibri" w:cs="Arial"/>
          <w:bCs/>
          <w:iCs/>
          <w:lang w:val="en-GB"/>
        </w:rPr>
        <w:t>grants and performance incentives in these reforms, which could serve as inspiration for similar approaches in Malawi.</w:t>
      </w:r>
    </w:p>
    <w:p w14:paraId="7F95E637" w14:textId="77777777" w:rsidR="00AB5496" w:rsidRPr="005B4669" w:rsidRDefault="00AB5496" w:rsidP="00AB5496">
      <w:pPr>
        <w:rPr>
          <w:rFonts w:eastAsia="Calibri" w:cs="Arial"/>
          <w:bCs/>
          <w:iCs/>
          <w:lang w:val="en-GB"/>
        </w:rPr>
      </w:pPr>
      <w:r w:rsidRPr="005B4669">
        <w:rPr>
          <w:rFonts w:eastAsia="Calibri" w:cs="Arial"/>
          <w:b/>
          <w:bCs/>
          <w:iCs/>
          <w:lang w:val="en-GB"/>
        </w:rPr>
        <w:t xml:space="preserve">Recommendation # 14: </w:t>
      </w:r>
      <w:r w:rsidRPr="005B4669">
        <w:rPr>
          <w:rFonts w:eastAsia="Calibri" w:cs="Arial"/>
          <w:bCs/>
          <w:iCs/>
          <w:lang w:val="en-GB"/>
        </w:rPr>
        <w:t xml:space="preserve">UNDP should ensure that the remaining consultancy on the IRD strategy takes into account the conduciveness of the current local government framework towards successful implementation of the strategy. The consultancy should revisit a) the lessons learnt from the Millennium Village Project in Mwandama and Gumulira, b) international research on support to local government’s role in local economic development, and c) the conducive elements in the local government framework, which makes the IRD approach implementable in Tanzania. Based on these analyses, the strategy should establish minimum conditions within the LG framework, which are key for the IRD success in Malawi and whether these minimum conditions are sufficiently addressed in the present devolution process. Minimum conditions should include the fiscal aspects and links to the district development </w:t>
      </w:r>
      <w:r w:rsidRPr="005B4669">
        <w:rPr>
          <w:rFonts w:eastAsia="Calibri" w:cs="Arial"/>
          <w:bCs/>
          <w:iCs/>
          <w:lang w:val="en-GB"/>
        </w:rPr>
        <w:lastRenderedPageBreak/>
        <w:t xml:space="preserve">plan, the role of district councils, the conduciveness of sector approaches in area based planning, staff requirements and their accountability links to the district council as well as the need for performance incentives and oversight. These minimum conditions and the feasibility of the IRD strategy should be discussed in the SWG prior to the implementation of the strategy.  </w:t>
      </w:r>
    </w:p>
    <w:p w14:paraId="34ADD7F3" w14:textId="77777777" w:rsidR="00AB5496" w:rsidRPr="005B4669" w:rsidRDefault="00AB5496" w:rsidP="00AB5496">
      <w:pPr>
        <w:spacing w:after="0"/>
        <w:rPr>
          <w:rFonts w:eastAsia="Calibri" w:cs="Arial"/>
          <w:bCs/>
          <w:iCs/>
          <w:lang w:val="en-GB"/>
        </w:rPr>
      </w:pPr>
      <w:r w:rsidRPr="005B4669">
        <w:rPr>
          <w:rFonts w:eastAsia="Calibri" w:cs="Arial"/>
          <w:b/>
          <w:bCs/>
          <w:iCs/>
          <w:lang w:val="en-GB"/>
        </w:rPr>
        <w:t xml:space="preserve">Recommendation # 15: </w:t>
      </w:r>
      <w:r w:rsidRPr="005B4669">
        <w:rPr>
          <w:rFonts w:eastAsia="Calibri" w:cs="Arial"/>
          <w:bCs/>
          <w:iCs/>
          <w:lang w:val="en-GB"/>
        </w:rPr>
        <w:t xml:space="preserve">If the IRD strategy moves forward, UNDP and MoLRD should enter into discussions with MoLRD, LUNANAR, Malawi Institute of Management and the University of Malawi on the establishment of a national IRD knowledge base, which is firmly linked to </w:t>
      </w:r>
      <w:r>
        <w:rPr>
          <w:rFonts w:eastAsia="Calibri" w:cs="Arial"/>
          <w:bCs/>
          <w:iCs/>
          <w:lang w:val="en-GB"/>
        </w:rPr>
        <w:t xml:space="preserve">the </w:t>
      </w:r>
      <w:r w:rsidRPr="005B4669">
        <w:rPr>
          <w:rFonts w:eastAsia="Calibri" w:cs="Arial"/>
          <w:bCs/>
          <w:iCs/>
          <w:lang w:val="en-GB"/>
        </w:rPr>
        <w:t xml:space="preserve">devolution process and can provide policy support to, and </w:t>
      </w:r>
      <w:r>
        <w:rPr>
          <w:rFonts w:eastAsia="Calibri" w:cs="Arial"/>
          <w:bCs/>
          <w:iCs/>
          <w:lang w:val="en-GB"/>
        </w:rPr>
        <w:t>practice-based in-service</w:t>
      </w:r>
      <w:r w:rsidRPr="005B4669">
        <w:rPr>
          <w:rFonts w:eastAsia="Calibri" w:cs="Arial"/>
          <w:bCs/>
          <w:iCs/>
          <w:lang w:val="en-GB"/>
        </w:rPr>
        <w:t xml:space="preserve"> training in, IRD.</w:t>
      </w:r>
    </w:p>
    <w:p w14:paraId="0C424472" w14:textId="77777777" w:rsidR="00AB5496" w:rsidRPr="005B4669" w:rsidRDefault="00AB5496" w:rsidP="00AB5496">
      <w:pPr>
        <w:spacing w:after="0"/>
        <w:rPr>
          <w:rFonts w:eastAsia="Calibri" w:cs="Arial"/>
          <w:bCs/>
          <w:iCs/>
          <w:lang w:val="en-GB"/>
        </w:rPr>
      </w:pPr>
    </w:p>
    <w:p w14:paraId="6548819C" w14:textId="77777777" w:rsidR="00AB5496" w:rsidRPr="005B4669" w:rsidRDefault="00AB5496" w:rsidP="00AB5496">
      <w:pPr>
        <w:pBdr>
          <w:top w:val="single" w:sz="4" w:space="1" w:color="auto"/>
          <w:left w:val="single" w:sz="4" w:space="4" w:color="auto"/>
          <w:bottom w:val="single" w:sz="4" w:space="1" w:color="auto"/>
          <w:right w:val="single" w:sz="4" w:space="4" w:color="auto"/>
        </w:pBdr>
        <w:spacing w:after="0"/>
        <w:rPr>
          <w:i/>
          <w:lang w:val="en-GB"/>
        </w:rPr>
      </w:pPr>
      <w:r w:rsidRPr="005B4669">
        <w:rPr>
          <w:i/>
          <w:lang w:val="en-GB"/>
        </w:rPr>
        <w:t xml:space="preserve">Funds disbursement </w:t>
      </w:r>
    </w:p>
    <w:p w14:paraId="29A1205B" w14:textId="77777777" w:rsidR="00AB5496" w:rsidRPr="005B4669" w:rsidRDefault="00AB5496" w:rsidP="00AB5496">
      <w:pPr>
        <w:spacing w:after="0"/>
        <w:rPr>
          <w:lang w:val="en-GB"/>
        </w:rPr>
      </w:pPr>
    </w:p>
    <w:p w14:paraId="2562FF01" w14:textId="77777777" w:rsidR="00AB5496" w:rsidRDefault="00AB5496" w:rsidP="00AB5496">
      <w:pPr>
        <w:spacing w:after="0"/>
        <w:rPr>
          <w:lang w:val="en-GB"/>
        </w:rPr>
      </w:pPr>
      <w:r w:rsidRPr="005B4669">
        <w:rPr>
          <w:rFonts w:eastAsia="Calibri" w:cs="Arial"/>
          <w:b/>
          <w:bCs/>
          <w:iCs/>
          <w:lang w:val="en-GB"/>
        </w:rPr>
        <w:t xml:space="preserve">Recommendation # 16: </w:t>
      </w:r>
      <w:r w:rsidRPr="005B4669">
        <w:rPr>
          <w:rFonts w:eastAsia="Calibri" w:cs="Arial"/>
          <w:bCs/>
          <w:iCs/>
          <w:lang w:val="en-GB"/>
        </w:rPr>
        <w:t xml:space="preserve">The </w:t>
      </w:r>
      <w:r w:rsidRPr="005B4669">
        <w:rPr>
          <w:lang w:val="en-GB"/>
        </w:rPr>
        <w:t>UNCT should expedite timely funds disbursement to support projects, when reporting and accounting otherwise comply with UN procedures and guidelines.</w:t>
      </w:r>
    </w:p>
    <w:p w14:paraId="61DD88D3" w14:textId="77777777" w:rsidR="00AB5496" w:rsidRPr="005B4669" w:rsidRDefault="00AB5496" w:rsidP="00AB5496">
      <w:pPr>
        <w:spacing w:after="0"/>
        <w:rPr>
          <w:lang w:val="en-GB"/>
        </w:rPr>
      </w:pPr>
    </w:p>
    <w:p w14:paraId="0AD70117" w14:textId="77777777" w:rsidR="00AB5496" w:rsidRPr="005B4669" w:rsidRDefault="00AB5496" w:rsidP="00AB5496">
      <w:pPr>
        <w:pBdr>
          <w:top w:val="single" w:sz="4" w:space="1" w:color="auto"/>
          <w:left w:val="single" w:sz="4" w:space="4" w:color="auto"/>
          <w:bottom w:val="single" w:sz="4" w:space="1" w:color="auto"/>
          <w:right w:val="single" w:sz="4" w:space="4" w:color="auto"/>
        </w:pBdr>
        <w:spacing w:after="0"/>
        <w:rPr>
          <w:rFonts w:eastAsia="Calibri" w:cs="Arial"/>
          <w:bCs/>
          <w:i/>
          <w:iCs/>
          <w:lang w:val="en-GB"/>
        </w:rPr>
      </w:pPr>
      <w:r w:rsidRPr="005B4669">
        <w:rPr>
          <w:rFonts w:eastAsia="Calibri" w:cs="Arial"/>
          <w:bCs/>
          <w:i/>
          <w:iCs/>
          <w:lang w:val="en-GB"/>
        </w:rPr>
        <w:t>Resource Mobilisation</w:t>
      </w:r>
    </w:p>
    <w:p w14:paraId="75517B30" w14:textId="77777777" w:rsidR="00AB5496" w:rsidRPr="005B4669" w:rsidRDefault="00AB5496" w:rsidP="00AB5496">
      <w:pPr>
        <w:spacing w:after="0"/>
        <w:rPr>
          <w:rFonts w:eastAsia="Calibri" w:cs="Arial"/>
          <w:bCs/>
          <w:i/>
          <w:iCs/>
          <w:lang w:val="en-GB"/>
        </w:rPr>
      </w:pPr>
    </w:p>
    <w:p w14:paraId="51EFC43E" w14:textId="77777777" w:rsidR="00AB5496" w:rsidRPr="00CD56B9" w:rsidRDefault="00AB5496" w:rsidP="00AB5496">
      <w:pPr>
        <w:rPr>
          <w:b/>
          <w:lang w:val="en-US"/>
        </w:rPr>
      </w:pPr>
      <w:r w:rsidRPr="005B4669">
        <w:rPr>
          <w:rFonts w:eastAsia="Calibri" w:cs="Arial"/>
          <w:b/>
          <w:bCs/>
          <w:iCs/>
          <w:lang w:val="en-GB"/>
        </w:rPr>
        <w:t>Recommendation # 1</w:t>
      </w:r>
      <w:r>
        <w:rPr>
          <w:rFonts w:eastAsia="Calibri" w:cs="Arial"/>
          <w:b/>
          <w:bCs/>
          <w:iCs/>
          <w:lang w:val="en-GB"/>
        </w:rPr>
        <w:t>7</w:t>
      </w:r>
      <w:r w:rsidRPr="005B4669">
        <w:rPr>
          <w:rFonts w:eastAsia="Calibri" w:cs="Arial"/>
          <w:b/>
          <w:bCs/>
          <w:iCs/>
          <w:lang w:val="en-GB"/>
        </w:rPr>
        <w:t xml:space="preserve">: </w:t>
      </w:r>
      <w:r w:rsidRPr="005B4669">
        <w:rPr>
          <w:rFonts w:eastAsia="Calibri" w:cs="Arial"/>
          <w:bCs/>
          <w:iCs/>
          <w:lang w:val="en-GB"/>
        </w:rPr>
        <w:t>Funding from UNDPs global Democratic Governance Trust Fund could be an additional funding source for piloting of new gover</w:t>
      </w:r>
      <w:r>
        <w:rPr>
          <w:rFonts w:eastAsia="Calibri" w:cs="Arial"/>
          <w:bCs/>
          <w:iCs/>
          <w:lang w:val="en-GB"/>
        </w:rPr>
        <w:t xml:space="preserve">nance innovations and </w:t>
      </w:r>
      <w:r w:rsidRPr="005B4669">
        <w:rPr>
          <w:rFonts w:eastAsia="Calibri" w:cs="Arial"/>
          <w:bCs/>
          <w:iCs/>
          <w:lang w:val="en-GB"/>
        </w:rPr>
        <w:t>UNDP should investigate the feasibility of mobilizing additional funding from this source.</w:t>
      </w:r>
    </w:p>
    <w:p w14:paraId="76485643" w14:textId="77777777" w:rsidR="00AB5496" w:rsidRPr="005B4669" w:rsidRDefault="00AB5496" w:rsidP="00AB5496">
      <w:pPr>
        <w:pBdr>
          <w:top w:val="single" w:sz="4" w:space="1" w:color="auto"/>
          <w:left w:val="single" w:sz="4" w:space="4" w:color="auto"/>
          <w:bottom w:val="single" w:sz="4" w:space="1" w:color="auto"/>
          <w:right w:val="single" w:sz="4" w:space="4" w:color="auto"/>
        </w:pBdr>
        <w:spacing w:after="0"/>
        <w:rPr>
          <w:i/>
          <w:lang w:val="en-GB"/>
        </w:rPr>
      </w:pPr>
      <w:r w:rsidRPr="005B4669">
        <w:rPr>
          <w:i/>
          <w:lang w:val="en-GB"/>
        </w:rPr>
        <w:t>CSO Partnerships</w:t>
      </w:r>
    </w:p>
    <w:p w14:paraId="50223D14" w14:textId="77777777" w:rsidR="00AB5496" w:rsidRPr="005B4669" w:rsidRDefault="00AB5496" w:rsidP="00AB5496">
      <w:pPr>
        <w:spacing w:after="0"/>
        <w:rPr>
          <w:b/>
          <w:i/>
          <w:lang w:val="en-GB"/>
        </w:rPr>
      </w:pPr>
    </w:p>
    <w:p w14:paraId="4C8E021B" w14:textId="77777777" w:rsidR="00AB5496" w:rsidRPr="005B4669" w:rsidRDefault="00AB5496" w:rsidP="00AB5496">
      <w:pPr>
        <w:spacing w:after="0"/>
        <w:rPr>
          <w:lang w:val="en-GB"/>
        </w:rPr>
      </w:pPr>
      <w:r>
        <w:rPr>
          <w:rFonts w:eastAsia="Calibri" w:cs="Arial"/>
          <w:b/>
          <w:bCs/>
          <w:iCs/>
          <w:lang w:val="en-GB"/>
        </w:rPr>
        <w:t>Recommendation # 18</w:t>
      </w:r>
      <w:r w:rsidRPr="005B4669">
        <w:rPr>
          <w:rFonts w:eastAsia="Calibri" w:cs="Arial"/>
          <w:b/>
          <w:bCs/>
          <w:iCs/>
          <w:lang w:val="en-GB"/>
        </w:rPr>
        <w:t xml:space="preserve">: </w:t>
      </w:r>
      <w:r>
        <w:rPr>
          <w:lang w:val="en-GB"/>
        </w:rPr>
        <w:t xml:space="preserve">CSOs play </w:t>
      </w:r>
      <w:r w:rsidRPr="005B4669">
        <w:rPr>
          <w:lang w:val="en-GB"/>
        </w:rPr>
        <w:t xml:space="preserve">important </w:t>
      </w:r>
      <w:r>
        <w:rPr>
          <w:lang w:val="en-GB"/>
        </w:rPr>
        <w:t xml:space="preserve">advocacy and facilitation </w:t>
      </w:r>
      <w:r w:rsidRPr="005B4669">
        <w:rPr>
          <w:lang w:val="en-GB"/>
        </w:rPr>
        <w:t>role</w:t>
      </w:r>
      <w:r>
        <w:rPr>
          <w:lang w:val="en-GB"/>
        </w:rPr>
        <w:t xml:space="preserve">s in the </w:t>
      </w:r>
      <w:r w:rsidRPr="005B4669">
        <w:rPr>
          <w:lang w:val="en-GB"/>
        </w:rPr>
        <w:t>project</w:t>
      </w:r>
      <w:r>
        <w:rPr>
          <w:lang w:val="en-GB"/>
        </w:rPr>
        <w:t xml:space="preserve"> portfolio</w:t>
      </w:r>
      <w:r w:rsidRPr="005B4669">
        <w:rPr>
          <w:lang w:val="en-GB"/>
        </w:rPr>
        <w:t xml:space="preserve">, </w:t>
      </w:r>
      <w:r>
        <w:rPr>
          <w:lang w:val="en-GB"/>
        </w:rPr>
        <w:t>but</w:t>
      </w:r>
      <w:r w:rsidRPr="005B4669">
        <w:rPr>
          <w:lang w:val="en-GB"/>
        </w:rPr>
        <w:t xml:space="preserve"> the UNCT should </w:t>
      </w:r>
      <w:r>
        <w:rPr>
          <w:lang w:val="en-GB"/>
        </w:rPr>
        <w:t xml:space="preserve">also </w:t>
      </w:r>
      <w:r w:rsidRPr="005B4669">
        <w:rPr>
          <w:lang w:val="en-GB"/>
        </w:rPr>
        <w:t xml:space="preserve">engage more openly with CSOs in planning and evaluations of UN support in order to improve programming, implementation and common learning. </w:t>
      </w:r>
      <w:r>
        <w:rPr>
          <w:lang w:val="en-GB"/>
        </w:rPr>
        <w:t xml:space="preserve">Given </w:t>
      </w:r>
      <w:r w:rsidRPr="005B4669">
        <w:rPr>
          <w:lang w:val="en-GB"/>
        </w:rPr>
        <w:t>the DCP management</w:t>
      </w:r>
      <w:r>
        <w:rPr>
          <w:lang w:val="en-GB"/>
        </w:rPr>
        <w:t xml:space="preserve">s </w:t>
      </w:r>
      <w:r w:rsidRPr="005B4669">
        <w:rPr>
          <w:lang w:val="en-GB"/>
        </w:rPr>
        <w:t xml:space="preserve">considerable experience </w:t>
      </w:r>
      <w:r>
        <w:rPr>
          <w:lang w:val="en-GB"/>
        </w:rPr>
        <w:t>and</w:t>
      </w:r>
      <w:r w:rsidRPr="005B4669">
        <w:rPr>
          <w:lang w:val="en-GB"/>
        </w:rPr>
        <w:t xml:space="preserve"> valuable insights into present capacity gaps in government and practical solutions applied by the communities in their in</w:t>
      </w:r>
      <w:r>
        <w:rPr>
          <w:lang w:val="en-GB"/>
        </w:rPr>
        <w:t>teraction with the authorities, e</w:t>
      </w:r>
      <w:r w:rsidRPr="005B4669">
        <w:rPr>
          <w:lang w:val="en-GB"/>
        </w:rPr>
        <w:t>nhanced CSO engagement should include discussions on how to further Rights to Development</w:t>
      </w:r>
      <w:r>
        <w:rPr>
          <w:lang w:val="en-GB"/>
        </w:rPr>
        <w:t xml:space="preserve">, both </w:t>
      </w:r>
      <w:r w:rsidRPr="005B4669">
        <w:rPr>
          <w:lang w:val="en-GB"/>
        </w:rPr>
        <w:t>th</w:t>
      </w:r>
      <w:r>
        <w:rPr>
          <w:lang w:val="en-GB"/>
        </w:rPr>
        <w:t>r</w:t>
      </w:r>
      <w:r w:rsidRPr="005B4669">
        <w:rPr>
          <w:lang w:val="en-GB"/>
        </w:rPr>
        <w:t>ough s</w:t>
      </w:r>
      <w:r>
        <w:rPr>
          <w:lang w:val="en-GB"/>
        </w:rPr>
        <w:t>upply and demand side support,.</w:t>
      </w:r>
    </w:p>
    <w:p w14:paraId="7EF3977A" w14:textId="77777777" w:rsidR="00AB5496" w:rsidRPr="005B4669" w:rsidRDefault="00AB5496" w:rsidP="00AB5496">
      <w:pPr>
        <w:spacing w:after="0"/>
        <w:rPr>
          <w:lang w:val="en-GB"/>
        </w:rPr>
      </w:pPr>
    </w:p>
    <w:p w14:paraId="62072312" w14:textId="77777777" w:rsidR="00AB5496" w:rsidRPr="00CD56B9" w:rsidRDefault="00AB5496" w:rsidP="00AB5496">
      <w:pPr>
        <w:spacing w:after="200"/>
        <w:ind w:right="-46"/>
        <w:rPr>
          <w:rFonts w:eastAsia="Calibri" w:cs="Arial"/>
          <w:b/>
          <w:color w:val="2F5496"/>
          <w:sz w:val="28"/>
          <w:szCs w:val="24"/>
          <w:lang w:val="en-US"/>
        </w:rPr>
        <w:sectPr w:rsidR="00AB5496" w:rsidRPr="00CD56B9" w:rsidSect="00EE0F39">
          <w:pgSz w:w="11906" w:h="16838"/>
          <w:pgMar w:top="1440" w:right="1440" w:bottom="1440" w:left="1440" w:header="708" w:footer="708" w:gutter="0"/>
          <w:cols w:space="708"/>
          <w:docGrid w:linePitch="360"/>
        </w:sectPr>
      </w:pPr>
    </w:p>
    <w:p w14:paraId="6E30572F" w14:textId="34EFA9BD" w:rsidR="000812D0" w:rsidRDefault="00BC6AFC" w:rsidP="005B5F1B">
      <w:pPr>
        <w:pStyle w:val="Overskrift1"/>
        <w:rPr>
          <w:rFonts w:eastAsia="Calibri"/>
        </w:rPr>
      </w:pPr>
      <w:bookmarkStart w:id="49" w:name="_Toc439245601"/>
      <w:r>
        <w:rPr>
          <w:rFonts w:eastAsia="Calibri"/>
        </w:rPr>
        <w:lastRenderedPageBreak/>
        <w:t>A</w:t>
      </w:r>
      <w:r w:rsidR="00165B39" w:rsidRPr="00165B39">
        <w:rPr>
          <w:rFonts w:eastAsia="Calibri"/>
        </w:rPr>
        <w:t>nnex 1. Terms of Reference</w:t>
      </w:r>
      <w:bookmarkEnd w:id="49"/>
    </w:p>
    <w:p w14:paraId="4F8D8814" w14:textId="77777777" w:rsidR="006F3E09" w:rsidRPr="006F3E09" w:rsidRDefault="006F3E09" w:rsidP="006F3E09">
      <w:pPr>
        <w:spacing w:after="120"/>
        <w:rPr>
          <w:rFonts w:ascii="Times New Roman" w:eastAsia="Calibri" w:hAnsi="Times New Roman"/>
          <w:b/>
          <w:sz w:val="24"/>
          <w:szCs w:val="24"/>
          <w:lang w:val="en-US"/>
        </w:rPr>
      </w:pPr>
    </w:p>
    <w:p w14:paraId="03AA5796" w14:textId="77777777" w:rsidR="006F3E09" w:rsidRPr="006F3E09" w:rsidRDefault="006F3E09" w:rsidP="006F3E09">
      <w:pPr>
        <w:spacing w:after="200" w:line="276" w:lineRule="auto"/>
        <w:jc w:val="left"/>
        <w:rPr>
          <w:rFonts w:ascii="Calibri" w:eastAsia="Calibri" w:hAnsi="Calibri"/>
          <w:color w:val="000000"/>
          <w:lang w:val="en-US"/>
        </w:rPr>
      </w:pPr>
    </w:p>
    <w:p w14:paraId="38EED3AF" w14:textId="77777777" w:rsidR="006F3E09" w:rsidRPr="006F3E09" w:rsidRDefault="006F3E09" w:rsidP="006F3E09">
      <w:pPr>
        <w:spacing w:after="200" w:line="276" w:lineRule="auto"/>
        <w:ind w:firstLine="720"/>
        <w:jc w:val="right"/>
        <w:rPr>
          <w:rFonts w:ascii="Calibri" w:eastAsia="Calibri" w:hAnsi="Calibri"/>
          <w:color w:val="000000"/>
          <w:lang w:val="en-US"/>
        </w:rPr>
      </w:pPr>
      <w:r w:rsidRPr="006F3E09">
        <w:rPr>
          <w:rFonts w:ascii="Calibri" w:eastAsia="Calibri" w:hAnsi="Calibri"/>
          <w:color w:val="000000"/>
          <w:lang w:val="en-US"/>
        </w:rPr>
        <w:tab/>
      </w:r>
      <w:r w:rsidRPr="006F3E09">
        <w:rPr>
          <w:rFonts w:ascii="Calibri" w:eastAsia="Calibri" w:hAnsi="Calibri"/>
          <w:color w:val="000000"/>
          <w:lang w:val="en-US"/>
        </w:rPr>
        <w:tab/>
      </w:r>
      <w:r w:rsidRPr="006F3E09">
        <w:rPr>
          <w:rFonts w:ascii="Calibri" w:eastAsia="Calibri" w:hAnsi="Calibri"/>
          <w:color w:val="000000"/>
          <w:lang w:val="en-US"/>
        </w:rPr>
        <w:tab/>
      </w:r>
      <w:r w:rsidRPr="006F3E09">
        <w:rPr>
          <w:rFonts w:ascii="Calibri" w:eastAsia="Calibri" w:hAnsi="Calibri"/>
          <w:color w:val="000000"/>
          <w:lang w:val="en-US"/>
        </w:rPr>
        <w:tab/>
      </w:r>
      <w:r w:rsidRPr="006F3E09">
        <w:rPr>
          <w:rFonts w:ascii="Calibri" w:eastAsia="Calibri" w:hAnsi="Calibri"/>
          <w:color w:val="000000"/>
          <w:lang w:val="en-US"/>
        </w:rPr>
        <w:tab/>
      </w:r>
      <w:r w:rsidRPr="006F3E09">
        <w:rPr>
          <w:rFonts w:ascii="Calibri" w:eastAsia="Calibri" w:hAnsi="Calibri"/>
          <w:color w:val="000000"/>
          <w:lang w:val="en-US"/>
        </w:rPr>
        <w:tab/>
      </w:r>
      <w:r w:rsidRPr="006F3E09">
        <w:rPr>
          <w:rFonts w:ascii="Calibri" w:eastAsia="Calibri" w:hAnsi="Calibri"/>
          <w:color w:val="000000"/>
          <w:lang w:val="en-US"/>
        </w:rPr>
        <w:tab/>
      </w:r>
      <w:r w:rsidRPr="006F3E09">
        <w:rPr>
          <w:rFonts w:ascii="Calibri" w:eastAsia="Calibri" w:hAnsi="Calibri"/>
          <w:color w:val="000000"/>
          <w:lang w:val="en-US"/>
        </w:rPr>
        <w:tab/>
      </w:r>
      <w:r w:rsidRPr="006F3E09">
        <w:rPr>
          <w:rFonts w:ascii="Calibri" w:eastAsia="Calibri" w:hAnsi="Calibri"/>
          <w:color w:val="000000"/>
          <w:lang w:val="en-US"/>
        </w:rPr>
        <w:tab/>
      </w:r>
      <w:r w:rsidRPr="006F3E09">
        <w:rPr>
          <w:rFonts w:ascii="Calibri" w:eastAsia="Calibri" w:hAnsi="Calibri"/>
          <w:color w:val="000000"/>
          <w:lang w:val="en-US"/>
        </w:rPr>
        <w:tab/>
      </w:r>
      <w:r w:rsidR="00001BD9" w:rsidRPr="007D425D">
        <w:rPr>
          <w:rFonts w:ascii="Calibri" w:eastAsia="Calibri" w:hAnsi="Calibri"/>
          <w:noProof/>
          <w:color w:val="000000"/>
          <w:lang w:eastAsia="da-DK"/>
        </w:rPr>
        <w:drawing>
          <wp:inline distT="0" distB="0" distL="0" distR="0" wp14:anchorId="0AA0DA98" wp14:editId="57EEBFA6">
            <wp:extent cx="673100" cy="1346200"/>
            <wp:effectExtent l="0" t="0" r="0" b="635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73100" cy="1346200"/>
                    </a:xfrm>
                    <a:prstGeom prst="rect">
                      <a:avLst/>
                    </a:prstGeom>
                    <a:noFill/>
                    <a:ln>
                      <a:noFill/>
                    </a:ln>
                  </pic:spPr>
                </pic:pic>
              </a:graphicData>
            </a:graphic>
          </wp:inline>
        </w:drawing>
      </w:r>
    </w:p>
    <w:p w14:paraId="3D3BB146" w14:textId="77777777" w:rsidR="006F3E09" w:rsidRPr="006F3E09" w:rsidRDefault="006F3E09" w:rsidP="006F3E09">
      <w:pPr>
        <w:spacing w:after="200" w:line="276" w:lineRule="auto"/>
        <w:jc w:val="center"/>
        <w:rPr>
          <w:rFonts w:ascii="Times New Roman" w:eastAsia="Calibri" w:hAnsi="Times New Roman"/>
          <w:b/>
          <w:color w:val="000000"/>
          <w:sz w:val="24"/>
          <w:szCs w:val="24"/>
          <w:lang w:val="en-US"/>
        </w:rPr>
      </w:pPr>
    </w:p>
    <w:p w14:paraId="360C95F5" w14:textId="77777777" w:rsidR="006F3E09" w:rsidRPr="006F3E09" w:rsidRDefault="006F3E09" w:rsidP="006F3E09">
      <w:pPr>
        <w:spacing w:after="200" w:line="276" w:lineRule="auto"/>
        <w:jc w:val="center"/>
        <w:rPr>
          <w:rFonts w:ascii="Times New Roman" w:eastAsia="Calibri" w:hAnsi="Times New Roman"/>
          <w:b/>
          <w:color w:val="000000"/>
          <w:sz w:val="24"/>
          <w:szCs w:val="24"/>
          <w:lang w:val="en-US"/>
        </w:rPr>
      </w:pPr>
    </w:p>
    <w:p w14:paraId="1BE1B571" w14:textId="77777777" w:rsidR="006F3E09" w:rsidRPr="006F3E09" w:rsidRDefault="006F3E09" w:rsidP="006F3E09">
      <w:pPr>
        <w:spacing w:after="200"/>
        <w:jc w:val="center"/>
        <w:rPr>
          <w:rFonts w:ascii="Times New Roman" w:eastAsia="Calibri" w:hAnsi="Times New Roman"/>
          <w:b/>
          <w:lang w:val="en-US"/>
        </w:rPr>
      </w:pPr>
      <w:r w:rsidRPr="006F3E09">
        <w:rPr>
          <w:rFonts w:ascii="Times New Roman" w:eastAsia="Calibri" w:hAnsi="Times New Roman"/>
          <w:b/>
          <w:lang w:val="en-US"/>
        </w:rPr>
        <w:t>TERMS OF REFERENCE</w:t>
      </w:r>
    </w:p>
    <w:p w14:paraId="3CFA76EF" w14:textId="77777777" w:rsidR="006F3E09" w:rsidRPr="006F3E09" w:rsidRDefault="006F3E09" w:rsidP="006F3E09">
      <w:pPr>
        <w:spacing w:after="200"/>
        <w:jc w:val="center"/>
        <w:rPr>
          <w:rFonts w:ascii="Times New Roman" w:eastAsia="Calibri" w:hAnsi="Times New Roman"/>
          <w:lang w:val="en-US"/>
        </w:rPr>
      </w:pPr>
      <w:r w:rsidRPr="006F3E09">
        <w:rPr>
          <w:rFonts w:ascii="Times New Roman" w:eastAsia="Calibri" w:hAnsi="Times New Roman"/>
          <w:lang w:val="en-US"/>
        </w:rPr>
        <w:t xml:space="preserve">For Joint Mid-term Evaluation of the UNDAF </w:t>
      </w:r>
      <w:r w:rsidRPr="006F3E09">
        <w:rPr>
          <w:rFonts w:ascii="Times New Roman" w:eastAsia="Calibri" w:hAnsi="Times New Roman"/>
          <w:b/>
          <w:lang w:val="en-US"/>
        </w:rPr>
        <w:t>Outcome 4.1</w:t>
      </w:r>
    </w:p>
    <w:p w14:paraId="6FB18238" w14:textId="77777777" w:rsidR="006F3E09" w:rsidRPr="006F3E09" w:rsidRDefault="006F3E09" w:rsidP="006F3E09">
      <w:pPr>
        <w:spacing w:after="0"/>
        <w:ind w:left="360"/>
        <w:contextualSpacing/>
        <w:rPr>
          <w:rFonts w:ascii="Times New Roman" w:eastAsia="Calibri" w:hAnsi="Times New Roman"/>
          <w:b/>
          <w:i/>
          <w:lang w:val="en-US"/>
        </w:rPr>
      </w:pPr>
      <w:r w:rsidRPr="006F3E09">
        <w:rPr>
          <w:rFonts w:ascii="Times New Roman" w:eastAsia="Calibri" w:hAnsi="Times New Roman"/>
          <w:b/>
          <w:i/>
          <w:lang w:val="en-US"/>
        </w:rPr>
        <w:t>National institutions foster democratic governance and human rights to promote transparency, accountability, participation and access to justice for all especially women and children by 2016</w:t>
      </w:r>
    </w:p>
    <w:p w14:paraId="07DD7E8E" w14:textId="77777777" w:rsidR="006F3E09" w:rsidRPr="006F3E09" w:rsidRDefault="006F3E09" w:rsidP="006F3E09">
      <w:pPr>
        <w:spacing w:after="0"/>
        <w:ind w:left="360"/>
        <w:contextualSpacing/>
        <w:rPr>
          <w:rFonts w:ascii="Calibri" w:eastAsia="Calibri" w:hAnsi="Calibri"/>
          <w:b/>
          <w:color w:val="008BBC"/>
          <w:lang w:val="en-US"/>
        </w:rPr>
      </w:pPr>
    </w:p>
    <w:p w14:paraId="574CC9C1" w14:textId="77777777" w:rsidR="006F3E09" w:rsidRPr="006F3E09" w:rsidRDefault="006F3E09" w:rsidP="00F769B0">
      <w:pPr>
        <w:numPr>
          <w:ilvl w:val="0"/>
          <w:numId w:val="10"/>
        </w:numPr>
        <w:spacing w:after="200"/>
        <w:contextualSpacing/>
        <w:jc w:val="left"/>
        <w:rPr>
          <w:rFonts w:ascii="Times New Roman" w:eastAsia="Calibri" w:hAnsi="Times New Roman"/>
          <w:b/>
          <w:bCs/>
          <w:lang w:val="en-US"/>
        </w:rPr>
      </w:pPr>
      <w:r w:rsidRPr="006F3E09">
        <w:rPr>
          <w:rFonts w:ascii="Times New Roman" w:eastAsia="Calibri" w:hAnsi="Times New Roman"/>
          <w:b/>
          <w:bCs/>
          <w:lang w:val="en-US"/>
        </w:rPr>
        <w:t>BACKGROUND AND CONTEXT</w:t>
      </w:r>
    </w:p>
    <w:p w14:paraId="37E4C57C" w14:textId="77777777" w:rsidR="006F3E09" w:rsidRPr="006F3E09" w:rsidRDefault="006F3E09" w:rsidP="006F3E09">
      <w:pPr>
        <w:spacing w:after="200"/>
        <w:rPr>
          <w:rFonts w:ascii="Times New Roman" w:eastAsia="Calibri" w:hAnsi="Times New Roman"/>
          <w:lang w:val="en-US"/>
        </w:rPr>
      </w:pPr>
      <w:r w:rsidRPr="006F3E09">
        <w:rPr>
          <w:rFonts w:ascii="Times New Roman" w:eastAsia="Calibri" w:hAnsi="Times New Roman"/>
          <w:lang w:val="en-US"/>
        </w:rPr>
        <w:t xml:space="preserve">The Malawi United Nations Development Assistance Framework (UNDAF) 2012-2014 has 14 priority development outcomes. As a Delivery As One volunteering country, the United Nations Country Team (UNCT) agreed that individual UN agencies would adopt appropriate UNDAF outcomes in their CP documents instead of developing agency specific outcome statements for their respective Country Programme Documents (CPDs).   </w:t>
      </w:r>
    </w:p>
    <w:p w14:paraId="5E78EDC0" w14:textId="77777777" w:rsidR="006F3E09" w:rsidRPr="006F3E09" w:rsidRDefault="006F3E09" w:rsidP="006F3E09">
      <w:pPr>
        <w:spacing w:after="0"/>
        <w:rPr>
          <w:rFonts w:ascii="Times New Roman" w:eastAsia="Calibri" w:hAnsi="Times New Roman"/>
          <w:b/>
          <w:i/>
          <w:lang w:val="en-US"/>
        </w:rPr>
      </w:pPr>
      <w:r w:rsidRPr="006F3E09">
        <w:rPr>
          <w:rFonts w:ascii="Times New Roman" w:eastAsia="Calibri" w:hAnsi="Times New Roman"/>
          <w:lang w:val="en-US"/>
        </w:rPr>
        <w:t>Outcome 4.1, namely:</w:t>
      </w:r>
      <w:r w:rsidRPr="006F3E09">
        <w:rPr>
          <w:rFonts w:ascii="Times New Roman" w:eastAsia="Calibri" w:hAnsi="Times New Roman"/>
          <w:b/>
          <w:i/>
          <w:lang w:val="en-US"/>
        </w:rPr>
        <w:t xml:space="preserve"> National institutions foster democratic governance and human rights to promote transparency, accountability, participation and access to justice for all especially women and children by 2016</w:t>
      </w:r>
      <w:r w:rsidRPr="006F3E09">
        <w:rPr>
          <w:rFonts w:ascii="Times New Roman" w:eastAsia="Calibri" w:hAnsi="Times New Roman"/>
          <w:lang w:val="en-US"/>
        </w:rPr>
        <w:t xml:space="preserve"> is one of the six outcomes of the UNDAF to which UNDP is directly contributing financially and technically.</w:t>
      </w:r>
      <w:r w:rsidRPr="006F3E09">
        <w:rPr>
          <w:rFonts w:ascii="Times New Roman" w:eastAsia="Calibri" w:hAnsi="Times New Roman"/>
          <w:b/>
          <w:lang w:val="en-US"/>
        </w:rPr>
        <w:t xml:space="preserve">  </w:t>
      </w:r>
      <w:r w:rsidRPr="006F3E09">
        <w:rPr>
          <w:rFonts w:ascii="Times New Roman" w:eastAsia="Calibri" w:hAnsi="Times New Roman"/>
          <w:color w:val="000000"/>
          <w:lang w:val="en-US"/>
        </w:rPr>
        <w:t xml:space="preserve">The areas of intervention under the outcome are contributing to </w:t>
      </w:r>
      <w:r w:rsidRPr="006F3E09">
        <w:rPr>
          <w:rFonts w:ascii="Times New Roman" w:eastAsia="Calibri" w:hAnsi="Times New Roman"/>
          <w:lang w:val="it-IT" w:eastAsia="en-ZA"/>
        </w:rPr>
        <w:t xml:space="preserve">MGDS II, Theme 5: Improved Governance - Sub-theme 3: Democratic Governance which focuses on justice and rule of law, human rights, elections and peace and security. </w:t>
      </w:r>
    </w:p>
    <w:p w14:paraId="6045D86F" w14:textId="77777777" w:rsidR="00FA2A79" w:rsidRDefault="00FA2A79" w:rsidP="00FA2A79">
      <w:pPr>
        <w:spacing w:after="0" w:line="276" w:lineRule="auto"/>
        <w:rPr>
          <w:rFonts w:ascii="Times New Roman" w:eastAsia="Calibri" w:hAnsi="Times New Roman"/>
          <w:lang w:val="en-US"/>
        </w:rPr>
      </w:pPr>
    </w:p>
    <w:p w14:paraId="728CF390" w14:textId="77777777" w:rsidR="006F3E09" w:rsidRDefault="006F3E09" w:rsidP="00FA2A79">
      <w:pPr>
        <w:spacing w:after="0" w:line="276" w:lineRule="auto"/>
        <w:rPr>
          <w:rFonts w:ascii="Times New Roman" w:eastAsia="Calibri" w:hAnsi="Times New Roman"/>
          <w:lang w:val="en-US"/>
        </w:rPr>
      </w:pPr>
      <w:r w:rsidRPr="006F3E09">
        <w:rPr>
          <w:rFonts w:ascii="Times New Roman" w:eastAsia="Calibri" w:hAnsi="Times New Roman"/>
          <w:lang w:val="en-US"/>
        </w:rPr>
        <w:t>Outcome 4.1 has three outputs as follows:</w:t>
      </w:r>
    </w:p>
    <w:p w14:paraId="2468C1F7" w14:textId="77777777" w:rsidR="00FA2A79" w:rsidRPr="006F3E09" w:rsidRDefault="00FA2A79" w:rsidP="00FA2A79">
      <w:pPr>
        <w:spacing w:after="0" w:line="276" w:lineRule="auto"/>
        <w:rPr>
          <w:rFonts w:ascii="Times New Roman" w:eastAsia="Calibri" w:hAnsi="Times New Roman"/>
          <w:lang w:val="en-US"/>
        </w:rPr>
      </w:pPr>
    </w:p>
    <w:p w14:paraId="61E5F4E0" w14:textId="77777777" w:rsidR="006F3E09" w:rsidRPr="006F3E09" w:rsidRDefault="006F3E09" w:rsidP="006F3E09">
      <w:pPr>
        <w:spacing w:after="200" w:line="276" w:lineRule="auto"/>
        <w:ind w:left="720"/>
        <w:jc w:val="left"/>
        <w:rPr>
          <w:rFonts w:ascii="Times New Roman" w:eastAsia="Calibri" w:hAnsi="Times New Roman"/>
          <w:lang w:val="en-US"/>
        </w:rPr>
      </w:pPr>
      <w:r w:rsidRPr="006F3E09">
        <w:rPr>
          <w:rFonts w:ascii="Times New Roman" w:eastAsia="Calibri" w:hAnsi="Times New Roman"/>
          <w:b/>
          <w:bCs/>
          <w:lang w:val="en-US"/>
        </w:rPr>
        <w:t>Output 4.1.1:</w:t>
      </w:r>
      <w:r w:rsidRPr="006F3E09">
        <w:rPr>
          <w:rFonts w:ascii="Times New Roman" w:eastAsia="Calibri" w:hAnsi="Times New Roman"/>
          <w:lang w:val="en-US"/>
        </w:rPr>
        <w:t xml:space="preserve"> Democratic Governance sector strategy operationalized</w:t>
      </w:r>
    </w:p>
    <w:p w14:paraId="4DF00E8A" w14:textId="77777777" w:rsidR="006F3E09" w:rsidRPr="006F3E09" w:rsidRDefault="006F3E09" w:rsidP="006F3E09">
      <w:pPr>
        <w:spacing w:after="200" w:line="276" w:lineRule="auto"/>
        <w:ind w:left="720"/>
        <w:jc w:val="left"/>
        <w:rPr>
          <w:rFonts w:ascii="Times New Roman" w:eastAsia="Calibri" w:hAnsi="Times New Roman"/>
          <w:lang w:val="en-US"/>
        </w:rPr>
      </w:pPr>
      <w:r w:rsidRPr="006F3E09">
        <w:rPr>
          <w:rFonts w:ascii="Times New Roman" w:eastAsia="Calibri" w:hAnsi="Times New Roman"/>
          <w:b/>
          <w:bCs/>
          <w:lang w:val="en-US"/>
        </w:rPr>
        <w:t>Output 4.1.2:</w:t>
      </w:r>
      <w:r w:rsidRPr="006F3E09">
        <w:rPr>
          <w:rFonts w:ascii="Times New Roman" w:eastAsia="Calibri" w:hAnsi="Times New Roman"/>
          <w:lang w:val="en-US"/>
        </w:rPr>
        <w:t xml:space="preserve"> Capacity of national institutions strengthened for collaborative dialogue to support the establishment and operationalization of the national peace architecture</w:t>
      </w:r>
    </w:p>
    <w:p w14:paraId="0D6AA3D2" w14:textId="77777777" w:rsidR="006F3E09" w:rsidRPr="006F3E09" w:rsidRDefault="006F3E09" w:rsidP="006F3E09">
      <w:pPr>
        <w:spacing w:after="200" w:line="276" w:lineRule="auto"/>
        <w:ind w:left="720"/>
        <w:jc w:val="left"/>
        <w:rPr>
          <w:rFonts w:ascii="Times New Roman" w:eastAsia="Calibri" w:hAnsi="Times New Roman"/>
          <w:lang w:val="en-US"/>
        </w:rPr>
      </w:pPr>
      <w:r w:rsidRPr="006F3E09">
        <w:rPr>
          <w:rFonts w:ascii="Times New Roman" w:eastAsia="Calibri" w:hAnsi="Times New Roman"/>
          <w:b/>
          <w:bCs/>
          <w:lang w:val="en-US"/>
        </w:rPr>
        <w:t>Output 4.1.3:</w:t>
      </w:r>
      <w:r w:rsidRPr="006F3E09">
        <w:rPr>
          <w:rFonts w:ascii="Times New Roman" w:eastAsia="Calibri" w:hAnsi="Times New Roman"/>
          <w:lang w:val="en-US"/>
        </w:rPr>
        <w:t xml:space="preserve"> Local governance structures strengthened in participatory planning, budgeting and managing integrated rural development</w:t>
      </w:r>
    </w:p>
    <w:p w14:paraId="4F1B610A" w14:textId="77777777" w:rsidR="006F3E09" w:rsidRPr="006F3E09" w:rsidRDefault="006F3E09" w:rsidP="006F3E09">
      <w:pPr>
        <w:spacing w:after="200"/>
        <w:ind w:left="270"/>
        <w:rPr>
          <w:rFonts w:ascii="Times New Roman" w:eastAsia="Calibri" w:hAnsi="Times New Roman"/>
          <w:b/>
          <w:lang w:val="en-US"/>
        </w:rPr>
      </w:pPr>
    </w:p>
    <w:p w14:paraId="6866ADD9" w14:textId="77777777" w:rsidR="006F3E09" w:rsidRPr="006F3E09" w:rsidRDefault="006F3E09" w:rsidP="006F3E09">
      <w:pPr>
        <w:spacing w:after="200"/>
        <w:ind w:left="270"/>
        <w:rPr>
          <w:rFonts w:ascii="Times New Roman" w:eastAsia="Calibri" w:hAnsi="Times New Roman"/>
          <w:b/>
          <w:lang w:val="en-US"/>
        </w:rPr>
      </w:pPr>
    </w:p>
    <w:p w14:paraId="46284947" w14:textId="77777777" w:rsidR="006F3E09" w:rsidRPr="006F3E09" w:rsidRDefault="006F3E09" w:rsidP="006F3E09">
      <w:pPr>
        <w:spacing w:after="200"/>
        <w:ind w:left="270"/>
        <w:rPr>
          <w:rFonts w:ascii="Times New Roman" w:eastAsia="Calibri" w:hAnsi="Times New Roman"/>
          <w:lang w:val="en-US"/>
        </w:rPr>
      </w:pPr>
    </w:p>
    <w:p w14:paraId="129014C5" w14:textId="77777777" w:rsidR="006F3E09" w:rsidRPr="006F3E09" w:rsidRDefault="006F3E09" w:rsidP="006F3E09">
      <w:pPr>
        <w:spacing w:after="200"/>
        <w:rPr>
          <w:rFonts w:ascii="Times New Roman" w:eastAsia="Calibri" w:hAnsi="Times New Roman"/>
          <w:lang w:val="en-US"/>
        </w:rPr>
      </w:pPr>
      <w:r w:rsidRPr="006F3E09">
        <w:rPr>
          <w:rFonts w:ascii="Times New Roman" w:eastAsia="Calibri" w:hAnsi="Times New Roman"/>
          <w:lang w:val="en-US"/>
        </w:rPr>
        <w:t>The outputs are being achieved by activities in annual work plans (AWPs) at the UNDAF and agency level.   Annex 1 presents the relevant operational documents contributing to the outcome.</w:t>
      </w:r>
    </w:p>
    <w:p w14:paraId="3C79733A" w14:textId="77777777" w:rsidR="006F3E09" w:rsidRPr="006F3E09" w:rsidRDefault="006F3E09" w:rsidP="006F3E09">
      <w:pPr>
        <w:spacing w:after="200"/>
        <w:rPr>
          <w:rFonts w:ascii="Times New Roman" w:eastAsia="Calibri" w:hAnsi="Times New Roman"/>
          <w:lang w:val="en-US"/>
        </w:rPr>
      </w:pPr>
      <w:r w:rsidRPr="006F3E09">
        <w:rPr>
          <w:rFonts w:ascii="Times New Roman" w:eastAsia="Calibri" w:hAnsi="Times New Roman"/>
          <w:lang w:val="en-US"/>
        </w:rPr>
        <w:t>The current list of outputs is an outcome of a rationalization exercise which was conducted by the United Nations Country Team (UNCT) in 2013.  This resulted in the reduction of the number of outputs from five to three. This also led to the introduction of an output on peace and development.</w:t>
      </w:r>
    </w:p>
    <w:p w14:paraId="1A46519D" w14:textId="77777777" w:rsidR="006F3E09" w:rsidRPr="006F3E09" w:rsidRDefault="006F3E09" w:rsidP="006F3E09">
      <w:pPr>
        <w:spacing w:after="200"/>
        <w:rPr>
          <w:rFonts w:ascii="Times New Roman" w:eastAsia="Calibri" w:hAnsi="Times New Roman"/>
          <w:lang w:val="en-US"/>
        </w:rPr>
      </w:pPr>
      <w:r w:rsidRPr="006F3E09">
        <w:rPr>
          <w:rFonts w:ascii="Times New Roman" w:eastAsia="Calibri" w:hAnsi="Times New Roman"/>
          <w:lang w:val="en-US"/>
        </w:rPr>
        <w:t xml:space="preserve"> The interventions under this outcome are being implemented with assistance from the following UN agencies: </w:t>
      </w:r>
      <w:r w:rsidRPr="006F3E09">
        <w:rPr>
          <w:rFonts w:ascii="Times New Roman" w:eastAsia="Calibri" w:hAnsi="Times New Roman"/>
          <w:i/>
          <w:color w:val="000000"/>
          <w:lang w:val="en-US"/>
        </w:rPr>
        <w:t xml:space="preserve">UNDP, UNICEF, UNCDF, UNFPA, ILO, UNOHCHR. </w:t>
      </w:r>
      <w:r w:rsidRPr="006F3E09">
        <w:rPr>
          <w:rFonts w:ascii="Times New Roman" w:eastAsia="Calibri" w:hAnsi="Times New Roman"/>
          <w:lang w:val="en-US"/>
        </w:rPr>
        <w:t xml:space="preserve"> UNDP is the lead UN Agency for the Outcome.   It has been strongly recommended that the outcome be jointly evaluated by the participating UN agencies.  Annex 3 provides a full list of key stakeholders and partners for the outcome.</w:t>
      </w:r>
    </w:p>
    <w:p w14:paraId="16B5A9D6" w14:textId="77777777" w:rsidR="006F3E09" w:rsidRPr="006F3E09" w:rsidRDefault="006F3E09" w:rsidP="00F769B0">
      <w:pPr>
        <w:numPr>
          <w:ilvl w:val="0"/>
          <w:numId w:val="10"/>
        </w:numPr>
        <w:spacing w:after="200"/>
        <w:contextualSpacing/>
        <w:jc w:val="left"/>
        <w:rPr>
          <w:rFonts w:ascii="Times New Roman" w:eastAsia="Calibri" w:hAnsi="Times New Roman"/>
          <w:b/>
          <w:lang w:val="en-US"/>
        </w:rPr>
      </w:pPr>
      <w:r w:rsidRPr="006F3E09">
        <w:rPr>
          <w:rFonts w:ascii="Times New Roman" w:eastAsia="Calibri" w:hAnsi="Times New Roman"/>
          <w:b/>
          <w:lang w:val="en-US"/>
        </w:rPr>
        <w:t>PURPOSE, OBJECTIVES AND SCOPE OF THE EVALUATION</w:t>
      </w:r>
    </w:p>
    <w:p w14:paraId="52413A40" w14:textId="77777777" w:rsidR="002A3145" w:rsidRDefault="002A3145" w:rsidP="006F3E09">
      <w:pPr>
        <w:spacing w:after="200"/>
        <w:rPr>
          <w:rFonts w:ascii="Times New Roman" w:eastAsia="Calibri" w:hAnsi="Times New Roman"/>
          <w:b/>
          <w:lang w:val="en-US"/>
        </w:rPr>
      </w:pPr>
    </w:p>
    <w:p w14:paraId="2B649C57" w14:textId="77777777" w:rsidR="006F3E09" w:rsidRPr="006F3E09" w:rsidRDefault="006F3E09" w:rsidP="006F3E09">
      <w:pPr>
        <w:spacing w:after="200"/>
        <w:rPr>
          <w:rFonts w:ascii="Times New Roman" w:eastAsia="Calibri" w:hAnsi="Times New Roman"/>
          <w:b/>
          <w:i/>
          <w:color w:val="000000"/>
          <w:lang w:val="it-IT"/>
        </w:rPr>
      </w:pPr>
      <w:r w:rsidRPr="006F3E09">
        <w:rPr>
          <w:rFonts w:ascii="Times New Roman" w:eastAsia="Calibri" w:hAnsi="Times New Roman"/>
          <w:b/>
          <w:lang w:val="en-US"/>
        </w:rPr>
        <w:t>The purpose of the evaluation is to</w:t>
      </w:r>
      <w:r w:rsidRPr="006F3E09">
        <w:rPr>
          <w:rFonts w:ascii="Times New Roman" w:eastAsia="Calibri" w:hAnsi="Times New Roman"/>
          <w:lang w:val="en-US"/>
        </w:rPr>
        <w:t>:</w:t>
      </w:r>
    </w:p>
    <w:p w14:paraId="4DCE8F72" w14:textId="77777777" w:rsidR="006F3E09" w:rsidRPr="006F3E09" w:rsidRDefault="006F3E09" w:rsidP="002559D1">
      <w:pPr>
        <w:numPr>
          <w:ilvl w:val="0"/>
          <w:numId w:val="1"/>
        </w:numPr>
        <w:spacing w:after="200"/>
        <w:contextualSpacing/>
        <w:jc w:val="left"/>
        <w:rPr>
          <w:rFonts w:ascii="Times New Roman" w:eastAsia="Calibri" w:hAnsi="Times New Roman"/>
          <w:lang w:val="en-US"/>
        </w:rPr>
      </w:pPr>
      <w:r w:rsidRPr="006F3E09">
        <w:rPr>
          <w:rFonts w:ascii="Times New Roman" w:eastAsia="Calibri" w:hAnsi="Times New Roman"/>
          <w:lang w:val="en-US"/>
        </w:rPr>
        <w:t>Assess the contribution made by the UNCT, collectively, and participating UN agencies, individually, to promote good democratic governance as envisaged under outcome 4.1 of the UNDAF including cross-cutting issues of human rights and gender equality;</w:t>
      </w:r>
    </w:p>
    <w:p w14:paraId="0861DA17" w14:textId="77777777" w:rsidR="006F3E09" w:rsidRPr="006F3E09" w:rsidRDefault="006F3E09" w:rsidP="002559D1">
      <w:pPr>
        <w:numPr>
          <w:ilvl w:val="0"/>
          <w:numId w:val="1"/>
        </w:numPr>
        <w:spacing w:after="200"/>
        <w:contextualSpacing/>
        <w:jc w:val="left"/>
        <w:rPr>
          <w:rFonts w:ascii="Times New Roman" w:eastAsia="Calibri" w:hAnsi="Times New Roman"/>
          <w:lang w:val="en-US"/>
        </w:rPr>
      </w:pPr>
      <w:r w:rsidRPr="006F3E09">
        <w:rPr>
          <w:rFonts w:ascii="Times New Roman" w:eastAsia="Calibri" w:hAnsi="Times New Roman"/>
          <w:lang w:val="en-US"/>
        </w:rPr>
        <w:t>Support learning across the UN to improve programme effectiveness.</w:t>
      </w:r>
    </w:p>
    <w:p w14:paraId="2CF85762" w14:textId="77777777" w:rsidR="00F00596" w:rsidRDefault="00F00596" w:rsidP="006F3E09">
      <w:pPr>
        <w:spacing w:after="200"/>
        <w:rPr>
          <w:rFonts w:ascii="Times New Roman" w:eastAsia="Calibri" w:hAnsi="Times New Roman"/>
          <w:b/>
          <w:lang w:val="en-US"/>
        </w:rPr>
      </w:pPr>
    </w:p>
    <w:p w14:paraId="4E3D18D3" w14:textId="77777777" w:rsidR="006F3E09" w:rsidRPr="006F3E09" w:rsidRDefault="006F3E09" w:rsidP="006F3E09">
      <w:pPr>
        <w:spacing w:after="200"/>
        <w:rPr>
          <w:rFonts w:ascii="Times New Roman" w:eastAsia="Calibri" w:hAnsi="Times New Roman"/>
          <w:lang w:val="en-US"/>
        </w:rPr>
      </w:pPr>
      <w:r w:rsidRPr="006F3E09">
        <w:rPr>
          <w:rFonts w:ascii="Times New Roman" w:eastAsia="Calibri" w:hAnsi="Times New Roman"/>
          <w:b/>
          <w:lang w:val="en-US"/>
        </w:rPr>
        <w:t>The objectives of the evaluation are</w:t>
      </w:r>
      <w:r w:rsidRPr="006F3E09">
        <w:rPr>
          <w:rFonts w:ascii="Times New Roman" w:eastAsia="Calibri" w:hAnsi="Times New Roman"/>
          <w:lang w:val="en-US"/>
        </w:rPr>
        <w:t>:</w:t>
      </w:r>
    </w:p>
    <w:p w14:paraId="18EE48C5" w14:textId="77777777" w:rsidR="006F3E09" w:rsidRPr="006F3E09" w:rsidRDefault="006F3E09" w:rsidP="00F769B0">
      <w:pPr>
        <w:numPr>
          <w:ilvl w:val="0"/>
          <w:numId w:val="11"/>
        </w:numPr>
        <w:spacing w:after="0"/>
        <w:contextualSpacing/>
        <w:jc w:val="left"/>
        <w:rPr>
          <w:rFonts w:ascii="Times New Roman" w:eastAsia="Calibri" w:hAnsi="Times New Roman"/>
          <w:lang w:val="en-US"/>
        </w:rPr>
      </w:pPr>
      <w:r w:rsidRPr="006F3E09">
        <w:rPr>
          <w:rFonts w:ascii="Times New Roman" w:eastAsia="Calibri" w:hAnsi="Times New Roman"/>
          <w:lang w:val="en-US"/>
        </w:rPr>
        <w:t>Determine the extent to which the outcome and related outputs have been achieved or are being achieved and the likelihood of being achieved by the end of 2016 in general and the extent of participating UN agencies’ contributions.</w:t>
      </w:r>
    </w:p>
    <w:p w14:paraId="086A798C" w14:textId="77777777" w:rsidR="006F3E09" w:rsidRPr="006F3E09" w:rsidRDefault="006F3E09" w:rsidP="00F769B0">
      <w:pPr>
        <w:numPr>
          <w:ilvl w:val="0"/>
          <w:numId w:val="11"/>
        </w:numPr>
        <w:spacing w:after="200"/>
        <w:contextualSpacing/>
        <w:jc w:val="left"/>
        <w:rPr>
          <w:rFonts w:ascii="Times New Roman" w:eastAsia="Calibri" w:hAnsi="Times New Roman"/>
          <w:lang w:val="en-US"/>
        </w:rPr>
      </w:pPr>
      <w:r w:rsidRPr="006F3E09">
        <w:rPr>
          <w:rFonts w:ascii="Times New Roman" w:eastAsia="Calibri" w:hAnsi="Times New Roman"/>
          <w:lang w:val="en-US"/>
        </w:rPr>
        <w:t>Determine the impact, both positive and negative, from achievement of the outcome and its related outputs;</w:t>
      </w:r>
    </w:p>
    <w:p w14:paraId="77C5AA60" w14:textId="77777777" w:rsidR="006F3E09" w:rsidRPr="006F3E09" w:rsidRDefault="006F3E09" w:rsidP="00F769B0">
      <w:pPr>
        <w:numPr>
          <w:ilvl w:val="0"/>
          <w:numId w:val="11"/>
        </w:numPr>
        <w:spacing w:after="0"/>
        <w:contextualSpacing/>
        <w:jc w:val="left"/>
        <w:rPr>
          <w:rFonts w:ascii="Times New Roman" w:eastAsia="Calibri" w:hAnsi="Times New Roman"/>
          <w:lang w:val="en-US"/>
        </w:rPr>
      </w:pPr>
      <w:r w:rsidRPr="006F3E09">
        <w:rPr>
          <w:rFonts w:ascii="Times New Roman" w:eastAsia="Calibri" w:hAnsi="Times New Roman"/>
          <w:lang w:val="en-US"/>
        </w:rPr>
        <w:t>Assess the relevance of the outputs to the effective achievement of the outcome;</w:t>
      </w:r>
    </w:p>
    <w:p w14:paraId="75261FC1" w14:textId="77777777" w:rsidR="006F3E09" w:rsidRPr="006F3E09" w:rsidRDefault="006F3E09" w:rsidP="00F769B0">
      <w:pPr>
        <w:numPr>
          <w:ilvl w:val="0"/>
          <w:numId w:val="11"/>
        </w:numPr>
        <w:spacing w:after="0"/>
        <w:contextualSpacing/>
        <w:jc w:val="left"/>
        <w:rPr>
          <w:rFonts w:ascii="Times New Roman" w:eastAsia="Calibri" w:hAnsi="Times New Roman"/>
          <w:lang w:val="en-US"/>
        </w:rPr>
      </w:pPr>
      <w:r w:rsidRPr="006F3E09">
        <w:rPr>
          <w:rFonts w:ascii="Times New Roman" w:eastAsia="Calibri" w:hAnsi="Times New Roman"/>
          <w:lang w:val="en-US"/>
        </w:rPr>
        <w:t>Assess the adequacy or inadequacy of UNCT and UN agency partnership strategy(ies) for the achievement of the outcome;</w:t>
      </w:r>
    </w:p>
    <w:p w14:paraId="529D2B1E" w14:textId="77777777" w:rsidR="006F3E09" w:rsidRPr="006F3E09" w:rsidRDefault="006F3E09" w:rsidP="00F769B0">
      <w:pPr>
        <w:numPr>
          <w:ilvl w:val="0"/>
          <w:numId w:val="11"/>
        </w:numPr>
        <w:spacing w:after="0"/>
        <w:contextualSpacing/>
        <w:jc w:val="left"/>
        <w:rPr>
          <w:rFonts w:ascii="Times New Roman" w:eastAsia="Calibri" w:hAnsi="Times New Roman"/>
          <w:lang w:val="en-US"/>
        </w:rPr>
      </w:pPr>
      <w:r w:rsidRPr="006F3E09">
        <w:rPr>
          <w:rFonts w:ascii="Times New Roman" w:eastAsia="Calibri" w:hAnsi="Times New Roman"/>
          <w:lang w:val="en-US"/>
        </w:rPr>
        <w:t>Examine and analyse factors that facilitate and/or hinder the progress in achieving the outcome by the UNCT collectively and the participating UN agencies, individually, both in terms of the external environment and those internal to the portfolio interventions including: weakness in design, management, human resource skills and resources;</w:t>
      </w:r>
    </w:p>
    <w:p w14:paraId="728C0F69" w14:textId="77777777" w:rsidR="006F3E09" w:rsidRPr="006F3E09" w:rsidRDefault="006F3E09" w:rsidP="00F769B0">
      <w:pPr>
        <w:numPr>
          <w:ilvl w:val="0"/>
          <w:numId w:val="11"/>
        </w:numPr>
        <w:spacing w:after="0"/>
        <w:contextualSpacing/>
        <w:jc w:val="left"/>
        <w:rPr>
          <w:rFonts w:ascii="Times New Roman" w:eastAsia="Calibri" w:hAnsi="Times New Roman"/>
          <w:lang w:val="en-US"/>
        </w:rPr>
      </w:pPr>
      <w:r w:rsidRPr="006F3E09">
        <w:rPr>
          <w:rFonts w:ascii="Times New Roman" w:eastAsia="Calibri" w:hAnsi="Times New Roman"/>
          <w:lang w:val="en-US"/>
        </w:rPr>
        <w:t>Explore strategic values and comparative advantage of each of the participating UN agency in contributing to the outcome;</w:t>
      </w:r>
    </w:p>
    <w:p w14:paraId="02383678" w14:textId="77777777" w:rsidR="006F3E09" w:rsidRPr="006F3E09" w:rsidRDefault="006F3E09" w:rsidP="00F769B0">
      <w:pPr>
        <w:numPr>
          <w:ilvl w:val="0"/>
          <w:numId w:val="11"/>
        </w:numPr>
        <w:spacing w:after="0"/>
        <w:contextualSpacing/>
        <w:jc w:val="left"/>
        <w:rPr>
          <w:rFonts w:ascii="Times New Roman" w:eastAsia="Calibri" w:hAnsi="Times New Roman"/>
          <w:lang w:val="en-US"/>
        </w:rPr>
      </w:pPr>
      <w:r w:rsidRPr="006F3E09">
        <w:rPr>
          <w:rFonts w:ascii="Times New Roman" w:eastAsia="Calibri" w:hAnsi="Times New Roman"/>
          <w:lang w:val="en-US"/>
        </w:rPr>
        <w:t xml:space="preserve">Assess how the participating UN agencies worked together jointly in the planning, implementation and reporting of the outcome; </w:t>
      </w:r>
    </w:p>
    <w:p w14:paraId="418E4EDE" w14:textId="77777777" w:rsidR="006F3E09" w:rsidRPr="006F3E09" w:rsidRDefault="006F3E09" w:rsidP="00F769B0">
      <w:pPr>
        <w:numPr>
          <w:ilvl w:val="0"/>
          <w:numId w:val="11"/>
        </w:numPr>
        <w:spacing w:after="0"/>
        <w:contextualSpacing/>
        <w:jc w:val="left"/>
        <w:rPr>
          <w:rFonts w:ascii="Times New Roman" w:eastAsia="Calibri" w:hAnsi="Times New Roman"/>
          <w:lang w:val="en-US"/>
        </w:rPr>
      </w:pPr>
      <w:r w:rsidRPr="006F3E09">
        <w:rPr>
          <w:rFonts w:ascii="Times New Roman" w:eastAsia="Calibri" w:hAnsi="Times New Roman"/>
          <w:lang w:val="en-US"/>
        </w:rPr>
        <w:t>Document lessons learnt from the implementation of the interventions.</w:t>
      </w:r>
    </w:p>
    <w:p w14:paraId="0B747A1D" w14:textId="77777777" w:rsidR="006F3E09" w:rsidRPr="006F3E09" w:rsidRDefault="006F3E09" w:rsidP="00F769B0">
      <w:pPr>
        <w:numPr>
          <w:ilvl w:val="0"/>
          <w:numId w:val="11"/>
        </w:numPr>
        <w:spacing w:after="0"/>
        <w:contextualSpacing/>
        <w:jc w:val="left"/>
        <w:rPr>
          <w:rFonts w:ascii="Times New Roman" w:eastAsia="Calibri" w:hAnsi="Times New Roman"/>
          <w:lang w:val="en-US"/>
        </w:rPr>
      </w:pPr>
      <w:r w:rsidRPr="006F3E09">
        <w:rPr>
          <w:rFonts w:ascii="Times New Roman" w:eastAsia="Calibri" w:hAnsi="Times New Roman"/>
          <w:lang w:val="en-US"/>
        </w:rPr>
        <w:t>Make recommendations for the UNCT and specifically for each participating UN agency in strategic areas for improving the achievement and sustainability of the outcome;</w:t>
      </w:r>
      <w:r w:rsidRPr="00CD56B9">
        <w:rPr>
          <w:rFonts w:ascii="Times New Roman" w:eastAsia="Calibri" w:hAnsi="Times New Roman"/>
          <w:lang w:val="en-US"/>
        </w:rPr>
        <w:t xml:space="preserve"> partnership arrangements, mainstreaming of cross-cutting issues and resource mobilization strategies.</w:t>
      </w:r>
    </w:p>
    <w:p w14:paraId="0E7D5E64" w14:textId="77777777" w:rsidR="006F3E09" w:rsidRPr="006F3E09" w:rsidRDefault="006F3E09" w:rsidP="006F3E09">
      <w:pPr>
        <w:spacing w:after="200"/>
        <w:ind w:left="720"/>
        <w:contextualSpacing/>
        <w:rPr>
          <w:rFonts w:ascii="Times New Roman" w:eastAsia="Calibri" w:hAnsi="Times New Roman"/>
          <w:lang w:val="en-US"/>
        </w:rPr>
      </w:pPr>
    </w:p>
    <w:p w14:paraId="7A9ACA1D" w14:textId="77777777" w:rsidR="006F3E09" w:rsidRPr="006F3E09" w:rsidRDefault="006F3E09" w:rsidP="006F3E09">
      <w:pPr>
        <w:spacing w:after="200"/>
        <w:rPr>
          <w:rFonts w:ascii="Times New Roman" w:eastAsia="Calibri" w:hAnsi="Times New Roman"/>
          <w:b/>
          <w:lang w:val="en-US"/>
        </w:rPr>
      </w:pPr>
      <w:r w:rsidRPr="006F3E09">
        <w:rPr>
          <w:rFonts w:ascii="Times New Roman" w:eastAsia="Calibri" w:hAnsi="Times New Roman"/>
          <w:b/>
          <w:lang w:val="en-US"/>
        </w:rPr>
        <w:t>Evaluation scope:</w:t>
      </w:r>
    </w:p>
    <w:p w14:paraId="1F48A5AF" w14:textId="77777777" w:rsidR="006F3E09" w:rsidRPr="006F3E09" w:rsidRDefault="006F3E09" w:rsidP="006F3E09">
      <w:pPr>
        <w:spacing w:after="100" w:afterAutospacing="1"/>
        <w:rPr>
          <w:rFonts w:ascii="Times New Roman" w:eastAsia="Calibri" w:hAnsi="Times New Roman"/>
          <w:lang w:val="en-US"/>
        </w:rPr>
      </w:pPr>
      <w:r w:rsidRPr="006F3E09">
        <w:rPr>
          <w:rFonts w:ascii="Times New Roman" w:eastAsia="Calibri" w:hAnsi="Times New Roman"/>
          <w:lang w:val="en-US"/>
        </w:rPr>
        <w:lastRenderedPageBreak/>
        <w:t xml:space="preserve">The evaluation will cover the period from January 2012 to 31 December, 2014.   Geographically, the evaluation is national in nature although there are also district interventions.    It will include a review of the UNDAF annual work plans and annual reports, agency level project documents and work plans and related progress reports.   Annex 4 provides a list of further documents to be consulted by the evaluators.   </w:t>
      </w:r>
    </w:p>
    <w:p w14:paraId="4108FAD3" w14:textId="77777777" w:rsidR="006F3E09" w:rsidRPr="006F3E09" w:rsidRDefault="006F3E09" w:rsidP="006F3E09">
      <w:pPr>
        <w:spacing w:after="0"/>
        <w:ind w:left="720"/>
        <w:contextualSpacing/>
        <w:rPr>
          <w:rFonts w:ascii="Times New Roman" w:eastAsia="Calibri" w:hAnsi="Times New Roman"/>
          <w:lang w:val="en-US"/>
        </w:rPr>
      </w:pPr>
    </w:p>
    <w:p w14:paraId="108B38BD" w14:textId="77777777" w:rsidR="006F3E09" w:rsidRPr="006F3E09" w:rsidRDefault="006F3E09" w:rsidP="00F769B0">
      <w:pPr>
        <w:numPr>
          <w:ilvl w:val="0"/>
          <w:numId w:val="10"/>
        </w:numPr>
        <w:spacing w:after="200"/>
        <w:contextualSpacing/>
        <w:jc w:val="left"/>
        <w:rPr>
          <w:rFonts w:ascii="Times New Roman" w:eastAsia="Calibri" w:hAnsi="Times New Roman"/>
          <w:lang w:val="en-US"/>
        </w:rPr>
      </w:pPr>
      <w:r w:rsidRPr="006F3E09">
        <w:rPr>
          <w:rFonts w:ascii="Times New Roman" w:eastAsia="Calibri" w:hAnsi="Times New Roman"/>
          <w:b/>
          <w:lang w:val="en-US"/>
        </w:rPr>
        <w:t>EVALUATION QUESTIONS AND CRITERIA</w:t>
      </w:r>
      <w:r w:rsidRPr="006F3E09">
        <w:rPr>
          <w:rFonts w:ascii="Times New Roman" w:eastAsia="Calibri" w:hAnsi="Times New Roman"/>
          <w:lang w:val="en-US"/>
        </w:rPr>
        <w:t>:</w:t>
      </w:r>
    </w:p>
    <w:p w14:paraId="480C5418" w14:textId="77777777" w:rsidR="006F3E09" w:rsidRPr="006F3E09" w:rsidRDefault="006F3E09" w:rsidP="006F3E09">
      <w:pPr>
        <w:spacing w:after="200"/>
        <w:rPr>
          <w:rFonts w:ascii="Times New Roman" w:eastAsia="Calibri" w:hAnsi="Times New Roman"/>
          <w:lang w:val="en-US"/>
        </w:rPr>
      </w:pPr>
      <w:r w:rsidRPr="006F3E09">
        <w:rPr>
          <w:rFonts w:ascii="Times New Roman" w:eastAsia="Calibri" w:hAnsi="Times New Roman"/>
          <w:lang w:val="en-US"/>
        </w:rPr>
        <w:t>In order to fulfil the purpose and specific objectives stated above, the evaluation shall address the following five specific questions:</w:t>
      </w:r>
    </w:p>
    <w:p w14:paraId="1C0307B8" w14:textId="77777777" w:rsidR="006F3E09" w:rsidRPr="006F3E09" w:rsidRDefault="006F3E09" w:rsidP="002559D1">
      <w:pPr>
        <w:numPr>
          <w:ilvl w:val="0"/>
          <w:numId w:val="8"/>
        </w:numPr>
        <w:spacing w:after="200"/>
        <w:ind w:left="720"/>
        <w:contextualSpacing/>
        <w:jc w:val="left"/>
        <w:rPr>
          <w:rFonts w:ascii="Times New Roman" w:eastAsia="Calibri" w:hAnsi="Times New Roman"/>
          <w:lang w:val="en-US"/>
        </w:rPr>
      </w:pPr>
      <w:r w:rsidRPr="006F3E09">
        <w:rPr>
          <w:rFonts w:ascii="Times New Roman" w:eastAsia="Calibri" w:hAnsi="Times New Roman"/>
          <w:lang w:val="en-US"/>
        </w:rPr>
        <w:t>Whether the Results and Resources Framework (RRF) including the Outcome and Output indicators were properly designed.</w:t>
      </w:r>
    </w:p>
    <w:p w14:paraId="3B4BE002" w14:textId="77777777" w:rsidR="006F3E09" w:rsidRPr="006F3E09" w:rsidRDefault="006F3E09" w:rsidP="002559D1">
      <w:pPr>
        <w:numPr>
          <w:ilvl w:val="0"/>
          <w:numId w:val="8"/>
        </w:numPr>
        <w:spacing w:after="200"/>
        <w:ind w:left="720"/>
        <w:contextualSpacing/>
        <w:jc w:val="left"/>
        <w:rPr>
          <w:rFonts w:ascii="Times New Roman" w:eastAsia="Calibri" w:hAnsi="Times New Roman"/>
          <w:lang w:val="en-US"/>
        </w:rPr>
      </w:pPr>
      <w:r w:rsidRPr="006F3E09">
        <w:rPr>
          <w:rFonts w:ascii="Times New Roman" w:eastAsia="Calibri" w:hAnsi="Times New Roman"/>
          <w:lang w:val="en-US"/>
        </w:rPr>
        <w:t xml:space="preserve">Whether the level of financial resources made available by different UN Agencies was sufficient for successful implementation of the outcome vis-a-vis the planned resource envelope. </w:t>
      </w:r>
    </w:p>
    <w:p w14:paraId="68DD6F1C" w14:textId="77777777" w:rsidR="006F3E09" w:rsidRPr="006F3E09" w:rsidRDefault="006F3E09" w:rsidP="002559D1">
      <w:pPr>
        <w:numPr>
          <w:ilvl w:val="0"/>
          <w:numId w:val="8"/>
        </w:numPr>
        <w:spacing w:after="200"/>
        <w:ind w:left="720"/>
        <w:contextualSpacing/>
        <w:jc w:val="left"/>
        <w:rPr>
          <w:rFonts w:ascii="Times New Roman" w:eastAsia="Calibri" w:hAnsi="Times New Roman"/>
          <w:lang w:val="en-US"/>
        </w:rPr>
      </w:pPr>
      <w:r w:rsidRPr="006F3E09">
        <w:rPr>
          <w:rFonts w:ascii="Times New Roman" w:eastAsia="Calibri" w:hAnsi="Times New Roman"/>
          <w:lang w:val="en-US"/>
        </w:rPr>
        <w:t>What progress has been made so far towards the outcome and whether the outcome will be met by December, 2016;</w:t>
      </w:r>
    </w:p>
    <w:p w14:paraId="11FC82D4" w14:textId="77777777" w:rsidR="006F3E09" w:rsidRPr="006F3E09" w:rsidRDefault="006F3E09" w:rsidP="002559D1">
      <w:pPr>
        <w:numPr>
          <w:ilvl w:val="0"/>
          <w:numId w:val="8"/>
        </w:numPr>
        <w:spacing w:after="200"/>
        <w:ind w:left="720"/>
        <w:contextualSpacing/>
        <w:jc w:val="left"/>
        <w:rPr>
          <w:rFonts w:ascii="Times New Roman" w:eastAsia="Calibri" w:hAnsi="Times New Roman"/>
          <w:lang w:val="en-US"/>
        </w:rPr>
      </w:pPr>
      <w:r w:rsidRPr="006F3E09">
        <w:rPr>
          <w:rFonts w:ascii="Times New Roman" w:eastAsia="Calibri" w:hAnsi="Times New Roman"/>
          <w:lang w:val="en-US"/>
        </w:rPr>
        <w:t xml:space="preserve"> To what extent has each participating UN agency, separately, contributed to the achievement of the outcome? </w:t>
      </w:r>
    </w:p>
    <w:p w14:paraId="1F33C9F2" w14:textId="77777777" w:rsidR="006F3E09" w:rsidRPr="006F3E09" w:rsidRDefault="006F3E09" w:rsidP="002559D1">
      <w:pPr>
        <w:numPr>
          <w:ilvl w:val="0"/>
          <w:numId w:val="8"/>
        </w:numPr>
        <w:spacing w:after="200"/>
        <w:ind w:left="720"/>
        <w:contextualSpacing/>
        <w:jc w:val="left"/>
        <w:rPr>
          <w:rFonts w:ascii="Times New Roman" w:eastAsia="Calibri" w:hAnsi="Times New Roman"/>
          <w:lang w:val="en-US"/>
        </w:rPr>
      </w:pPr>
      <w:r w:rsidRPr="006F3E09">
        <w:rPr>
          <w:rFonts w:ascii="Times New Roman" w:eastAsia="Calibri" w:hAnsi="Times New Roman"/>
          <w:lang w:val="en-US"/>
        </w:rPr>
        <w:t xml:space="preserve">  What are the main factors (positive and negative) that are affecting the achievement of the outcomes? How have these factors limited or facilitated progress towards the outcome?</w:t>
      </w:r>
    </w:p>
    <w:p w14:paraId="20D714F8" w14:textId="77777777" w:rsidR="006F3E09" w:rsidRPr="003510A9" w:rsidRDefault="006F3E09" w:rsidP="006F3E09">
      <w:pPr>
        <w:rPr>
          <w:sz w:val="20"/>
          <w:lang w:val="en-US"/>
        </w:rPr>
      </w:pPr>
    </w:p>
    <w:p w14:paraId="764C2F94" w14:textId="77777777" w:rsidR="006F3E09" w:rsidRPr="003510A9" w:rsidRDefault="006F3E09" w:rsidP="006F3E09">
      <w:pPr>
        <w:spacing w:after="0"/>
        <w:rPr>
          <w:rFonts w:ascii="Times New Roman" w:eastAsia="Calibri" w:hAnsi="Times New Roman"/>
          <w:szCs w:val="24"/>
          <w:lang w:val="en-US"/>
        </w:rPr>
      </w:pPr>
      <w:r w:rsidRPr="003510A9">
        <w:rPr>
          <w:rFonts w:ascii="Times New Roman" w:eastAsia="Calibri" w:hAnsi="Times New Roman"/>
          <w:b/>
          <w:szCs w:val="24"/>
          <w:lang w:val="en-US"/>
        </w:rPr>
        <w:t xml:space="preserve">Evaluation Criteria:  </w:t>
      </w:r>
      <w:r w:rsidRPr="003510A9">
        <w:rPr>
          <w:rFonts w:ascii="Times New Roman" w:eastAsia="Calibri" w:hAnsi="Times New Roman"/>
          <w:szCs w:val="24"/>
          <w:lang w:val="en-US"/>
        </w:rPr>
        <w:t>The evaluation of performance of the UNCT and the participating UN Agencies individually in the outcome and outputs will be made using the standard criteria: relevance; effectiveness; efficiency; impact and sustainability.  Below are detailed questions related to each criterion to be addressed by the evaluator.</w:t>
      </w:r>
    </w:p>
    <w:p w14:paraId="63CA3786" w14:textId="77777777" w:rsidR="006F3E09" w:rsidRPr="003510A9" w:rsidRDefault="006F3E09" w:rsidP="006F3E09">
      <w:pPr>
        <w:rPr>
          <w:rFonts w:ascii="Times New Roman" w:hAnsi="Times New Roman"/>
          <w:sz w:val="20"/>
          <w:lang w:val="en-ZW" w:eastAsia="ru-RU"/>
        </w:rPr>
      </w:pPr>
    </w:p>
    <w:p w14:paraId="5FC10C22" w14:textId="77777777" w:rsidR="006F3E09" w:rsidRPr="00AA304B" w:rsidRDefault="006F3E09" w:rsidP="006F3E09">
      <w:pPr>
        <w:rPr>
          <w:rFonts w:ascii="Times New Roman" w:hAnsi="Times New Roman"/>
          <w:lang w:val="en-ZW" w:eastAsia="ru-RU"/>
        </w:rPr>
      </w:pPr>
      <w:r w:rsidRPr="00AA304B">
        <w:rPr>
          <w:rFonts w:ascii="Times New Roman" w:hAnsi="Times New Roman"/>
          <w:lang w:val="en-ZW" w:eastAsia="ru-RU"/>
        </w:rPr>
        <w:t xml:space="preserve">Relevance: </w:t>
      </w:r>
    </w:p>
    <w:p w14:paraId="0BFB693E" w14:textId="77777777" w:rsidR="006F3E09" w:rsidRPr="00AA304B" w:rsidRDefault="006F3E09" w:rsidP="00F769B0">
      <w:pPr>
        <w:pStyle w:val="Listeafsnit"/>
        <w:numPr>
          <w:ilvl w:val="0"/>
          <w:numId w:val="12"/>
        </w:numPr>
        <w:spacing w:after="0"/>
        <w:jc w:val="left"/>
        <w:rPr>
          <w:rFonts w:ascii="Times New Roman" w:eastAsia="Calibri" w:hAnsi="Times New Roman"/>
          <w:sz w:val="24"/>
          <w:szCs w:val="24"/>
          <w:lang w:val="en-ZW" w:eastAsia="ru-RU"/>
        </w:rPr>
      </w:pPr>
      <w:r w:rsidRPr="00AA304B">
        <w:rPr>
          <w:rFonts w:ascii="Times New Roman" w:hAnsi="Times New Roman"/>
          <w:lang w:val="en-ZW" w:eastAsia="ru-RU"/>
        </w:rPr>
        <w:t>To what extent is the UNCT’s collectively and each UN agency’ engaging in promoting democratic governance together with reflection of strategic considerations, including UNCT’s role in the development context of Malawi and its comparative advantage vis-a-vis other partners?</w:t>
      </w:r>
      <w:r w:rsidRPr="00AA304B">
        <w:rPr>
          <w:rFonts w:ascii="Times New Roman" w:eastAsia="Calibri" w:hAnsi="Times New Roman"/>
          <w:sz w:val="24"/>
          <w:szCs w:val="24"/>
          <w:lang w:val="en-ZW" w:eastAsia="ru-RU"/>
        </w:rPr>
        <w:t>To what extent has the UNCT’s collectively, and each participating UN agencies selected method of delivery been appropriated to the development context?</w:t>
      </w:r>
    </w:p>
    <w:p w14:paraId="470130C9" w14:textId="77777777" w:rsidR="006F3E09" w:rsidRPr="00AA304B" w:rsidRDefault="006F3E09" w:rsidP="00F769B0">
      <w:pPr>
        <w:numPr>
          <w:ilvl w:val="0"/>
          <w:numId w:val="12"/>
        </w:numPr>
        <w:spacing w:after="0"/>
        <w:contextualSpacing/>
        <w:jc w:val="left"/>
        <w:rPr>
          <w:rFonts w:ascii="Times New Roman" w:eastAsia="Calibri" w:hAnsi="Times New Roman"/>
          <w:sz w:val="24"/>
          <w:szCs w:val="24"/>
          <w:lang w:val="en-ZW" w:eastAsia="ru-RU"/>
        </w:rPr>
      </w:pPr>
      <w:r w:rsidRPr="00AA304B">
        <w:rPr>
          <w:rFonts w:ascii="Times New Roman" w:eastAsia="Calibri" w:hAnsi="Times New Roman"/>
          <w:sz w:val="24"/>
          <w:szCs w:val="24"/>
          <w:lang w:val="en-ZW" w:eastAsia="ru-RU"/>
        </w:rPr>
        <w:t>Has the UNCT been influential in national debates in promoting democratic governance issues, and has it influenced national policies on legal reforms and human rights protection?</w:t>
      </w:r>
    </w:p>
    <w:p w14:paraId="13B970E1" w14:textId="77777777" w:rsidR="00AA304B" w:rsidRPr="00AA304B" w:rsidRDefault="00AA304B" w:rsidP="006F3E09">
      <w:pPr>
        <w:rPr>
          <w:rFonts w:ascii="Times New Roman" w:hAnsi="Times New Roman"/>
          <w:lang w:val="en-ZW" w:eastAsia="ru-RU"/>
        </w:rPr>
      </w:pPr>
    </w:p>
    <w:p w14:paraId="4C2C23C1" w14:textId="77777777" w:rsidR="006F3E09" w:rsidRPr="00AA304B" w:rsidRDefault="006F3E09" w:rsidP="006F3E09">
      <w:pPr>
        <w:rPr>
          <w:rFonts w:ascii="Times New Roman" w:hAnsi="Times New Roman"/>
          <w:lang w:val="en-ZW" w:eastAsia="ru-RU"/>
        </w:rPr>
      </w:pPr>
      <w:r w:rsidRPr="00AA304B">
        <w:rPr>
          <w:rFonts w:ascii="Times New Roman" w:hAnsi="Times New Roman"/>
          <w:lang w:val="en-ZW" w:eastAsia="ru-RU"/>
        </w:rPr>
        <w:t>Effectiveness</w:t>
      </w:r>
    </w:p>
    <w:p w14:paraId="54648FE9" w14:textId="77777777" w:rsidR="006F3E09" w:rsidRPr="00AA304B" w:rsidRDefault="006F3E09" w:rsidP="00F769B0">
      <w:pPr>
        <w:numPr>
          <w:ilvl w:val="0"/>
          <w:numId w:val="13"/>
        </w:numPr>
        <w:spacing w:after="0"/>
        <w:contextualSpacing/>
        <w:jc w:val="left"/>
        <w:rPr>
          <w:rFonts w:ascii="Times New Roman" w:eastAsia="Calibri" w:hAnsi="Times New Roman"/>
          <w:sz w:val="24"/>
          <w:szCs w:val="24"/>
          <w:lang w:val="en-ZW" w:eastAsia="ru-RU"/>
        </w:rPr>
      </w:pPr>
      <w:r w:rsidRPr="00AA304B">
        <w:rPr>
          <w:rFonts w:ascii="Times New Roman" w:eastAsia="Calibri" w:hAnsi="Times New Roman"/>
          <w:sz w:val="24"/>
          <w:szCs w:val="24"/>
          <w:lang w:val="en-ZW" w:eastAsia="ru-RU"/>
        </w:rPr>
        <w:t>What evidence is there that the UNCT collectively and as individual UN agency contributed towards improved national government capacities, including institutional strengthening?</w:t>
      </w:r>
    </w:p>
    <w:p w14:paraId="30F1AD98" w14:textId="77777777" w:rsidR="006F3E09" w:rsidRPr="00AA304B" w:rsidRDefault="006F3E09" w:rsidP="00F769B0">
      <w:pPr>
        <w:numPr>
          <w:ilvl w:val="0"/>
          <w:numId w:val="13"/>
        </w:numPr>
        <w:spacing w:after="0"/>
        <w:contextualSpacing/>
        <w:jc w:val="left"/>
        <w:rPr>
          <w:rFonts w:ascii="Times New Roman" w:eastAsia="Calibri" w:hAnsi="Times New Roman"/>
          <w:sz w:val="24"/>
          <w:szCs w:val="24"/>
          <w:lang w:val="en-ZW" w:eastAsia="ru-RU"/>
        </w:rPr>
      </w:pPr>
      <w:r w:rsidRPr="00AA304B">
        <w:rPr>
          <w:rFonts w:ascii="Times New Roman" w:eastAsia="Calibri" w:hAnsi="Times New Roman"/>
          <w:sz w:val="24"/>
          <w:szCs w:val="24"/>
          <w:lang w:val="en-ZW" w:eastAsia="ru-RU"/>
        </w:rPr>
        <w:t xml:space="preserve">Has the support at the national level been effective in helping improve democratic governance at all levels in Malawi?  </w:t>
      </w:r>
    </w:p>
    <w:p w14:paraId="429D72CA" w14:textId="77777777" w:rsidR="006F3E09" w:rsidRPr="00AA304B" w:rsidRDefault="006F3E09" w:rsidP="00F769B0">
      <w:pPr>
        <w:numPr>
          <w:ilvl w:val="0"/>
          <w:numId w:val="13"/>
        </w:numPr>
        <w:spacing w:after="0"/>
        <w:contextualSpacing/>
        <w:jc w:val="left"/>
        <w:rPr>
          <w:rFonts w:ascii="Times New Roman" w:eastAsia="Calibri" w:hAnsi="Times New Roman"/>
          <w:sz w:val="24"/>
          <w:szCs w:val="24"/>
          <w:lang w:val="en-ZW" w:eastAsia="ru-RU"/>
        </w:rPr>
      </w:pPr>
      <w:r w:rsidRPr="00AA304B">
        <w:rPr>
          <w:rFonts w:ascii="Times New Roman" w:eastAsia="Calibri" w:hAnsi="Times New Roman"/>
          <w:sz w:val="24"/>
          <w:szCs w:val="24"/>
          <w:lang w:val="en-ZW" w:eastAsia="ru-RU"/>
        </w:rPr>
        <w:t>Has the UNCT and individual UN agencies worked effectively with other international and national development partners to improve democratic governance in Malawi?</w:t>
      </w:r>
    </w:p>
    <w:p w14:paraId="2D498FAB" w14:textId="77777777" w:rsidR="006F3E09" w:rsidRPr="00AA304B" w:rsidRDefault="006F3E09" w:rsidP="00F769B0">
      <w:pPr>
        <w:numPr>
          <w:ilvl w:val="0"/>
          <w:numId w:val="13"/>
        </w:numPr>
        <w:spacing w:after="0"/>
        <w:contextualSpacing/>
        <w:jc w:val="left"/>
        <w:rPr>
          <w:rFonts w:ascii="Times New Roman" w:eastAsia="Calibri" w:hAnsi="Times New Roman"/>
          <w:sz w:val="24"/>
          <w:szCs w:val="24"/>
          <w:lang w:val="en-ZW" w:eastAsia="ru-RU"/>
        </w:rPr>
      </w:pPr>
      <w:r w:rsidRPr="00AA304B">
        <w:rPr>
          <w:rFonts w:ascii="Times New Roman" w:eastAsia="Calibri" w:hAnsi="Times New Roman"/>
          <w:sz w:val="24"/>
          <w:szCs w:val="24"/>
          <w:lang w:val="en-ZW" w:eastAsia="ru-RU"/>
        </w:rPr>
        <w:lastRenderedPageBreak/>
        <w:t>How effective has the UNCT collectively and individual participating UN agencies been in partnering with civil society and the private sector to promote democratic governance in Malawi?</w:t>
      </w:r>
    </w:p>
    <w:p w14:paraId="7A195641" w14:textId="77777777" w:rsidR="006F3E09" w:rsidRPr="00AA304B" w:rsidRDefault="006F3E09" w:rsidP="00F769B0">
      <w:pPr>
        <w:numPr>
          <w:ilvl w:val="0"/>
          <w:numId w:val="13"/>
        </w:numPr>
        <w:spacing w:after="0"/>
        <w:contextualSpacing/>
        <w:jc w:val="left"/>
        <w:rPr>
          <w:rFonts w:ascii="Times New Roman" w:eastAsia="Calibri" w:hAnsi="Times New Roman"/>
          <w:sz w:val="24"/>
          <w:szCs w:val="24"/>
          <w:lang w:val="en-ZW" w:eastAsia="ru-RU"/>
        </w:rPr>
      </w:pPr>
      <w:r w:rsidRPr="00AA304B">
        <w:rPr>
          <w:rFonts w:ascii="Times New Roman" w:eastAsia="Calibri" w:hAnsi="Times New Roman"/>
          <w:sz w:val="24"/>
          <w:szCs w:val="24"/>
          <w:lang w:val="en-ZW" w:eastAsia="ru-RU"/>
        </w:rPr>
        <w:t>Has the UNCT collectively, and participating individual UN agencies utilised innovative techniques and best practices in its programming?</w:t>
      </w:r>
      <w:r w:rsidRPr="00AA304B">
        <w:rPr>
          <w:rFonts w:ascii="Times New Roman" w:eastAsia="Calibri" w:hAnsi="Times New Roman"/>
          <w:sz w:val="24"/>
          <w:szCs w:val="24"/>
          <w:lang w:val="en-US"/>
        </w:rPr>
        <w:t xml:space="preserve"> </w:t>
      </w:r>
    </w:p>
    <w:p w14:paraId="390EF23A" w14:textId="77777777" w:rsidR="006F3E09" w:rsidRPr="00AA304B" w:rsidRDefault="006F3E09" w:rsidP="00F769B0">
      <w:pPr>
        <w:numPr>
          <w:ilvl w:val="0"/>
          <w:numId w:val="13"/>
        </w:numPr>
        <w:spacing w:after="0"/>
        <w:contextualSpacing/>
        <w:jc w:val="left"/>
        <w:rPr>
          <w:rFonts w:ascii="Times New Roman" w:eastAsia="Calibri" w:hAnsi="Times New Roman"/>
          <w:sz w:val="24"/>
          <w:szCs w:val="24"/>
          <w:lang w:val="en-ZW" w:eastAsia="ru-RU"/>
        </w:rPr>
      </w:pPr>
      <w:r w:rsidRPr="00AA304B">
        <w:rPr>
          <w:rFonts w:ascii="Times New Roman" w:eastAsia="Calibri" w:hAnsi="Times New Roman"/>
          <w:sz w:val="24"/>
          <w:szCs w:val="24"/>
          <w:lang w:val="en-ZW" w:eastAsia="ru-RU"/>
        </w:rPr>
        <w:t>Did the UN coordination reduce transaction costs and increase the efficiency of implementation of the programmes relating to the outcome? To what extent did the programme create actual synergies among agencies and involve concerted efforts to optimise results and avoid duplication?</w:t>
      </w:r>
    </w:p>
    <w:p w14:paraId="0D6F633B" w14:textId="77777777" w:rsidR="006F3E09" w:rsidRPr="00AA304B" w:rsidRDefault="006F3E09" w:rsidP="00F769B0">
      <w:pPr>
        <w:numPr>
          <w:ilvl w:val="0"/>
          <w:numId w:val="13"/>
        </w:numPr>
        <w:spacing w:after="0"/>
        <w:contextualSpacing/>
        <w:jc w:val="left"/>
        <w:rPr>
          <w:rFonts w:ascii="Times New Roman" w:eastAsia="Calibri" w:hAnsi="Times New Roman"/>
          <w:sz w:val="24"/>
          <w:szCs w:val="24"/>
          <w:lang w:val="en-ZW" w:eastAsia="ru-RU"/>
        </w:rPr>
      </w:pPr>
      <w:r w:rsidRPr="00AA304B">
        <w:rPr>
          <w:rFonts w:ascii="Times New Roman" w:eastAsia="Calibri" w:hAnsi="Times New Roman"/>
          <w:sz w:val="24"/>
          <w:szCs w:val="24"/>
          <w:lang w:val="en-ZW" w:eastAsia="ru-RU"/>
        </w:rPr>
        <w:t>Is the UNCT collectively, and other participating UN agencies perceived by stakeholders as a strong advocates for improving democratic governance in Malawi?</w:t>
      </w:r>
    </w:p>
    <w:p w14:paraId="053E7ED7" w14:textId="77777777" w:rsidR="006F3E09" w:rsidRPr="00AA304B" w:rsidRDefault="006F3E09" w:rsidP="00F769B0">
      <w:pPr>
        <w:numPr>
          <w:ilvl w:val="0"/>
          <w:numId w:val="13"/>
        </w:numPr>
        <w:spacing w:after="0"/>
        <w:contextualSpacing/>
        <w:jc w:val="left"/>
        <w:rPr>
          <w:rFonts w:ascii="Times New Roman" w:eastAsia="Calibri" w:hAnsi="Times New Roman"/>
          <w:sz w:val="24"/>
          <w:szCs w:val="24"/>
          <w:lang w:val="en-ZW" w:eastAsia="ru-RU"/>
        </w:rPr>
      </w:pPr>
      <w:r w:rsidRPr="00AA304B">
        <w:rPr>
          <w:rFonts w:ascii="Times New Roman" w:eastAsia="Calibri" w:hAnsi="Times New Roman"/>
          <w:sz w:val="24"/>
          <w:szCs w:val="24"/>
          <w:lang w:val="en-ZW" w:eastAsia="ru-RU"/>
        </w:rPr>
        <w:t xml:space="preserve">What contributing factors and impediments or </w:t>
      </w:r>
      <w:r w:rsidR="00F17A77" w:rsidRPr="00AA304B">
        <w:rPr>
          <w:rFonts w:ascii="Times New Roman" w:eastAsia="Calibri" w:hAnsi="Times New Roman"/>
          <w:sz w:val="24"/>
          <w:szCs w:val="24"/>
          <w:lang w:val="en-ZW" w:eastAsia="ru-RU"/>
        </w:rPr>
        <w:t>enhance UNCT’s</w:t>
      </w:r>
      <w:r w:rsidRPr="00AA304B">
        <w:rPr>
          <w:rFonts w:ascii="Times New Roman" w:eastAsia="Calibri" w:hAnsi="Times New Roman"/>
          <w:sz w:val="24"/>
          <w:szCs w:val="24"/>
          <w:lang w:val="en-ZW" w:eastAsia="ru-RU"/>
        </w:rPr>
        <w:t xml:space="preserve"> collective</w:t>
      </w:r>
      <w:r w:rsidR="00F17A77" w:rsidRPr="00AA304B">
        <w:rPr>
          <w:rFonts w:ascii="Times New Roman" w:eastAsia="Calibri" w:hAnsi="Times New Roman"/>
          <w:sz w:val="24"/>
          <w:szCs w:val="24"/>
          <w:lang w:val="en-ZW" w:eastAsia="ru-RU"/>
        </w:rPr>
        <w:t>, and</w:t>
      </w:r>
      <w:r w:rsidRPr="00AA304B">
        <w:rPr>
          <w:rFonts w:ascii="Times New Roman" w:eastAsia="Calibri" w:hAnsi="Times New Roman"/>
          <w:sz w:val="24"/>
          <w:szCs w:val="24"/>
          <w:lang w:val="en-ZW" w:eastAsia="ru-RU"/>
        </w:rPr>
        <w:t xml:space="preserve"> individual participating UN agencies’ performance in this area? </w:t>
      </w:r>
    </w:p>
    <w:p w14:paraId="4994BE9E" w14:textId="77777777" w:rsidR="00AA304B" w:rsidRPr="00AA304B" w:rsidRDefault="00AA304B" w:rsidP="006F3E09">
      <w:pPr>
        <w:rPr>
          <w:rFonts w:ascii="Times New Roman" w:hAnsi="Times New Roman"/>
          <w:lang w:val="en-ZW" w:eastAsia="ru-RU"/>
        </w:rPr>
      </w:pPr>
    </w:p>
    <w:p w14:paraId="6A619C4C" w14:textId="77777777" w:rsidR="006F3E09" w:rsidRPr="00AA304B" w:rsidRDefault="006F3E09" w:rsidP="006F3E09">
      <w:pPr>
        <w:rPr>
          <w:rFonts w:ascii="Times New Roman" w:hAnsi="Times New Roman"/>
          <w:lang w:val="en-ZW" w:eastAsia="ru-RU"/>
        </w:rPr>
      </w:pPr>
      <w:r w:rsidRPr="00AA304B">
        <w:rPr>
          <w:rFonts w:ascii="Times New Roman" w:hAnsi="Times New Roman"/>
          <w:lang w:val="en-ZW" w:eastAsia="ru-RU"/>
        </w:rPr>
        <w:t xml:space="preserve">Efficiency </w:t>
      </w:r>
    </w:p>
    <w:p w14:paraId="3DB5F4D7" w14:textId="77777777" w:rsidR="006F3E09" w:rsidRPr="00AA304B" w:rsidRDefault="006F3E09" w:rsidP="00F769B0">
      <w:pPr>
        <w:numPr>
          <w:ilvl w:val="0"/>
          <w:numId w:val="14"/>
        </w:numPr>
        <w:spacing w:after="0"/>
        <w:contextualSpacing/>
        <w:jc w:val="left"/>
        <w:rPr>
          <w:rFonts w:ascii="Times New Roman" w:eastAsia="Calibri" w:hAnsi="Times New Roman"/>
          <w:sz w:val="24"/>
          <w:szCs w:val="24"/>
          <w:lang w:val="en-ZW" w:eastAsia="ru-RU"/>
        </w:rPr>
      </w:pPr>
      <w:r w:rsidRPr="00AA304B">
        <w:rPr>
          <w:rFonts w:ascii="Times New Roman" w:eastAsia="Calibri" w:hAnsi="Times New Roman"/>
          <w:sz w:val="24"/>
          <w:szCs w:val="24"/>
          <w:lang w:val="en-ZW" w:eastAsia="ru-RU"/>
        </w:rPr>
        <w:t>Have participating UN agency strategies and execution of the outcome been efficient and cost effective?</w:t>
      </w:r>
    </w:p>
    <w:p w14:paraId="087E9ECC" w14:textId="77777777" w:rsidR="006F3E09" w:rsidRPr="00AA304B" w:rsidRDefault="006F3E09" w:rsidP="00F769B0">
      <w:pPr>
        <w:numPr>
          <w:ilvl w:val="0"/>
          <w:numId w:val="14"/>
        </w:numPr>
        <w:spacing w:after="0"/>
        <w:contextualSpacing/>
        <w:jc w:val="left"/>
        <w:rPr>
          <w:rFonts w:ascii="Times New Roman" w:eastAsia="Calibri" w:hAnsi="Times New Roman"/>
          <w:sz w:val="24"/>
          <w:szCs w:val="24"/>
          <w:lang w:val="en-ZW" w:eastAsia="ru-RU"/>
        </w:rPr>
      </w:pPr>
      <w:r w:rsidRPr="00AA304B">
        <w:rPr>
          <w:rFonts w:ascii="Times New Roman" w:eastAsia="Calibri" w:hAnsi="Times New Roman"/>
          <w:sz w:val="24"/>
          <w:szCs w:val="24"/>
          <w:lang w:val="en-ZW" w:eastAsia="ru-RU"/>
        </w:rPr>
        <w:t>Has there been an economical use of financial and human resources?</w:t>
      </w:r>
    </w:p>
    <w:p w14:paraId="7C9E9E8B" w14:textId="77777777" w:rsidR="006F3E09" w:rsidRPr="00AA304B" w:rsidRDefault="006F3E09" w:rsidP="00F769B0">
      <w:pPr>
        <w:numPr>
          <w:ilvl w:val="0"/>
          <w:numId w:val="14"/>
        </w:numPr>
        <w:spacing w:after="0"/>
        <w:contextualSpacing/>
        <w:jc w:val="left"/>
        <w:rPr>
          <w:rFonts w:ascii="Times New Roman" w:eastAsia="Calibri" w:hAnsi="Times New Roman"/>
          <w:sz w:val="24"/>
          <w:szCs w:val="24"/>
          <w:lang w:val="en-ZW" w:eastAsia="ru-RU"/>
        </w:rPr>
      </w:pPr>
      <w:r w:rsidRPr="00AA304B">
        <w:rPr>
          <w:rFonts w:ascii="Times New Roman" w:eastAsia="Calibri" w:hAnsi="Times New Roman"/>
          <w:sz w:val="24"/>
          <w:szCs w:val="24"/>
          <w:lang w:val="en-ZW" w:eastAsia="ru-RU"/>
        </w:rPr>
        <w:t>Are the monitoring and evaluation systems that UNCT collectively and individual participating UN agencies have in place helping to ensure that programmes are managed efficiently and effectively?</w:t>
      </w:r>
    </w:p>
    <w:p w14:paraId="6C3541AA" w14:textId="77777777" w:rsidR="003510A9" w:rsidRDefault="003510A9" w:rsidP="006F3E09">
      <w:pPr>
        <w:rPr>
          <w:rFonts w:ascii="Times New Roman" w:hAnsi="Times New Roman"/>
          <w:lang w:val="en-ZW" w:eastAsia="ru-RU"/>
        </w:rPr>
      </w:pPr>
    </w:p>
    <w:p w14:paraId="52250AAC" w14:textId="77777777" w:rsidR="006F3E09" w:rsidRPr="00AA304B" w:rsidRDefault="006F3E09" w:rsidP="006F3E09">
      <w:pPr>
        <w:rPr>
          <w:rFonts w:ascii="Times New Roman" w:hAnsi="Times New Roman"/>
          <w:lang w:val="en-ZW" w:eastAsia="ru-RU"/>
        </w:rPr>
      </w:pPr>
      <w:r w:rsidRPr="00AA304B">
        <w:rPr>
          <w:rFonts w:ascii="Times New Roman" w:hAnsi="Times New Roman"/>
          <w:lang w:val="en-ZW" w:eastAsia="ru-RU"/>
        </w:rPr>
        <w:t xml:space="preserve">Sustainability </w:t>
      </w:r>
    </w:p>
    <w:p w14:paraId="72174252" w14:textId="77777777" w:rsidR="006F3E09" w:rsidRPr="00AA304B" w:rsidRDefault="006F3E09" w:rsidP="00F769B0">
      <w:pPr>
        <w:numPr>
          <w:ilvl w:val="0"/>
          <w:numId w:val="15"/>
        </w:numPr>
        <w:spacing w:after="0"/>
        <w:contextualSpacing/>
        <w:jc w:val="left"/>
        <w:rPr>
          <w:rFonts w:ascii="Times New Roman" w:eastAsia="Calibri" w:hAnsi="Times New Roman"/>
          <w:sz w:val="24"/>
          <w:szCs w:val="24"/>
          <w:lang w:val="en-ZW" w:eastAsia="ru-RU"/>
        </w:rPr>
      </w:pPr>
      <w:r w:rsidRPr="00AA304B">
        <w:rPr>
          <w:rFonts w:ascii="Times New Roman" w:eastAsia="Calibri" w:hAnsi="Times New Roman"/>
          <w:sz w:val="24"/>
          <w:szCs w:val="24"/>
          <w:lang w:val="en-ZW" w:eastAsia="ru-RU"/>
        </w:rPr>
        <w:t>What is the likelihood that the interventions are sustainable?</w:t>
      </w:r>
    </w:p>
    <w:p w14:paraId="01583BD4" w14:textId="77777777" w:rsidR="006F3E09" w:rsidRPr="00AA304B" w:rsidRDefault="006F3E09" w:rsidP="00F769B0">
      <w:pPr>
        <w:numPr>
          <w:ilvl w:val="0"/>
          <w:numId w:val="15"/>
        </w:numPr>
        <w:spacing w:after="0"/>
        <w:contextualSpacing/>
        <w:jc w:val="left"/>
        <w:rPr>
          <w:rFonts w:ascii="Times New Roman" w:eastAsia="Calibri" w:hAnsi="Times New Roman"/>
          <w:sz w:val="24"/>
          <w:szCs w:val="24"/>
          <w:lang w:val="en-ZW" w:eastAsia="ru-RU"/>
        </w:rPr>
      </w:pPr>
      <w:r w:rsidRPr="00AA304B">
        <w:rPr>
          <w:rFonts w:ascii="Times New Roman" w:eastAsia="Calibri" w:hAnsi="Times New Roman"/>
          <w:sz w:val="24"/>
          <w:szCs w:val="24"/>
          <w:lang w:val="en-ZW" w:eastAsia="ru-RU"/>
        </w:rPr>
        <w:t>What mechanisms have been set in place by UNCT and participating UN agencies of Malawi to sustain improvements made through these interventions?</w:t>
      </w:r>
    </w:p>
    <w:p w14:paraId="30FBE731" w14:textId="77777777" w:rsidR="006F3E09" w:rsidRPr="00AA304B" w:rsidRDefault="006F3E09" w:rsidP="00F769B0">
      <w:pPr>
        <w:numPr>
          <w:ilvl w:val="0"/>
          <w:numId w:val="15"/>
        </w:numPr>
        <w:spacing w:after="0"/>
        <w:contextualSpacing/>
        <w:jc w:val="left"/>
        <w:rPr>
          <w:rFonts w:ascii="Times New Roman" w:eastAsia="Calibri" w:hAnsi="Times New Roman"/>
          <w:sz w:val="24"/>
          <w:szCs w:val="24"/>
          <w:lang w:val="en-ZW" w:eastAsia="ru-RU"/>
        </w:rPr>
      </w:pPr>
      <w:r w:rsidRPr="00AA304B">
        <w:rPr>
          <w:rFonts w:ascii="Times New Roman" w:eastAsia="Calibri" w:hAnsi="Times New Roman"/>
          <w:sz w:val="24"/>
          <w:szCs w:val="24"/>
          <w:lang w:val="en-ZW" w:eastAsia="ru-RU"/>
        </w:rPr>
        <w:t>How should this portfolio be enhanced to support central authorities, local communities and civil society in improving service delivery over the long term?</w:t>
      </w:r>
    </w:p>
    <w:p w14:paraId="4AE11EF7" w14:textId="77777777" w:rsidR="006F3E09" w:rsidRPr="00AA304B" w:rsidRDefault="006F3E09" w:rsidP="00F769B0">
      <w:pPr>
        <w:numPr>
          <w:ilvl w:val="0"/>
          <w:numId w:val="15"/>
        </w:numPr>
        <w:spacing w:after="0"/>
        <w:contextualSpacing/>
        <w:jc w:val="left"/>
        <w:rPr>
          <w:rFonts w:ascii="Times New Roman" w:eastAsia="Calibri" w:hAnsi="Times New Roman"/>
          <w:sz w:val="24"/>
          <w:szCs w:val="24"/>
          <w:lang w:val="en-ZW" w:eastAsia="ru-RU"/>
        </w:rPr>
      </w:pPr>
      <w:r w:rsidRPr="00AA304B">
        <w:rPr>
          <w:rFonts w:ascii="Times New Roman" w:eastAsia="Calibri" w:hAnsi="Times New Roman"/>
          <w:sz w:val="24"/>
          <w:szCs w:val="24"/>
          <w:lang w:val="en-ZW" w:eastAsia="ru-RU"/>
        </w:rPr>
        <w:t xml:space="preserve">What changes should be made in the current set of partnerships and strategies in order to promote long-term sustainability? </w:t>
      </w:r>
    </w:p>
    <w:p w14:paraId="396DB8BE" w14:textId="77777777" w:rsidR="006F3E09" w:rsidRPr="00AA304B" w:rsidRDefault="006F3E09" w:rsidP="00F769B0">
      <w:pPr>
        <w:numPr>
          <w:ilvl w:val="0"/>
          <w:numId w:val="15"/>
        </w:numPr>
        <w:spacing w:after="0"/>
        <w:contextualSpacing/>
        <w:jc w:val="left"/>
        <w:rPr>
          <w:rFonts w:ascii="Times New Roman" w:eastAsia="Calibri" w:hAnsi="Times New Roman"/>
          <w:sz w:val="24"/>
          <w:szCs w:val="24"/>
          <w:lang w:val="en-ZW" w:eastAsia="ru-RU"/>
        </w:rPr>
      </w:pPr>
      <w:r w:rsidRPr="00AA304B">
        <w:rPr>
          <w:rFonts w:ascii="Times New Roman" w:eastAsia="Calibri" w:hAnsi="Times New Roman"/>
          <w:sz w:val="24"/>
          <w:szCs w:val="24"/>
          <w:lang w:val="en-ZW" w:eastAsia="ru-RU"/>
        </w:rPr>
        <w:t xml:space="preserve">What could be done to strengthen sustainability of outcomes? </w:t>
      </w:r>
    </w:p>
    <w:p w14:paraId="41552C70" w14:textId="77777777" w:rsidR="006F3E09" w:rsidRPr="00AA304B" w:rsidRDefault="006F3E09" w:rsidP="00F769B0">
      <w:pPr>
        <w:numPr>
          <w:ilvl w:val="0"/>
          <w:numId w:val="15"/>
        </w:numPr>
        <w:spacing w:after="0"/>
        <w:contextualSpacing/>
        <w:jc w:val="left"/>
        <w:rPr>
          <w:rFonts w:ascii="Times New Roman" w:eastAsia="Calibri" w:hAnsi="Times New Roman"/>
          <w:sz w:val="24"/>
          <w:szCs w:val="24"/>
          <w:lang w:val="en-ZW" w:eastAsia="ru-RU"/>
        </w:rPr>
      </w:pPr>
      <w:r w:rsidRPr="00AA304B">
        <w:rPr>
          <w:rFonts w:ascii="Times New Roman" w:eastAsia="Calibri" w:hAnsi="Times New Roman"/>
          <w:sz w:val="24"/>
          <w:szCs w:val="24"/>
          <w:lang w:val="en-ZW" w:eastAsia="ru-RU"/>
        </w:rPr>
        <w:t>Is the UNCT and individuals agency resource mobilization strategy in the area of democratic governance appropriate and likely to be effective in achieving this outcome?</w:t>
      </w:r>
    </w:p>
    <w:p w14:paraId="7B968F3D" w14:textId="77777777" w:rsidR="006F3E09" w:rsidRPr="00AA304B" w:rsidRDefault="006F3E09" w:rsidP="00F769B0">
      <w:pPr>
        <w:numPr>
          <w:ilvl w:val="0"/>
          <w:numId w:val="15"/>
        </w:numPr>
        <w:spacing w:after="0"/>
        <w:contextualSpacing/>
        <w:jc w:val="left"/>
        <w:rPr>
          <w:rFonts w:ascii="Times New Roman" w:eastAsia="Calibri" w:hAnsi="Times New Roman"/>
          <w:sz w:val="24"/>
          <w:szCs w:val="24"/>
          <w:lang w:val="en-ZW" w:eastAsia="ru-RU"/>
        </w:rPr>
      </w:pPr>
      <w:r w:rsidRPr="00AA304B">
        <w:rPr>
          <w:rFonts w:ascii="Times New Roman" w:eastAsia="Calibri" w:hAnsi="Times New Roman"/>
          <w:sz w:val="24"/>
          <w:szCs w:val="24"/>
          <w:lang w:val="en-ZW" w:eastAsia="ru-RU"/>
        </w:rPr>
        <w:t xml:space="preserve">Are UNCT’s management structures and working methods appropriate and likely to be effective in achieving this outcome? </w:t>
      </w:r>
    </w:p>
    <w:p w14:paraId="5A020D19" w14:textId="77777777" w:rsidR="006F3E09" w:rsidRPr="00AA304B" w:rsidRDefault="006F3E09" w:rsidP="006F3E09">
      <w:pPr>
        <w:spacing w:after="0"/>
        <w:ind w:left="720"/>
        <w:contextualSpacing/>
        <w:rPr>
          <w:rFonts w:ascii="Times New Roman" w:eastAsia="Calibri" w:hAnsi="Times New Roman"/>
          <w:sz w:val="24"/>
          <w:szCs w:val="24"/>
          <w:lang w:val="en-ZW" w:eastAsia="ru-RU"/>
        </w:rPr>
      </w:pPr>
    </w:p>
    <w:p w14:paraId="1BBD4E54" w14:textId="77777777" w:rsidR="006F3E09" w:rsidRPr="00AA304B" w:rsidRDefault="006F3E09" w:rsidP="006F3E09">
      <w:pPr>
        <w:spacing w:after="0"/>
        <w:rPr>
          <w:rFonts w:ascii="Times New Roman" w:eastAsia="Calibri" w:hAnsi="Times New Roman"/>
          <w:sz w:val="24"/>
          <w:szCs w:val="24"/>
          <w:lang w:val="en-ZW" w:eastAsia="ru-RU"/>
        </w:rPr>
      </w:pPr>
      <w:r w:rsidRPr="00AA304B">
        <w:rPr>
          <w:rFonts w:ascii="Times New Roman" w:eastAsia="Calibri" w:hAnsi="Times New Roman"/>
          <w:sz w:val="24"/>
          <w:szCs w:val="24"/>
          <w:lang w:val="en-ZW" w:eastAsia="ru-RU"/>
        </w:rPr>
        <w:t xml:space="preserve">The evaluation should also include an assessment of the extent to which programme design, implementation and monitoring have taken the cross cutting issues into consideration: including gender equality and human rights. </w:t>
      </w:r>
    </w:p>
    <w:p w14:paraId="4872A29D" w14:textId="77777777" w:rsidR="006F3E09" w:rsidRPr="00AA304B" w:rsidRDefault="006F3E09" w:rsidP="006F3E09">
      <w:pPr>
        <w:spacing w:after="0"/>
        <w:rPr>
          <w:rFonts w:ascii="Times New Roman" w:eastAsia="Calibri" w:hAnsi="Times New Roman"/>
          <w:sz w:val="24"/>
          <w:szCs w:val="24"/>
          <w:lang w:val="en-ZW" w:eastAsia="ru-RU"/>
        </w:rPr>
      </w:pPr>
    </w:p>
    <w:p w14:paraId="70D5406B" w14:textId="77777777" w:rsidR="006F3E09" w:rsidRPr="00AA304B" w:rsidRDefault="006F3E09" w:rsidP="00F17A77">
      <w:pPr>
        <w:spacing w:after="0"/>
        <w:rPr>
          <w:rFonts w:ascii="Times New Roman" w:hAnsi="Times New Roman"/>
          <w:lang w:val="en-US"/>
        </w:rPr>
      </w:pPr>
      <w:r w:rsidRPr="00AA304B">
        <w:rPr>
          <w:rFonts w:ascii="Times New Roman" w:eastAsia="Calibri" w:hAnsi="Times New Roman"/>
          <w:sz w:val="24"/>
          <w:szCs w:val="24"/>
          <w:lang w:val="en-ZW" w:eastAsia="ru-RU"/>
        </w:rPr>
        <w:t xml:space="preserve">Based on the above analysis, the evaluators are expected to provide overarching conclusions on the UNCT and individual participating UN agency results in this area of support, as well as recommend on how adjustments in the areas of: programming, partnership arrangements, resource mobilization strategies, and capacities would ensure that the portfolio fully achieves current </w:t>
      </w:r>
      <w:r w:rsidRPr="00AA304B">
        <w:rPr>
          <w:rFonts w:ascii="Times New Roman" w:eastAsia="Calibri" w:hAnsi="Times New Roman"/>
          <w:sz w:val="24"/>
          <w:szCs w:val="24"/>
          <w:lang w:val="en-ZW" w:eastAsia="ru-RU"/>
        </w:rPr>
        <w:lastRenderedPageBreak/>
        <w:t>planned outcomes and is positioned for sustainable results in the future.  The evaluation analysis is additionally expected to offer wider lessons for the UNCT collectively, and individual participating UN agencies as well as the broader supportive developme</w:t>
      </w:r>
      <w:r w:rsidR="00F17A77">
        <w:rPr>
          <w:rFonts w:ascii="Times New Roman" w:eastAsia="Calibri" w:hAnsi="Times New Roman"/>
          <w:sz w:val="24"/>
          <w:szCs w:val="24"/>
          <w:lang w:val="en-ZW" w:eastAsia="ru-RU"/>
        </w:rPr>
        <w:t xml:space="preserve">nt mechanisms to the country. </w:t>
      </w:r>
      <w:r w:rsidRPr="00AA304B">
        <w:rPr>
          <w:rFonts w:ascii="Times New Roman" w:hAnsi="Times New Roman"/>
          <w:lang w:val="en-US"/>
        </w:rPr>
        <w:t>The evaluators will be expected to develop and present detailed statement of evaluations methods/approaches in an inception report to show how each objective, evaluation question and criterion will be answered.</w:t>
      </w:r>
      <w:r w:rsidRPr="00AA304B" w:rsidDel="00577175">
        <w:rPr>
          <w:rFonts w:ascii="Times New Roman" w:hAnsi="Times New Roman"/>
          <w:lang w:val="en-US"/>
        </w:rPr>
        <w:t xml:space="preserve"> </w:t>
      </w:r>
    </w:p>
    <w:p w14:paraId="40152B7A" w14:textId="77777777" w:rsidR="006F3E09" w:rsidRPr="00AA304B" w:rsidRDefault="006F3E09" w:rsidP="006F3E09">
      <w:pPr>
        <w:spacing w:after="200" w:line="276" w:lineRule="auto"/>
        <w:jc w:val="left"/>
        <w:rPr>
          <w:rFonts w:ascii="Times New Roman" w:eastAsia="Calibri" w:hAnsi="Times New Roman"/>
          <w:lang w:val="en-US"/>
        </w:rPr>
      </w:pPr>
    </w:p>
    <w:p w14:paraId="0731C2A9" w14:textId="77777777" w:rsidR="006F3E09" w:rsidRDefault="006F3E09" w:rsidP="00F769B0">
      <w:pPr>
        <w:numPr>
          <w:ilvl w:val="0"/>
          <w:numId w:val="10"/>
        </w:numPr>
        <w:spacing w:after="200"/>
        <w:contextualSpacing/>
        <w:jc w:val="left"/>
        <w:rPr>
          <w:rFonts w:ascii="Times New Roman" w:eastAsia="Calibri" w:hAnsi="Times New Roman"/>
          <w:b/>
          <w:lang w:val="en-US"/>
        </w:rPr>
      </w:pPr>
      <w:r w:rsidRPr="006F3E09">
        <w:rPr>
          <w:rFonts w:ascii="Times New Roman" w:eastAsia="Calibri" w:hAnsi="Times New Roman"/>
          <w:b/>
          <w:lang w:val="en-US"/>
        </w:rPr>
        <w:t>METHODOLOGY</w:t>
      </w:r>
    </w:p>
    <w:p w14:paraId="1B0590FC" w14:textId="77777777" w:rsidR="006F3E09" w:rsidRPr="006F3E09" w:rsidRDefault="006F3E09" w:rsidP="006F3E09">
      <w:pPr>
        <w:spacing w:after="200"/>
        <w:ind w:left="360"/>
        <w:contextualSpacing/>
        <w:jc w:val="left"/>
        <w:rPr>
          <w:rFonts w:ascii="Times New Roman" w:eastAsia="Calibri" w:hAnsi="Times New Roman"/>
          <w:b/>
          <w:lang w:val="en-US"/>
        </w:rPr>
      </w:pPr>
    </w:p>
    <w:p w14:paraId="3F97C0E1" w14:textId="77777777" w:rsidR="006F3E09" w:rsidRPr="006F3E09" w:rsidRDefault="006F3E09" w:rsidP="006F3E09">
      <w:pPr>
        <w:spacing w:after="200"/>
        <w:ind w:right="-279"/>
        <w:rPr>
          <w:rFonts w:ascii="Times New Roman" w:eastAsia="Calibri" w:hAnsi="Times New Roman"/>
          <w:lang w:val="en-US"/>
        </w:rPr>
      </w:pPr>
      <w:r w:rsidRPr="006F3E09">
        <w:rPr>
          <w:rFonts w:ascii="Times New Roman" w:eastAsia="Calibri" w:hAnsi="Times New Roman"/>
          <w:lang w:val="en-US"/>
        </w:rPr>
        <w:t>The evaluation team should provide details in respect of:</w:t>
      </w:r>
    </w:p>
    <w:p w14:paraId="3BCF4D75" w14:textId="77777777" w:rsidR="006F3E09" w:rsidRPr="00F17A77" w:rsidRDefault="006F3E09" w:rsidP="006F3E09">
      <w:pPr>
        <w:rPr>
          <w:rFonts w:ascii="Times New Roman" w:hAnsi="Times New Roman"/>
          <w:lang w:val="en-US"/>
        </w:rPr>
      </w:pPr>
      <w:r w:rsidRPr="00F17A77">
        <w:rPr>
          <w:rFonts w:ascii="Times New Roman" w:hAnsi="Times New Roman"/>
          <w:b/>
          <w:lang w:val="en-US"/>
        </w:rPr>
        <w:t>Review of project documentation</w:t>
      </w:r>
      <w:r w:rsidRPr="00F17A77">
        <w:rPr>
          <w:rFonts w:ascii="Times New Roman" w:hAnsi="Times New Roman"/>
          <w:lang w:val="en-US"/>
        </w:rPr>
        <w:t>. Review of key project documents such as approved program documents, recent studies, evaluations and reviews, project monitoring documents, disbursement reports, progress reports and other information available implementing agencies or participating UN agency offices.</w:t>
      </w:r>
    </w:p>
    <w:p w14:paraId="1ADB538E" w14:textId="77777777" w:rsidR="006F3E09" w:rsidRPr="00F17A77" w:rsidRDefault="006F3E09" w:rsidP="006F3E09">
      <w:pPr>
        <w:rPr>
          <w:rFonts w:ascii="Times New Roman" w:hAnsi="Times New Roman"/>
          <w:lang w:val="en-US"/>
        </w:rPr>
      </w:pPr>
      <w:r w:rsidRPr="00F17A77">
        <w:rPr>
          <w:rFonts w:ascii="Times New Roman" w:hAnsi="Times New Roman"/>
          <w:lang w:val="en-US"/>
        </w:rPr>
        <w:t>Construct a theory, identify detail evaluation questions, methods (mixed methods) and instruments, stakeholder mapping, etc.</w:t>
      </w:r>
    </w:p>
    <w:p w14:paraId="6B211E17" w14:textId="77777777" w:rsidR="006F3E09" w:rsidRPr="00F17A77" w:rsidRDefault="006F3E09" w:rsidP="006F3E09">
      <w:pPr>
        <w:rPr>
          <w:rFonts w:ascii="Times New Roman" w:hAnsi="Times New Roman"/>
          <w:lang w:val="en-US"/>
        </w:rPr>
      </w:pPr>
      <w:r w:rsidRPr="00F17A77">
        <w:rPr>
          <w:rFonts w:ascii="Times New Roman" w:hAnsi="Times New Roman"/>
          <w:b/>
          <w:lang w:val="en-US"/>
        </w:rPr>
        <w:t>Data collection</w:t>
      </w:r>
      <w:r w:rsidRPr="00F17A77">
        <w:rPr>
          <w:rFonts w:ascii="Times New Roman" w:hAnsi="Times New Roman"/>
          <w:lang w:val="en-US"/>
        </w:rPr>
        <w:t>: (i) visits to selected stakeholders to carry out in depth interviews, inspection, and analysis of the project activities; (ii) phone interviews and performance data surveys of institutions not visited in person; (iii) interviews with the implementing agencies and participating UN agencies.  For each of these interviews, the consultant should first develop and present their ideas for the content and format of the interview forms that will be applied to capture the information required, as well as the method to be used in administering them and tabulating the results.</w:t>
      </w:r>
    </w:p>
    <w:p w14:paraId="708C3856" w14:textId="77777777" w:rsidR="006F3E09" w:rsidRPr="00F17A77" w:rsidRDefault="006F3E09" w:rsidP="006F3E09">
      <w:pPr>
        <w:rPr>
          <w:rFonts w:ascii="Times New Roman" w:hAnsi="Times New Roman"/>
          <w:lang w:val="en-US"/>
        </w:rPr>
      </w:pPr>
      <w:r w:rsidRPr="00F17A77">
        <w:rPr>
          <w:rFonts w:ascii="Times New Roman" w:hAnsi="Times New Roman"/>
          <w:b/>
          <w:lang w:val="en-US"/>
        </w:rPr>
        <w:t xml:space="preserve">Analysis: </w:t>
      </w:r>
      <w:r w:rsidRPr="00F17A77">
        <w:rPr>
          <w:rFonts w:ascii="Times New Roman" w:hAnsi="Times New Roman"/>
          <w:lang w:val="en-US"/>
        </w:rPr>
        <w:t>Data triangulation and analysis triangulation to validate evidence and arrive at findings.</w:t>
      </w:r>
    </w:p>
    <w:p w14:paraId="4E5A2F4E" w14:textId="77777777" w:rsidR="006F3E09" w:rsidRPr="00F17A77" w:rsidRDefault="006F3E09" w:rsidP="006F3E09">
      <w:pPr>
        <w:rPr>
          <w:rFonts w:ascii="Times New Roman" w:hAnsi="Times New Roman"/>
          <w:lang w:val="en-US"/>
        </w:rPr>
      </w:pPr>
      <w:r w:rsidRPr="00F17A77">
        <w:rPr>
          <w:rFonts w:ascii="Times New Roman" w:hAnsi="Times New Roman"/>
          <w:lang w:val="en-US"/>
        </w:rPr>
        <w:t>The evaluators will be expected to develop and present detailed statement of evaluations methods/approaches in an inception report to show how each objective, evaluation question and criterion will be answered.</w:t>
      </w:r>
      <w:r w:rsidRPr="00F17A77" w:rsidDel="00577175">
        <w:rPr>
          <w:rFonts w:ascii="Times New Roman" w:hAnsi="Times New Roman"/>
          <w:lang w:val="en-US"/>
        </w:rPr>
        <w:t xml:space="preserve"> </w:t>
      </w:r>
    </w:p>
    <w:p w14:paraId="74D5AB1C" w14:textId="77777777" w:rsidR="006F3E09" w:rsidRPr="006F3E09" w:rsidRDefault="006F3E09" w:rsidP="00F769B0">
      <w:pPr>
        <w:numPr>
          <w:ilvl w:val="0"/>
          <w:numId w:val="10"/>
        </w:numPr>
        <w:spacing w:after="200"/>
        <w:contextualSpacing/>
        <w:jc w:val="left"/>
        <w:rPr>
          <w:rFonts w:ascii="Times New Roman" w:eastAsia="Calibri" w:hAnsi="Times New Roman"/>
          <w:b/>
          <w:lang w:val="en-US"/>
        </w:rPr>
      </w:pPr>
      <w:r w:rsidRPr="006F3E09">
        <w:rPr>
          <w:rFonts w:ascii="Times New Roman" w:eastAsia="Calibri" w:hAnsi="Times New Roman"/>
          <w:b/>
          <w:lang w:val="en-US"/>
        </w:rPr>
        <w:t>IMPLEMENTATION ARRANGEMENTS</w:t>
      </w:r>
    </w:p>
    <w:p w14:paraId="441240F7" w14:textId="77777777" w:rsidR="006F3E09" w:rsidRPr="006F3E09" w:rsidRDefault="006F3E09" w:rsidP="006F3E09">
      <w:pPr>
        <w:spacing w:after="60"/>
        <w:ind w:left="720"/>
        <w:rPr>
          <w:rFonts w:ascii="Times New Roman" w:eastAsia="Calibri" w:hAnsi="Times New Roman"/>
          <w:lang w:val="en-US"/>
        </w:rPr>
      </w:pPr>
    </w:p>
    <w:p w14:paraId="0B531DDF" w14:textId="77777777" w:rsidR="006F3E09" w:rsidRPr="006F3E09" w:rsidRDefault="006F3E09" w:rsidP="002559D1">
      <w:pPr>
        <w:numPr>
          <w:ilvl w:val="0"/>
          <w:numId w:val="7"/>
        </w:numPr>
        <w:spacing w:after="200" w:line="276" w:lineRule="auto"/>
        <w:contextualSpacing/>
        <w:jc w:val="left"/>
        <w:rPr>
          <w:rFonts w:ascii="Times New Roman" w:eastAsia="Calibri" w:hAnsi="Times New Roman"/>
          <w:lang w:val="en-US"/>
        </w:rPr>
      </w:pPr>
      <w:r w:rsidRPr="006F3E09">
        <w:rPr>
          <w:rFonts w:ascii="Times New Roman" w:eastAsia="Calibri" w:hAnsi="Times New Roman"/>
          <w:lang w:val="en-US"/>
        </w:rPr>
        <w:t xml:space="preserve">An Evaluation Management Task Force will be established to manage the evaluation process. Each participating UN Agency will appoint an evaluation focal point who will be members of the task force.  The full membership of the task force will include government counterparts to UNDAF outcome 4.1 and selected UN officers from the UNDAF outcome 4.1 group.  The task force will assist in key aspects of the evaluation process including reviewing evaluation Terms of Reference, selecting evaluators, providing documents, providing detailed comments on the inception and draft evaluation reports and dissemination of evaluation findings, lessons learnt and recommendations.   </w:t>
      </w:r>
    </w:p>
    <w:p w14:paraId="0EADBB32" w14:textId="77777777" w:rsidR="006F3E09" w:rsidRPr="006F3E09" w:rsidRDefault="006F3E09" w:rsidP="002559D1">
      <w:pPr>
        <w:numPr>
          <w:ilvl w:val="0"/>
          <w:numId w:val="7"/>
        </w:numPr>
        <w:spacing w:after="200" w:line="276" w:lineRule="auto"/>
        <w:contextualSpacing/>
        <w:jc w:val="left"/>
        <w:rPr>
          <w:rFonts w:ascii="Times New Roman" w:eastAsia="Calibri" w:hAnsi="Times New Roman"/>
          <w:lang w:val="en-US"/>
        </w:rPr>
      </w:pPr>
      <w:r w:rsidRPr="006F3E09">
        <w:rPr>
          <w:rFonts w:ascii="Times New Roman" w:eastAsia="Calibri" w:hAnsi="Times New Roman"/>
          <w:lang w:val="en-US"/>
        </w:rPr>
        <w:t>The evaluation coordinating agency, UNDP in consultation with the RCO will provide the necessary guidance on the process and in reviewing reports.</w:t>
      </w:r>
    </w:p>
    <w:p w14:paraId="39F33612" w14:textId="77777777" w:rsidR="006F3E09" w:rsidRPr="006F3E09" w:rsidRDefault="006F3E09" w:rsidP="002559D1">
      <w:pPr>
        <w:numPr>
          <w:ilvl w:val="0"/>
          <w:numId w:val="7"/>
        </w:numPr>
        <w:spacing w:after="60"/>
        <w:jc w:val="left"/>
        <w:rPr>
          <w:rFonts w:ascii="Times New Roman" w:eastAsia="Calibri" w:hAnsi="Times New Roman"/>
          <w:lang w:val="en-US"/>
        </w:rPr>
      </w:pPr>
      <w:r w:rsidRPr="006F3E09">
        <w:rPr>
          <w:rFonts w:ascii="Times New Roman" w:eastAsia="Calibri" w:hAnsi="Times New Roman"/>
          <w:lang w:val="en-US"/>
        </w:rPr>
        <w:t>A UNDP focal point will be identified to support the Evaluation Team on daily basis with respect to providing background information and progress reports and other documentation on Outcome 4.1, setting up stakeholder meetings and interviews, arrange field visits and coordinating with Government, other IPs and DPs.   The focal point will also lead the Evaluation Management Task Force.</w:t>
      </w:r>
    </w:p>
    <w:p w14:paraId="426E2043" w14:textId="77777777" w:rsidR="006F3E09" w:rsidRPr="006F3E09" w:rsidRDefault="006F3E09" w:rsidP="002559D1">
      <w:pPr>
        <w:numPr>
          <w:ilvl w:val="0"/>
          <w:numId w:val="7"/>
        </w:numPr>
        <w:spacing w:after="120"/>
        <w:contextualSpacing/>
        <w:jc w:val="left"/>
        <w:rPr>
          <w:rFonts w:ascii="Times New Roman" w:eastAsia="Calibri" w:hAnsi="Times New Roman"/>
          <w:lang w:val="en-US"/>
        </w:rPr>
      </w:pPr>
      <w:r w:rsidRPr="006F3E09">
        <w:rPr>
          <w:rFonts w:ascii="Times New Roman" w:eastAsia="Calibri" w:hAnsi="Times New Roman"/>
          <w:lang w:val="en-US"/>
        </w:rPr>
        <w:lastRenderedPageBreak/>
        <w:t xml:space="preserve">The Evaluation team leader will have the overall responsibility for the conduct of the evaluation exercise as well as quality and timely submission of the final evaluation report to UNDP. </w:t>
      </w:r>
    </w:p>
    <w:p w14:paraId="15D88E5F" w14:textId="77777777" w:rsidR="006F3E09" w:rsidRPr="006F3E09" w:rsidRDefault="006F3E09" w:rsidP="002559D1">
      <w:pPr>
        <w:numPr>
          <w:ilvl w:val="0"/>
          <w:numId w:val="7"/>
        </w:numPr>
        <w:spacing w:after="60"/>
        <w:jc w:val="left"/>
        <w:rPr>
          <w:rFonts w:ascii="Times New Roman" w:eastAsia="Calibri" w:hAnsi="Times New Roman"/>
          <w:lang w:val="en-US"/>
        </w:rPr>
      </w:pPr>
      <w:r w:rsidRPr="006F3E09">
        <w:rPr>
          <w:rFonts w:ascii="Times New Roman" w:eastAsia="Calibri" w:hAnsi="Times New Roman"/>
          <w:lang w:val="en-US"/>
        </w:rPr>
        <w:t xml:space="preserve">The Evaluation Team will be expected to be fully self-sufficient in terms of office equipment and supplies, communication, accommodation and transport.  Furthermore the evaluators will be expected to </w:t>
      </w:r>
      <w:r w:rsidR="00F17A77" w:rsidRPr="006F3E09">
        <w:rPr>
          <w:rFonts w:ascii="Times New Roman" w:eastAsia="Calibri" w:hAnsi="Times New Roman"/>
          <w:lang w:val="en-US"/>
        </w:rPr>
        <w:t>familiarize</w:t>
      </w:r>
      <w:r w:rsidRPr="006F3E09">
        <w:rPr>
          <w:rFonts w:ascii="Times New Roman" w:eastAsia="Calibri" w:hAnsi="Times New Roman"/>
          <w:lang w:val="en-US"/>
        </w:rPr>
        <w:t xml:space="preserve"> themselves with the United Nations Evaluation Group’s standards and norms for conducting project evaluations.</w:t>
      </w:r>
    </w:p>
    <w:p w14:paraId="2FDA98CC" w14:textId="77777777" w:rsidR="006F3E09" w:rsidRPr="006F3E09" w:rsidRDefault="006F3E09" w:rsidP="002559D1">
      <w:pPr>
        <w:numPr>
          <w:ilvl w:val="0"/>
          <w:numId w:val="7"/>
        </w:numPr>
        <w:spacing w:after="60"/>
        <w:jc w:val="left"/>
        <w:rPr>
          <w:rFonts w:ascii="Times New Roman" w:eastAsia="Calibri" w:hAnsi="Times New Roman"/>
          <w:lang w:val="en-US"/>
        </w:rPr>
      </w:pPr>
      <w:r w:rsidRPr="006F3E09">
        <w:rPr>
          <w:rFonts w:ascii="Times New Roman" w:eastAsia="Calibri" w:hAnsi="Times New Roman"/>
          <w:lang w:val="en-US"/>
        </w:rPr>
        <w:t>The Evaluation Team will provide the UNDP Outcome 4.1 focal point with regular reports and feedback on the progress of the evaluation process.</w:t>
      </w:r>
    </w:p>
    <w:p w14:paraId="70248C1E" w14:textId="77777777" w:rsidR="006F3E09" w:rsidRPr="006F3E09" w:rsidRDefault="006F3E09" w:rsidP="002559D1">
      <w:pPr>
        <w:numPr>
          <w:ilvl w:val="0"/>
          <w:numId w:val="7"/>
        </w:numPr>
        <w:spacing w:after="60"/>
        <w:jc w:val="left"/>
        <w:rPr>
          <w:rFonts w:ascii="Times New Roman" w:eastAsia="Calibri" w:hAnsi="Times New Roman"/>
          <w:lang w:val="en-US"/>
        </w:rPr>
      </w:pPr>
      <w:r w:rsidRPr="006F3E09">
        <w:rPr>
          <w:rFonts w:ascii="Times New Roman" w:eastAsia="Calibri" w:hAnsi="Times New Roman"/>
          <w:lang w:val="en-US"/>
        </w:rPr>
        <w:t xml:space="preserve">The UNDAF Cluster 4 Lead, i.e. the UNDP Deputy Resident Representative (Programme) will provide the overall oversight to the Outcome evaluation and ensure timely delivery and satisfactory final product. </w:t>
      </w:r>
    </w:p>
    <w:p w14:paraId="45205C13" w14:textId="77777777" w:rsidR="006F3E09" w:rsidRPr="006F3E09" w:rsidRDefault="006F3E09" w:rsidP="006F3E09">
      <w:pPr>
        <w:spacing w:after="60"/>
        <w:rPr>
          <w:rFonts w:ascii="Times New Roman" w:eastAsia="Calibri" w:hAnsi="Times New Roman"/>
          <w:lang w:val="en-US"/>
        </w:rPr>
      </w:pPr>
    </w:p>
    <w:p w14:paraId="05792471" w14:textId="77777777" w:rsidR="006F3E09" w:rsidRPr="006F3E09" w:rsidRDefault="006F3E09" w:rsidP="006F3E09">
      <w:pPr>
        <w:spacing w:after="60"/>
        <w:ind w:left="360"/>
        <w:rPr>
          <w:rFonts w:ascii="Times New Roman" w:eastAsia="Calibri" w:hAnsi="Times New Roman"/>
          <w:lang w:val="en-US"/>
        </w:rPr>
      </w:pPr>
    </w:p>
    <w:p w14:paraId="1377A6DF" w14:textId="77777777" w:rsidR="006F3E09" w:rsidRPr="006F3E09" w:rsidRDefault="006F3E09" w:rsidP="00F769B0">
      <w:pPr>
        <w:numPr>
          <w:ilvl w:val="0"/>
          <w:numId w:val="10"/>
        </w:numPr>
        <w:spacing w:after="60"/>
        <w:contextualSpacing/>
        <w:jc w:val="left"/>
        <w:rPr>
          <w:rFonts w:ascii="Times New Roman" w:eastAsia="Calibri" w:hAnsi="Times New Roman"/>
          <w:b/>
          <w:lang w:val="en-US"/>
        </w:rPr>
      </w:pPr>
      <w:r w:rsidRPr="006F3E09">
        <w:rPr>
          <w:rFonts w:ascii="Times New Roman" w:eastAsia="Calibri" w:hAnsi="Times New Roman"/>
          <w:b/>
          <w:lang w:val="en-US"/>
        </w:rPr>
        <w:t>DELIVERABLES</w:t>
      </w:r>
    </w:p>
    <w:p w14:paraId="704965BE" w14:textId="77777777" w:rsidR="006F3E09" w:rsidRPr="006F3E09" w:rsidRDefault="006F3E09" w:rsidP="002559D1">
      <w:pPr>
        <w:numPr>
          <w:ilvl w:val="0"/>
          <w:numId w:val="2"/>
        </w:numPr>
        <w:spacing w:before="120" w:after="0"/>
        <w:jc w:val="left"/>
        <w:rPr>
          <w:rFonts w:ascii="Times New Roman" w:eastAsia="Times New Roman" w:hAnsi="Times New Roman"/>
          <w:lang w:val="en-US"/>
        </w:rPr>
      </w:pPr>
      <w:r w:rsidRPr="006F3E09">
        <w:rPr>
          <w:rFonts w:ascii="Times New Roman" w:eastAsia="Times New Roman" w:hAnsi="Times New Roman"/>
          <w:b/>
          <w:lang w:val="en-US"/>
        </w:rPr>
        <w:t>Inception report</w:t>
      </w:r>
      <w:r w:rsidRPr="006F3E09">
        <w:rPr>
          <w:rFonts w:ascii="Times New Roman" w:eastAsia="Times New Roman" w:hAnsi="Times New Roman"/>
          <w:lang w:val="en-US"/>
        </w:rPr>
        <w:t xml:space="preserve"> – within 5 days of the start of the assignment with UNDP.  The report will include a detailed approach and methodology, schedule, a draft data collection protocols and an evaluation matrix.  Annex 5 gives a template of the evaluation matrix.  The work plan should also include an outline of the evaluation report as set out in Annex 2 of this TOR.</w:t>
      </w:r>
    </w:p>
    <w:p w14:paraId="4AD114B9" w14:textId="77777777" w:rsidR="006F3E09" w:rsidRPr="006F3E09" w:rsidRDefault="006F3E09" w:rsidP="002559D1">
      <w:pPr>
        <w:numPr>
          <w:ilvl w:val="0"/>
          <w:numId w:val="2"/>
        </w:numPr>
        <w:spacing w:before="120" w:after="0"/>
        <w:jc w:val="left"/>
        <w:rPr>
          <w:rFonts w:ascii="Times New Roman" w:eastAsia="Times New Roman" w:hAnsi="Times New Roman"/>
          <w:lang w:val="en-US"/>
        </w:rPr>
      </w:pPr>
      <w:r w:rsidRPr="006F3E09">
        <w:rPr>
          <w:rFonts w:ascii="Times New Roman" w:eastAsia="Times New Roman" w:hAnsi="Times New Roman"/>
          <w:b/>
          <w:lang w:val="en-US"/>
        </w:rPr>
        <w:t>Key emerging issues paper</w:t>
      </w:r>
      <w:r w:rsidRPr="006F3E09">
        <w:rPr>
          <w:rFonts w:ascii="Times New Roman" w:eastAsia="Times New Roman" w:hAnsi="Times New Roman"/>
          <w:lang w:val="en-US"/>
        </w:rPr>
        <w:t xml:space="preserve"> – a presentation of preliminary findings to key stakeholders orally and in writing will be made after the data collection exercise with 4 weeks after presentation of the inception report.  The purpose of this session is to provide opportunity for initial validation and elaboration of the evaluator’s observations and analysis.  </w:t>
      </w:r>
    </w:p>
    <w:p w14:paraId="5214C9DC" w14:textId="77777777" w:rsidR="006F3E09" w:rsidRPr="006F3E09" w:rsidRDefault="006F3E09" w:rsidP="002559D1">
      <w:pPr>
        <w:numPr>
          <w:ilvl w:val="0"/>
          <w:numId w:val="2"/>
        </w:numPr>
        <w:spacing w:after="60" w:line="276" w:lineRule="auto"/>
        <w:contextualSpacing/>
        <w:jc w:val="left"/>
        <w:rPr>
          <w:rFonts w:ascii="Times New Roman" w:eastAsia="Calibri" w:hAnsi="Times New Roman"/>
          <w:lang w:val="en-US"/>
        </w:rPr>
      </w:pPr>
      <w:r w:rsidRPr="006F3E09">
        <w:rPr>
          <w:rFonts w:ascii="Times New Roman" w:eastAsia="Calibri" w:hAnsi="Times New Roman"/>
          <w:b/>
          <w:lang w:val="en-US"/>
        </w:rPr>
        <w:t xml:space="preserve">Draft evaluation report </w:t>
      </w:r>
      <w:r w:rsidRPr="006F3E09">
        <w:rPr>
          <w:rFonts w:ascii="Times New Roman" w:eastAsia="Calibri" w:hAnsi="Times New Roman"/>
          <w:lang w:val="en-US"/>
        </w:rPr>
        <w:t>– The Evaluator will present a Draft Report within 5 weeks after presentation of the inception report.</w:t>
      </w:r>
    </w:p>
    <w:p w14:paraId="0290CFCC" w14:textId="77777777" w:rsidR="006F3E09" w:rsidRPr="006F3E09" w:rsidRDefault="006F3E09" w:rsidP="002559D1">
      <w:pPr>
        <w:numPr>
          <w:ilvl w:val="0"/>
          <w:numId w:val="2"/>
        </w:numPr>
        <w:spacing w:after="0" w:line="276" w:lineRule="auto"/>
        <w:contextualSpacing/>
        <w:jc w:val="left"/>
        <w:rPr>
          <w:rFonts w:ascii="Times New Roman" w:eastAsia="Calibri" w:hAnsi="Times New Roman"/>
          <w:lang w:val="en-US"/>
        </w:rPr>
      </w:pPr>
      <w:r w:rsidRPr="006F3E09">
        <w:rPr>
          <w:rFonts w:ascii="Times New Roman" w:eastAsia="Calibri" w:hAnsi="Times New Roman"/>
          <w:b/>
          <w:lang w:val="en-US"/>
        </w:rPr>
        <w:t>Final Evaluation Report</w:t>
      </w:r>
      <w:r w:rsidRPr="006F3E09">
        <w:rPr>
          <w:rFonts w:ascii="Times New Roman" w:eastAsia="Calibri" w:hAnsi="Times New Roman"/>
          <w:lang w:val="en-US"/>
        </w:rPr>
        <w:t>. The evaluators will present a Final Report 5 days after receiving feedback and comments from UNDP.</w:t>
      </w:r>
    </w:p>
    <w:p w14:paraId="0880748B" w14:textId="77777777" w:rsidR="006F3E09" w:rsidRPr="006F3E09" w:rsidRDefault="006F3E09" w:rsidP="006F3E09">
      <w:pPr>
        <w:spacing w:after="200" w:line="276" w:lineRule="auto"/>
        <w:rPr>
          <w:rFonts w:ascii="Times New Roman" w:eastAsia="Calibri" w:hAnsi="Times New Roman"/>
          <w:lang w:val="en-US"/>
        </w:rPr>
      </w:pPr>
    </w:p>
    <w:p w14:paraId="4303AB26" w14:textId="77777777" w:rsidR="006F3E09" w:rsidRPr="006F3E09" w:rsidRDefault="006F3E09" w:rsidP="00F769B0">
      <w:pPr>
        <w:numPr>
          <w:ilvl w:val="0"/>
          <w:numId w:val="10"/>
        </w:numPr>
        <w:spacing w:after="200"/>
        <w:contextualSpacing/>
        <w:jc w:val="left"/>
        <w:rPr>
          <w:rFonts w:ascii="Times New Roman" w:eastAsia="Calibri" w:hAnsi="Times New Roman"/>
          <w:b/>
          <w:lang w:val="en-US"/>
        </w:rPr>
      </w:pPr>
      <w:r w:rsidRPr="006F3E09">
        <w:rPr>
          <w:rFonts w:ascii="Times New Roman" w:eastAsia="Calibri" w:hAnsi="Times New Roman"/>
          <w:b/>
          <w:lang w:val="en-US"/>
        </w:rPr>
        <w:t xml:space="preserve">     COMPOSITION OF THE EVALUATION TEAM</w:t>
      </w:r>
    </w:p>
    <w:p w14:paraId="7EC9B98B" w14:textId="77777777" w:rsidR="006F3E09" w:rsidRPr="006F3E09" w:rsidRDefault="006F3E09" w:rsidP="006F3E09">
      <w:pPr>
        <w:spacing w:after="200"/>
        <w:ind w:left="360"/>
        <w:contextualSpacing/>
        <w:rPr>
          <w:rFonts w:ascii="Times New Roman" w:eastAsia="Calibri" w:hAnsi="Times New Roman"/>
          <w:b/>
          <w:lang w:val="en-US"/>
        </w:rPr>
      </w:pPr>
      <w:r w:rsidRPr="006F3E09">
        <w:rPr>
          <w:rFonts w:ascii="Times New Roman" w:eastAsia="Calibri" w:hAnsi="Times New Roman"/>
          <w:b/>
          <w:lang w:val="en-US"/>
        </w:rPr>
        <w:t xml:space="preserve">Team Leader will work with a national consultant employed by UNDP Malawi </w:t>
      </w:r>
    </w:p>
    <w:p w14:paraId="1BDFF7DE" w14:textId="77777777" w:rsidR="006F3E09" w:rsidRPr="006F3E09" w:rsidRDefault="006F3E09" w:rsidP="006F3E09">
      <w:pPr>
        <w:spacing w:after="200"/>
        <w:ind w:left="360"/>
        <w:contextualSpacing/>
        <w:rPr>
          <w:rFonts w:ascii="Times New Roman" w:eastAsia="Calibri" w:hAnsi="Times New Roman"/>
          <w:b/>
          <w:lang w:val="en-US"/>
        </w:rPr>
      </w:pPr>
    </w:p>
    <w:p w14:paraId="7A34C88D" w14:textId="77777777" w:rsidR="006F3E09" w:rsidRPr="006F3E09" w:rsidRDefault="006F3E09" w:rsidP="006F3E09">
      <w:pPr>
        <w:spacing w:after="200"/>
        <w:ind w:left="360"/>
        <w:contextualSpacing/>
        <w:rPr>
          <w:rFonts w:ascii="Times New Roman" w:eastAsia="Calibri" w:hAnsi="Times New Roman"/>
          <w:b/>
          <w:lang w:val="en-US"/>
        </w:rPr>
      </w:pPr>
    </w:p>
    <w:p w14:paraId="55FEBF4F" w14:textId="77777777" w:rsidR="006F3E09" w:rsidRPr="006F3E09" w:rsidRDefault="006F3E09" w:rsidP="006F3E09">
      <w:pPr>
        <w:spacing w:after="200"/>
        <w:rPr>
          <w:rFonts w:ascii="Times New Roman" w:eastAsia="Calibri" w:hAnsi="Times New Roman"/>
          <w:lang w:val="en-US"/>
        </w:rPr>
      </w:pPr>
      <w:r w:rsidRPr="006F3E09">
        <w:rPr>
          <w:rFonts w:ascii="Times New Roman" w:eastAsia="Calibri" w:hAnsi="Times New Roman"/>
          <w:lang w:val="en-US"/>
        </w:rPr>
        <w:t>The evaluation team will consist of the following members:</w:t>
      </w:r>
    </w:p>
    <w:p w14:paraId="28FE1DBB" w14:textId="77777777" w:rsidR="006F3E09" w:rsidRPr="006F3E09" w:rsidRDefault="006F3E09" w:rsidP="002559D1">
      <w:pPr>
        <w:numPr>
          <w:ilvl w:val="0"/>
          <w:numId w:val="5"/>
        </w:numPr>
        <w:spacing w:after="200"/>
        <w:contextualSpacing/>
        <w:jc w:val="left"/>
        <w:rPr>
          <w:rFonts w:ascii="Times New Roman" w:eastAsia="Calibri" w:hAnsi="Times New Roman"/>
          <w:lang w:val="en-US"/>
        </w:rPr>
      </w:pPr>
      <w:r w:rsidRPr="006F3E09">
        <w:rPr>
          <w:rFonts w:ascii="Times New Roman" w:eastAsia="Calibri" w:hAnsi="Times New Roman"/>
          <w:b/>
          <w:lang w:val="en-US"/>
        </w:rPr>
        <w:t>Team Leader</w:t>
      </w:r>
      <w:r w:rsidRPr="006F3E09">
        <w:rPr>
          <w:rFonts w:ascii="Times New Roman" w:eastAsia="Calibri" w:hAnsi="Times New Roman"/>
          <w:lang w:val="en-US"/>
        </w:rPr>
        <w:t xml:space="preserve"> (International consultant) who will be responsible for the overall outcome evaluation implementation and quality of the report.  He/she will solicit the input of a team member, an output evaluator. </w:t>
      </w:r>
    </w:p>
    <w:p w14:paraId="37C75538" w14:textId="77777777" w:rsidR="006F3E09" w:rsidRPr="006F3E09" w:rsidRDefault="006F3E09" w:rsidP="002559D1">
      <w:pPr>
        <w:numPr>
          <w:ilvl w:val="0"/>
          <w:numId w:val="5"/>
        </w:numPr>
        <w:spacing w:after="200"/>
        <w:contextualSpacing/>
        <w:jc w:val="left"/>
        <w:rPr>
          <w:rFonts w:ascii="Times New Roman" w:eastAsia="Calibri" w:hAnsi="Times New Roman"/>
          <w:b/>
          <w:sz w:val="24"/>
          <w:szCs w:val="24"/>
          <w:lang w:val="en-US"/>
        </w:rPr>
      </w:pPr>
      <w:r w:rsidRPr="006F3E09">
        <w:rPr>
          <w:rFonts w:ascii="Times New Roman" w:eastAsia="Calibri" w:hAnsi="Times New Roman"/>
          <w:b/>
          <w:lang w:val="en-US"/>
        </w:rPr>
        <w:t>Evaluation Team Member</w:t>
      </w:r>
      <w:r w:rsidRPr="006F3E09">
        <w:rPr>
          <w:rFonts w:ascii="Times New Roman" w:eastAsia="Calibri" w:hAnsi="Times New Roman"/>
          <w:lang w:val="en-US"/>
        </w:rPr>
        <w:t xml:space="preserve"> will report to the Team Leader, providing assessment of progress towards achievement of two outputs of the UNDAF Outcome 4.1 and who will be responsible for drafting relevant parts of the report.  Her/his technical expertise will cover at least two of the following areas:</w:t>
      </w:r>
      <w:r w:rsidRPr="006F3E09">
        <w:rPr>
          <w:rFonts w:ascii="Times New Roman" w:eastAsia="Calibri" w:hAnsi="Times New Roman"/>
          <w:b/>
          <w:sz w:val="24"/>
          <w:szCs w:val="24"/>
          <w:lang w:val="en-US"/>
        </w:rPr>
        <w:t xml:space="preserve"> </w:t>
      </w:r>
      <w:r w:rsidRPr="006F3E09">
        <w:rPr>
          <w:rFonts w:ascii="Times New Roman" w:eastAsia="Calibri" w:hAnsi="Times New Roman"/>
          <w:lang w:val="en-US"/>
        </w:rPr>
        <w:t>1) public sector management; 2) democratic governance; 3)  national elections management; 4) social cohesion and 5) human rights promotion and protection.</w:t>
      </w:r>
    </w:p>
    <w:p w14:paraId="751D075A" w14:textId="77777777" w:rsidR="006F3E09" w:rsidRPr="006F3E09" w:rsidRDefault="006F3E09" w:rsidP="006F3E09">
      <w:pPr>
        <w:spacing w:after="200"/>
        <w:ind w:left="360"/>
        <w:contextualSpacing/>
        <w:rPr>
          <w:rFonts w:ascii="Times New Roman" w:eastAsia="Calibri" w:hAnsi="Times New Roman"/>
          <w:b/>
          <w:lang w:val="en-US"/>
        </w:rPr>
      </w:pPr>
    </w:p>
    <w:p w14:paraId="75B008DE" w14:textId="77777777" w:rsidR="006F3E09" w:rsidRPr="006F3E09" w:rsidRDefault="006F3E09" w:rsidP="002559D1">
      <w:pPr>
        <w:numPr>
          <w:ilvl w:val="1"/>
          <w:numId w:val="9"/>
        </w:numPr>
        <w:spacing w:after="200"/>
        <w:contextualSpacing/>
        <w:jc w:val="left"/>
        <w:rPr>
          <w:rFonts w:ascii="Times New Roman" w:eastAsia="Calibri" w:hAnsi="Times New Roman"/>
          <w:b/>
          <w:lang w:val="en-US"/>
        </w:rPr>
      </w:pPr>
      <w:r w:rsidRPr="006F3E09">
        <w:rPr>
          <w:rFonts w:ascii="Times New Roman" w:eastAsia="Calibri" w:hAnsi="Times New Roman"/>
          <w:b/>
          <w:lang w:val="en-US"/>
        </w:rPr>
        <w:t>Qualifications</w:t>
      </w:r>
    </w:p>
    <w:p w14:paraId="7D51328B" w14:textId="77777777" w:rsidR="006F3E09" w:rsidRPr="006F3E09" w:rsidRDefault="006F3E09" w:rsidP="006F3E09">
      <w:pPr>
        <w:spacing w:after="200"/>
        <w:rPr>
          <w:rFonts w:ascii="Times New Roman" w:eastAsia="Calibri" w:hAnsi="Times New Roman"/>
          <w:lang w:val="en-US"/>
        </w:rPr>
      </w:pPr>
      <w:r w:rsidRPr="006F3E09">
        <w:rPr>
          <w:rFonts w:ascii="Times New Roman" w:eastAsia="Calibri" w:hAnsi="Times New Roman"/>
          <w:lang w:val="en-US"/>
        </w:rPr>
        <w:t>The Evaluation Team Leader must satisfy the following qualifications:</w:t>
      </w:r>
    </w:p>
    <w:p w14:paraId="2F0CEF1D" w14:textId="77777777" w:rsidR="006F3E09" w:rsidRPr="006F3E09" w:rsidRDefault="006F3E09" w:rsidP="002559D1">
      <w:pPr>
        <w:numPr>
          <w:ilvl w:val="0"/>
          <w:numId w:val="4"/>
        </w:numPr>
        <w:tabs>
          <w:tab w:val="num" w:pos="394"/>
        </w:tabs>
        <w:spacing w:after="0"/>
        <w:ind w:left="394"/>
        <w:jc w:val="left"/>
        <w:rPr>
          <w:rFonts w:ascii="Times New Roman" w:eastAsia="Calibri" w:hAnsi="Times New Roman"/>
          <w:lang w:val="en-US"/>
        </w:rPr>
      </w:pPr>
      <w:r w:rsidRPr="006F3E09">
        <w:rPr>
          <w:rFonts w:ascii="Times New Roman" w:eastAsia="Calibri" w:hAnsi="Times New Roman"/>
          <w:lang w:val="en-US"/>
        </w:rPr>
        <w:t xml:space="preserve">Minimum of Master’s degree in in economics, political science, public administration, regional development/planning,  or other social science;  </w:t>
      </w:r>
    </w:p>
    <w:p w14:paraId="1E3E05AD" w14:textId="77777777" w:rsidR="006F3E09" w:rsidRPr="006F3E09" w:rsidRDefault="006F3E09" w:rsidP="002559D1">
      <w:pPr>
        <w:numPr>
          <w:ilvl w:val="0"/>
          <w:numId w:val="4"/>
        </w:numPr>
        <w:tabs>
          <w:tab w:val="num" w:pos="394"/>
        </w:tabs>
        <w:spacing w:after="0"/>
        <w:ind w:left="394"/>
        <w:jc w:val="left"/>
        <w:rPr>
          <w:rFonts w:ascii="Times New Roman" w:eastAsia="Calibri" w:hAnsi="Times New Roman"/>
          <w:lang w:val="en-US"/>
        </w:rPr>
      </w:pPr>
      <w:r w:rsidRPr="006F3E09">
        <w:rPr>
          <w:rFonts w:ascii="Times New Roman" w:eastAsia="Calibri" w:hAnsi="Times New Roman"/>
          <w:lang w:val="en-US"/>
        </w:rPr>
        <w:lastRenderedPageBreak/>
        <w:t>Minimum of 7 years of professional experience in the area public sector management or democratic governance or human rights promotion including gender;</w:t>
      </w:r>
    </w:p>
    <w:p w14:paraId="4C6C8507" w14:textId="77777777" w:rsidR="006F3E09" w:rsidRPr="006F3E09" w:rsidRDefault="006F3E09" w:rsidP="002559D1">
      <w:pPr>
        <w:numPr>
          <w:ilvl w:val="0"/>
          <w:numId w:val="4"/>
        </w:numPr>
        <w:tabs>
          <w:tab w:val="num" w:pos="394"/>
        </w:tabs>
        <w:spacing w:after="0"/>
        <w:ind w:left="394"/>
        <w:jc w:val="left"/>
        <w:rPr>
          <w:rFonts w:ascii="Times New Roman" w:eastAsia="Calibri" w:hAnsi="Times New Roman"/>
          <w:lang w:val="en-US"/>
        </w:rPr>
      </w:pPr>
      <w:r w:rsidRPr="006F3E09">
        <w:rPr>
          <w:rFonts w:ascii="Times New Roman" w:eastAsia="Calibri" w:hAnsi="Times New Roman"/>
          <w:lang w:val="en-US"/>
        </w:rPr>
        <w:t>Proven experience in leading consultancy teams:</w:t>
      </w:r>
    </w:p>
    <w:p w14:paraId="7A384CCF" w14:textId="77777777" w:rsidR="006F3E09" w:rsidRPr="006F3E09" w:rsidRDefault="006F3E09" w:rsidP="002559D1">
      <w:pPr>
        <w:numPr>
          <w:ilvl w:val="1"/>
          <w:numId w:val="4"/>
        </w:numPr>
        <w:spacing w:after="0"/>
        <w:jc w:val="left"/>
        <w:rPr>
          <w:rFonts w:ascii="Times New Roman" w:eastAsia="Calibri" w:hAnsi="Times New Roman"/>
          <w:lang w:val="en-US"/>
        </w:rPr>
      </w:pPr>
      <w:r w:rsidRPr="006F3E09">
        <w:rPr>
          <w:rFonts w:ascii="Times New Roman" w:eastAsia="Calibri" w:hAnsi="Times New Roman"/>
          <w:lang w:val="en-US"/>
        </w:rPr>
        <w:t>Track record of conducting evaluation of governments and international aid agencies in any of the following areas in the past 5 years: 1) public sector management; 2) democratic governance; 3)  national elections management;  4) social cohesion; and 5) human rights promotion and protection.</w:t>
      </w:r>
    </w:p>
    <w:p w14:paraId="5CE79749" w14:textId="77777777" w:rsidR="006F3E09" w:rsidRPr="006F3E09" w:rsidRDefault="006F3E09" w:rsidP="002559D1">
      <w:pPr>
        <w:numPr>
          <w:ilvl w:val="0"/>
          <w:numId w:val="3"/>
        </w:numPr>
        <w:spacing w:after="0"/>
        <w:ind w:left="360"/>
        <w:jc w:val="left"/>
        <w:rPr>
          <w:rFonts w:ascii="Times New Roman" w:eastAsia="Calibri" w:hAnsi="Times New Roman"/>
          <w:lang w:val="en-US"/>
        </w:rPr>
      </w:pPr>
      <w:r w:rsidRPr="006F3E09">
        <w:rPr>
          <w:rFonts w:ascii="Times New Roman" w:eastAsia="Calibri" w:hAnsi="Times New Roman"/>
          <w:lang w:val="en-US"/>
        </w:rPr>
        <w:t xml:space="preserve">Experience in conducting evaluations of UN agency project, outcome and Country Programme  or UNDAF evaluations will be an added advantage; </w:t>
      </w:r>
    </w:p>
    <w:p w14:paraId="3BA3AF8D" w14:textId="77777777" w:rsidR="006F3E09" w:rsidRPr="006F3E09" w:rsidRDefault="006F3E09" w:rsidP="002559D1">
      <w:pPr>
        <w:numPr>
          <w:ilvl w:val="0"/>
          <w:numId w:val="3"/>
        </w:numPr>
        <w:spacing w:after="0"/>
        <w:ind w:left="360"/>
        <w:jc w:val="left"/>
        <w:rPr>
          <w:rFonts w:ascii="Times New Roman" w:eastAsia="Calibri" w:hAnsi="Times New Roman"/>
          <w:lang w:val="en-US"/>
        </w:rPr>
      </w:pPr>
      <w:r w:rsidRPr="006F3E09">
        <w:rPr>
          <w:rFonts w:ascii="Times New Roman" w:eastAsia="Calibri" w:hAnsi="Times New Roman"/>
          <w:lang w:val="en-US"/>
        </w:rPr>
        <w:t xml:space="preserve">Excellent communication skills for report writing and presentation of research and evaluation projects backed by extensive technical reports and publications. </w:t>
      </w:r>
    </w:p>
    <w:p w14:paraId="11927A82" w14:textId="77777777" w:rsidR="006F3E09" w:rsidRPr="006F3E09" w:rsidRDefault="006F3E09" w:rsidP="002559D1">
      <w:pPr>
        <w:numPr>
          <w:ilvl w:val="0"/>
          <w:numId w:val="3"/>
        </w:numPr>
        <w:spacing w:after="0"/>
        <w:ind w:left="360"/>
        <w:jc w:val="left"/>
        <w:rPr>
          <w:rFonts w:ascii="Times New Roman" w:eastAsia="Calibri" w:hAnsi="Times New Roman"/>
          <w:lang w:val="en-US"/>
        </w:rPr>
      </w:pPr>
      <w:r w:rsidRPr="006F3E09">
        <w:rPr>
          <w:rFonts w:ascii="Times New Roman" w:eastAsia="Calibri" w:hAnsi="Times New Roman"/>
          <w:lang w:val="en-US"/>
        </w:rPr>
        <w:t>Availability between 20 October and 20 December, 2015.</w:t>
      </w:r>
    </w:p>
    <w:p w14:paraId="34EDF1F9" w14:textId="77777777" w:rsidR="006F3E09" w:rsidRPr="006F3E09" w:rsidRDefault="006F3E09" w:rsidP="006F3E09">
      <w:pPr>
        <w:widowControl w:val="0"/>
        <w:overflowPunct w:val="0"/>
        <w:adjustRightInd w:val="0"/>
        <w:spacing w:after="0"/>
        <w:ind w:left="720"/>
        <w:rPr>
          <w:rFonts w:ascii="Times New Roman" w:eastAsia="Calibri" w:hAnsi="Times New Roman"/>
          <w:b/>
          <w:color w:val="000000"/>
          <w:lang w:val="en-US"/>
        </w:rPr>
      </w:pPr>
    </w:p>
    <w:p w14:paraId="2768BCFE" w14:textId="77777777" w:rsidR="006F3E09" w:rsidRPr="006F3E09" w:rsidRDefault="006F3E09" w:rsidP="006F3E09">
      <w:pPr>
        <w:spacing w:after="0"/>
        <w:ind w:left="360"/>
        <w:rPr>
          <w:rFonts w:ascii="Times New Roman" w:eastAsia="Calibri" w:hAnsi="Times New Roman"/>
          <w:b/>
          <w:lang w:val="en-US"/>
        </w:rPr>
      </w:pPr>
      <w:r w:rsidRPr="006F3E09">
        <w:rPr>
          <w:rFonts w:ascii="Times New Roman" w:eastAsia="Calibri" w:hAnsi="Times New Roman"/>
          <w:b/>
          <w:lang w:val="en-US"/>
        </w:rPr>
        <w:t>Team leader competencies:</w:t>
      </w:r>
    </w:p>
    <w:p w14:paraId="78272673" w14:textId="77777777" w:rsidR="006F3E09" w:rsidRPr="006F3E09" w:rsidRDefault="006F3E09" w:rsidP="006F3E09">
      <w:pPr>
        <w:spacing w:after="0"/>
        <w:rPr>
          <w:rFonts w:ascii="Times New Roman" w:eastAsia="Calibri" w:hAnsi="Times New Roman"/>
          <w:lang w:val="en-US"/>
        </w:rPr>
      </w:pPr>
    </w:p>
    <w:p w14:paraId="10FB033D" w14:textId="77777777" w:rsidR="006F3E09" w:rsidRPr="006F3E09" w:rsidRDefault="006F3E09" w:rsidP="002559D1">
      <w:pPr>
        <w:numPr>
          <w:ilvl w:val="0"/>
          <w:numId w:val="6"/>
        </w:numPr>
        <w:spacing w:after="0"/>
        <w:contextualSpacing/>
        <w:jc w:val="left"/>
        <w:rPr>
          <w:rFonts w:ascii="Times New Roman" w:eastAsia="Calibri" w:hAnsi="Times New Roman"/>
          <w:lang w:val="en-US"/>
        </w:rPr>
      </w:pPr>
      <w:r w:rsidRPr="006F3E09">
        <w:rPr>
          <w:rFonts w:ascii="Times New Roman" w:eastAsia="Calibri" w:hAnsi="Times New Roman"/>
          <w:lang w:val="en-US"/>
        </w:rPr>
        <w:t xml:space="preserve">Institutional Strengthening </w:t>
      </w:r>
    </w:p>
    <w:p w14:paraId="08B7FF93" w14:textId="77777777" w:rsidR="006F3E09" w:rsidRPr="006F3E09" w:rsidRDefault="006F3E09" w:rsidP="002559D1">
      <w:pPr>
        <w:numPr>
          <w:ilvl w:val="0"/>
          <w:numId w:val="6"/>
        </w:numPr>
        <w:spacing w:after="0"/>
        <w:contextualSpacing/>
        <w:jc w:val="left"/>
        <w:rPr>
          <w:rFonts w:ascii="Times New Roman" w:eastAsia="Calibri" w:hAnsi="Times New Roman"/>
          <w:lang w:val="en-US"/>
        </w:rPr>
      </w:pPr>
      <w:r w:rsidRPr="006F3E09">
        <w:rPr>
          <w:rFonts w:ascii="Times New Roman" w:eastAsia="Calibri" w:hAnsi="Times New Roman"/>
          <w:lang w:val="en-US"/>
        </w:rPr>
        <w:t>Democratic governance</w:t>
      </w:r>
    </w:p>
    <w:p w14:paraId="15D457A9" w14:textId="77777777" w:rsidR="006F3E09" w:rsidRPr="006F3E09" w:rsidRDefault="006F3E09" w:rsidP="002559D1">
      <w:pPr>
        <w:numPr>
          <w:ilvl w:val="0"/>
          <w:numId w:val="6"/>
        </w:numPr>
        <w:spacing w:after="0"/>
        <w:contextualSpacing/>
        <w:jc w:val="left"/>
        <w:rPr>
          <w:rFonts w:ascii="Times New Roman" w:eastAsia="Calibri" w:hAnsi="Times New Roman"/>
          <w:lang w:val="en-US"/>
        </w:rPr>
      </w:pPr>
      <w:r w:rsidRPr="006F3E09">
        <w:rPr>
          <w:rFonts w:ascii="Times New Roman" w:eastAsia="Calibri" w:hAnsi="Times New Roman"/>
          <w:lang w:val="en-US"/>
        </w:rPr>
        <w:t>Strategic thinking</w:t>
      </w:r>
    </w:p>
    <w:p w14:paraId="0E33BD26" w14:textId="77777777" w:rsidR="006F3E09" w:rsidRPr="006F3E09" w:rsidRDefault="006F3E09" w:rsidP="002559D1">
      <w:pPr>
        <w:numPr>
          <w:ilvl w:val="0"/>
          <w:numId w:val="6"/>
        </w:numPr>
        <w:spacing w:after="0"/>
        <w:contextualSpacing/>
        <w:jc w:val="left"/>
        <w:rPr>
          <w:rFonts w:ascii="Times New Roman" w:eastAsia="Calibri" w:hAnsi="Times New Roman"/>
          <w:lang w:val="en-US"/>
        </w:rPr>
      </w:pPr>
      <w:r w:rsidRPr="006F3E09">
        <w:rPr>
          <w:rFonts w:ascii="Times New Roman" w:eastAsia="Calibri" w:hAnsi="Times New Roman"/>
          <w:lang w:val="en-US"/>
        </w:rPr>
        <w:t>Strong analytical, reporting and communication skills</w:t>
      </w:r>
    </w:p>
    <w:p w14:paraId="71EC0A9B" w14:textId="77777777" w:rsidR="006F3E09" w:rsidRPr="006F3E09" w:rsidRDefault="006F3E09" w:rsidP="002559D1">
      <w:pPr>
        <w:numPr>
          <w:ilvl w:val="0"/>
          <w:numId w:val="6"/>
        </w:numPr>
        <w:spacing w:after="0"/>
        <w:contextualSpacing/>
        <w:jc w:val="left"/>
        <w:rPr>
          <w:rFonts w:ascii="Times New Roman" w:eastAsia="Calibri" w:hAnsi="Times New Roman"/>
          <w:lang w:val="en-US"/>
        </w:rPr>
      </w:pPr>
      <w:r w:rsidRPr="006F3E09">
        <w:rPr>
          <w:rFonts w:ascii="Times New Roman" w:eastAsia="Calibri" w:hAnsi="Times New Roman"/>
          <w:lang w:val="en-US"/>
        </w:rPr>
        <w:t>Team work skills and experience in leading teams</w:t>
      </w:r>
    </w:p>
    <w:p w14:paraId="075FD82B" w14:textId="77777777" w:rsidR="006F3E09" w:rsidRPr="006F3E09" w:rsidRDefault="006F3E09" w:rsidP="002559D1">
      <w:pPr>
        <w:numPr>
          <w:ilvl w:val="0"/>
          <w:numId w:val="6"/>
        </w:numPr>
        <w:spacing w:after="0"/>
        <w:contextualSpacing/>
        <w:jc w:val="left"/>
        <w:rPr>
          <w:rFonts w:ascii="Times New Roman" w:eastAsia="Calibri" w:hAnsi="Times New Roman"/>
          <w:lang w:val="en-US"/>
        </w:rPr>
      </w:pPr>
      <w:r w:rsidRPr="006F3E09">
        <w:rPr>
          <w:rFonts w:ascii="Times New Roman" w:eastAsia="Calibri" w:hAnsi="Times New Roman"/>
          <w:lang w:val="en-US"/>
        </w:rPr>
        <w:t>Result oriented</w:t>
      </w:r>
    </w:p>
    <w:p w14:paraId="02F4A6D7" w14:textId="77777777" w:rsidR="006F3E09" w:rsidRPr="006F3E09" w:rsidRDefault="006F3E09" w:rsidP="006F3E09">
      <w:pPr>
        <w:spacing w:after="0"/>
        <w:ind w:left="720"/>
        <w:rPr>
          <w:rFonts w:ascii="Times New Roman" w:eastAsia="Calibri" w:hAnsi="Times New Roman"/>
          <w:lang w:val="en-US"/>
        </w:rPr>
      </w:pPr>
      <w:r w:rsidRPr="006F3E09">
        <w:rPr>
          <w:rFonts w:ascii="Times New Roman" w:eastAsia="Calibri" w:hAnsi="Times New Roman"/>
          <w:lang w:val="en-US"/>
        </w:rPr>
        <w:t xml:space="preserve"> </w:t>
      </w:r>
    </w:p>
    <w:p w14:paraId="7EB148F0" w14:textId="77777777" w:rsidR="006F3E09" w:rsidRPr="006F3E09" w:rsidRDefault="006F3E09" w:rsidP="00F769B0">
      <w:pPr>
        <w:numPr>
          <w:ilvl w:val="0"/>
          <w:numId w:val="10"/>
        </w:numPr>
        <w:spacing w:after="120"/>
        <w:contextualSpacing/>
        <w:jc w:val="left"/>
        <w:rPr>
          <w:rFonts w:ascii="Times New Roman" w:eastAsia="Calibri" w:hAnsi="Times New Roman"/>
          <w:b/>
          <w:lang w:val="en-US"/>
        </w:rPr>
      </w:pPr>
      <w:r w:rsidRPr="006F3E09">
        <w:rPr>
          <w:rFonts w:ascii="Times New Roman" w:eastAsia="Calibri" w:hAnsi="Times New Roman"/>
          <w:b/>
          <w:lang w:val="en-US"/>
        </w:rPr>
        <w:t>TIME AND DURATION:</w:t>
      </w:r>
    </w:p>
    <w:p w14:paraId="7248204A" w14:textId="77777777" w:rsidR="006F3E09" w:rsidRPr="006F3E09" w:rsidRDefault="006F3E09" w:rsidP="006F3E09">
      <w:pPr>
        <w:spacing w:after="120"/>
        <w:ind w:left="288"/>
        <w:rPr>
          <w:rFonts w:ascii="Times New Roman" w:eastAsia="Calibri" w:hAnsi="Times New Roman"/>
          <w:lang w:val="en-US"/>
        </w:rPr>
      </w:pPr>
    </w:p>
    <w:p w14:paraId="540BA673" w14:textId="77777777" w:rsidR="006F3E09" w:rsidRPr="006F3E09" w:rsidRDefault="006F3E09" w:rsidP="006F3E09">
      <w:pPr>
        <w:spacing w:after="120"/>
        <w:ind w:left="288"/>
        <w:rPr>
          <w:rFonts w:ascii="Times New Roman" w:eastAsia="Calibri" w:hAnsi="Times New Roman"/>
          <w:lang w:val="en-US"/>
        </w:rPr>
      </w:pPr>
      <w:r w:rsidRPr="006F3E09">
        <w:rPr>
          <w:rFonts w:ascii="Times New Roman" w:eastAsia="Calibri" w:hAnsi="Times New Roman"/>
          <w:lang w:val="en-US"/>
        </w:rPr>
        <w:t xml:space="preserve">The evaluation team will be hired for a combined total of 35 man/days.  </w:t>
      </w:r>
    </w:p>
    <w:p w14:paraId="5DFD7573" w14:textId="77777777" w:rsidR="006F3E09" w:rsidRPr="006F3E09" w:rsidRDefault="006F3E09" w:rsidP="006F3E09">
      <w:pPr>
        <w:spacing w:after="120"/>
        <w:ind w:left="288"/>
        <w:rPr>
          <w:rFonts w:ascii="Times New Roman" w:eastAsia="Calibri" w:hAnsi="Times New Roman"/>
          <w:lang w:val="en-US"/>
        </w:rPr>
      </w:pPr>
      <w:r w:rsidRPr="006F3E09">
        <w:rPr>
          <w:rFonts w:ascii="Times New Roman" w:eastAsia="Calibri" w:hAnsi="Times New Roman"/>
          <w:lang w:val="en-US"/>
        </w:rPr>
        <w:t>Contract Start Date: 21 October, 2015.    Contract End Date: 20 December 2015.</w:t>
      </w:r>
    </w:p>
    <w:p w14:paraId="22ABDBE9" w14:textId="77777777" w:rsidR="006F3E09" w:rsidRPr="006F3E09" w:rsidRDefault="006F3E09" w:rsidP="006F3E09">
      <w:pPr>
        <w:spacing w:after="0"/>
        <w:ind w:left="720"/>
        <w:rPr>
          <w:rFonts w:ascii="Times New Roman" w:eastAsia="Calibri" w:hAnsi="Times New Roman"/>
          <w:lang w:val="en-US"/>
        </w:rPr>
      </w:pPr>
    </w:p>
    <w:p w14:paraId="36202DF2" w14:textId="77777777" w:rsidR="006F3E09" w:rsidRPr="006F3E09" w:rsidRDefault="006F3E09" w:rsidP="00F769B0">
      <w:pPr>
        <w:numPr>
          <w:ilvl w:val="0"/>
          <w:numId w:val="10"/>
        </w:numPr>
        <w:spacing w:after="200"/>
        <w:contextualSpacing/>
        <w:jc w:val="left"/>
        <w:rPr>
          <w:rFonts w:ascii="Times New Roman" w:eastAsia="Calibri" w:hAnsi="Times New Roman"/>
          <w:b/>
          <w:lang w:val="en-US"/>
        </w:rPr>
      </w:pPr>
      <w:r w:rsidRPr="006F3E09">
        <w:rPr>
          <w:rFonts w:ascii="Times New Roman" w:eastAsia="Calibri" w:hAnsi="Times New Roman"/>
          <w:b/>
          <w:lang w:val="en-US"/>
        </w:rPr>
        <w:t>TIME TABLE</w:t>
      </w:r>
    </w:p>
    <w:tbl>
      <w:tblPr>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45"/>
        <w:gridCol w:w="630"/>
        <w:gridCol w:w="540"/>
        <w:gridCol w:w="360"/>
        <w:gridCol w:w="450"/>
        <w:gridCol w:w="360"/>
        <w:gridCol w:w="450"/>
        <w:gridCol w:w="360"/>
        <w:gridCol w:w="360"/>
        <w:gridCol w:w="360"/>
      </w:tblGrid>
      <w:tr w:rsidR="009D7BFA" w:rsidRPr="007D425D" w14:paraId="089FE1FA" w14:textId="77777777" w:rsidTr="007D425D">
        <w:tc>
          <w:tcPr>
            <w:tcW w:w="5845" w:type="dxa"/>
            <w:vMerge w:val="restart"/>
          </w:tcPr>
          <w:p w14:paraId="0B8F6E84" w14:textId="77777777" w:rsidR="006F3E09" w:rsidRPr="007D425D" w:rsidRDefault="006F3E09" w:rsidP="007D425D">
            <w:pPr>
              <w:spacing w:after="200" w:line="276" w:lineRule="auto"/>
              <w:rPr>
                <w:rFonts w:ascii="Times New Roman" w:eastAsia="Calibri" w:hAnsi="Times New Roman"/>
                <w:sz w:val="20"/>
                <w:szCs w:val="20"/>
                <w:lang w:val="en-US"/>
              </w:rPr>
            </w:pPr>
          </w:p>
          <w:p w14:paraId="188F6A04" w14:textId="77777777" w:rsidR="006F3E09" w:rsidRPr="007D425D" w:rsidRDefault="006F3E09" w:rsidP="007D425D">
            <w:pPr>
              <w:spacing w:after="200" w:line="276" w:lineRule="auto"/>
              <w:rPr>
                <w:rFonts w:ascii="Times New Roman" w:eastAsia="Calibri" w:hAnsi="Times New Roman"/>
                <w:b/>
                <w:sz w:val="20"/>
                <w:szCs w:val="20"/>
                <w:lang w:val="en-US"/>
              </w:rPr>
            </w:pPr>
            <w:r w:rsidRPr="007D425D">
              <w:rPr>
                <w:rFonts w:ascii="Times New Roman" w:eastAsia="Calibri" w:hAnsi="Times New Roman"/>
                <w:b/>
                <w:sz w:val="20"/>
                <w:szCs w:val="20"/>
                <w:lang w:val="en-US"/>
              </w:rPr>
              <w:t>Activity</w:t>
            </w:r>
          </w:p>
        </w:tc>
        <w:tc>
          <w:tcPr>
            <w:tcW w:w="3150" w:type="dxa"/>
            <w:gridSpan w:val="7"/>
          </w:tcPr>
          <w:p w14:paraId="50E2C76F" w14:textId="77777777" w:rsidR="006F3E09" w:rsidRPr="007D425D" w:rsidRDefault="006F3E09" w:rsidP="007D425D">
            <w:pPr>
              <w:spacing w:after="200" w:line="276" w:lineRule="auto"/>
              <w:rPr>
                <w:rFonts w:ascii="Times New Roman" w:eastAsia="Calibri" w:hAnsi="Times New Roman"/>
                <w:b/>
                <w:sz w:val="20"/>
                <w:szCs w:val="20"/>
                <w:lang w:val="en-US"/>
              </w:rPr>
            </w:pPr>
            <w:r w:rsidRPr="007D425D">
              <w:rPr>
                <w:rFonts w:ascii="Times New Roman" w:eastAsia="Calibri" w:hAnsi="Times New Roman"/>
                <w:b/>
                <w:sz w:val="20"/>
                <w:szCs w:val="20"/>
                <w:lang w:val="en-US"/>
              </w:rPr>
              <w:t>Weeks</w:t>
            </w:r>
          </w:p>
        </w:tc>
        <w:tc>
          <w:tcPr>
            <w:tcW w:w="360" w:type="dxa"/>
          </w:tcPr>
          <w:p w14:paraId="2709DF11" w14:textId="77777777" w:rsidR="006F3E09" w:rsidRPr="007D425D" w:rsidRDefault="006F3E09" w:rsidP="007D425D">
            <w:pPr>
              <w:spacing w:after="200" w:line="276" w:lineRule="auto"/>
              <w:rPr>
                <w:rFonts w:ascii="Times New Roman" w:eastAsia="Calibri" w:hAnsi="Times New Roman"/>
                <w:b/>
                <w:sz w:val="20"/>
                <w:szCs w:val="20"/>
                <w:lang w:val="en-US"/>
              </w:rPr>
            </w:pPr>
          </w:p>
        </w:tc>
        <w:tc>
          <w:tcPr>
            <w:tcW w:w="360" w:type="dxa"/>
          </w:tcPr>
          <w:p w14:paraId="40BF5EAD" w14:textId="77777777" w:rsidR="006F3E09" w:rsidRPr="007D425D" w:rsidRDefault="006F3E09" w:rsidP="007D425D">
            <w:pPr>
              <w:spacing w:after="200" w:line="276" w:lineRule="auto"/>
              <w:rPr>
                <w:rFonts w:ascii="Times New Roman" w:eastAsia="Calibri" w:hAnsi="Times New Roman"/>
                <w:b/>
                <w:sz w:val="20"/>
                <w:szCs w:val="20"/>
                <w:lang w:val="en-US"/>
              </w:rPr>
            </w:pPr>
          </w:p>
        </w:tc>
      </w:tr>
      <w:tr w:rsidR="009D7BFA" w:rsidRPr="007D425D" w14:paraId="096FF26C" w14:textId="77777777" w:rsidTr="007D425D">
        <w:tc>
          <w:tcPr>
            <w:tcW w:w="5845" w:type="dxa"/>
            <w:vMerge/>
          </w:tcPr>
          <w:p w14:paraId="78ACE01A" w14:textId="77777777" w:rsidR="006F3E09" w:rsidRPr="007D425D" w:rsidRDefault="006F3E09" w:rsidP="007D425D">
            <w:pPr>
              <w:spacing w:after="200" w:line="276" w:lineRule="auto"/>
              <w:rPr>
                <w:rFonts w:ascii="Times New Roman" w:eastAsia="Calibri" w:hAnsi="Times New Roman"/>
                <w:sz w:val="20"/>
                <w:szCs w:val="20"/>
                <w:lang w:val="en-US"/>
              </w:rPr>
            </w:pPr>
          </w:p>
        </w:tc>
        <w:tc>
          <w:tcPr>
            <w:tcW w:w="630" w:type="dxa"/>
          </w:tcPr>
          <w:p w14:paraId="1B1E2CB3" w14:textId="77777777" w:rsidR="006F3E09" w:rsidRPr="007D425D" w:rsidRDefault="006F3E09" w:rsidP="007D425D">
            <w:pPr>
              <w:spacing w:after="200" w:line="276" w:lineRule="auto"/>
              <w:rPr>
                <w:rFonts w:ascii="Times New Roman" w:eastAsia="Calibri" w:hAnsi="Times New Roman"/>
                <w:sz w:val="20"/>
                <w:szCs w:val="20"/>
                <w:lang w:val="en-US"/>
              </w:rPr>
            </w:pPr>
            <w:r w:rsidRPr="007D425D">
              <w:rPr>
                <w:rFonts w:ascii="Times New Roman" w:eastAsia="Calibri" w:hAnsi="Times New Roman"/>
                <w:sz w:val="20"/>
                <w:szCs w:val="20"/>
                <w:lang w:val="en-US"/>
              </w:rPr>
              <w:t>1</w:t>
            </w:r>
          </w:p>
        </w:tc>
        <w:tc>
          <w:tcPr>
            <w:tcW w:w="540" w:type="dxa"/>
          </w:tcPr>
          <w:p w14:paraId="6FA58E30" w14:textId="77777777" w:rsidR="006F3E09" w:rsidRPr="007D425D" w:rsidRDefault="006F3E09" w:rsidP="007D425D">
            <w:pPr>
              <w:spacing w:after="200" w:line="276" w:lineRule="auto"/>
              <w:rPr>
                <w:rFonts w:ascii="Times New Roman" w:eastAsia="Calibri" w:hAnsi="Times New Roman"/>
                <w:sz w:val="20"/>
                <w:szCs w:val="20"/>
                <w:lang w:val="en-US"/>
              </w:rPr>
            </w:pPr>
            <w:r w:rsidRPr="007D425D">
              <w:rPr>
                <w:rFonts w:ascii="Times New Roman" w:eastAsia="Calibri" w:hAnsi="Times New Roman"/>
                <w:sz w:val="20"/>
                <w:szCs w:val="20"/>
                <w:lang w:val="en-US"/>
              </w:rPr>
              <w:t>2</w:t>
            </w:r>
          </w:p>
        </w:tc>
        <w:tc>
          <w:tcPr>
            <w:tcW w:w="360" w:type="dxa"/>
          </w:tcPr>
          <w:p w14:paraId="3D4CCC5C" w14:textId="77777777" w:rsidR="006F3E09" w:rsidRPr="007D425D" w:rsidRDefault="006F3E09" w:rsidP="007D425D">
            <w:pPr>
              <w:spacing w:after="200" w:line="276" w:lineRule="auto"/>
              <w:rPr>
                <w:rFonts w:ascii="Times New Roman" w:eastAsia="Calibri" w:hAnsi="Times New Roman"/>
                <w:sz w:val="20"/>
                <w:szCs w:val="20"/>
                <w:lang w:val="en-US"/>
              </w:rPr>
            </w:pPr>
            <w:r w:rsidRPr="007D425D">
              <w:rPr>
                <w:rFonts w:ascii="Times New Roman" w:eastAsia="Calibri" w:hAnsi="Times New Roman"/>
                <w:sz w:val="20"/>
                <w:szCs w:val="20"/>
                <w:lang w:val="en-US"/>
              </w:rPr>
              <w:t>3</w:t>
            </w:r>
          </w:p>
        </w:tc>
        <w:tc>
          <w:tcPr>
            <w:tcW w:w="450" w:type="dxa"/>
          </w:tcPr>
          <w:p w14:paraId="4648C841" w14:textId="77777777" w:rsidR="006F3E09" w:rsidRPr="007D425D" w:rsidRDefault="006F3E09" w:rsidP="007D425D">
            <w:pPr>
              <w:spacing w:after="200" w:line="276" w:lineRule="auto"/>
              <w:rPr>
                <w:rFonts w:ascii="Times New Roman" w:eastAsia="Calibri" w:hAnsi="Times New Roman"/>
                <w:sz w:val="20"/>
                <w:szCs w:val="20"/>
                <w:lang w:val="en-US"/>
              </w:rPr>
            </w:pPr>
            <w:r w:rsidRPr="007D425D">
              <w:rPr>
                <w:rFonts w:ascii="Times New Roman" w:eastAsia="Calibri" w:hAnsi="Times New Roman"/>
                <w:sz w:val="20"/>
                <w:szCs w:val="20"/>
                <w:lang w:val="en-US"/>
              </w:rPr>
              <w:t>4</w:t>
            </w:r>
          </w:p>
        </w:tc>
        <w:tc>
          <w:tcPr>
            <w:tcW w:w="360" w:type="dxa"/>
          </w:tcPr>
          <w:p w14:paraId="71372F7D" w14:textId="77777777" w:rsidR="006F3E09" w:rsidRPr="007D425D" w:rsidRDefault="006F3E09" w:rsidP="007D425D">
            <w:pPr>
              <w:spacing w:after="200" w:line="276" w:lineRule="auto"/>
              <w:rPr>
                <w:rFonts w:ascii="Times New Roman" w:eastAsia="Calibri" w:hAnsi="Times New Roman"/>
                <w:sz w:val="20"/>
                <w:szCs w:val="20"/>
                <w:lang w:val="en-US"/>
              </w:rPr>
            </w:pPr>
            <w:r w:rsidRPr="007D425D">
              <w:rPr>
                <w:rFonts w:ascii="Times New Roman" w:eastAsia="Calibri" w:hAnsi="Times New Roman"/>
                <w:sz w:val="20"/>
                <w:szCs w:val="20"/>
                <w:lang w:val="en-US"/>
              </w:rPr>
              <w:t>5</w:t>
            </w:r>
          </w:p>
        </w:tc>
        <w:tc>
          <w:tcPr>
            <w:tcW w:w="450" w:type="dxa"/>
          </w:tcPr>
          <w:p w14:paraId="6D25D25B" w14:textId="77777777" w:rsidR="006F3E09" w:rsidRPr="007D425D" w:rsidRDefault="006F3E09" w:rsidP="007D425D">
            <w:pPr>
              <w:spacing w:after="200" w:line="276" w:lineRule="auto"/>
              <w:rPr>
                <w:rFonts w:ascii="Times New Roman" w:eastAsia="Calibri" w:hAnsi="Times New Roman"/>
                <w:sz w:val="20"/>
                <w:szCs w:val="20"/>
                <w:lang w:val="en-US"/>
              </w:rPr>
            </w:pPr>
            <w:r w:rsidRPr="007D425D">
              <w:rPr>
                <w:rFonts w:ascii="Times New Roman" w:eastAsia="Calibri" w:hAnsi="Times New Roman"/>
                <w:sz w:val="20"/>
                <w:szCs w:val="20"/>
                <w:lang w:val="en-US"/>
              </w:rPr>
              <w:t>6</w:t>
            </w:r>
          </w:p>
        </w:tc>
        <w:tc>
          <w:tcPr>
            <w:tcW w:w="360" w:type="dxa"/>
          </w:tcPr>
          <w:p w14:paraId="5F03E850" w14:textId="77777777" w:rsidR="006F3E09" w:rsidRPr="007D425D" w:rsidRDefault="006F3E09" w:rsidP="007D425D">
            <w:pPr>
              <w:spacing w:after="200" w:line="276" w:lineRule="auto"/>
              <w:rPr>
                <w:rFonts w:ascii="Times New Roman" w:eastAsia="Calibri" w:hAnsi="Times New Roman"/>
                <w:sz w:val="20"/>
                <w:szCs w:val="20"/>
                <w:lang w:val="en-US"/>
              </w:rPr>
            </w:pPr>
            <w:r w:rsidRPr="007D425D">
              <w:rPr>
                <w:rFonts w:ascii="Times New Roman" w:eastAsia="Calibri" w:hAnsi="Times New Roman"/>
                <w:sz w:val="20"/>
                <w:szCs w:val="20"/>
                <w:lang w:val="en-US"/>
              </w:rPr>
              <w:t>7</w:t>
            </w:r>
          </w:p>
        </w:tc>
        <w:tc>
          <w:tcPr>
            <w:tcW w:w="360" w:type="dxa"/>
          </w:tcPr>
          <w:p w14:paraId="33F43DA0" w14:textId="77777777" w:rsidR="006F3E09" w:rsidRPr="007D425D" w:rsidRDefault="006F3E09" w:rsidP="007D425D">
            <w:pPr>
              <w:spacing w:after="200" w:line="276" w:lineRule="auto"/>
              <w:rPr>
                <w:rFonts w:ascii="Times New Roman" w:eastAsia="Calibri" w:hAnsi="Times New Roman"/>
                <w:sz w:val="20"/>
                <w:szCs w:val="20"/>
                <w:lang w:val="en-US"/>
              </w:rPr>
            </w:pPr>
            <w:r w:rsidRPr="007D425D">
              <w:rPr>
                <w:rFonts w:ascii="Times New Roman" w:eastAsia="Calibri" w:hAnsi="Times New Roman"/>
                <w:sz w:val="20"/>
                <w:szCs w:val="20"/>
                <w:lang w:val="en-US"/>
              </w:rPr>
              <w:t>8</w:t>
            </w:r>
          </w:p>
        </w:tc>
        <w:tc>
          <w:tcPr>
            <w:tcW w:w="360" w:type="dxa"/>
          </w:tcPr>
          <w:p w14:paraId="3BECE091" w14:textId="77777777" w:rsidR="006F3E09" w:rsidRPr="007D425D" w:rsidRDefault="006F3E09" w:rsidP="007D425D">
            <w:pPr>
              <w:spacing w:after="200" w:line="276" w:lineRule="auto"/>
              <w:rPr>
                <w:rFonts w:ascii="Times New Roman" w:eastAsia="Calibri" w:hAnsi="Times New Roman"/>
                <w:sz w:val="20"/>
                <w:szCs w:val="20"/>
                <w:lang w:val="en-US"/>
              </w:rPr>
            </w:pPr>
            <w:r w:rsidRPr="007D425D">
              <w:rPr>
                <w:rFonts w:ascii="Times New Roman" w:eastAsia="Calibri" w:hAnsi="Times New Roman"/>
                <w:sz w:val="20"/>
                <w:szCs w:val="20"/>
                <w:lang w:val="en-US"/>
              </w:rPr>
              <w:t>9</w:t>
            </w:r>
          </w:p>
        </w:tc>
      </w:tr>
      <w:tr w:rsidR="009D7BFA" w:rsidRPr="007D425D" w14:paraId="2012D18C" w14:textId="77777777" w:rsidTr="007D425D">
        <w:tc>
          <w:tcPr>
            <w:tcW w:w="5845" w:type="dxa"/>
          </w:tcPr>
          <w:p w14:paraId="26B3C13F" w14:textId="77777777" w:rsidR="006F3E09" w:rsidRPr="007D425D" w:rsidRDefault="006F3E09" w:rsidP="007D425D">
            <w:pPr>
              <w:spacing w:after="200" w:line="276" w:lineRule="auto"/>
              <w:rPr>
                <w:rFonts w:ascii="Times New Roman" w:eastAsia="Calibri" w:hAnsi="Times New Roman"/>
                <w:sz w:val="20"/>
                <w:szCs w:val="20"/>
                <w:lang w:val="en-US"/>
              </w:rPr>
            </w:pPr>
            <w:r w:rsidRPr="007D425D">
              <w:rPr>
                <w:rFonts w:ascii="Times New Roman" w:eastAsia="Calibri" w:hAnsi="Times New Roman"/>
                <w:sz w:val="20"/>
                <w:szCs w:val="20"/>
                <w:lang w:val="en-US"/>
              </w:rPr>
              <w:t>Contract and Entry meeting</w:t>
            </w:r>
          </w:p>
        </w:tc>
        <w:tc>
          <w:tcPr>
            <w:tcW w:w="630" w:type="dxa"/>
          </w:tcPr>
          <w:p w14:paraId="59096793" w14:textId="77777777" w:rsidR="006F3E09" w:rsidRPr="007D425D" w:rsidRDefault="006F3E09" w:rsidP="007D425D">
            <w:pPr>
              <w:spacing w:after="200" w:line="276" w:lineRule="auto"/>
              <w:rPr>
                <w:rFonts w:ascii="Times New Roman" w:eastAsia="Calibri" w:hAnsi="Times New Roman"/>
                <w:sz w:val="20"/>
                <w:szCs w:val="20"/>
                <w:lang w:val="en-US"/>
              </w:rPr>
            </w:pPr>
            <w:r w:rsidRPr="007D425D">
              <w:rPr>
                <w:rFonts w:ascii="Times New Roman" w:eastAsia="Calibri" w:hAnsi="Times New Roman"/>
                <w:sz w:val="20"/>
                <w:szCs w:val="20"/>
                <w:lang w:val="en-US"/>
              </w:rPr>
              <w:t>x</w:t>
            </w:r>
          </w:p>
        </w:tc>
        <w:tc>
          <w:tcPr>
            <w:tcW w:w="540" w:type="dxa"/>
          </w:tcPr>
          <w:p w14:paraId="58D75C80" w14:textId="77777777" w:rsidR="006F3E09" w:rsidRPr="007D425D" w:rsidRDefault="006F3E09" w:rsidP="007D425D">
            <w:pPr>
              <w:spacing w:after="200" w:line="276" w:lineRule="auto"/>
              <w:rPr>
                <w:rFonts w:ascii="Times New Roman" w:eastAsia="Calibri" w:hAnsi="Times New Roman"/>
                <w:sz w:val="20"/>
                <w:szCs w:val="20"/>
                <w:lang w:val="en-US"/>
              </w:rPr>
            </w:pPr>
          </w:p>
        </w:tc>
        <w:tc>
          <w:tcPr>
            <w:tcW w:w="360" w:type="dxa"/>
          </w:tcPr>
          <w:p w14:paraId="59047C21" w14:textId="77777777" w:rsidR="006F3E09" w:rsidRPr="007D425D" w:rsidRDefault="006F3E09" w:rsidP="007D425D">
            <w:pPr>
              <w:spacing w:after="200" w:line="276" w:lineRule="auto"/>
              <w:rPr>
                <w:rFonts w:ascii="Times New Roman" w:eastAsia="Calibri" w:hAnsi="Times New Roman"/>
                <w:sz w:val="20"/>
                <w:szCs w:val="20"/>
                <w:lang w:val="en-US"/>
              </w:rPr>
            </w:pPr>
          </w:p>
        </w:tc>
        <w:tc>
          <w:tcPr>
            <w:tcW w:w="450" w:type="dxa"/>
          </w:tcPr>
          <w:p w14:paraId="1C1AF1D4" w14:textId="77777777" w:rsidR="006F3E09" w:rsidRPr="007D425D" w:rsidRDefault="006F3E09" w:rsidP="007D425D">
            <w:pPr>
              <w:spacing w:after="200" w:line="276" w:lineRule="auto"/>
              <w:rPr>
                <w:rFonts w:ascii="Times New Roman" w:eastAsia="Calibri" w:hAnsi="Times New Roman"/>
                <w:sz w:val="20"/>
                <w:szCs w:val="20"/>
                <w:lang w:val="en-US"/>
              </w:rPr>
            </w:pPr>
          </w:p>
        </w:tc>
        <w:tc>
          <w:tcPr>
            <w:tcW w:w="360" w:type="dxa"/>
          </w:tcPr>
          <w:p w14:paraId="50BC24D0" w14:textId="77777777" w:rsidR="006F3E09" w:rsidRPr="007D425D" w:rsidRDefault="006F3E09" w:rsidP="007D425D">
            <w:pPr>
              <w:spacing w:after="200" w:line="276" w:lineRule="auto"/>
              <w:rPr>
                <w:rFonts w:ascii="Times New Roman" w:eastAsia="Calibri" w:hAnsi="Times New Roman"/>
                <w:sz w:val="20"/>
                <w:szCs w:val="20"/>
                <w:lang w:val="en-US"/>
              </w:rPr>
            </w:pPr>
          </w:p>
        </w:tc>
        <w:tc>
          <w:tcPr>
            <w:tcW w:w="450" w:type="dxa"/>
          </w:tcPr>
          <w:p w14:paraId="5CDD0E63" w14:textId="77777777" w:rsidR="006F3E09" w:rsidRPr="007D425D" w:rsidRDefault="006F3E09" w:rsidP="007D425D">
            <w:pPr>
              <w:spacing w:after="200" w:line="276" w:lineRule="auto"/>
              <w:rPr>
                <w:rFonts w:ascii="Times New Roman" w:eastAsia="Calibri" w:hAnsi="Times New Roman"/>
                <w:sz w:val="20"/>
                <w:szCs w:val="20"/>
                <w:lang w:val="en-US"/>
              </w:rPr>
            </w:pPr>
          </w:p>
        </w:tc>
        <w:tc>
          <w:tcPr>
            <w:tcW w:w="360" w:type="dxa"/>
          </w:tcPr>
          <w:p w14:paraId="277DC91A" w14:textId="77777777" w:rsidR="006F3E09" w:rsidRPr="007D425D" w:rsidRDefault="006F3E09" w:rsidP="007D425D">
            <w:pPr>
              <w:spacing w:after="200" w:line="276" w:lineRule="auto"/>
              <w:rPr>
                <w:rFonts w:ascii="Times New Roman" w:eastAsia="Calibri" w:hAnsi="Times New Roman"/>
                <w:sz w:val="20"/>
                <w:szCs w:val="20"/>
                <w:lang w:val="en-US"/>
              </w:rPr>
            </w:pPr>
          </w:p>
        </w:tc>
        <w:tc>
          <w:tcPr>
            <w:tcW w:w="360" w:type="dxa"/>
          </w:tcPr>
          <w:p w14:paraId="1F98BBD2" w14:textId="77777777" w:rsidR="006F3E09" w:rsidRPr="007D425D" w:rsidRDefault="006F3E09" w:rsidP="007D425D">
            <w:pPr>
              <w:spacing w:after="200" w:line="276" w:lineRule="auto"/>
              <w:rPr>
                <w:rFonts w:ascii="Times New Roman" w:eastAsia="Calibri" w:hAnsi="Times New Roman"/>
                <w:sz w:val="20"/>
                <w:szCs w:val="20"/>
                <w:lang w:val="en-US"/>
              </w:rPr>
            </w:pPr>
          </w:p>
        </w:tc>
        <w:tc>
          <w:tcPr>
            <w:tcW w:w="360" w:type="dxa"/>
          </w:tcPr>
          <w:p w14:paraId="416A24CE" w14:textId="77777777" w:rsidR="006F3E09" w:rsidRPr="007D425D" w:rsidRDefault="006F3E09" w:rsidP="007D425D">
            <w:pPr>
              <w:spacing w:after="200" w:line="276" w:lineRule="auto"/>
              <w:rPr>
                <w:rFonts w:ascii="Times New Roman" w:eastAsia="Calibri" w:hAnsi="Times New Roman"/>
                <w:sz w:val="20"/>
                <w:szCs w:val="20"/>
                <w:lang w:val="en-US"/>
              </w:rPr>
            </w:pPr>
          </w:p>
        </w:tc>
      </w:tr>
      <w:tr w:rsidR="009D7BFA" w:rsidRPr="007D425D" w14:paraId="7ECCA24D" w14:textId="77777777" w:rsidTr="007D425D">
        <w:tc>
          <w:tcPr>
            <w:tcW w:w="5845" w:type="dxa"/>
          </w:tcPr>
          <w:p w14:paraId="0CFDB21E" w14:textId="77777777" w:rsidR="006F3E09" w:rsidRPr="007D425D" w:rsidRDefault="006F3E09" w:rsidP="007D425D">
            <w:pPr>
              <w:spacing w:after="200" w:line="276" w:lineRule="auto"/>
              <w:rPr>
                <w:rFonts w:ascii="Times New Roman" w:eastAsia="Calibri" w:hAnsi="Times New Roman"/>
                <w:sz w:val="20"/>
                <w:szCs w:val="20"/>
                <w:lang w:val="en-US"/>
              </w:rPr>
            </w:pPr>
            <w:r w:rsidRPr="007D425D">
              <w:rPr>
                <w:rFonts w:ascii="Times New Roman" w:eastAsia="Calibri" w:hAnsi="Times New Roman"/>
                <w:sz w:val="20"/>
                <w:szCs w:val="20"/>
                <w:lang w:val="en-US"/>
              </w:rPr>
              <w:t>Inception report, draft revised</w:t>
            </w:r>
          </w:p>
        </w:tc>
        <w:tc>
          <w:tcPr>
            <w:tcW w:w="630" w:type="dxa"/>
          </w:tcPr>
          <w:p w14:paraId="7BA6DC98" w14:textId="77777777" w:rsidR="006F3E09" w:rsidRPr="007D425D" w:rsidRDefault="006F3E09" w:rsidP="007D425D">
            <w:pPr>
              <w:spacing w:after="200" w:line="276" w:lineRule="auto"/>
              <w:rPr>
                <w:rFonts w:ascii="Times New Roman" w:eastAsia="Calibri" w:hAnsi="Times New Roman"/>
                <w:sz w:val="20"/>
                <w:szCs w:val="20"/>
                <w:lang w:val="en-US"/>
              </w:rPr>
            </w:pPr>
          </w:p>
        </w:tc>
        <w:tc>
          <w:tcPr>
            <w:tcW w:w="540" w:type="dxa"/>
          </w:tcPr>
          <w:p w14:paraId="4B69C029" w14:textId="77777777" w:rsidR="006F3E09" w:rsidRPr="007D425D" w:rsidRDefault="006F3E09" w:rsidP="007D425D">
            <w:pPr>
              <w:spacing w:after="200" w:line="276" w:lineRule="auto"/>
              <w:rPr>
                <w:rFonts w:ascii="Times New Roman" w:eastAsia="Calibri" w:hAnsi="Times New Roman"/>
                <w:sz w:val="20"/>
                <w:szCs w:val="20"/>
                <w:lang w:val="en-US"/>
              </w:rPr>
            </w:pPr>
            <w:r w:rsidRPr="007D425D">
              <w:rPr>
                <w:rFonts w:ascii="Times New Roman" w:eastAsia="Calibri" w:hAnsi="Times New Roman"/>
                <w:sz w:val="20"/>
                <w:szCs w:val="20"/>
                <w:lang w:val="en-US"/>
              </w:rPr>
              <w:t>x</w:t>
            </w:r>
          </w:p>
        </w:tc>
        <w:tc>
          <w:tcPr>
            <w:tcW w:w="360" w:type="dxa"/>
          </w:tcPr>
          <w:p w14:paraId="32FDB1FF" w14:textId="77777777" w:rsidR="006F3E09" w:rsidRPr="007D425D" w:rsidRDefault="006F3E09" w:rsidP="007D425D">
            <w:pPr>
              <w:spacing w:after="200" w:line="276" w:lineRule="auto"/>
              <w:rPr>
                <w:rFonts w:ascii="Times New Roman" w:eastAsia="Calibri" w:hAnsi="Times New Roman"/>
                <w:sz w:val="20"/>
                <w:szCs w:val="20"/>
                <w:lang w:val="en-US"/>
              </w:rPr>
            </w:pPr>
          </w:p>
        </w:tc>
        <w:tc>
          <w:tcPr>
            <w:tcW w:w="450" w:type="dxa"/>
          </w:tcPr>
          <w:p w14:paraId="49A259F4" w14:textId="77777777" w:rsidR="006F3E09" w:rsidRPr="007D425D" w:rsidRDefault="006F3E09" w:rsidP="007D425D">
            <w:pPr>
              <w:spacing w:after="200" w:line="276" w:lineRule="auto"/>
              <w:rPr>
                <w:rFonts w:ascii="Times New Roman" w:eastAsia="Calibri" w:hAnsi="Times New Roman"/>
                <w:sz w:val="20"/>
                <w:szCs w:val="20"/>
                <w:lang w:val="en-US"/>
              </w:rPr>
            </w:pPr>
          </w:p>
        </w:tc>
        <w:tc>
          <w:tcPr>
            <w:tcW w:w="360" w:type="dxa"/>
          </w:tcPr>
          <w:p w14:paraId="7461C911" w14:textId="77777777" w:rsidR="006F3E09" w:rsidRPr="007D425D" w:rsidRDefault="006F3E09" w:rsidP="007D425D">
            <w:pPr>
              <w:spacing w:after="200" w:line="276" w:lineRule="auto"/>
              <w:rPr>
                <w:rFonts w:ascii="Times New Roman" w:eastAsia="Calibri" w:hAnsi="Times New Roman"/>
                <w:sz w:val="20"/>
                <w:szCs w:val="20"/>
                <w:lang w:val="en-US"/>
              </w:rPr>
            </w:pPr>
          </w:p>
        </w:tc>
        <w:tc>
          <w:tcPr>
            <w:tcW w:w="450" w:type="dxa"/>
          </w:tcPr>
          <w:p w14:paraId="666B92CD" w14:textId="77777777" w:rsidR="006F3E09" w:rsidRPr="007D425D" w:rsidRDefault="006F3E09" w:rsidP="007D425D">
            <w:pPr>
              <w:spacing w:after="200" w:line="276" w:lineRule="auto"/>
              <w:rPr>
                <w:rFonts w:ascii="Times New Roman" w:eastAsia="Calibri" w:hAnsi="Times New Roman"/>
                <w:sz w:val="20"/>
                <w:szCs w:val="20"/>
                <w:lang w:val="en-US"/>
              </w:rPr>
            </w:pPr>
          </w:p>
        </w:tc>
        <w:tc>
          <w:tcPr>
            <w:tcW w:w="360" w:type="dxa"/>
          </w:tcPr>
          <w:p w14:paraId="47EBA59A" w14:textId="77777777" w:rsidR="006F3E09" w:rsidRPr="007D425D" w:rsidRDefault="006F3E09" w:rsidP="007D425D">
            <w:pPr>
              <w:spacing w:after="200" w:line="276" w:lineRule="auto"/>
              <w:rPr>
                <w:rFonts w:ascii="Times New Roman" w:eastAsia="Calibri" w:hAnsi="Times New Roman"/>
                <w:sz w:val="20"/>
                <w:szCs w:val="20"/>
                <w:lang w:val="en-US"/>
              </w:rPr>
            </w:pPr>
          </w:p>
        </w:tc>
        <w:tc>
          <w:tcPr>
            <w:tcW w:w="360" w:type="dxa"/>
          </w:tcPr>
          <w:p w14:paraId="363CEAB3" w14:textId="77777777" w:rsidR="006F3E09" w:rsidRPr="007D425D" w:rsidRDefault="006F3E09" w:rsidP="007D425D">
            <w:pPr>
              <w:spacing w:after="200" w:line="276" w:lineRule="auto"/>
              <w:rPr>
                <w:rFonts w:ascii="Times New Roman" w:eastAsia="Calibri" w:hAnsi="Times New Roman"/>
                <w:sz w:val="20"/>
                <w:szCs w:val="20"/>
                <w:lang w:val="en-US"/>
              </w:rPr>
            </w:pPr>
          </w:p>
        </w:tc>
        <w:tc>
          <w:tcPr>
            <w:tcW w:w="360" w:type="dxa"/>
          </w:tcPr>
          <w:p w14:paraId="5A04A221" w14:textId="77777777" w:rsidR="006F3E09" w:rsidRPr="007D425D" w:rsidRDefault="006F3E09" w:rsidP="007D425D">
            <w:pPr>
              <w:spacing w:after="200" w:line="276" w:lineRule="auto"/>
              <w:rPr>
                <w:rFonts w:ascii="Times New Roman" w:eastAsia="Calibri" w:hAnsi="Times New Roman"/>
                <w:sz w:val="20"/>
                <w:szCs w:val="20"/>
                <w:lang w:val="en-US"/>
              </w:rPr>
            </w:pPr>
          </w:p>
        </w:tc>
      </w:tr>
      <w:tr w:rsidR="009D7BFA" w:rsidRPr="007D425D" w14:paraId="1596658F" w14:textId="77777777" w:rsidTr="007D425D">
        <w:tc>
          <w:tcPr>
            <w:tcW w:w="5845" w:type="dxa"/>
          </w:tcPr>
          <w:p w14:paraId="0B7B6DC5" w14:textId="77777777" w:rsidR="006F3E09" w:rsidRPr="007D425D" w:rsidRDefault="006F3E09" w:rsidP="007D425D">
            <w:pPr>
              <w:spacing w:after="200" w:line="276" w:lineRule="auto"/>
              <w:rPr>
                <w:rFonts w:ascii="Times New Roman" w:eastAsia="Calibri" w:hAnsi="Times New Roman"/>
                <w:sz w:val="20"/>
                <w:szCs w:val="20"/>
                <w:lang w:val="en-US"/>
              </w:rPr>
            </w:pPr>
            <w:r w:rsidRPr="007D425D">
              <w:rPr>
                <w:rFonts w:ascii="Times New Roman" w:eastAsia="Calibri" w:hAnsi="Times New Roman"/>
                <w:sz w:val="20"/>
                <w:szCs w:val="20"/>
                <w:lang w:val="en-US"/>
              </w:rPr>
              <w:t>Data collection and analysis</w:t>
            </w:r>
          </w:p>
        </w:tc>
        <w:tc>
          <w:tcPr>
            <w:tcW w:w="630" w:type="dxa"/>
          </w:tcPr>
          <w:p w14:paraId="192ED38B" w14:textId="77777777" w:rsidR="006F3E09" w:rsidRPr="007D425D" w:rsidRDefault="006F3E09" w:rsidP="007D425D">
            <w:pPr>
              <w:spacing w:after="200" w:line="276" w:lineRule="auto"/>
              <w:rPr>
                <w:rFonts w:ascii="Times New Roman" w:eastAsia="Calibri" w:hAnsi="Times New Roman"/>
                <w:sz w:val="20"/>
                <w:szCs w:val="20"/>
                <w:lang w:val="en-US"/>
              </w:rPr>
            </w:pPr>
          </w:p>
        </w:tc>
        <w:tc>
          <w:tcPr>
            <w:tcW w:w="540" w:type="dxa"/>
          </w:tcPr>
          <w:p w14:paraId="34763F15" w14:textId="77777777" w:rsidR="006F3E09" w:rsidRPr="007D425D" w:rsidRDefault="006F3E09" w:rsidP="007D425D">
            <w:pPr>
              <w:spacing w:after="200" w:line="276" w:lineRule="auto"/>
              <w:rPr>
                <w:rFonts w:ascii="Times New Roman" w:eastAsia="Calibri" w:hAnsi="Times New Roman"/>
                <w:sz w:val="20"/>
                <w:szCs w:val="20"/>
                <w:lang w:val="en-US"/>
              </w:rPr>
            </w:pPr>
            <w:r w:rsidRPr="007D425D">
              <w:rPr>
                <w:rFonts w:ascii="Times New Roman" w:eastAsia="Calibri" w:hAnsi="Times New Roman"/>
                <w:sz w:val="20"/>
                <w:szCs w:val="20"/>
                <w:lang w:val="en-US"/>
              </w:rPr>
              <w:t>x</w:t>
            </w:r>
          </w:p>
        </w:tc>
        <w:tc>
          <w:tcPr>
            <w:tcW w:w="360" w:type="dxa"/>
          </w:tcPr>
          <w:p w14:paraId="375EDC53" w14:textId="77777777" w:rsidR="006F3E09" w:rsidRPr="007D425D" w:rsidRDefault="006F3E09" w:rsidP="007D425D">
            <w:pPr>
              <w:spacing w:after="200" w:line="276" w:lineRule="auto"/>
              <w:rPr>
                <w:rFonts w:ascii="Times New Roman" w:eastAsia="Calibri" w:hAnsi="Times New Roman"/>
                <w:sz w:val="20"/>
                <w:szCs w:val="20"/>
                <w:lang w:val="en-US"/>
              </w:rPr>
            </w:pPr>
            <w:r w:rsidRPr="007D425D">
              <w:rPr>
                <w:rFonts w:ascii="Times New Roman" w:eastAsia="Calibri" w:hAnsi="Times New Roman"/>
                <w:sz w:val="20"/>
                <w:szCs w:val="20"/>
                <w:lang w:val="en-US"/>
              </w:rPr>
              <w:t>x</w:t>
            </w:r>
          </w:p>
        </w:tc>
        <w:tc>
          <w:tcPr>
            <w:tcW w:w="450" w:type="dxa"/>
          </w:tcPr>
          <w:p w14:paraId="4D3731DF" w14:textId="77777777" w:rsidR="006F3E09" w:rsidRPr="007D425D" w:rsidRDefault="006F3E09" w:rsidP="007D425D">
            <w:pPr>
              <w:spacing w:after="200" w:line="276" w:lineRule="auto"/>
              <w:rPr>
                <w:rFonts w:ascii="Times New Roman" w:eastAsia="Calibri" w:hAnsi="Times New Roman"/>
                <w:sz w:val="20"/>
                <w:szCs w:val="20"/>
                <w:lang w:val="en-US"/>
              </w:rPr>
            </w:pPr>
            <w:r w:rsidRPr="007D425D">
              <w:rPr>
                <w:rFonts w:ascii="Times New Roman" w:eastAsia="Calibri" w:hAnsi="Times New Roman"/>
                <w:sz w:val="20"/>
                <w:szCs w:val="20"/>
                <w:lang w:val="en-US"/>
              </w:rPr>
              <w:t>x</w:t>
            </w:r>
          </w:p>
        </w:tc>
        <w:tc>
          <w:tcPr>
            <w:tcW w:w="360" w:type="dxa"/>
          </w:tcPr>
          <w:p w14:paraId="59810A0F" w14:textId="77777777" w:rsidR="006F3E09" w:rsidRPr="007D425D" w:rsidRDefault="006F3E09" w:rsidP="007D425D">
            <w:pPr>
              <w:spacing w:after="200" w:line="276" w:lineRule="auto"/>
              <w:rPr>
                <w:rFonts w:ascii="Times New Roman" w:eastAsia="Calibri" w:hAnsi="Times New Roman"/>
                <w:sz w:val="20"/>
                <w:szCs w:val="20"/>
                <w:lang w:val="en-US"/>
              </w:rPr>
            </w:pPr>
          </w:p>
        </w:tc>
        <w:tc>
          <w:tcPr>
            <w:tcW w:w="450" w:type="dxa"/>
          </w:tcPr>
          <w:p w14:paraId="466BB751" w14:textId="77777777" w:rsidR="006F3E09" w:rsidRPr="007D425D" w:rsidRDefault="006F3E09" w:rsidP="007D425D">
            <w:pPr>
              <w:spacing w:after="200" w:line="276" w:lineRule="auto"/>
              <w:rPr>
                <w:rFonts w:ascii="Times New Roman" w:eastAsia="Calibri" w:hAnsi="Times New Roman"/>
                <w:sz w:val="20"/>
                <w:szCs w:val="20"/>
                <w:lang w:val="en-US"/>
              </w:rPr>
            </w:pPr>
          </w:p>
        </w:tc>
        <w:tc>
          <w:tcPr>
            <w:tcW w:w="360" w:type="dxa"/>
          </w:tcPr>
          <w:p w14:paraId="2D647E69" w14:textId="77777777" w:rsidR="006F3E09" w:rsidRPr="007D425D" w:rsidRDefault="006F3E09" w:rsidP="007D425D">
            <w:pPr>
              <w:spacing w:after="200" w:line="276" w:lineRule="auto"/>
              <w:rPr>
                <w:rFonts w:ascii="Times New Roman" w:eastAsia="Calibri" w:hAnsi="Times New Roman"/>
                <w:sz w:val="20"/>
                <w:szCs w:val="20"/>
                <w:lang w:val="en-US"/>
              </w:rPr>
            </w:pPr>
          </w:p>
        </w:tc>
        <w:tc>
          <w:tcPr>
            <w:tcW w:w="360" w:type="dxa"/>
          </w:tcPr>
          <w:p w14:paraId="03524FC6" w14:textId="77777777" w:rsidR="006F3E09" w:rsidRPr="007D425D" w:rsidRDefault="006F3E09" w:rsidP="007D425D">
            <w:pPr>
              <w:spacing w:after="200" w:line="276" w:lineRule="auto"/>
              <w:rPr>
                <w:rFonts w:ascii="Times New Roman" w:eastAsia="Calibri" w:hAnsi="Times New Roman"/>
                <w:sz w:val="20"/>
                <w:szCs w:val="20"/>
                <w:lang w:val="en-US"/>
              </w:rPr>
            </w:pPr>
          </w:p>
        </w:tc>
        <w:tc>
          <w:tcPr>
            <w:tcW w:w="360" w:type="dxa"/>
          </w:tcPr>
          <w:p w14:paraId="07CB194D" w14:textId="77777777" w:rsidR="006F3E09" w:rsidRPr="007D425D" w:rsidRDefault="006F3E09" w:rsidP="007D425D">
            <w:pPr>
              <w:spacing w:after="200" w:line="276" w:lineRule="auto"/>
              <w:rPr>
                <w:rFonts w:ascii="Times New Roman" w:eastAsia="Calibri" w:hAnsi="Times New Roman"/>
                <w:sz w:val="20"/>
                <w:szCs w:val="20"/>
                <w:lang w:val="en-US"/>
              </w:rPr>
            </w:pPr>
          </w:p>
        </w:tc>
      </w:tr>
      <w:tr w:rsidR="009D7BFA" w:rsidRPr="007D425D" w14:paraId="4DD02F5F" w14:textId="77777777" w:rsidTr="007D425D">
        <w:tc>
          <w:tcPr>
            <w:tcW w:w="5845" w:type="dxa"/>
          </w:tcPr>
          <w:p w14:paraId="45C2ED77" w14:textId="77777777" w:rsidR="006F3E09" w:rsidRPr="007D425D" w:rsidRDefault="006F3E09" w:rsidP="007D425D">
            <w:pPr>
              <w:spacing w:after="200" w:line="276" w:lineRule="auto"/>
              <w:rPr>
                <w:rFonts w:ascii="Times New Roman" w:eastAsia="Calibri" w:hAnsi="Times New Roman"/>
                <w:sz w:val="20"/>
                <w:szCs w:val="20"/>
                <w:lang w:val="en-US"/>
              </w:rPr>
            </w:pPr>
            <w:r w:rsidRPr="007D425D">
              <w:rPr>
                <w:rFonts w:ascii="Times New Roman" w:eastAsia="Calibri" w:hAnsi="Times New Roman"/>
                <w:sz w:val="20"/>
                <w:szCs w:val="20"/>
                <w:lang w:val="en-US"/>
              </w:rPr>
              <w:t>Synthesis and development of report of main findings and recommendations (Including inputs from output assessor)</w:t>
            </w:r>
          </w:p>
        </w:tc>
        <w:tc>
          <w:tcPr>
            <w:tcW w:w="630" w:type="dxa"/>
          </w:tcPr>
          <w:p w14:paraId="621CC69B" w14:textId="77777777" w:rsidR="006F3E09" w:rsidRPr="007D425D" w:rsidRDefault="006F3E09" w:rsidP="007D425D">
            <w:pPr>
              <w:spacing w:after="200" w:line="276" w:lineRule="auto"/>
              <w:rPr>
                <w:rFonts w:ascii="Times New Roman" w:eastAsia="Calibri" w:hAnsi="Times New Roman"/>
                <w:sz w:val="20"/>
                <w:szCs w:val="20"/>
                <w:lang w:val="en-US"/>
              </w:rPr>
            </w:pPr>
          </w:p>
        </w:tc>
        <w:tc>
          <w:tcPr>
            <w:tcW w:w="540" w:type="dxa"/>
          </w:tcPr>
          <w:p w14:paraId="04FC1EB3" w14:textId="77777777" w:rsidR="006F3E09" w:rsidRPr="007D425D" w:rsidRDefault="006F3E09" w:rsidP="007D425D">
            <w:pPr>
              <w:spacing w:after="200" w:line="276" w:lineRule="auto"/>
              <w:rPr>
                <w:rFonts w:ascii="Times New Roman" w:eastAsia="Calibri" w:hAnsi="Times New Roman"/>
                <w:sz w:val="20"/>
                <w:szCs w:val="20"/>
                <w:lang w:val="en-US"/>
              </w:rPr>
            </w:pPr>
          </w:p>
        </w:tc>
        <w:tc>
          <w:tcPr>
            <w:tcW w:w="360" w:type="dxa"/>
          </w:tcPr>
          <w:p w14:paraId="57326C34" w14:textId="77777777" w:rsidR="006F3E09" w:rsidRPr="007D425D" w:rsidRDefault="006F3E09" w:rsidP="007D425D">
            <w:pPr>
              <w:spacing w:after="200" w:line="276" w:lineRule="auto"/>
              <w:rPr>
                <w:rFonts w:ascii="Times New Roman" w:eastAsia="Calibri" w:hAnsi="Times New Roman"/>
                <w:sz w:val="20"/>
                <w:szCs w:val="20"/>
                <w:lang w:val="en-US"/>
              </w:rPr>
            </w:pPr>
          </w:p>
        </w:tc>
        <w:tc>
          <w:tcPr>
            <w:tcW w:w="450" w:type="dxa"/>
          </w:tcPr>
          <w:p w14:paraId="446DE30D" w14:textId="77777777" w:rsidR="006F3E09" w:rsidRPr="007D425D" w:rsidRDefault="006F3E09" w:rsidP="007D425D">
            <w:pPr>
              <w:spacing w:after="200" w:line="276" w:lineRule="auto"/>
              <w:rPr>
                <w:rFonts w:ascii="Times New Roman" w:eastAsia="Calibri" w:hAnsi="Times New Roman"/>
                <w:sz w:val="20"/>
                <w:szCs w:val="20"/>
                <w:lang w:val="en-US"/>
              </w:rPr>
            </w:pPr>
          </w:p>
        </w:tc>
        <w:tc>
          <w:tcPr>
            <w:tcW w:w="360" w:type="dxa"/>
          </w:tcPr>
          <w:p w14:paraId="46AC5399" w14:textId="77777777" w:rsidR="006F3E09" w:rsidRPr="007D425D" w:rsidRDefault="006F3E09" w:rsidP="007D425D">
            <w:pPr>
              <w:spacing w:after="200" w:line="276" w:lineRule="auto"/>
              <w:rPr>
                <w:rFonts w:ascii="Times New Roman" w:eastAsia="Calibri" w:hAnsi="Times New Roman"/>
                <w:sz w:val="20"/>
                <w:szCs w:val="20"/>
                <w:lang w:val="en-US"/>
              </w:rPr>
            </w:pPr>
            <w:r w:rsidRPr="007D425D">
              <w:rPr>
                <w:rFonts w:ascii="Times New Roman" w:eastAsia="Calibri" w:hAnsi="Times New Roman"/>
                <w:sz w:val="20"/>
                <w:szCs w:val="20"/>
                <w:lang w:val="en-US"/>
              </w:rPr>
              <w:t>x</w:t>
            </w:r>
          </w:p>
        </w:tc>
        <w:tc>
          <w:tcPr>
            <w:tcW w:w="450" w:type="dxa"/>
          </w:tcPr>
          <w:p w14:paraId="5C0FE14F" w14:textId="77777777" w:rsidR="006F3E09" w:rsidRPr="007D425D" w:rsidRDefault="006F3E09" w:rsidP="007D425D">
            <w:pPr>
              <w:spacing w:after="200" w:line="276" w:lineRule="auto"/>
              <w:rPr>
                <w:rFonts w:ascii="Times New Roman" w:eastAsia="Calibri" w:hAnsi="Times New Roman"/>
                <w:sz w:val="20"/>
                <w:szCs w:val="20"/>
                <w:lang w:val="en-US"/>
              </w:rPr>
            </w:pPr>
          </w:p>
        </w:tc>
        <w:tc>
          <w:tcPr>
            <w:tcW w:w="360" w:type="dxa"/>
          </w:tcPr>
          <w:p w14:paraId="68436D89" w14:textId="77777777" w:rsidR="006F3E09" w:rsidRPr="007D425D" w:rsidRDefault="006F3E09" w:rsidP="007D425D">
            <w:pPr>
              <w:spacing w:after="200" w:line="276" w:lineRule="auto"/>
              <w:rPr>
                <w:rFonts w:ascii="Times New Roman" w:eastAsia="Calibri" w:hAnsi="Times New Roman"/>
                <w:sz w:val="20"/>
                <w:szCs w:val="20"/>
                <w:lang w:val="en-US"/>
              </w:rPr>
            </w:pPr>
          </w:p>
        </w:tc>
        <w:tc>
          <w:tcPr>
            <w:tcW w:w="360" w:type="dxa"/>
          </w:tcPr>
          <w:p w14:paraId="7DCE18CD" w14:textId="77777777" w:rsidR="006F3E09" w:rsidRPr="007D425D" w:rsidRDefault="006F3E09" w:rsidP="007D425D">
            <w:pPr>
              <w:spacing w:after="200" w:line="276" w:lineRule="auto"/>
              <w:rPr>
                <w:rFonts w:ascii="Times New Roman" w:eastAsia="Calibri" w:hAnsi="Times New Roman"/>
                <w:sz w:val="20"/>
                <w:szCs w:val="20"/>
                <w:lang w:val="en-US"/>
              </w:rPr>
            </w:pPr>
          </w:p>
        </w:tc>
        <w:tc>
          <w:tcPr>
            <w:tcW w:w="360" w:type="dxa"/>
          </w:tcPr>
          <w:p w14:paraId="669A7039" w14:textId="77777777" w:rsidR="006F3E09" w:rsidRPr="007D425D" w:rsidRDefault="006F3E09" w:rsidP="007D425D">
            <w:pPr>
              <w:spacing w:after="200" w:line="276" w:lineRule="auto"/>
              <w:rPr>
                <w:rFonts w:ascii="Times New Roman" w:eastAsia="Calibri" w:hAnsi="Times New Roman"/>
                <w:sz w:val="20"/>
                <w:szCs w:val="20"/>
                <w:lang w:val="en-US"/>
              </w:rPr>
            </w:pPr>
          </w:p>
        </w:tc>
      </w:tr>
      <w:tr w:rsidR="009D7BFA" w:rsidRPr="007D425D" w14:paraId="249D7E8A" w14:textId="77777777" w:rsidTr="007D425D">
        <w:tc>
          <w:tcPr>
            <w:tcW w:w="5845" w:type="dxa"/>
          </w:tcPr>
          <w:p w14:paraId="46B6223C" w14:textId="77777777" w:rsidR="006F3E09" w:rsidRPr="007D425D" w:rsidRDefault="006F3E09" w:rsidP="007D425D">
            <w:pPr>
              <w:spacing w:after="200" w:line="276" w:lineRule="auto"/>
              <w:rPr>
                <w:rFonts w:ascii="Times New Roman" w:eastAsia="Calibri" w:hAnsi="Times New Roman"/>
                <w:sz w:val="20"/>
                <w:szCs w:val="20"/>
                <w:lang w:val="en-US"/>
              </w:rPr>
            </w:pPr>
            <w:r w:rsidRPr="007D425D">
              <w:rPr>
                <w:rFonts w:ascii="Times New Roman" w:eastAsia="Calibri" w:hAnsi="Times New Roman"/>
                <w:sz w:val="20"/>
                <w:szCs w:val="20"/>
                <w:lang w:val="en-US"/>
              </w:rPr>
              <w:t>Summary of main findings and interpretation and conclusions (including inputs from output assessors)</w:t>
            </w:r>
          </w:p>
        </w:tc>
        <w:tc>
          <w:tcPr>
            <w:tcW w:w="630" w:type="dxa"/>
          </w:tcPr>
          <w:p w14:paraId="544C1FA7" w14:textId="77777777" w:rsidR="006F3E09" w:rsidRPr="007D425D" w:rsidRDefault="006F3E09" w:rsidP="007D425D">
            <w:pPr>
              <w:spacing w:after="200" w:line="276" w:lineRule="auto"/>
              <w:rPr>
                <w:rFonts w:ascii="Times New Roman" w:eastAsia="Calibri" w:hAnsi="Times New Roman"/>
                <w:sz w:val="20"/>
                <w:szCs w:val="20"/>
                <w:lang w:val="en-US"/>
              </w:rPr>
            </w:pPr>
          </w:p>
        </w:tc>
        <w:tc>
          <w:tcPr>
            <w:tcW w:w="540" w:type="dxa"/>
          </w:tcPr>
          <w:p w14:paraId="07672AEE" w14:textId="77777777" w:rsidR="006F3E09" w:rsidRPr="007D425D" w:rsidRDefault="006F3E09" w:rsidP="007D425D">
            <w:pPr>
              <w:spacing w:after="200" w:line="276" w:lineRule="auto"/>
              <w:rPr>
                <w:rFonts w:ascii="Times New Roman" w:eastAsia="Calibri" w:hAnsi="Times New Roman"/>
                <w:sz w:val="20"/>
                <w:szCs w:val="20"/>
                <w:lang w:val="en-US"/>
              </w:rPr>
            </w:pPr>
          </w:p>
        </w:tc>
        <w:tc>
          <w:tcPr>
            <w:tcW w:w="360" w:type="dxa"/>
          </w:tcPr>
          <w:p w14:paraId="1BE69719" w14:textId="77777777" w:rsidR="006F3E09" w:rsidRPr="007D425D" w:rsidRDefault="006F3E09" w:rsidP="007D425D">
            <w:pPr>
              <w:spacing w:after="200" w:line="276" w:lineRule="auto"/>
              <w:rPr>
                <w:rFonts w:ascii="Times New Roman" w:eastAsia="Calibri" w:hAnsi="Times New Roman"/>
                <w:sz w:val="20"/>
                <w:szCs w:val="20"/>
                <w:lang w:val="en-US"/>
              </w:rPr>
            </w:pPr>
          </w:p>
        </w:tc>
        <w:tc>
          <w:tcPr>
            <w:tcW w:w="450" w:type="dxa"/>
          </w:tcPr>
          <w:p w14:paraId="783F5B1E" w14:textId="77777777" w:rsidR="006F3E09" w:rsidRPr="007D425D" w:rsidRDefault="006F3E09" w:rsidP="007D425D">
            <w:pPr>
              <w:spacing w:after="200" w:line="276" w:lineRule="auto"/>
              <w:rPr>
                <w:rFonts w:ascii="Times New Roman" w:eastAsia="Calibri" w:hAnsi="Times New Roman"/>
                <w:sz w:val="20"/>
                <w:szCs w:val="20"/>
                <w:lang w:val="en-US"/>
              </w:rPr>
            </w:pPr>
          </w:p>
        </w:tc>
        <w:tc>
          <w:tcPr>
            <w:tcW w:w="360" w:type="dxa"/>
          </w:tcPr>
          <w:p w14:paraId="31978137" w14:textId="77777777" w:rsidR="006F3E09" w:rsidRPr="007D425D" w:rsidRDefault="006F3E09" w:rsidP="007D425D">
            <w:pPr>
              <w:spacing w:after="200" w:line="276" w:lineRule="auto"/>
              <w:rPr>
                <w:rFonts w:ascii="Times New Roman" w:eastAsia="Calibri" w:hAnsi="Times New Roman"/>
                <w:sz w:val="20"/>
                <w:szCs w:val="20"/>
                <w:lang w:val="en-US"/>
              </w:rPr>
            </w:pPr>
          </w:p>
        </w:tc>
        <w:tc>
          <w:tcPr>
            <w:tcW w:w="450" w:type="dxa"/>
          </w:tcPr>
          <w:p w14:paraId="1C44E370" w14:textId="77777777" w:rsidR="006F3E09" w:rsidRPr="007D425D" w:rsidRDefault="006F3E09" w:rsidP="007D425D">
            <w:pPr>
              <w:spacing w:after="200" w:line="276" w:lineRule="auto"/>
              <w:rPr>
                <w:rFonts w:ascii="Times New Roman" w:eastAsia="Calibri" w:hAnsi="Times New Roman"/>
                <w:sz w:val="20"/>
                <w:szCs w:val="20"/>
                <w:lang w:val="en-US"/>
              </w:rPr>
            </w:pPr>
            <w:r w:rsidRPr="007D425D">
              <w:rPr>
                <w:rFonts w:ascii="Times New Roman" w:eastAsia="Calibri" w:hAnsi="Times New Roman"/>
                <w:sz w:val="20"/>
                <w:szCs w:val="20"/>
                <w:lang w:val="en-US"/>
              </w:rPr>
              <w:t>x</w:t>
            </w:r>
          </w:p>
        </w:tc>
        <w:tc>
          <w:tcPr>
            <w:tcW w:w="360" w:type="dxa"/>
          </w:tcPr>
          <w:p w14:paraId="19D60BF8" w14:textId="77777777" w:rsidR="006F3E09" w:rsidRPr="007D425D" w:rsidRDefault="006F3E09" w:rsidP="007D425D">
            <w:pPr>
              <w:spacing w:after="200" w:line="276" w:lineRule="auto"/>
              <w:rPr>
                <w:rFonts w:ascii="Times New Roman" w:eastAsia="Calibri" w:hAnsi="Times New Roman"/>
                <w:sz w:val="20"/>
                <w:szCs w:val="20"/>
                <w:lang w:val="en-US"/>
              </w:rPr>
            </w:pPr>
          </w:p>
        </w:tc>
        <w:tc>
          <w:tcPr>
            <w:tcW w:w="360" w:type="dxa"/>
          </w:tcPr>
          <w:p w14:paraId="4395D91F" w14:textId="77777777" w:rsidR="006F3E09" w:rsidRPr="007D425D" w:rsidRDefault="006F3E09" w:rsidP="007D425D">
            <w:pPr>
              <w:spacing w:after="200" w:line="276" w:lineRule="auto"/>
              <w:rPr>
                <w:rFonts w:ascii="Times New Roman" w:eastAsia="Calibri" w:hAnsi="Times New Roman"/>
                <w:sz w:val="20"/>
                <w:szCs w:val="20"/>
                <w:lang w:val="en-US"/>
              </w:rPr>
            </w:pPr>
          </w:p>
        </w:tc>
        <w:tc>
          <w:tcPr>
            <w:tcW w:w="360" w:type="dxa"/>
          </w:tcPr>
          <w:p w14:paraId="66B764A8" w14:textId="77777777" w:rsidR="006F3E09" w:rsidRPr="007D425D" w:rsidRDefault="006F3E09" w:rsidP="007D425D">
            <w:pPr>
              <w:spacing w:after="200" w:line="276" w:lineRule="auto"/>
              <w:rPr>
                <w:rFonts w:ascii="Times New Roman" w:eastAsia="Calibri" w:hAnsi="Times New Roman"/>
                <w:sz w:val="20"/>
                <w:szCs w:val="20"/>
                <w:lang w:val="en-US"/>
              </w:rPr>
            </w:pPr>
          </w:p>
        </w:tc>
      </w:tr>
      <w:tr w:rsidR="009D7BFA" w:rsidRPr="007D425D" w14:paraId="526685C1" w14:textId="77777777" w:rsidTr="007D425D">
        <w:tc>
          <w:tcPr>
            <w:tcW w:w="5845" w:type="dxa"/>
          </w:tcPr>
          <w:p w14:paraId="490C3120" w14:textId="77777777" w:rsidR="006F3E09" w:rsidRPr="007D425D" w:rsidRDefault="006F3E09" w:rsidP="007D425D">
            <w:pPr>
              <w:spacing w:after="200" w:line="276" w:lineRule="auto"/>
              <w:rPr>
                <w:rFonts w:ascii="Times New Roman" w:eastAsia="Calibri" w:hAnsi="Times New Roman"/>
                <w:sz w:val="20"/>
                <w:szCs w:val="20"/>
                <w:lang w:val="en-US"/>
              </w:rPr>
            </w:pPr>
            <w:r w:rsidRPr="007D425D">
              <w:rPr>
                <w:rFonts w:ascii="Times New Roman" w:eastAsia="Calibri" w:hAnsi="Times New Roman"/>
                <w:sz w:val="20"/>
                <w:szCs w:val="20"/>
                <w:lang w:val="en-US"/>
              </w:rPr>
              <w:t>Drafting and submission of  Evaluation Report</w:t>
            </w:r>
          </w:p>
        </w:tc>
        <w:tc>
          <w:tcPr>
            <w:tcW w:w="630" w:type="dxa"/>
          </w:tcPr>
          <w:p w14:paraId="73C56CEB" w14:textId="77777777" w:rsidR="006F3E09" w:rsidRPr="007D425D" w:rsidRDefault="006F3E09" w:rsidP="007D425D">
            <w:pPr>
              <w:spacing w:after="200" w:line="276" w:lineRule="auto"/>
              <w:rPr>
                <w:rFonts w:ascii="Times New Roman" w:eastAsia="Calibri" w:hAnsi="Times New Roman"/>
                <w:sz w:val="20"/>
                <w:szCs w:val="20"/>
                <w:lang w:val="en-US"/>
              </w:rPr>
            </w:pPr>
          </w:p>
        </w:tc>
        <w:tc>
          <w:tcPr>
            <w:tcW w:w="540" w:type="dxa"/>
          </w:tcPr>
          <w:p w14:paraId="77F05A78" w14:textId="77777777" w:rsidR="006F3E09" w:rsidRPr="007D425D" w:rsidRDefault="006F3E09" w:rsidP="007D425D">
            <w:pPr>
              <w:spacing w:after="200" w:line="276" w:lineRule="auto"/>
              <w:rPr>
                <w:rFonts w:ascii="Times New Roman" w:eastAsia="Calibri" w:hAnsi="Times New Roman"/>
                <w:sz w:val="20"/>
                <w:szCs w:val="20"/>
                <w:lang w:val="en-US"/>
              </w:rPr>
            </w:pPr>
          </w:p>
        </w:tc>
        <w:tc>
          <w:tcPr>
            <w:tcW w:w="360" w:type="dxa"/>
          </w:tcPr>
          <w:p w14:paraId="5ACBAB66" w14:textId="77777777" w:rsidR="006F3E09" w:rsidRPr="007D425D" w:rsidRDefault="006F3E09" w:rsidP="007D425D">
            <w:pPr>
              <w:spacing w:after="200" w:line="276" w:lineRule="auto"/>
              <w:rPr>
                <w:rFonts w:ascii="Times New Roman" w:eastAsia="Calibri" w:hAnsi="Times New Roman"/>
                <w:sz w:val="20"/>
                <w:szCs w:val="20"/>
                <w:lang w:val="en-US"/>
              </w:rPr>
            </w:pPr>
          </w:p>
        </w:tc>
        <w:tc>
          <w:tcPr>
            <w:tcW w:w="450" w:type="dxa"/>
          </w:tcPr>
          <w:p w14:paraId="527B40FE" w14:textId="77777777" w:rsidR="006F3E09" w:rsidRPr="007D425D" w:rsidRDefault="006F3E09" w:rsidP="007D425D">
            <w:pPr>
              <w:spacing w:after="200" w:line="276" w:lineRule="auto"/>
              <w:rPr>
                <w:rFonts w:ascii="Times New Roman" w:eastAsia="Calibri" w:hAnsi="Times New Roman"/>
                <w:sz w:val="20"/>
                <w:szCs w:val="20"/>
                <w:lang w:val="en-US"/>
              </w:rPr>
            </w:pPr>
          </w:p>
        </w:tc>
        <w:tc>
          <w:tcPr>
            <w:tcW w:w="360" w:type="dxa"/>
          </w:tcPr>
          <w:p w14:paraId="5D79416A" w14:textId="77777777" w:rsidR="006F3E09" w:rsidRPr="007D425D" w:rsidRDefault="006F3E09" w:rsidP="007D425D">
            <w:pPr>
              <w:spacing w:after="200" w:line="276" w:lineRule="auto"/>
              <w:rPr>
                <w:rFonts w:ascii="Times New Roman" w:eastAsia="Calibri" w:hAnsi="Times New Roman"/>
                <w:sz w:val="20"/>
                <w:szCs w:val="20"/>
                <w:lang w:val="en-US"/>
              </w:rPr>
            </w:pPr>
          </w:p>
        </w:tc>
        <w:tc>
          <w:tcPr>
            <w:tcW w:w="450" w:type="dxa"/>
          </w:tcPr>
          <w:p w14:paraId="0FCF63FD" w14:textId="77777777" w:rsidR="006F3E09" w:rsidRPr="007D425D" w:rsidRDefault="006F3E09" w:rsidP="007D425D">
            <w:pPr>
              <w:spacing w:after="200" w:line="276" w:lineRule="auto"/>
              <w:rPr>
                <w:rFonts w:ascii="Times New Roman" w:eastAsia="Calibri" w:hAnsi="Times New Roman"/>
                <w:sz w:val="20"/>
                <w:szCs w:val="20"/>
                <w:lang w:val="en-US"/>
              </w:rPr>
            </w:pPr>
          </w:p>
        </w:tc>
        <w:tc>
          <w:tcPr>
            <w:tcW w:w="360" w:type="dxa"/>
          </w:tcPr>
          <w:p w14:paraId="223BAAA4" w14:textId="77777777" w:rsidR="006F3E09" w:rsidRPr="007D425D" w:rsidRDefault="006F3E09" w:rsidP="007D425D">
            <w:pPr>
              <w:spacing w:after="200" w:line="276" w:lineRule="auto"/>
              <w:rPr>
                <w:rFonts w:ascii="Times New Roman" w:eastAsia="Calibri" w:hAnsi="Times New Roman"/>
                <w:sz w:val="20"/>
                <w:szCs w:val="20"/>
                <w:lang w:val="en-US"/>
              </w:rPr>
            </w:pPr>
            <w:r w:rsidRPr="007D425D">
              <w:rPr>
                <w:rFonts w:ascii="Times New Roman" w:eastAsia="Calibri" w:hAnsi="Times New Roman"/>
                <w:sz w:val="20"/>
                <w:szCs w:val="20"/>
                <w:lang w:val="en-US"/>
              </w:rPr>
              <w:t>x</w:t>
            </w:r>
          </w:p>
        </w:tc>
        <w:tc>
          <w:tcPr>
            <w:tcW w:w="360" w:type="dxa"/>
          </w:tcPr>
          <w:p w14:paraId="660E253A" w14:textId="77777777" w:rsidR="006F3E09" w:rsidRPr="007D425D" w:rsidRDefault="006F3E09" w:rsidP="007D425D">
            <w:pPr>
              <w:spacing w:after="200" w:line="276" w:lineRule="auto"/>
              <w:rPr>
                <w:rFonts w:ascii="Times New Roman" w:eastAsia="Calibri" w:hAnsi="Times New Roman"/>
                <w:sz w:val="20"/>
                <w:szCs w:val="20"/>
                <w:lang w:val="en-US"/>
              </w:rPr>
            </w:pPr>
          </w:p>
        </w:tc>
        <w:tc>
          <w:tcPr>
            <w:tcW w:w="360" w:type="dxa"/>
          </w:tcPr>
          <w:p w14:paraId="47B6FF22" w14:textId="77777777" w:rsidR="006F3E09" w:rsidRPr="007D425D" w:rsidRDefault="006F3E09" w:rsidP="007D425D">
            <w:pPr>
              <w:spacing w:after="200" w:line="276" w:lineRule="auto"/>
              <w:rPr>
                <w:rFonts w:ascii="Times New Roman" w:eastAsia="Calibri" w:hAnsi="Times New Roman"/>
                <w:sz w:val="20"/>
                <w:szCs w:val="20"/>
                <w:lang w:val="en-US"/>
              </w:rPr>
            </w:pPr>
          </w:p>
        </w:tc>
      </w:tr>
      <w:tr w:rsidR="009D7BFA" w:rsidRPr="007D425D" w14:paraId="23D51294" w14:textId="77777777" w:rsidTr="007D425D">
        <w:tc>
          <w:tcPr>
            <w:tcW w:w="5845" w:type="dxa"/>
          </w:tcPr>
          <w:p w14:paraId="4226251D" w14:textId="77777777" w:rsidR="006F3E09" w:rsidRPr="007D425D" w:rsidRDefault="006F3E09" w:rsidP="007D425D">
            <w:pPr>
              <w:spacing w:after="200" w:line="276" w:lineRule="auto"/>
              <w:rPr>
                <w:rFonts w:ascii="Times New Roman" w:eastAsia="Calibri" w:hAnsi="Times New Roman"/>
                <w:sz w:val="20"/>
                <w:szCs w:val="20"/>
                <w:lang w:val="en-US"/>
              </w:rPr>
            </w:pPr>
            <w:r w:rsidRPr="007D425D">
              <w:rPr>
                <w:rFonts w:ascii="Times New Roman" w:eastAsia="Calibri" w:hAnsi="Times New Roman"/>
                <w:sz w:val="20"/>
                <w:szCs w:val="20"/>
                <w:lang w:val="en-US"/>
              </w:rPr>
              <w:t>Receipt of comments from stakeholders and reference group members</w:t>
            </w:r>
          </w:p>
        </w:tc>
        <w:tc>
          <w:tcPr>
            <w:tcW w:w="630" w:type="dxa"/>
          </w:tcPr>
          <w:p w14:paraId="4C6AA7DF" w14:textId="77777777" w:rsidR="006F3E09" w:rsidRPr="007D425D" w:rsidRDefault="006F3E09" w:rsidP="007D425D">
            <w:pPr>
              <w:spacing w:after="200" w:line="276" w:lineRule="auto"/>
              <w:rPr>
                <w:rFonts w:ascii="Times New Roman" w:eastAsia="Calibri" w:hAnsi="Times New Roman"/>
                <w:sz w:val="20"/>
                <w:szCs w:val="20"/>
                <w:lang w:val="en-US"/>
              </w:rPr>
            </w:pPr>
          </w:p>
        </w:tc>
        <w:tc>
          <w:tcPr>
            <w:tcW w:w="540" w:type="dxa"/>
          </w:tcPr>
          <w:p w14:paraId="32B6E3CA" w14:textId="77777777" w:rsidR="006F3E09" w:rsidRPr="007D425D" w:rsidRDefault="006F3E09" w:rsidP="007D425D">
            <w:pPr>
              <w:spacing w:after="200" w:line="276" w:lineRule="auto"/>
              <w:rPr>
                <w:rFonts w:ascii="Times New Roman" w:eastAsia="Calibri" w:hAnsi="Times New Roman"/>
                <w:sz w:val="20"/>
                <w:szCs w:val="20"/>
                <w:lang w:val="en-US"/>
              </w:rPr>
            </w:pPr>
          </w:p>
        </w:tc>
        <w:tc>
          <w:tcPr>
            <w:tcW w:w="360" w:type="dxa"/>
          </w:tcPr>
          <w:p w14:paraId="2D4D84B1" w14:textId="77777777" w:rsidR="006F3E09" w:rsidRPr="007D425D" w:rsidRDefault="006F3E09" w:rsidP="007D425D">
            <w:pPr>
              <w:spacing w:after="200" w:line="276" w:lineRule="auto"/>
              <w:rPr>
                <w:rFonts w:ascii="Times New Roman" w:eastAsia="Calibri" w:hAnsi="Times New Roman"/>
                <w:sz w:val="20"/>
                <w:szCs w:val="20"/>
                <w:lang w:val="en-US"/>
              </w:rPr>
            </w:pPr>
          </w:p>
        </w:tc>
        <w:tc>
          <w:tcPr>
            <w:tcW w:w="450" w:type="dxa"/>
          </w:tcPr>
          <w:p w14:paraId="11E838A5" w14:textId="77777777" w:rsidR="006F3E09" w:rsidRPr="007D425D" w:rsidRDefault="006F3E09" w:rsidP="007D425D">
            <w:pPr>
              <w:spacing w:after="200" w:line="276" w:lineRule="auto"/>
              <w:rPr>
                <w:rFonts w:ascii="Times New Roman" w:eastAsia="Calibri" w:hAnsi="Times New Roman"/>
                <w:sz w:val="20"/>
                <w:szCs w:val="20"/>
                <w:lang w:val="en-US"/>
              </w:rPr>
            </w:pPr>
          </w:p>
        </w:tc>
        <w:tc>
          <w:tcPr>
            <w:tcW w:w="360" w:type="dxa"/>
          </w:tcPr>
          <w:p w14:paraId="14D1CA37" w14:textId="77777777" w:rsidR="006F3E09" w:rsidRPr="007D425D" w:rsidRDefault="006F3E09" w:rsidP="007D425D">
            <w:pPr>
              <w:spacing w:after="200" w:line="276" w:lineRule="auto"/>
              <w:rPr>
                <w:rFonts w:ascii="Times New Roman" w:eastAsia="Calibri" w:hAnsi="Times New Roman"/>
                <w:sz w:val="20"/>
                <w:szCs w:val="20"/>
                <w:lang w:val="en-US"/>
              </w:rPr>
            </w:pPr>
          </w:p>
        </w:tc>
        <w:tc>
          <w:tcPr>
            <w:tcW w:w="450" w:type="dxa"/>
          </w:tcPr>
          <w:p w14:paraId="4F476344" w14:textId="77777777" w:rsidR="006F3E09" w:rsidRPr="007D425D" w:rsidRDefault="006F3E09" w:rsidP="007D425D">
            <w:pPr>
              <w:spacing w:after="200" w:line="276" w:lineRule="auto"/>
              <w:rPr>
                <w:rFonts w:ascii="Times New Roman" w:eastAsia="Calibri" w:hAnsi="Times New Roman"/>
                <w:sz w:val="20"/>
                <w:szCs w:val="20"/>
                <w:lang w:val="en-US"/>
              </w:rPr>
            </w:pPr>
          </w:p>
        </w:tc>
        <w:tc>
          <w:tcPr>
            <w:tcW w:w="360" w:type="dxa"/>
          </w:tcPr>
          <w:p w14:paraId="00B805E4" w14:textId="77777777" w:rsidR="006F3E09" w:rsidRPr="007D425D" w:rsidRDefault="006F3E09" w:rsidP="007D425D">
            <w:pPr>
              <w:spacing w:after="200" w:line="276" w:lineRule="auto"/>
              <w:rPr>
                <w:rFonts w:ascii="Times New Roman" w:eastAsia="Calibri" w:hAnsi="Times New Roman"/>
                <w:sz w:val="20"/>
                <w:szCs w:val="20"/>
                <w:lang w:val="en-US"/>
              </w:rPr>
            </w:pPr>
          </w:p>
        </w:tc>
        <w:tc>
          <w:tcPr>
            <w:tcW w:w="360" w:type="dxa"/>
          </w:tcPr>
          <w:p w14:paraId="2EC6BBAB" w14:textId="77777777" w:rsidR="006F3E09" w:rsidRPr="007D425D" w:rsidRDefault="006F3E09" w:rsidP="007D425D">
            <w:pPr>
              <w:spacing w:after="200" w:line="276" w:lineRule="auto"/>
              <w:rPr>
                <w:rFonts w:ascii="Times New Roman" w:eastAsia="Calibri" w:hAnsi="Times New Roman"/>
                <w:sz w:val="20"/>
                <w:szCs w:val="20"/>
                <w:lang w:val="en-US"/>
              </w:rPr>
            </w:pPr>
            <w:r w:rsidRPr="007D425D">
              <w:rPr>
                <w:rFonts w:ascii="Times New Roman" w:eastAsia="Calibri" w:hAnsi="Times New Roman"/>
                <w:sz w:val="20"/>
                <w:szCs w:val="20"/>
                <w:lang w:val="en-US"/>
              </w:rPr>
              <w:t>x</w:t>
            </w:r>
          </w:p>
        </w:tc>
        <w:tc>
          <w:tcPr>
            <w:tcW w:w="360" w:type="dxa"/>
          </w:tcPr>
          <w:p w14:paraId="191A5FAC" w14:textId="77777777" w:rsidR="006F3E09" w:rsidRPr="007D425D" w:rsidRDefault="006F3E09" w:rsidP="007D425D">
            <w:pPr>
              <w:spacing w:after="200" w:line="276" w:lineRule="auto"/>
              <w:rPr>
                <w:rFonts w:ascii="Times New Roman" w:eastAsia="Calibri" w:hAnsi="Times New Roman"/>
                <w:sz w:val="20"/>
                <w:szCs w:val="20"/>
                <w:lang w:val="en-US"/>
              </w:rPr>
            </w:pPr>
          </w:p>
        </w:tc>
      </w:tr>
      <w:tr w:rsidR="009D7BFA" w:rsidRPr="007D425D" w14:paraId="69DED631" w14:textId="77777777" w:rsidTr="007D425D">
        <w:tc>
          <w:tcPr>
            <w:tcW w:w="5845" w:type="dxa"/>
          </w:tcPr>
          <w:p w14:paraId="403685BB" w14:textId="77777777" w:rsidR="006F3E09" w:rsidRPr="007D425D" w:rsidRDefault="006F3E09" w:rsidP="007D425D">
            <w:pPr>
              <w:spacing w:after="200" w:line="276" w:lineRule="auto"/>
              <w:rPr>
                <w:rFonts w:ascii="Times New Roman" w:eastAsia="Calibri" w:hAnsi="Times New Roman"/>
                <w:sz w:val="20"/>
                <w:szCs w:val="20"/>
                <w:lang w:val="en-US"/>
              </w:rPr>
            </w:pPr>
            <w:r w:rsidRPr="007D425D">
              <w:rPr>
                <w:rFonts w:ascii="Times New Roman" w:eastAsia="Calibri" w:hAnsi="Times New Roman"/>
                <w:sz w:val="20"/>
                <w:szCs w:val="20"/>
                <w:lang w:val="en-US"/>
              </w:rPr>
              <w:t>Revision and submission of Final Report</w:t>
            </w:r>
          </w:p>
        </w:tc>
        <w:tc>
          <w:tcPr>
            <w:tcW w:w="630" w:type="dxa"/>
          </w:tcPr>
          <w:p w14:paraId="06B51D7B" w14:textId="77777777" w:rsidR="006F3E09" w:rsidRPr="007D425D" w:rsidRDefault="006F3E09" w:rsidP="007D425D">
            <w:pPr>
              <w:spacing w:after="200" w:line="276" w:lineRule="auto"/>
              <w:rPr>
                <w:rFonts w:ascii="Times New Roman" w:eastAsia="Calibri" w:hAnsi="Times New Roman"/>
                <w:sz w:val="20"/>
                <w:szCs w:val="20"/>
                <w:lang w:val="en-US"/>
              </w:rPr>
            </w:pPr>
          </w:p>
        </w:tc>
        <w:tc>
          <w:tcPr>
            <w:tcW w:w="540" w:type="dxa"/>
          </w:tcPr>
          <w:p w14:paraId="6D38BEDD" w14:textId="77777777" w:rsidR="006F3E09" w:rsidRPr="007D425D" w:rsidRDefault="006F3E09" w:rsidP="007D425D">
            <w:pPr>
              <w:spacing w:after="200" w:line="276" w:lineRule="auto"/>
              <w:rPr>
                <w:rFonts w:ascii="Times New Roman" w:eastAsia="Calibri" w:hAnsi="Times New Roman"/>
                <w:sz w:val="20"/>
                <w:szCs w:val="20"/>
                <w:lang w:val="en-US"/>
              </w:rPr>
            </w:pPr>
          </w:p>
        </w:tc>
        <w:tc>
          <w:tcPr>
            <w:tcW w:w="360" w:type="dxa"/>
          </w:tcPr>
          <w:p w14:paraId="34FF138E" w14:textId="77777777" w:rsidR="006F3E09" w:rsidRPr="007D425D" w:rsidRDefault="006F3E09" w:rsidP="007D425D">
            <w:pPr>
              <w:spacing w:after="200" w:line="276" w:lineRule="auto"/>
              <w:rPr>
                <w:rFonts w:ascii="Times New Roman" w:eastAsia="Calibri" w:hAnsi="Times New Roman"/>
                <w:sz w:val="20"/>
                <w:szCs w:val="20"/>
                <w:lang w:val="en-US"/>
              </w:rPr>
            </w:pPr>
          </w:p>
        </w:tc>
        <w:tc>
          <w:tcPr>
            <w:tcW w:w="450" w:type="dxa"/>
          </w:tcPr>
          <w:p w14:paraId="389DFE63" w14:textId="77777777" w:rsidR="006F3E09" w:rsidRPr="007D425D" w:rsidRDefault="006F3E09" w:rsidP="007D425D">
            <w:pPr>
              <w:spacing w:after="200" w:line="276" w:lineRule="auto"/>
              <w:rPr>
                <w:rFonts w:ascii="Times New Roman" w:eastAsia="Calibri" w:hAnsi="Times New Roman"/>
                <w:sz w:val="20"/>
                <w:szCs w:val="20"/>
                <w:lang w:val="en-US"/>
              </w:rPr>
            </w:pPr>
          </w:p>
        </w:tc>
        <w:tc>
          <w:tcPr>
            <w:tcW w:w="360" w:type="dxa"/>
          </w:tcPr>
          <w:p w14:paraId="2034E09A" w14:textId="77777777" w:rsidR="006F3E09" w:rsidRPr="007D425D" w:rsidRDefault="006F3E09" w:rsidP="007D425D">
            <w:pPr>
              <w:spacing w:after="200" w:line="276" w:lineRule="auto"/>
              <w:rPr>
                <w:rFonts w:ascii="Times New Roman" w:eastAsia="Calibri" w:hAnsi="Times New Roman"/>
                <w:sz w:val="20"/>
                <w:szCs w:val="20"/>
                <w:lang w:val="en-US"/>
              </w:rPr>
            </w:pPr>
          </w:p>
        </w:tc>
        <w:tc>
          <w:tcPr>
            <w:tcW w:w="450" w:type="dxa"/>
          </w:tcPr>
          <w:p w14:paraId="2799361C" w14:textId="77777777" w:rsidR="006F3E09" w:rsidRPr="007D425D" w:rsidRDefault="006F3E09" w:rsidP="007D425D">
            <w:pPr>
              <w:spacing w:after="200" w:line="276" w:lineRule="auto"/>
              <w:rPr>
                <w:rFonts w:ascii="Times New Roman" w:eastAsia="Calibri" w:hAnsi="Times New Roman"/>
                <w:sz w:val="20"/>
                <w:szCs w:val="20"/>
                <w:lang w:val="en-US"/>
              </w:rPr>
            </w:pPr>
          </w:p>
        </w:tc>
        <w:tc>
          <w:tcPr>
            <w:tcW w:w="360" w:type="dxa"/>
          </w:tcPr>
          <w:p w14:paraId="3BBD928F" w14:textId="77777777" w:rsidR="006F3E09" w:rsidRPr="007D425D" w:rsidRDefault="006F3E09" w:rsidP="007D425D">
            <w:pPr>
              <w:spacing w:after="200" w:line="276" w:lineRule="auto"/>
              <w:rPr>
                <w:rFonts w:ascii="Times New Roman" w:eastAsia="Calibri" w:hAnsi="Times New Roman"/>
                <w:sz w:val="20"/>
                <w:szCs w:val="20"/>
                <w:lang w:val="en-US"/>
              </w:rPr>
            </w:pPr>
          </w:p>
        </w:tc>
        <w:tc>
          <w:tcPr>
            <w:tcW w:w="360" w:type="dxa"/>
          </w:tcPr>
          <w:p w14:paraId="72AC4F3D" w14:textId="77777777" w:rsidR="006F3E09" w:rsidRPr="007D425D" w:rsidRDefault="006F3E09" w:rsidP="007D425D">
            <w:pPr>
              <w:spacing w:after="200" w:line="276" w:lineRule="auto"/>
              <w:rPr>
                <w:rFonts w:ascii="Times New Roman" w:eastAsia="Calibri" w:hAnsi="Times New Roman"/>
                <w:sz w:val="20"/>
                <w:szCs w:val="20"/>
                <w:lang w:val="en-US"/>
              </w:rPr>
            </w:pPr>
            <w:r w:rsidRPr="007D425D">
              <w:rPr>
                <w:rFonts w:ascii="Times New Roman" w:eastAsia="Calibri" w:hAnsi="Times New Roman"/>
                <w:sz w:val="20"/>
                <w:szCs w:val="20"/>
                <w:lang w:val="en-US"/>
              </w:rPr>
              <w:t>X</w:t>
            </w:r>
          </w:p>
        </w:tc>
        <w:tc>
          <w:tcPr>
            <w:tcW w:w="360" w:type="dxa"/>
          </w:tcPr>
          <w:p w14:paraId="5768C873" w14:textId="77777777" w:rsidR="006F3E09" w:rsidRPr="007D425D" w:rsidRDefault="006F3E09" w:rsidP="007D425D">
            <w:pPr>
              <w:spacing w:after="200" w:line="276" w:lineRule="auto"/>
              <w:rPr>
                <w:rFonts w:ascii="Times New Roman" w:eastAsia="Calibri" w:hAnsi="Times New Roman"/>
                <w:sz w:val="20"/>
                <w:szCs w:val="20"/>
                <w:lang w:val="en-US"/>
              </w:rPr>
            </w:pPr>
            <w:r w:rsidRPr="007D425D">
              <w:rPr>
                <w:rFonts w:ascii="Times New Roman" w:eastAsia="Calibri" w:hAnsi="Times New Roman"/>
                <w:sz w:val="20"/>
                <w:szCs w:val="20"/>
                <w:lang w:val="en-US"/>
              </w:rPr>
              <w:t>X</w:t>
            </w:r>
          </w:p>
        </w:tc>
      </w:tr>
    </w:tbl>
    <w:p w14:paraId="24CBFDA7" w14:textId="77777777" w:rsidR="006F3E09" w:rsidRPr="006F3E09" w:rsidRDefault="006F3E09" w:rsidP="006F3E09">
      <w:pPr>
        <w:spacing w:after="200"/>
        <w:rPr>
          <w:rFonts w:ascii="Times New Roman" w:eastAsia="Calibri" w:hAnsi="Times New Roman"/>
          <w:b/>
          <w:lang w:val="en-US"/>
        </w:rPr>
      </w:pPr>
    </w:p>
    <w:p w14:paraId="40CEC011" w14:textId="77777777" w:rsidR="006F3E09" w:rsidRPr="006F3E09" w:rsidRDefault="006F3E09" w:rsidP="006F3E09">
      <w:pPr>
        <w:spacing w:after="200"/>
        <w:rPr>
          <w:rFonts w:ascii="Times New Roman" w:eastAsia="Calibri" w:hAnsi="Times New Roman"/>
          <w:b/>
          <w:lang w:val="en-US"/>
        </w:rPr>
      </w:pPr>
      <w:r w:rsidRPr="006F3E09">
        <w:rPr>
          <w:rFonts w:ascii="Times New Roman" w:eastAsia="Calibri" w:hAnsi="Times New Roman"/>
          <w:b/>
          <w:lang w:val="en-US"/>
        </w:rPr>
        <w:t>EVALUATION ETHICS</w:t>
      </w:r>
    </w:p>
    <w:p w14:paraId="56AB2231" w14:textId="77777777" w:rsidR="006F3E09" w:rsidRPr="006F3E09" w:rsidRDefault="006F3E09" w:rsidP="006F3E09">
      <w:pPr>
        <w:spacing w:after="200"/>
        <w:rPr>
          <w:rFonts w:ascii="Times New Roman" w:eastAsia="Calibri" w:hAnsi="Times New Roman"/>
          <w:lang w:val="en-US"/>
        </w:rPr>
      </w:pPr>
      <w:r w:rsidRPr="006F3E09">
        <w:rPr>
          <w:rFonts w:ascii="Times New Roman" w:eastAsia="Calibri" w:hAnsi="Times New Roman"/>
          <w:lang w:val="en-US"/>
        </w:rPr>
        <w:t>Responsibility of the CO to ensure credibility and independence of evaluation; responsibility of TL to provide impartial, evidence-based, report adhering to international evaluation standards, etc.</w:t>
      </w:r>
    </w:p>
    <w:p w14:paraId="7E4B9FB8" w14:textId="77777777" w:rsidR="006F3E09" w:rsidRPr="006F3E09" w:rsidRDefault="006F3E09" w:rsidP="006F3E09">
      <w:pPr>
        <w:spacing w:after="200"/>
        <w:rPr>
          <w:rFonts w:ascii="Times New Roman" w:eastAsia="Calibri" w:hAnsi="Times New Roman"/>
          <w:lang w:val="en-US"/>
        </w:rPr>
      </w:pPr>
    </w:p>
    <w:p w14:paraId="363B4197" w14:textId="77777777" w:rsidR="006F3E09" w:rsidRPr="006F3E09" w:rsidRDefault="006F3E09" w:rsidP="006F3E09">
      <w:pPr>
        <w:spacing w:after="200"/>
        <w:rPr>
          <w:rFonts w:ascii="Times New Roman" w:eastAsia="Calibri" w:hAnsi="Times New Roman"/>
          <w:lang w:val="en-US"/>
        </w:rPr>
      </w:pPr>
    </w:p>
    <w:p w14:paraId="1A501F7D" w14:textId="77777777" w:rsidR="006F3E09" w:rsidRPr="006F3E09" w:rsidRDefault="006F3E09" w:rsidP="006F3E09">
      <w:pPr>
        <w:spacing w:after="200"/>
        <w:rPr>
          <w:rFonts w:ascii="Times New Roman" w:eastAsia="Calibri" w:hAnsi="Times New Roman"/>
          <w:lang w:val="en-US"/>
        </w:rPr>
      </w:pPr>
    </w:p>
    <w:p w14:paraId="0ED4CBE4" w14:textId="77777777" w:rsidR="006F3E09" w:rsidRPr="006F3E09" w:rsidRDefault="006F3E09" w:rsidP="006F3E09">
      <w:pPr>
        <w:spacing w:after="200"/>
        <w:rPr>
          <w:rFonts w:ascii="Times New Roman" w:eastAsia="Calibri" w:hAnsi="Times New Roman"/>
          <w:lang w:val="en-US"/>
        </w:rPr>
      </w:pPr>
    </w:p>
    <w:p w14:paraId="149E9643" w14:textId="77777777" w:rsidR="006F3E09" w:rsidRPr="006F3E09" w:rsidRDefault="006F3E09" w:rsidP="006F3E09">
      <w:pPr>
        <w:spacing w:after="200"/>
        <w:rPr>
          <w:rFonts w:ascii="Times New Roman" w:eastAsia="Calibri" w:hAnsi="Times New Roman"/>
          <w:lang w:val="en-US"/>
        </w:rPr>
      </w:pPr>
    </w:p>
    <w:p w14:paraId="22F7572B" w14:textId="77777777" w:rsidR="006F3E09" w:rsidRPr="006F3E09" w:rsidRDefault="006F3E09" w:rsidP="006F3E09">
      <w:pPr>
        <w:spacing w:after="200"/>
        <w:rPr>
          <w:rFonts w:ascii="Times New Roman" w:eastAsia="Calibri" w:hAnsi="Times New Roman"/>
          <w:lang w:val="en-US"/>
        </w:rPr>
        <w:sectPr w:rsidR="006F3E09" w:rsidRPr="006F3E09" w:rsidSect="006F3E09">
          <w:headerReference w:type="even" r:id="rId30"/>
          <w:headerReference w:type="default" r:id="rId31"/>
          <w:footerReference w:type="even" r:id="rId32"/>
          <w:footerReference w:type="default" r:id="rId33"/>
          <w:headerReference w:type="first" r:id="rId34"/>
          <w:footerReference w:type="first" r:id="rId35"/>
          <w:pgSz w:w="12240" w:h="15840"/>
          <w:pgMar w:top="1440" w:right="1440" w:bottom="1440" w:left="1440" w:header="720" w:footer="720" w:gutter="0"/>
          <w:cols w:space="720"/>
          <w:docGrid w:linePitch="360"/>
        </w:sectPr>
      </w:pPr>
    </w:p>
    <w:p w14:paraId="05D7C366" w14:textId="77777777" w:rsidR="00C932D2" w:rsidRPr="00CD56B9" w:rsidRDefault="001D6DA5" w:rsidP="00C932D2">
      <w:pPr>
        <w:pStyle w:val="Overskrift1"/>
        <w:rPr>
          <w:lang w:val="en-US"/>
        </w:rPr>
      </w:pPr>
      <w:bookmarkStart w:id="50" w:name="_Toc439245602"/>
      <w:bookmarkEnd w:id="13"/>
      <w:r w:rsidRPr="00CD56B9">
        <w:rPr>
          <w:rFonts w:eastAsia="Calibri"/>
          <w:lang w:val="en-US"/>
        </w:rPr>
        <w:lastRenderedPageBreak/>
        <w:t xml:space="preserve">Annex 2. </w:t>
      </w:r>
      <w:r w:rsidR="00C932D2" w:rsidRPr="00CD56B9">
        <w:rPr>
          <w:lang w:val="en-US"/>
        </w:rPr>
        <w:t>List of Documents</w:t>
      </w:r>
      <w:bookmarkEnd w:id="50"/>
    </w:p>
    <w:p w14:paraId="416FCB10" w14:textId="77777777" w:rsidR="00C932D2" w:rsidRPr="00CD56B9" w:rsidRDefault="00C932D2" w:rsidP="00C932D2">
      <w:pPr>
        <w:jc w:val="left"/>
        <w:rPr>
          <w:rFonts w:cs="Arial"/>
          <w:lang w:val="en-US"/>
        </w:rPr>
      </w:pPr>
    </w:p>
    <w:p w14:paraId="78CE08B0" w14:textId="77777777" w:rsidR="00C932D2" w:rsidRPr="00CD56B9" w:rsidRDefault="00C932D2" w:rsidP="00C932D2">
      <w:pPr>
        <w:jc w:val="left"/>
        <w:rPr>
          <w:rFonts w:eastAsia="Calibri" w:cs="Arial"/>
          <w:i/>
          <w:lang w:val="en-US"/>
        </w:rPr>
      </w:pPr>
      <w:r w:rsidRPr="00CD56B9">
        <w:rPr>
          <w:rFonts w:eastAsia="Calibri" w:cs="Arial"/>
          <w:i/>
          <w:lang w:val="en-US"/>
        </w:rPr>
        <w:t>Guidelines</w:t>
      </w:r>
    </w:p>
    <w:p w14:paraId="13304D03" w14:textId="77777777" w:rsidR="00C932D2" w:rsidRPr="00CD56B9" w:rsidRDefault="00C932D2" w:rsidP="00C932D2">
      <w:pPr>
        <w:jc w:val="left"/>
        <w:rPr>
          <w:rFonts w:eastAsia="Calibri" w:cs="Arial"/>
          <w:lang w:val="en-US"/>
        </w:rPr>
      </w:pPr>
      <w:r w:rsidRPr="00CD56B9">
        <w:rPr>
          <w:rFonts w:eastAsia="Calibri" w:cs="Arial"/>
          <w:lang w:val="en-US"/>
        </w:rPr>
        <w:t xml:space="preserve">UNDP Evaluation Policy </w:t>
      </w:r>
    </w:p>
    <w:p w14:paraId="3F073658" w14:textId="77777777" w:rsidR="00C932D2" w:rsidRPr="00CD56B9" w:rsidRDefault="00C932D2" w:rsidP="00C932D2">
      <w:pPr>
        <w:jc w:val="left"/>
        <w:rPr>
          <w:rFonts w:eastAsia="Calibri" w:cs="Arial"/>
          <w:lang w:val="en-US"/>
        </w:rPr>
      </w:pPr>
      <w:r w:rsidRPr="00CD56B9">
        <w:rPr>
          <w:rFonts w:eastAsia="Calibri" w:cs="Arial"/>
          <w:lang w:val="en-US"/>
        </w:rPr>
        <w:t>UNEG Evaluation Standards</w:t>
      </w:r>
    </w:p>
    <w:p w14:paraId="12BCA809" w14:textId="77777777" w:rsidR="00C932D2" w:rsidRPr="00CD56B9" w:rsidRDefault="00C932D2" w:rsidP="00C932D2">
      <w:pPr>
        <w:jc w:val="left"/>
        <w:rPr>
          <w:rFonts w:eastAsia="Calibri" w:cs="Arial"/>
          <w:lang w:val="en-US"/>
        </w:rPr>
      </w:pPr>
      <w:r w:rsidRPr="00CD56B9">
        <w:rPr>
          <w:rFonts w:eastAsia="Calibri" w:cs="Arial"/>
          <w:lang w:val="en-US"/>
        </w:rPr>
        <w:t>UNEG Evaluation Norms</w:t>
      </w:r>
    </w:p>
    <w:p w14:paraId="6A87217B" w14:textId="77777777" w:rsidR="00C932D2" w:rsidRPr="00CD56B9" w:rsidRDefault="00C932D2" w:rsidP="00C932D2">
      <w:pPr>
        <w:jc w:val="left"/>
        <w:rPr>
          <w:rFonts w:eastAsia="Calibri" w:cs="Arial"/>
          <w:lang w:val="en-US"/>
        </w:rPr>
      </w:pPr>
      <w:r w:rsidRPr="00CD56B9">
        <w:rPr>
          <w:rFonts w:eastAsia="Calibri" w:cs="Arial"/>
          <w:lang w:val="en-US"/>
        </w:rPr>
        <w:t>UNDP Outcome-Level Evaluation: A Companion Guide</w:t>
      </w:r>
    </w:p>
    <w:p w14:paraId="5D1C5F12" w14:textId="77777777" w:rsidR="00C932D2" w:rsidRPr="00CD56B9" w:rsidRDefault="00C932D2" w:rsidP="00C932D2">
      <w:pPr>
        <w:jc w:val="left"/>
        <w:rPr>
          <w:rFonts w:eastAsia="Calibri" w:cs="Arial"/>
          <w:lang w:val="en-US"/>
        </w:rPr>
      </w:pPr>
    </w:p>
    <w:p w14:paraId="24782B41" w14:textId="77777777" w:rsidR="00C932D2" w:rsidRPr="00CD56B9" w:rsidRDefault="00C932D2" w:rsidP="00C932D2">
      <w:pPr>
        <w:jc w:val="left"/>
        <w:rPr>
          <w:rFonts w:eastAsia="Calibri" w:cs="Arial"/>
          <w:i/>
          <w:lang w:val="en-US"/>
        </w:rPr>
      </w:pPr>
      <w:r w:rsidRPr="00CD56B9">
        <w:rPr>
          <w:rFonts w:eastAsia="Calibri" w:cs="Arial"/>
          <w:i/>
          <w:lang w:val="en-US"/>
        </w:rPr>
        <w:t>UNDAF</w:t>
      </w:r>
    </w:p>
    <w:p w14:paraId="31201DCD" w14:textId="77777777" w:rsidR="00C932D2" w:rsidRPr="00CD56B9" w:rsidRDefault="00C932D2" w:rsidP="00C932D2">
      <w:pPr>
        <w:jc w:val="left"/>
        <w:rPr>
          <w:rFonts w:eastAsia="Calibri" w:cs="Arial"/>
          <w:lang w:val="en-US"/>
        </w:rPr>
      </w:pPr>
      <w:r w:rsidRPr="00CD56B9">
        <w:rPr>
          <w:rFonts w:eastAsia="Calibri" w:cs="Arial"/>
          <w:lang w:val="en-US"/>
        </w:rPr>
        <w:t xml:space="preserve">UNDAF 2012-2016 </w:t>
      </w:r>
    </w:p>
    <w:p w14:paraId="38241C5D" w14:textId="77777777" w:rsidR="00C932D2" w:rsidRPr="00CD56B9" w:rsidRDefault="00C932D2" w:rsidP="00C932D2">
      <w:pPr>
        <w:jc w:val="left"/>
        <w:rPr>
          <w:rFonts w:eastAsia="Calibri" w:cs="Arial"/>
          <w:lang w:val="en-US"/>
        </w:rPr>
      </w:pPr>
      <w:r w:rsidRPr="00CD56B9">
        <w:rPr>
          <w:rFonts w:eastAsia="Calibri" w:cs="Arial"/>
          <w:lang w:val="en-US"/>
        </w:rPr>
        <w:t>UNDAF Revised RRF, 2013</w:t>
      </w:r>
    </w:p>
    <w:p w14:paraId="5C60DBEC" w14:textId="77777777" w:rsidR="00C932D2" w:rsidRPr="00CD56B9" w:rsidRDefault="00C932D2" w:rsidP="00C932D2">
      <w:pPr>
        <w:jc w:val="left"/>
        <w:rPr>
          <w:rFonts w:eastAsia="Calibri" w:cs="Arial"/>
          <w:lang w:val="en-US"/>
        </w:rPr>
      </w:pPr>
      <w:r w:rsidRPr="00CD56B9">
        <w:rPr>
          <w:rFonts w:eastAsia="Calibri" w:cs="Arial"/>
          <w:lang w:val="en-US"/>
        </w:rPr>
        <w:t>UNDAF Action Plan</w:t>
      </w:r>
    </w:p>
    <w:p w14:paraId="0AE1D929" w14:textId="77777777" w:rsidR="00C932D2" w:rsidRPr="00CD56B9" w:rsidRDefault="00C932D2" w:rsidP="00C932D2">
      <w:pPr>
        <w:jc w:val="left"/>
        <w:rPr>
          <w:rFonts w:eastAsia="Calibri" w:cs="Arial"/>
          <w:lang w:val="en-US"/>
        </w:rPr>
      </w:pPr>
      <w:r w:rsidRPr="00CD56B9">
        <w:rPr>
          <w:rFonts w:eastAsia="Calibri" w:cs="Arial"/>
          <w:lang w:val="en-US"/>
        </w:rPr>
        <w:t>UNDAF Annual Progress Report 2013, 2014</w:t>
      </w:r>
    </w:p>
    <w:p w14:paraId="1554A701" w14:textId="77777777" w:rsidR="00C932D2" w:rsidRPr="00CD56B9" w:rsidRDefault="00C932D2" w:rsidP="00C932D2">
      <w:pPr>
        <w:jc w:val="left"/>
        <w:rPr>
          <w:rFonts w:eastAsia="Calibri" w:cs="Arial"/>
          <w:lang w:val="en-US"/>
        </w:rPr>
      </w:pPr>
      <w:r w:rsidRPr="00CD56B9">
        <w:rPr>
          <w:rFonts w:eastAsia="Calibri" w:cs="Arial"/>
          <w:lang w:val="en-US"/>
        </w:rPr>
        <w:t>UNDAF Evaluation Final, May 2015</w:t>
      </w:r>
    </w:p>
    <w:p w14:paraId="6B97922D" w14:textId="77777777" w:rsidR="00C932D2" w:rsidRPr="00CD56B9" w:rsidRDefault="00C932D2" w:rsidP="00C932D2">
      <w:pPr>
        <w:jc w:val="left"/>
        <w:rPr>
          <w:rFonts w:eastAsia="Calibri" w:cs="Arial"/>
          <w:lang w:val="en-US"/>
        </w:rPr>
      </w:pPr>
    </w:p>
    <w:p w14:paraId="30CFA6C2" w14:textId="77777777" w:rsidR="00C932D2" w:rsidRPr="00CD56B9" w:rsidRDefault="00C932D2" w:rsidP="00C932D2">
      <w:pPr>
        <w:jc w:val="left"/>
        <w:rPr>
          <w:rFonts w:eastAsia="Calibri" w:cs="Arial"/>
          <w:i/>
          <w:lang w:val="en-US"/>
        </w:rPr>
      </w:pPr>
      <w:r w:rsidRPr="00CD56B9">
        <w:rPr>
          <w:rFonts w:eastAsia="Calibri" w:cs="Arial"/>
          <w:i/>
          <w:lang w:val="en-US"/>
        </w:rPr>
        <w:t>Country Programme Documents</w:t>
      </w:r>
    </w:p>
    <w:p w14:paraId="293D3539" w14:textId="77777777" w:rsidR="00C932D2" w:rsidRPr="00CD56B9" w:rsidRDefault="00C932D2" w:rsidP="00C932D2">
      <w:pPr>
        <w:jc w:val="left"/>
        <w:rPr>
          <w:rFonts w:eastAsia="Calibri" w:cs="Arial"/>
          <w:lang w:val="en-US"/>
        </w:rPr>
      </w:pPr>
      <w:r w:rsidRPr="00CD56B9">
        <w:rPr>
          <w:rFonts w:eastAsia="Calibri" w:cs="Arial"/>
          <w:lang w:val="en-US"/>
        </w:rPr>
        <w:t>UNFPA Country Programme 2012-2016</w:t>
      </w:r>
    </w:p>
    <w:p w14:paraId="2C2F8FE5" w14:textId="77777777" w:rsidR="00C932D2" w:rsidRPr="00CD56B9" w:rsidRDefault="00C932D2" w:rsidP="00C932D2">
      <w:pPr>
        <w:jc w:val="left"/>
        <w:rPr>
          <w:rFonts w:eastAsia="Calibri" w:cs="Arial"/>
          <w:lang w:val="en-US"/>
        </w:rPr>
      </w:pPr>
      <w:r w:rsidRPr="00CD56B9">
        <w:rPr>
          <w:rFonts w:eastAsia="Calibri" w:cs="Arial"/>
          <w:lang w:val="en-US"/>
        </w:rPr>
        <w:t>UNICEF Country Programme 2012-2016</w:t>
      </w:r>
    </w:p>
    <w:p w14:paraId="37B002E8" w14:textId="77777777" w:rsidR="00C932D2" w:rsidRPr="00CD56B9" w:rsidRDefault="00C932D2" w:rsidP="00C932D2">
      <w:pPr>
        <w:jc w:val="left"/>
        <w:rPr>
          <w:rFonts w:eastAsia="Calibri" w:cs="Arial"/>
          <w:lang w:val="en-US"/>
        </w:rPr>
      </w:pPr>
      <w:r w:rsidRPr="00CD56B9">
        <w:rPr>
          <w:rFonts w:eastAsia="Calibri" w:cs="Arial"/>
          <w:lang w:val="en-US"/>
        </w:rPr>
        <w:t>UNDP Country Programme 2012-2016</w:t>
      </w:r>
    </w:p>
    <w:p w14:paraId="766C5964" w14:textId="77777777" w:rsidR="00C932D2" w:rsidRPr="00CD56B9" w:rsidRDefault="00C932D2" w:rsidP="00C932D2">
      <w:pPr>
        <w:jc w:val="left"/>
        <w:rPr>
          <w:rFonts w:eastAsia="Calibri" w:cs="Arial"/>
          <w:lang w:val="en-US"/>
        </w:rPr>
      </w:pPr>
    </w:p>
    <w:p w14:paraId="35AE4CBC" w14:textId="77777777" w:rsidR="00C932D2" w:rsidRPr="00CD56B9" w:rsidRDefault="00C932D2" w:rsidP="00C932D2">
      <w:pPr>
        <w:jc w:val="left"/>
        <w:rPr>
          <w:rFonts w:eastAsia="Calibri" w:cs="Arial"/>
          <w:i/>
          <w:lang w:val="en-US"/>
        </w:rPr>
      </w:pPr>
      <w:r w:rsidRPr="00CD56B9">
        <w:rPr>
          <w:rFonts w:eastAsia="Calibri" w:cs="Arial"/>
          <w:i/>
          <w:lang w:val="en-US"/>
        </w:rPr>
        <w:t>Project Support Documents</w:t>
      </w:r>
    </w:p>
    <w:p w14:paraId="7AC2A86D" w14:textId="77777777" w:rsidR="00C932D2" w:rsidRPr="00CD56B9" w:rsidRDefault="00C932D2" w:rsidP="00C932D2">
      <w:pPr>
        <w:jc w:val="left"/>
        <w:rPr>
          <w:rFonts w:eastAsia="Calibri" w:cs="Arial"/>
          <w:lang w:val="en-US"/>
        </w:rPr>
      </w:pPr>
      <w:r w:rsidRPr="00CD56B9">
        <w:rPr>
          <w:rFonts w:eastAsia="Calibri" w:cs="Arial"/>
          <w:lang w:val="en-US"/>
        </w:rPr>
        <w:t xml:space="preserve">Democratic Governance Sector Support Program </w:t>
      </w:r>
    </w:p>
    <w:p w14:paraId="18C45F87" w14:textId="77777777" w:rsidR="00C932D2" w:rsidRPr="00CD56B9" w:rsidRDefault="00C932D2" w:rsidP="00C932D2">
      <w:pPr>
        <w:jc w:val="left"/>
        <w:rPr>
          <w:rFonts w:eastAsia="Calibri" w:cs="Arial"/>
          <w:lang w:val="en-US"/>
        </w:rPr>
      </w:pPr>
      <w:r w:rsidRPr="00CD56B9">
        <w:rPr>
          <w:rFonts w:eastAsia="Calibri" w:cs="Arial"/>
          <w:lang w:val="en-US"/>
        </w:rPr>
        <w:t>Electoral Support Project Document 2013-2016</w:t>
      </w:r>
    </w:p>
    <w:p w14:paraId="40917052" w14:textId="77777777" w:rsidR="00C932D2" w:rsidRPr="00CD56B9" w:rsidRDefault="00C932D2" w:rsidP="00C932D2">
      <w:pPr>
        <w:jc w:val="left"/>
        <w:rPr>
          <w:rFonts w:eastAsia="Calibri" w:cs="Arial"/>
          <w:lang w:val="en-US"/>
        </w:rPr>
      </w:pPr>
      <w:r w:rsidRPr="00CD56B9">
        <w:rPr>
          <w:rFonts w:eastAsia="Calibri" w:cs="Arial"/>
          <w:lang w:val="en-US"/>
        </w:rPr>
        <w:t>Democracy Consolidation Programme (DCP IV) 2012-2016</w:t>
      </w:r>
    </w:p>
    <w:p w14:paraId="268ECF0F" w14:textId="77777777" w:rsidR="00C932D2" w:rsidRPr="00CD56B9" w:rsidRDefault="00C932D2" w:rsidP="00C932D2">
      <w:pPr>
        <w:jc w:val="left"/>
        <w:rPr>
          <w:rFonts w:eastAsia="Calibri" w:cs="Arial"/>
          <w:lang w:val="en-US"/>
        </w:rPr>
      </w:pPr>
      <w:r w:rsidRPr="00CD56B9">
        <w:rPr>
          <w:rFonts w:eastAsia="Calibri" w:cs="Arial"/>
          <w:lang w:val="en-US"/>
        </w:rPr>
        <w:t>Political Empowerment of Women in Malawi 2013-2016</w:t>
      </w:r>
    </w:p>
    <w:p w14:paraId="4FAA410C" w14:textId="77777777" w:rsidR="00C932D2" w:rsidRPr="00CD56B9" w:rsidRDefault="00C932D2" w:rsidP="00C932D2">
      <w:pPr>
        <w:jc w:val="left"/>
        <w:rPr>
          <w:rFonts w:eastAsia="Calibri" w:cs="Arial"/>
          <w:lang w:val="en-US"/>
        </w:rPr>
      </w:pPr>
      <w:r w:rsidRPr="00CD56B9">
        <w:rPr>
          <w:rFonts w:eastAsia="Calibri" w:cs="Arial"/>
          <w:lang w:val="en-US"/>
        </w:rPr>
        <w:t>Human Rights Support Project 2012-2014</w:t>
      </w:r>
    </w:p>
    <w:p w14:paraId="518E57F4" w14:textId="77777777" w:rsidR="00C932D2" w:rsidRPr="00CD56B9" w:rsidRDefault="00C932D2" w:rsidP="00C932D2">
      <w:pPr>
        <w:jc w:val="left"/>
        <w:rPr>
          <w:rFonts w:eastAsia="Calibri" w:cs="Arial"/>
          <w:lang w:val="en-US"/>
        </w:rPr>
      </w:pPr>
      <w:r w:rsidRPr="00CD56B9">
        <w:rPr>
          <w:rFonts w:eastAsia="Calibri" w:cs="Arial"/>
          <w:lang w:val="en-US"/>
        </w:rPr>
        <w:t xml:space="preserve">Integrated Rural Development Programme </w:t>
      </w:r>
    </w:p>
    <w:p w14:paraId="5CD10960" w14:textId="77777777" w:rsidR="00C932D2" w:rsidRPr="00CD56B9" w:rsidRDefault="00C932D2" w:rsidP="00C932D2">
      <w:pPr>
        <w:jc w:val="left"/>
        <w:rPr>
          <w:rFonts w:eastAsia="Calibri" w:cs="Arial"/>
          <w:lang w:val="en-US"/>
        </w:rPr>
      </w:pPr>
      <w:r w:rsidRPr="00CD56B9">
        <w:rPr>
          <w:rFonts w:eastAsia="Calibri" w:cs="Arial"/>
          <w:lang w:val="en-US"/>
        </w:rPr>
        <w:t>Strengthening Political Parties Project</w:t>
      </w:r>
    </w:p>
    <w:p w14:paraId="5A618AA1" w14:textId="77777777" w:rsidR="00C932D2" w:rsidRPr="00CD56B9" w:rsidRDefault="00C932D2" w:rsidP="00C932D2">
      <w:pPr>
        <w:jc w:val="left"/>
        <w:rPr>
          <w:rFonts w:eastAsia="Calibri" w:cs="Arial"/>
          <w:lang w:val="en-US"/>
        </w:rPr>
      </w:pPr>
      <w:r w:rsidRPr="00CD56B9">
        <w:rPr>
          <w:rFonts w:eastAsia="Calibri" w:cs="Arial"/>
          <w:lang w:val="en-US"/>
        </w:rPr>
        <w:t>Social Cohesion Project</w:t>
      </w:r>
    </w:p>
    <w:p w14:paraId="6B102BC3" w14:textId="77777777" w:rsidR="00C932D2" w:rsidRPr="00CD56B9" w:rsidRDefault="00C932D2" w:rsidP="00C932D2">
      <w:pPr>
        <w:jc w:val="left"/>
        <w:rPr>
          <w:rFonts w:eastAsia="Calibri" w:cs="Arial"/>
          <w:lang w:val="en-US"/>
        </w:rPr>
      </w:pPr>
      <w:r w:rsidRPr="00CD56B9">
        <w:rPr>
          <w:rFonts w:eastAsia="Calibri" w:cs="Arial"/>
          <w:lang w:val="en-US"/>
        </w:rPr>
        <w:t>PSD quarterly, semi-annual and annual progress reports</w:t>
      </w:r>
    </w:p>
    <w:p w14:paraId="666BB98B" w14:textId="77777777" w:rsidR="00C932D2" w:rsidRPr="00CD56B9" w:rsidRDefault="00C932D2" w:rsidP="00C932D2">
      <w:pPr>
        <w:jc w:val="left"/>
        <w:rPr>
          <w:rFonts w:eastAsia="Calibri" w:cs="Arial"/>
          <w:lang w:val="en-US"/>
        </w:rPr>
      </w:pPr>
    </w:p>
    <w:p w14:paraId="4DBA044E" w14:textId="77777777" w:rsidR="00C932D2" w:rsidRPr="00CD56B9" w:rsidRDefault="00C932D2" w:rsidP="00C932D2">
      <w:pPr>
        <w:jc w:val="left"/>
        <w:rPr>
          <w:rFonts w:eastAsia="Calibri" w:cs="Arial"/>
          <w:i/>
          <w:lang w:val="en-US"/>
        </w:rPr>
      </w:pPr>
      <w:r w:rsidRPr="00CD56B9">
        <w:rPr>
          <w:rFonts w:eastAsia="Calibri" w:cs="Arial"/>
          <w:i/>
          <w:lang w:val="en-US"/>
        </w:rPr>
        <w:t xml:space="preserve">Background </w:t>
      </w:r>
    </w:p>
    <w:p w14:paraId="7443F302" w14:textId="77777777" w:rsidR="001642F5" w:rsidRPr="00CD56B9" w:rsidRDefault="001642F5" w:rsidP="001642F5">
      <w:pPr>
        <w:jc w:val="left"/>
        <w:rPr>
          <w:rFonts w:eastAsia="Calibri" w:cs="Arial"/>
          <w:lang w:val="en-US"/>
        </w:rPr>
      </w:pPr>
      <w:r w:rsidRPr="00CD56B9">
        <w:rPr>
          <w:rFonts w:eastAsia="Calibri" w:cs="Arial"/>
          <w:lang w:val="en-US"/>
        </w:rPr>
        <w:t>UNDP SP Alignment documents for Malawi, 2014</w:t>
      </w:r>
    </w:p>
    <w:p w14:paraId="6DCE8949" w14:textId="77777777" w:rsidR="00C932D2" w:rsidRPr="00CD56B9" w:rsidRDefault="00C932D2" w:rsidP="00C932D2">
      <w:pPr>
        <w:jc w:val="left"/>
        <w:rPr>
          <w:rFonts w:eastAsia="Calibri" w:cs="Arial"/>
          <w:lang w:val="en-US"/>
        </w:rPr>
      </w:pPr>
      <w:r w:rsidRPr="00CD56B9">
        <w:rPr>
          <w:rFonts w:eastAsia="Calibri" w:cs="Arial"/>
          <w:lang w:val="en-US"/>
        </w:rPr>
        <w:t>Democratic Government Sector Policy Framework Paper</w:t>
      </w:r>
    </w:p>
    <w:p w14:paraId="2775B593" w14:textId="77777777" w:rsidR="00C932D2" w:rsidRPr="00CD56B9" w:rsidRDefault="00C932D2" w:rsidP="00C932D2">
      <w:pPr>
        <w:jc w:val="left"/>
        <w:rPr>
          <w:rFonts w:eastAsia="Calibri" w:cs="Arial"/>
          <w:lang w:val="en-US"/>
        </w:rPr>
      </w:pPr>
      <w:r w:rsidRPr="00CD56B9">
        <w:rPr>
          <w:rFonts w:eastAsia="Calibri" w:cs="Arial"/>
          <w:lang w:val="en-US"/>
        </w:rPr>
        <w:lastRenderedPageBreak/>
        <w:t>Social Cohesion Strategy, Malawi, 2014</w:t>
      </w:r>
    </w:p>
    <w:p w14:paraId="69C38C36" w14:textId="77777777" w:rsidR="0099498A" w:rsidRPr="00CD56B9" w:rsidRDefault="00C6393B" w:rsidP="00C932D2">
      <w:pPr>
        <w:jc w:val="left"/>
        <w:rPr>
          <w:rFonts w:eastAsia="Calibri" w:cs="Arial"/>
          <w:lang w:val="en-US"/>
        </w:rPr>
      </w:pPr>
      <w:r w:rsidRPr="00CD56B9">
        <w:rPr>
          <w:rFonts w:eastAsia="Calibri" w:cs="Arial"/>
          <w:lang w:val="en-US"/>
        </w:rPr>
        <w:t>‘</w:t>
      </w:r>
      <w:r w:rsidR="0099498A" w:rsidRPr="00CD56B9">
        <w:rPr>
          <w:rFonts w:eastAsia="Calibri" w:cs="Arial"/>
          <w:lang w:val="en-US"/>
        </w:rPr>
        <w:t>International Covenant on Civil and Political Rights – Malawi (19 Aug 2014)</w:t>
      </w:r>
      <w:r w:rsidRPr="00CD56B9">
        <w:rPr>
          <w:rFonts w:eastAsia="Calibri" w:cs="Arial"/>
          <w:lang w:val="en-US"/>
        </w:rPr>
        <w:t>’</w:t>
      </w:r>
      <w:r w:rsidR="00D97E11" w:rsidRPr="00CD56B9">
        <w:rPr>
          <w:rFonts w:eastAsia="Calibri" w:cs="Arial"/>
          <w:lang w:val="en-US"/>
        </w:rPr>
        <w:t xml:space="preserve">, </w:t>
      </w:r>
      <w:r w:rsidR="0099498A" w:rsidRPr="00CD56B9">
        <w:rPr>
          <w:rFonts w:eastAsia="Calibri" w:cs="Arial"/>
          <w:lang w:val="en-US"/>
        </w:rPr>
        <w:t>OHCHR</w:t>
      </w:r>
    </w:p>
    <w:p w14:paraId="0DE6DC38" w14:textId="77777777" w:rsidR="00C6393B" w:rsidRPr="00CD56B9" w:rsidRDefault="00C6393B" w:rsidP="00C932D2">
      <w:pPr>
        <w:jc w:val="left"/>
        <w:rPr>
          <w:rFonts w:eastAsia="Calibri" w:cs="Arial"/>
          <w:lang w:val="en-US"/>
        </w:rPr>
      </w:pPr>
      <w:r w:rsidRPr="00CD56B9">
        <w:rPr>
          <w:rFonts w:eastAsia="Calibri" w:cs="Arial"/>
          <w:lang w:val="en-US"/>
        </w:rPr>
        <w:t>Malawi Report, Amnesty International Annual Report 2014/15</w:t>
      </w:r>
    </w:p>
    <w:p w14:paraId="6C9B19B2" w14:textId="77777777" w:rsidR="00C6393B" w:rsidRPr="00CD56B9" w:rsidRDefault="00C6393B" w:rsidP="00C932D2">
      <w:pPr>
        <w:jc w:val="left"/>
        <w:rPr>
          <w:rFonts w:eastAsia="Calibri" w:cs="Arial"/>
          <w:lang w:val="en-US"/>
        </w:rPr>
      </w:pPr>
      <w:r w:rsidRPr="00CD56B9">
        <w:rPr>
          <w:rFonts w:eastAsia="Calibri" w:cs="Arial"/>
          <w:lang w:val="en-US"/>
        </w:rPr>
        <w:t>‘Malawi: UPR Submission, Sept 2014’, by Human Rights Watch</w:t>
      </w:r>
    </w:p>
    <w:p w14:paraId="1535BB33" w14:textId="77777777" w:rsidR="00C932D2" w:rsidRPr="00CD56B9" w:rsidRDefault="00C932D2" w:rsidP="00C932D2">
      <w:pPr>
        <w:jc w:val="left"/>
        <w:rPr>
          <w:rFonts w:eastAsia="Calibri" w:cs="Arial"/>
          <w:lang w:val="en-US"/>
        </w:rPr>
      </w:pPr>
      <w:r w:rsidRPr="00CD56B9">
        <w:rPr>
          <w:rFonts w:eastAsia="Calibri" w:cs="Arial"/>
          <w:lang w:val="en-US"/>
        </w:rPr>
        <w:t>NDP II Review Report, 25 July 2015</w:t>
      </w:r>
    </w:p>
    <w:p w14:paraId="495B5EFB" w14:textId="77777777" w:rsidR="00C932D2" w:rsidRPr="00CD56B9" w:rsidRDefault="00C932D2" w:rsidP="00C932D2">
      <w:pPr>
        <w:jc w:val="left"/>
        <w:rPr>
          <w:rFonts w:eastAsia="Calibri" w:cs="Arial"/>
          <w:lang w:val="en-US"/>
        </w:rPr>
      </w:pPr>
      <w:r w:rsidRPr="00CD56B9">
        <w:rPr>
          <w:rFonts w:eastAsia="Calibri" w:cs="Arial"/>
          <w:lang w:val="en-US"/>
        </w:rPr>
        <w:t xml:space="preserve">Democratic Governance Sector Strategy </w:t>
      </w:r>
    </w:p>
    <w:p w14:paraId="515799A6" w14:textId="77777777" w:rsidR="001642F5" w:rsidRPr="00CD56B9" w:rsidRDefault="001642F5" w:rsidP="001642F5">
      <w:pPr>
        <w:jc w:val="left"/>
        <w:rPr>
          <w:rFonts w:eastAsia="Calibri" w:cs="Arial"/>
          <w:lang w:val="en-US"/>
        </w:rPr>
      </w:pPr>
      <w:r w:rsidRPr="00CD56B9">
        <w:rPr>
          <w:rFonts w:eastAsia="Calibri" w:cs="Arial"/>
          <w:lang w:val="en-US"/>
        </w:rPr>
        <w:t>Final Draft IRD Strategy Submission, March 2015</w:t>
      </w:r>
    </w:p>
    <w:p w14:paraId="28AE66AC" w14:textId="77777777" w:rsidR="001642F5" w:rsidRPr="00CD56B9" w:rsidRDefault="001642F5" w:rsidP="001642F5">
      <w:pPr>
        <w:jc w:val="left"/>
        <w:rPr>
          <w:rFonts w:eastAsia="Calibri" w:cs="Arial"/>
          <w:lang w:val="en-US"/>
        </w:rPr>
      </w:pPr>
      <w:r w:rsidRPr="00CD56B9">
        <w:rPr>
          <w:rFonts w:eastAsia="Calibri" w:cs="Arial"/>
          <w:lang w:val="en-US"/>
        </w:rPr>
        <w:t>IRD Issues Paper Final Report, 2010</w:t>
      </w:r>
    </w:p>
    <w:p w14:paraId="45A5A781" w14:textId="77777777" w:rsidR="001642F5" w:rsidRPr="00CD56B9" w:rsidRDefault="001642F5" w:rsidP="001642F5">
      <w:pPr>
        <w:jc w:val="left"/>
        <w:rPr>
          <w:rFonts w:eastAsia="Calibri" w:cs="Arial"/>
          <w:lang w:val="en-US"/>
        </w:rPr>
      </w:pPr>
      <w:r w:rsidRPr="00CD56B9">
        <w:rPr>
          <w:rFonts w:eastAsia="Calibri" w:cs="Arial"/>
          <w:lang w:val="en-US"/>
        </w:rPr>
        <w:t>MLGRD Reform Agenda 2015</w:t>
      </w:r>
    </w:p>
    <w:p w14:paraId="7F17E397" w14:textId="77777777" w:rsidR="00820B72" w:rsidRPr="00CD56B9" w:rsidRDefault="00820B72" w:rsidP="00820B72">
      <w:pPr>
        <w:jc w:val="left"/>
        <w:rPr>
          <w:rFonts w:eastAsia="Calibri" w:cs="Arial"/>
          <w:lang w:val="en-US"/>
        </w:rPr>
      </w:pPr>
      <w:r w:rsidRPr="00CD56B9">
        <w:rPr>
          <w:rFonts w:eastAsia="Calibri" w:cs="Arial"/>
          <w:bCs/>
          <w:lang w:val="en-US"/>
        </w:rPr>
        <w:t xml:space="preserve">Decentralisation and Rural Livelihoods in Malawi, LADDER Working Paper No.4, Sept </w:t>
      </w:r>
      <w:r w:rsidRPr="00CD56B9">
        <w:rPr>
          <w:rFonts w:eastAsia="Calibri" w:cs="Arial"/>
          <w:lang w:val="en-US"/>
        </w:rPr>
        <w:t>2001</w:t>
      </w:r>
    </w:p>
    <w:p w14:paraId="52830EFE" w14:textId="77777777" w:rsidR="001642F5" w:rsidRPr="00CD56B9" w:rsidRDefault="00FB53FE" w:rsidP="001642F5">
      <w:pPr>
        <w:jc w:val="left"/>
        <w:rPr>
          <w:rFonts w:eastAsia="Calibri" w:cs="Arial"/>
          <w:lang w:val="en-US"/>
        </w:rPr>
      </w:pPr>
      <w:r>
        <w:rPr>
          <w:rFonts w:eastAsia="Calibri" w:cs="Arial"/>
          <w:lang w:val="en-US"/>
        </w:rPr>
        <w:t>O’Neil, Tam et al: ‘</w:t>
      </w:r>
      <w:r w:rsidR="001642F5" w:rsidRPr="00CD56B9">
        <w:rPr>
          <w:rFonts w:eastAsia="Calibri" w:cs="Arial"/>
          <w:lang w:val="en-US"/>
        </w:rPr>
        <w:t>Fragmented governance and local service delivery in Malawi</w:t>
      </w:r>
      <w:r>
        <w:rPr>
          <w:rFonts w:eastAsia="Calibri" w:cs="Arial"/>
          <w:lang w:val="en-US"/>
        </w:rPr>
        <w:t>’</w:t>
      </w:r>
      <w:r w:rsidR="001642F5" w:rsidRPr="00CD56B9">
        <w:rPr>
          <w:rFonts w:eastAsia="Calibri" w:cs="Arial"/>
          <w:lang w:val="en-US"/>
        </w:rPr>
        <w:t>, ODI 2014</w:t>
      </w:r>
    </w:p>
    <w:p w14:paraId="08E2F8EC" w14:textId="77777777" w:rsidR="005A29D5" w:rsidRPr="00CD56B9" w:rsidRDefault="005A29D5" w:rsidP="00C932D2">
      <w:pPr>
        <w:jc w:val="left"/>
        <w:rPr>
          <w:rFonts w:eastAsia="Calibri" w:cs="Arial"/>
          <w:lang w:val="en-US"/>
        </w:rPr>
      </w:pPr>
      <w:r w:rsidRPr="00CD56B9">
        <w:rPr>
          <w:rFonts w:eastAsia="Calibri" w:cs="Arial"/>
          <w:lang w:val="en-US"/>
        </w:rPr>
        <w:t>Zoë Scott: Decentralization, Local Development and Social Cohesion: An Analytical Review, GSDRC Research Paper, May 2009</w:t>
      </w:r>
    </w:p>
    <w:p w14:paraId="067436A0" w14:textId="77777777" w:rsidR="001642F5" w:rsidRPr="00CD56B9" w:rsidRDefault="001642F5" w:rsidP="00C932D2">
      <w:pPr>
        <w:jc w:val="left"/>
        <w:rPr>
          <w:rFonts w:eastAsia="Calibri" w:cs="Arial"/>
          <w:lang w:val="en-US"/>
        </w:rPr>
      </w:pPr>
      <w:r w:rsidRPr="00CD56B9">
        <w:rPr>
          <w:rFonts w:eastAsia="Calibri" w:cs="Arial"/>
          <w:lang w:val="en-US"/>
        </w:rPr>
        <w:t>Elaboration of a Toolkit for Facilitating the Implementation of the SDGs at Local Level - A UNDP, Un-Habitat, GTF Partnership</w:t>
      </w:r>
    </w:p>
    <w:p w14:paraId="33605724" w14:textId="02B5CC3C" w:rsidR="00F870F1" w:rsidRDefault="00F870F1" w:rsidP="00F870F1">
      <w:pPr>
        <w:rPr>
          <w:lang w:val="en-US"/>
        </w:rPr>
      </w:pPr>
      <w:r w:rsidRPr="00F870F1">
        <w:rPr>
          <w:lang w:val="en-US"/>
        </w:rPr>
        <w:t xml:space="preserve">Chingaipe, </w:t>
      </w:r>
      <w:r w:rsidR="00AE7EB5">
        <w:rPr>
          <w:lang w:val="en-US"/>
        </w:rPr>
        <w:t>H.,</w:t>
      </w:r>
      <w:r w:rsidRPr="00F870F1">
        <w:rPr>
          <w:lang w:val="en-US"/>
        </w:rPr>
        <w:t xml:space="preserve"> (2013)</w:t>
      </w:r>
      <w:r>
        <w:rPr>
          <w:lang w:val="en-US"/>
        </w:rPr>
        <w:t>:</w:t>
      </w:r>
      <w:r w:rsidRPr="00F870F1">
        <w:rPr>
          <w:lang w:val="en-US"/>
        </w:rPr>
        <w:t xml:space="preserve"> The state of Preparedness</w:t>
      </w:r>
      <w:r>
        <w:rPr>
          <w:lang w:val="en-US"/>
        </w:rPr>
        <w:t xml:space="preserve"> </w:t>
      </w:r>
      <w:r w:rsidRPr="00F870F1">
        <w:rPr>
          <w:lang w:val="en-US"/>
        </w:rPr>
        <w:t>for the 2014 Tripartite Elections, presentation made at a National Consultative Conference organized by the M</w:t>
      </w:r>
      <w:r>
        <w:rPr>
          <w:lang w:val="en-US"/>
        </w:rPr>
        <w:t>alawi Electoral Support Network</w:t>
      </w:r>
    </w:p>
    <w:p w14:paraId="11FBD0B4" w14:textId="212E3E80" w:rsidR="00F870F1" w:rsidRDefault="00F870F1" w:rsidP="00F870F1">
      <w:pPr>
        <w:rPr>
          <w:lang w:val="en-US"/>
        </w:rPr>
      </w:pPr>
      <w:r w:rsidRPr="00F870F1">
        <w:rPr>
          <w:lang w:val="en-US"/>
        </w:rPr>
        <w:t>Chinsinga, B</w:t>
      </w:r>
      <w:r w:rsidR="00AE7EB5">
        <w:rPr>
          <w:lang w:val="en-US"/>
        </w:rPr>
        <w:t>.,</w:t>
      </w:r>
      <w:r w:rsidRPr="00F870F1">
        <w:rPr>
          <w:lang w:val="en-US"/>
        </w:rPr>
        <w:t xml:space="preserve"> (2011) </w:t>
      </w:r>
      <w:r w:rsidR="001301BB" w:rsidRPr="00F870F1">
        <w:rPr>
          <w:lang w:val="en-US"/>
        </w:rPr>
        <w:t>Benchmarking</w:t>
      </w:r>
      <w:r w:rsidRPr="00F870F1">
        <w:rPr>
          <w:lang w:val="en-US"/>
        </w:rPr>
        <w:t xml:space="preserve"> the Core Capacities of Political Parties (Lilongwe: Centre for Multiparty Democracy).</w:t>
      </w:r>
    </w:p>
    <w:p w14:paraId="04824DF4" w14:textId="15268971" w:rsidR="00F870F1" w:rsidRPr="00CD56B9" w:rsidRDefault="00F870F1" w:rsidP="00F870F1">
      <w:pPr>
        <w:jc w:val="left"/>
        <w:rPr>
          <w:rFonts w:eastAsia="Calibri" w:cs="Arial"/>
          <w:lang w:val="en-US"/>
        </w:rPr>
      </w:pPr>
      <w:r w:rsidRPr="00F870F1">
        <w:rPr>
          <w:lang w:val="en-US"/>
        </w:rPr>
        <w:t>Chinsinga, B</w:t>
      </w:r>
      <w:r w:rsidR="003F4020">
        <w:rPr>
          <w:rFonts w:eastAsia="Calibri" w:cs="Arial"/>
          <w:lang w:val="en-US"/>
        </w:rPr>
        <w:t>.,</w:t>
      </w:r>
      <w:r>
        <w:rPr>
          <w:rFonts w:eastAsia="Calibri" w:cs="Arial"/>
          <w:lang w:val="en-US"/>
        </w:rPr>
        <w:t xml:space="preserve"> </w:t>
      </w:r>
      <w:r w:rsidRPr="00CD56B9">
        <w:rPr>
          <w:rFonts w:eastAsia="Calibri" w:cs="Arial"/>
          <w:lang w:val="en-US"/>
        </w:rPr>
        <w:t>Comments on Draft IRDS, 28 May 2015</w:t>
      </w:r>
    </w:p>
    <w:p w14:paraId="15F544D6" w14:textId="77777777" w:rsidR="004C29AC" w:rsidRDefault="004C29AC" w:rsidP="004C29AC">
      <w:pPr>
        <w:rPr>
          <w:lang w:val="en-US"/>
        </w:rPr>
      </w:pPr>
      <w:r w:rsidRPr="004C29AC">
        <w:rPr>
          <w:lang w:val="en-US"/>
        </w:rPr>
        <w:t>EISA (2009) Malawi: Election Observa</w:t>
      </w:r>
      <w:r>
        <w:rPr>
          <w:lang w:val="en-US"/>
        </w:rPr>
        <w:t>tion Report (Johannesburg: ISA)</w:t>
      </w:r>
    </w:p>
    <w:p w14:paraId="7D5E8C3F" w14:textId="5EB53FE3" w:rsidR="00F870F1" w:rsidRPr="00F870F1" w:rsidRDefault="00F870F1" w:rsidP="00F870F1">
      <w:pPr>
        <w:rPr>
          <w:lang w:val="en-US"/>
        </w:rPr>
      </w:pPr>
      <w:r w:rsidRPr="00F870F1">
        <w:rPr>
          <w:lang w:val="en-US"/>
        </w:rPr>
        <w:t>Svåsand</w:t>
      </w:r>
      <w:r>
        <w:rPr>
          <w:lang w:val="en-US"/>
        </w:rPr>
        <w:t>, Lars</w:t>
      </w:r>
      <w:r w:rsidRPr="00F870F1">
        <w:rPr>
          <w:lang w:val="en-US"/>
        </w:rPr>
        <w:t xml:space="preserve"> and Khembo</w:t>
      </w:r>
      <w:r w:rsidR="00AE7EB5">
        <w:rPr>
          <w:lang w:val="en-US"/>
        </w:rPr>
        <w:t xml:space="preserve"> (2013)</w:t>
      </w:r>
      <w:r>
        <w:rPr>
          <w:lang w:val="en-US"/>
        </w:rPr>
        <w:t xml:space="preserve"> ‘P</w:t>
      </w:r>
      <w:r w:rsidRPr="00F870F1">
        <w:rPr>
          <w:lang w:val="en-US"/>
        </w:rPr>
        <w:t>olitical parties in Malawi’ in Government and Politics in Malawi</w:t>
      </w:r>
      <w:r w:rsidR="00AE7EB5">
        <w:rPr>
          <w:lang w:val="en-US"/>
        </w:rPr>
        <w:t>, Capital Printing Press, Lilongwe.</w:t>
      </w:r>
      <w:r w:rsidRPr="00F870F1">
        <w:rPr>
          <w:lang w:val="en-US"/>
        </w:rPr>
        <w:t xml:space="preserve"> </w:t>
      </w:r>
    </w:p>
    <w:p w14:paraId="2F374A2B" w14:textId="7605FF42" w:rsidR="00F870F1" w:rsidRDefault="00F870F1" w:rsidP="00F870F1">
      <w:pPr>
        <w:rPr>
          <w:lang w:val="en-US"/>
        </w:rPr>
      </w:pPr>
      <w:r w:rsidRPr="00F870F1">
        <w:rPr>
          <w:lang w:val="en-US"/>
        </w:rPr>
        <w:t>Chiweza</w:t>
      </w:r>
      <w:r w:rsidR="00AE7EB5">
        <w:rPr>
          <w:lang w:val="en-US"/>
        </w:rPr>
        <w:t>, A. (2013)</w:t>
      </w:r>
      <w:r w:rsidR="001301BB">
        <w:rPr>
          <w:lang w:val="en-US"/>
        </w:rPr>
        <w:t xml:space="preserve">, </w:t>
      </w:r>
      <w:r w:rsidR="001301BB" w:rsidRPr="00F870F1">
        <w:rPr>
          <w:lang w:val="en-US"/>
        </w:rPr>
        <w:t>‘Local</w:t>
      </w:r>
      <w:r w:rsidRPr="00F870F1">
        <w:rPr>
          <w:lang w:val="en-US"/>
        </w:rPr>
        <w:t xml:space="preserve"> Government’ in Government and Politics in Malawi</w:t>
      </w:r>
      <w:r w:rsidR="00AE7EB5">
        <w:rPr>
          <w:lang w:val="en-US"/>
        </w:rPr>
        <w:t>,</w:t>
      </w:r>
      <w:r w:rsidR="00AE7EB5" w:rsidRPr="00AE7EB5">
        <w:rPr>
          <w:lang w:val="en-US"/>
        </w:rPr>
        <w:t xml:space="preserve"> </w:t>
      </w:r>
      <w:r w:rsidR="00AE7EB5">
        <w:rPr>
          <w:lang w:val="en-US"/>
        </w:rPr>
        <w:t>Capital Printing Press, Lilongwe.</w:t>
      </w:r>
    </w:p>
    <w:p w14:paraId="77252211" w14:textId="77777777" w:rsidR="00F870F1" w:rsidRPr="00F870F1" w:rsidRDefault="00F870F1" w:rsidP="00F870F1">
      <w:pPr>
        <w:rPr>
          <w:lang w:val="en-US"/>
        </w:rPr>
      </w:pPr>
      <w:r w:rsidRPr="00F870F1">
        <w:rPr>
          <w:lang w:val="en-US"/>
        </w:rPr>
        <w:t>Janda K (2005) Political Parties and Democracy in Theoretical and Practical Perspectives: Adopting Party Law (National Democratic Institute for International Affairs (NDI), USA.</w:t>
      </w:r>
    </w:p>
    <w:p w14:paraId="6698ED32" w14:textId="77777777" w:rsidR="00F870F1" w:rsidRDefault="00F870F1" w:rsidP="00F870F1">
      <w:pPr>
        <w:rPr>
          <w:lang w:val="en-US"/>
        </w:rPr>
      </w:pPr>
      <w:r w:rsidRPr="00F870F1">
        <w:rPr>
          <w:lang w:val="en-US"/>
        </w:rPr>
        <w:t>Chingaipe</w:t>
      </w:r>
      <w:r w:rsidR="00AE7EB5">
        <w:rPr>
          <w:lang w:val="en-US"/>
        </w:rPr>
        <w:t>, H.,</w:t>
      </w:r>
      <w:r w:rsidRPr="00F870F1">
        <w:rPr>
          <w:lang w:val="en-US"/>
        </w:rPr>
        <w:t xml:space="preserve"> (2010) Business and the State in Malawi: The Politics of Institutional Formation, Maintenance and Change (PhD Thesis, University of York).</w:t>
      </w:r>
    </w:p>
    <w:p w14:paraId="13D07D4B" w14:textId="77777777" w:rsidR="004C29AC" w:rsidRPr="004C29AC" w:rsidRDefault="004C29AC" w:rsidP="004C29AC">
      <w:pPr>
        <w:rPr>
          <w:lang w:val="en-US"/>
        </w:rPr>
      </w:pPr>
      <w:r w:rsidRPr="004C29AC">
        <w:rPr>
          <w:lang w:val="en-US"/>
        </w:rPr>
        <w:t>CMD (2012) Sensitivities and Benefits of Paid Up Party Membership (Lilongwe: CMD).</w:t>
      </w:r>
    </w:p>
    <w:p w14:paraId="40636FD3" w14:textId="77777777" w:rsidR="004C29AC" w:rsidRPr="004C29AC" w:rsidRDefault="004C29AC" w:rsidP="004C29AC">
      <w:pPr>
        <w:rPr>
          <w:lang w:val="en-US"/>
        </w:rPr>
      </w:pPr>
      <w:r w:rsidRPr="004C29AC">
        <w:rPr>
          <w:lang w:val="en-US"/>
        </w:rPr>
        <w:t>Kanyongolo, Edge and Martin Ott (eds.) Democracy in Progress: Malawi’s 2009 Presidential and Parliamentary Elections (Kachere Books No.48).</w:t>
      </w:r>
    </w:p>
    <w:p w14:paraId="41C5D9BA" w14:textId="7FB5F7B1" w:rsidR="004C29AC" w:rsidRPr="005B4669" w:rsidRDefault="003F4020" w:rsidP="004C29AC">
      <w:pPr>
        <w:rPr>
          <w:lang w:val="en-GB"/>
        </w:rPr>
      </w:pPr>
      <w:r w:rsidRPr="005B4669">
        <w:rPr>
          <w:lang w:val="en-GB"/>
        </w:rPr>
        <w:t>Classen,</w:t>
      </w:r>
      <w:r>
        <w:rPr>
          <w:lang w:val="en-GB"/>
        </w:rPr>
        <w:t xml:space="preserve"> M and</w:t>
      </w:r>
      <w:r w:rsidRPr="005B4669">
        <w:rPr>
          <w:lang w:val="en-GB"/>
        </w:rPr>
        <w:t xml:space="preserve"> Carmen Alpin-Lardies </w:t>
      </w:r>
      <w:r>
        <w:rPr>
          <w:lang w:val="en-GB"/>
        </w:rPr>
        <w:t xml:space="preserve">(2010), </w:t>
      </w:r>
      <w:r w:rsidRPr="005B4669">
        <w:rPr>
          <w:lang w:val="en-GB"/>
        </w:rPr>
        <w:t>Social Accountability in Africa: Practitioners' Experiences and Lessons (African Books Collective: 2010).</w:t>
      </w:r>
    </w:p>
    <w:p w14:paraId="5E3E99DF" w14:textId="056A8958" w:rsidR="004C29AC" w:rsidRPr="005B4669" w:rsidRDefault="004C29AC" w:rsidP="004C29AC">
      <w:pPr>
        <w:rPr>
          <w:lang w:val="en-GB"/>
        </w:rPr>
      </w:pPr>
      <w:r w:rsidRPr="005B4669">
        <w:rPr>
          <w:lang w:val="en-GB"/>
        </w:rPr>
        <w:t>Patel</w:t>
      </w:r>
      <w:r w:rsidR="00AE7EB5">
        <w:rPr>
          <w:lang w:val="en-GB"/>
        </w:rPr>
        <w:t>, N (2009),</w:t>
      </w:r>
      <w:r w:rsidRPr="005B4669">
        <w:rPr>
          <w:lang w:val="en-GB"/>
        </w:rPr>
        <w:t xml:space="preserve"> Promoting the effectiveness of democracy protection institutions in southern Africa the Malawi human rights commission and the office of the ombudsman.</w:t>
      </w:r>
    </w:p>
    <w:p w14:paraId="22A1F008" w14:textId="004710F7" w:rsidR="004C29AC" w:rsidRPr="005B4669" w:rsidRDefault="004C29AC" w:rsidP="004C29AC">
      <w:pPr>
        <w:rPr>
          <w:lang w:val="en-GB"/>
        </w:rPr>
      </w:pPr>
      <w:r w:rsidRPr="005B4669">
        <w:rPr>
          <w:lang w:val="en-GB"/>
        </w:rPr>
        <w:t>Andreassen and Oftedal</w:t>
      </w:r>
      <w:r w:rsidR="000F2B37">
        <w:rPr>
          <w:lang w:val="en-GB"/>
        </w:rPr>
        <w:t xml:space="preserve"> (2007),</w:t>
      </w:r>
      <w:r w:rsidRPr="005B4669">
        <w:rPr>
          <w:lang w:val="en-GB"/>
        </w:rPr>
        <w:t xml:space="preserve"> ‘The Office of the Ombudsman (OoO) in Malawi - An Appraisal’, NORAD Collected Reviews</w:t>
      </w:r>
      <w:r w:rsidR="000F2B37">
        <w:rPr>
          <w:lang w:val="en-GB"/>
        </w:rPr>
        <w:t>.</w:t>
      </w:r>
    </w:p>
    <w:p w14:paraId="39822B96" w14:textId="2473260F" w:rsidR="004C29AC" w:rsidRPr="005B4669" w:rsidRDefault="00C04763" w:rsidP="004C29AC">
      <w:pPr>
        <w:rPr>
          <w:lang w:val="en-GB"/>
        </w:rPr>
      </w:pPr>
      <w:r w:rsidRPr="005B4669">
        <w:rPr>
          <w:lang w:val="en-GB"/>
        </w:rPr>
        <w:lastRenderedPageBreak/>
        <w:t>Nawaz</w:t>
      </w:r>
      <w:r w:rsidR="000F2B37">
        <w:rPr>
          <w:lang w:val="en-GB"/>
        </w:rPr>
        <w:t xml:space="preserve"> F (2012),</w:t>
      </w:r>
      <w:r w:rsidRPr="005B4669">
        <w:rPr>
          <w:lang w:val="en-GB"/>
        </w:rPr>
        <w:t xml:space="preserve"> ’Overview of corruption and anti-corruption in Malawi’, Transparency International</w:t>
      </w:r>
      <w:r w:rsidR="000F2B37">
        <w:rPr>
          <w:lang w:val="en-GB"/>
        </w:rPr>
        <w:t>.</w:t>
      </w:r>
      <w:r w:rsidRPr="005B4669">
        <w:rPr>
          <w:lang w:val="en-GB"/>
        </w:rPr>
        <w:t>.</w:t>
      </w:r>
    </w:p>
    <w:p w14:paraId="51CEFAAC" w14:textId="77777777" w:rsidR="004C29AC" w:rsidRPr="005B4669" w:rsidRDefault="004C29AC" w:rsidP="004C29AC">
      <w:pPr>
        <w:rPr>
          <w:lang w:val="en-GB"/>
        </w:rPr>
      </w:pPr>
    </w:p>
    <w:p w14:paraId="0C7388E1" w14:textId="77777777" w:rsidR="004C29AC" w:rsidRPr="005B4669" w:rsidRDefault="004C29AC" w:rsidP="004C29AC">
      <w:pPr>
        <w:rPr>
          <w:lang w:val="en-GB"/>
        </w:rPr>
        <w:sectPr w:rsidR="004C29AC" w:rsidRPr="005B4669" w:rsidSect="003E7255">
          <w:footerReference w:type="default" r:id="rId36"/>
          <w:pgSz w:w="11906" w:h="16838"/>
          <w:pgMar w:top="1440" w:right="1440" w:bottom="1440" w:left="1440" w:header="708" w:footer="708" w:gutter="0"/>
          <w:cols w:space="708"/>
          <w:docGrid w:linePitch="360"/>
        </w:sectPr>
      </w:pPr>
    </w:p>
    <w:p w14:paraId="4756E4E6" w14:textId="77777777" w:rsidR="0094330A" w:rsidRDefault="00C932D2" w:rsidP="005B5F1B">
      <w:pPr>
        <w:pStyle w:val="Overskrift1"/>
        <w:rPr>
          <w:rFonts w:eastAsia="Calibri"/>
        </w:rPr>
      </w:pPr>
      <w:bookmarkStart w:id="51" w:name="_Toc439245603"/>
      <w:r w:rsidRPr="00052C3D">
        <w:lastRenderedPageBreak/>
        <w:t xml:space="preserve">Annex 3. </w:t>
      </w:r>
      <w:r w:rsidR="001D6DA5" w:rsidRPr="000B594B">
        <w:rPr>
          <w:rFonts w:eastAsia="Calibri"/>
        </w:rPr>
        <w:t>Schedule of Meetings</w:t>
      </w:r>
      <w:bookmarkEnd w:id="51"/>
    </w:p>
    <w:p w14:paraId="6B981821" w14:textId="77777777" w:rsidR="008F0494" w:rsidRDefault="008F0494" w:rsidP="008F0494">
      <w:pPr>
        <w:rPr>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3827"/>
        <w:gridCol w:w="2500"/>
      </w:tblGrid>
      <w:tr w:rsidR="009D7378" w:rsidRPr="007D425D" w14:paraId="5EC7FABB" w14:textId="77777777" w:rsidTr="00805BB4">
        <w:tc>
          <w:tcPr>
            <w:tcW w:w="2689" w:type="dxa"/>
          </w:tcPr>
          <w:p w14:paraId="44E29C41" w14:textId="77777777" w:rsidR="009D7378" w:rsidRPr="007D425D" w:rsidRDefault="009D7378" w:rsidP="007D425D">
            <w:pPr>
              <w:spacing w:after="200" w:line="276" w:lineRule="auto"/>
              <w:rPr>
                <w:rFonts w:ascii="Times New Roman" w:eastAsia="Calibri" w:hAnsi="Times New Roman"/>
                <w:b/>
                <w:color w:val="000000"/>
                <w:sz w:val="24"/>
                <w:szCs w:val="24"/>
                <w:lang w:val="en-US"/>
              </w:rPr>
            </w:pPr>
            <w:r w:rsidRPr="007D425D">
              <w:rPr>
                <w:rFonts w:ascii="Times New Roman" w:eastAsia="Calibri" w:hAnsi="Times New Roman"/>
                <w:b/>
                <w:color w:val="000000"/>
                <w:sz w:val="24"/>
                <w:szCs w:val="24"/>
                <w:lang w:val="en-US"/>
              </w:rPr>
              <w:t>Date and Time</w:t>
            </w:r>
          </w:p>
        </w:tc>
        <w:tc>
          <w:tcPr>
            <w:tcW w:w="3827" w:type="dxa"/>
          </w:tcPr>
          <w:p w14:paraId="4491439A" w14:textId="77777777" w:rsidR="009D7378" w:rsidRPr="007D425D" w:rsidRDefault="009D7378" w:rsidP="007D425D">
            <w:pPr>
              <w:spacing w:after="200" w:line="276" w:lineRule="auto"/>
              <w:rPr>
                <w:rFonts w:ascii="Times New Roman" w:eastAsia="Calibri" w:hAnsi="Times New Roman"/>
                <w:b/>
                <w:color w:val="000000"/>
                <w:sz w:val="24"/>
                <w:szCs w:val="24"/>
                <w:lang w:val="en-US"/>
              </w:rPr>
            </w:pPr>
            <w:r w:rsidRPr="007D425D">
              <w:rPr>
                <w:rFonts w:ascii="Times New Roman" w:eastAsia="Calibri" w:hAnsi="Times New Roman"/>
                <w:b/>
                <w:color w:val="000000"/>
                <w:sz w:val="24"/>
                <w:szCs w:val="24"/>
                <w:lang w:val="en-US"/>
              </w:rPr>
              <w:t>Person(s) to meet</w:t>
            </w:r>
          </w:p>
        </w:tc>
        <w:tc>
          <w:tcPr>
            <w:tcW w:w="2500" w:type="dxa"/>
          </w:tcPr>
          <w:p w14:paraId="13DB4A8F" w14:textId="77777777" w:rsidR="009D7378" w:rsidRPr="007D425D" w:rsidRDefault="009D7378" w:rsidP="007D425D">
            <w:pPr>
              <w:spacing w:after="200" w:line="276" w:lineRule="auto"/>
              <w:rPr>
                <w:rFonts w:ascii="Times New Roman" w:eastAsia="Calibri" w:hAnsi="Times New Roman"/>
                <w:b/>
                <w:color w:val="000000"/>
                <w:sz w:val="24"/>
                <w:szCs w:val="24"/>
                <w:lang w:val="en-US"/>
              </w:rPr>
            </w:pPr>
            <w:r w:rsidRPr="007D425D">
              <w:rPr>
                <w:rFonts w:ascii="Times New Roman" w:eastAsia="Calibri" w:hAnsi="Times New Roman"/>
                <w:b/>
                <w:color w:val="000000"/>
                <w:sz w:val="24"/>
                <w:szCs w:val="24"/>
                <w:lang w:val="en-US"/>
              </w:rPr>
              <w:t>Location</w:t>
            </w:r>
          </w:p>
        </w:tc>
      </w:tr>
      <w:tr w:rsidR="009D7378" w:rsidRPr="007D425D" w14:paraId="563E5EE2" w14:textId="77777777" w:rsidTr="00805BB4">
        <w:tc>
          <w:tcPr>
            <w:tcW w:w="2689" w:type="dxa"/>
          </w:tcPr>
          <w:p w14:paraId="38EACD46" w14:textId="77777777" w:rsidR="009D7378" w:rsidRPr="007D425D" w:rsidRDefault="009D7378" w:rsidP="007D425D">
            <w:pPr>
              <w:spacing w:after="200" w:line="276" w:lineRule="auto"/>
              <w:rPr>
                <w:rFonts w:ascii="Times New Roman" w:eastAsia="Calibri" w:hAnsi="Times New Roman"/>
                <w:b/>
                <w:color w:val="000000"/>
                <w:lang w:val="en-US"/>
              </w:rPr>
            </w:pPr>
            <w:r w:rsidRPr="007D425D">
              <w:rPr>
                <w:rFonts w:ascii="Times New Roman" w:eastAsia="Calibri" w:hAnsi="Times New Roman"/>
                <w:b/>
                <w:color w:val="000000"/>
                <w:lang w:val="en-US"/>
              </w:rPr>
              <w:t>Monday, 26 Oct., 2015</w:t>
            </w:r>
          </w:p>
        </w:tc>
        <w:tc>
          <w:tcPr>
            <w:tcW w:w="3827" w:type="dxa"/>
          </w:tcPr>
          <w:p w14:paraId="22D1BB24" w14:textId="77777777" w:rsidR="009D7378" w:rsidRPr="007D425D" w:rsidRDefault="009D7378" w:rsidP="007D425D">
            <w:pPr>
              <w:spacing w:after="200" w:line="276" w:lineRule="auto"/>
              <w:rPr>
                <w:rFonts w:ascii="Times New Roman" w:eastAsia="Calibri" w:hAnsi="Times New Roman"/>
                <w:color w:val="000000"/>
                <w:lang w:val="en-US"/>
              </w:rPr>
            </w:pPr>
            <w:r w:rsidRPr="007D425D">
              <w:rPr>
                <w:rFonts w:ascii="Times New Roman" w:eastAsia="Calibri" w:hAnsi="Times New Roman"/>
                <w:color w:val="000000"/>
                <w:lang w:val="en-US"/>
              </w:rPr>
              <w:t xml:space="preserve"> </w:t>
            </w:r>
          </w:p>
        </w:tc>
        <w:tc>
          <w:tcPr>
            <w:tcW w:w="2500" w:type="dxa"/>
          </w:tcPr>
          <w:p w14:paraId="63051D35" w14:textId="77777777" w:rsidR="009D7378" w:rsidRPr="007D425D" w:rsidRDefault="009D7378" w:rsidP="007D425D">
            <w:pPr>
              <w:spacing w:after="200" w:line="276" w:lineRule="auto"/>
              <w:rPr>
                <w:rFonts w:ascii="Times New Roman" w:eastAsia="Calibri" w:hAnsi="Times New Roman"/>
                <w:color w:val="000000"/>
                <w:lang w:val="en-US"/>
              </w:rPr>
            </w:pPr>
          </w:p>
        </w:tc>
      </w:tr>
      <w:tr w:rsidR="009D7378" w:rsidRPr="007D425D" w14:paraId="2685C36E" w14:textId="77777777" w:rsidTr="00805BB4">
        <w:trPr>
          <w:trHeight w:val="485"/>
        </w:trPr>
        <w:tc>
          <w:tcPr>
            <w:tcW w:w="2689" w:type="dxa"/>
          </w:tcPr>
          <w:p w14:paraId="31CADBC5" w14:textId="77777777" w:rsidR="009D7378" w:rsidRPr="007D425D" w:rsidRDefault="009D7378" w:rsidP="007D425D">
            <w:pPr>
              <w:spacing w:after="200"/>
              <w:rPr>
                <w:rFonts w:ascii="Times New Roman" w:eastAsia="Calibri" w:hAnsi="Times New Roman"/>
                <w:color w:val="000000"/>
                <w:lang w:val="en-US"/>
              </w:rPr>
            </w:pPr>
            <w:r w:rsidRPr="007D425D">
              <w:rPr>
                <w:rFonts w:ascii="Times New Roman" w:eastAsia="Calibri" w:hAnsi="Times New Roman"/>
                <w:color w:val="000000"/>
                <w:lang w:val="en-US"/>
              </w:rPr>
              <w:t>09:00 – 09:30</w:t>
            </w:r>
          </w:p>
        </w:tc>
        <w:tc>
          <w:tcPr>
            <w:tcW w:w="3827" w:type="dxa"/>
          </w:tcPr>
          <w:p w14:paraId="4E5DDBF9" w14:textId="77777777" w:rsidR="009D7378" w:rsidRPr="007D425D" w:rsidRDefault="009D7378" w:rsidP="007D425D">
            <w:pPr>
              <w:spacing w:after="200"/>
              <w:rPr>
                <w:rFonts w:ascii="Times New Roman" w:eastAsia="Calibri" w:hAnsi="Times New Roman"/>
                <w:color w:val="000000"/>
                <w:lang w:val="en-US"/>
              </w:rPr>
            </w:pPr>
            <w:r w:rsidRPr="007D425D">
              <w:rPr>
                <w:rFonts w:ascii="Times New Roman" w:eastAsia="Calibri" w:hAnsi="Times New Roman"/>
                <w:color w:val="000000"/>
                <w:lang w:val="en-US"/>
              </w:rPr>
              <w:t>Ms. Susan Mkandawire, Procurement Associate, UNDP</w:t>
            </w:r>
          </w:p>
        </w:tc>
        <w:tc>
          <w:tcPr>
            <w:tcW w:w="2500" w:type="dxa"/>
          </w:tcPr>
          <w:p w14:paraId="01CCBD45" w14:textId="77777777" w:rsidR="009D7378" w:rsidRPr="007D425D" w:rsidRDefault="009D7378" w:rsidP="007D425D">
            <w:pPr>
              <w:spacing w:after="200"/>
              <w:rPr>
                <w:rFonts w:ascii="Times New Roman" w:eastAsia="Calibri" w:hAnsi="Times New Roman"/>
                <w:color w:val="000000"/>
                <w:lang w:val="en-US"/>
              </w:rPr>
            </w:pPr>
            <w:r w:rsidRPr="007D425D">
              <w:rPr>
                <w:rFonts w:ascii="Times New Roman" w:eastAsia="Calibri" w:hAnsi="Times New Roman"/>
                <w:color w:val="000000"/>
                <w:lang w:val="en-US"/>
              </w:rPr>
              <w:t>UNDP</w:t>
            </w:r>
          </w:p>
        </w:tc>
      </w:tr>
      <w:tr w:rsidR="009D7378" w:rsidRPr="007D425D" w14:paraId="593C26D6" w14:textId="77777777" w:rsidTr="00805BB4">
        <w:tc>
          <w:tcPr>
            <w:tcW w:w="2689" w:type="dxa"/>
          </w:tcPr>
          <w:p w14:paraId="74A711C0" w14:textId="77777777" w:rsidR="009D7378" w:rsidRPr="007D425D" w:rsidRDefault="009D7378" w:rsidP="007D425D">
            <w:pPr>
              <w:spacing w:after="200"/>
              <w:rPr>
                <w:rFonts w:ascii="Times New Roman" w:eastAsia="Calibri" w:hAnsi="Times New Roman"/>
                <w:color w:val="000000"/>
                <w:lang w:val="en-US"/>
              </w:rPr>
            </w:pPr>
            <w:r w:rsidRPr="007D425D">
              <w:rPr>
                <w:rFonts w:ascii="Times New Roman" w:eastAsia="Calibri" w:hAnsi="Times New Roman"/>
                <w:color w:val="000000"/>
                <w:lang w:val="en-US"/>
              </w:rPr>
              <w:t>09:45– 10:15</w:t>
            </w:r>
          </w:p>
        </w:tc>
        <w:tc>
          <w:tcPr>
            <w:tcW w:w="3827" w:type="dxa"/>
          </w:tcPr>
          <w:p w14:paraId="4860EBD5" w14:textId="77777777" w:rsidR="009D7378" w:rsidRPr="007D425D" w:rsidRDefault="009D7378" w:rsidP="007D425D">
            <w:pPr>
              <w:spacing w:after="200"/>
              <w:rPr>
                <w:rFonts w:ascii="Times New Roman" w:eastAsia="Calibri" w:hAnsi="Times New Roman"/>
                <w:color w:val="000000"/>
                <w:lang w:val="en-US"/>
              </w:rPr>
            </w:pPr>
            <w:r w:rsidRPr="007D425D">
              <w:rPr>
                <w:rFonts w:ascii="Times New Roman" w:eastAsia="Calibri" w:hAnsi="Times New Roman"/>
                <w:color w:val="000000"/>
                <w:lang w:val="en-US"/>
              </w:rPr>
              <w:t>Clemence Alfazema, Programme Analyst</w:t>
            </w:r>
          </w:p>
        </w:tc>
        <w:tc>
          <w:tcPr>
            <w:tcW w:w="2500" w:type="dxa"/>
          </w:tcPr>
          <w:p w14:paraId="49443899" w14:textId="77777777" w:rsidR="009D7378" w:rsidRPr="007D425D" w:rsidRDefault="009D7378" w:rsidP="007D425D">
            <w:pPr>
              <w:spacing w:after="200"/>
              <w:rPr>
                <w:rFonts w:ascii="Times New Roman" w:eastAsia="Calibri" w:hAnsi="Times New Roman"/>
                <w:color w:val="000000"/>
                <w:lang w:val="en-US"/>
              </w:rPr>
            </w:pPr>
            <w:r w:rsidRPr="007D425D">
              <w:rPr>
                <w:rFonts w:ascii="Times New Roman" w:eastAsia="Calibri" w:hAnsi="Times New Roman"/>
                <w:color w:val="000000"/>
                <w:lang w:val="en-US"/>
              </w:rPr>
              <w:t>UNDP</w:t>
            </w:r>
          </w:p>
        </w:tc>
      </w:tr>
      <w:tr w:rsidR="009D7378" w:rsidRPr="007D425D" w14:paraId="7EC1B379" w14:textId="77777777" w:rsidTr="00805BB4">
        <w:tc>
          <w:tcPr>
            <w:tcW w:w="2689" w:type="dxa"/>
          </w:tcPr>
          <w:p w14:paraId="73AAD71A" w14:textId="77777777" w:rsidR="009D7378" w:rsidRPr="007D425D" w:rsidRDefault="009D7378" w:rsidP="007D425D">
            <w:pPr>
              <w:spacing w:after="200"/>
              <w:rPr>
                <w:rFonts w:ascii="Times New Roman" w:eastAsia="Calibri" w:hAnsi="Times New Roman"/>
                <w:color w:val="000000"/>
                <w:lang w:val="en-US"/>
              </w:rPr>
            </w:pPr>
            <w:r w:rsidRPr="007D425D">
              <w:rPr>
                <w:rFonts w:ascii="Times New Roman" w:eastAsia="Calibri" w:hAnsi="Times New Roman"/>
                <w:color w:val="000000"/>
                <w:lang w:val="en-US"/>
              </w:rPr>
              <w:t>14:00 – 15:00</w:t>
            </w:r>
          </w:p>
        </w:tc>
        <w:tc>
          <w:tcPr>
            <w:tcW w:w="3827" w:type="dxa"/>
          </w:tcPr>
          <w:p w14:paraId="7C0AE7D8" w14:textId="77777777" w:rsidR="009D7378" w:rsidRPr="007D425D" w:rsidRDefault="009D7378" w:rsidP="007D425D">
            <w:pPr>
              <w:spacing w:after="200"/>
              <w:rPr>
                <w:rFonts w:ascii="Times New Roman" w:eastAsia="Calibri" w:hAnsi="Times New Roman"/>
                <w:color w:val="000000"/>
                <w:lang w:val="en-US"/>
              </w:rPr>
            </w:pPr>
            <w:r w:rsidRPr="007D425D">
              <w:rPr>
                <w:rFonts w:ascii="Times New Roman" w:eastAsia="Calibri" w:hAnsi="Times New Roman"/>
                <w:color w:val="000000"/>
                <w:lang w:val="en-US"/>
              </w:rPr>
              <w:t>Responsible Institutions and Citizen Engagement Portfolio Team (Agnes, Clemence, David, Anne-Thora, Laureen, Sean Becky, Charles, Ruth)</w:t>
            </w:r>
          </w:p>
        </w:tc>
        <w:tc>
          <w:tcPr>
            <w:tcW w:w="2500" w:type="dxa"/>
          </w:tcPr>
          <w:p w14:paraId="496D3CC8" w14:textId="77777777" w:rsidR="009D7378" w:rsidRPr="007D425D" w:rsidRDefault="009D7378" w:rsidP="007D425D">
            <w:pPr>
              <w:spacing w:after="200"/>
              <w:rPr>
                <w:rFonts w:ascii="Times New Roman" w:eastAsia="Calibri" w:hAnsi="Times New Roman"/>
                <w:color w:val="000000"/>
                <w:lang w:val="en-US"/>
              </w:rPr>
            </w:pPr>
            <w:r w:rsidRPr="007D425D">
              <w:rPr>
                <w:rFonts w:ascii="Times New Roman" w:eastAsia="Calibri" w:hAnsi="Times New Roman"/>
                <w:color w:val="000000"/>
                <w:lang w:val="en-US"/>
              </w:rPr>
              <w:t>UNDP conference room B</w:t>
            </w:r>
          </w:p>
        </w:tc>
      </w:tr>
      <w:tr w:rsidR="009D7378" w:rsidRPr="007D425D" w14:paraId="402D071B" w14:textId="77777777" w:rsidTr="00805BB4">
        <w:tc>
          <w:tcPr>
            <w:tcW w:w="2689" w:type="dxa"/>
          </w:tcPr>
          <w:p w14:paraId="680F1B98" w14:textId="77777777" w:rsidR="009D7378" w:rsidRPr="007D425D" w:rsidRDefault="009D7378" w:rsidP="007D425D">
            <w:pPr>
              <w:spacing w:after="200"/>
              <w:rPr>
                <w:rFonts w:ascii="Times New Roman" w:eastAsia="Calibri" w:hAnsi="Times New Roman"/>
                <w:color w:val="000000"/>
                <w:lang w:val="en-US"/>
              </w:rPr>
            </w:pPr>
            <w:r w:rsidRPr="007D425D">
              <w:rPr>
                <w:rFonts w:ascii="Times New Roman" w:eastAsia="Calibri" w:hAnsi="Times New Roman"/>
                <w:color w:val="000000"/>
                <w:lang w:val="en-US"/>
              </w:rPr>
              <w:t>15:15 – 16:00</w:t>
            </w:r>
          </w:p>
        </w:tc>
        <w:tc>
          <w:tcPr>
            <w:tcW w:w="3827" w:type="dxa"/>
          </w:tcPr>
          <w:p w14:paraId="26A29320" w14:textId="77777777" w:rsidR="009D7378" w:rsidRPr="007D425D" w:rsidRDefault="009D7378" w:rsidP="007D425D">
            <w:pPr>
              <w:spacing w:after="200"/>
              <w:rPr>
                <w:rFonts w:ascii="Times New Roman" w:eastAsia="Calibri" w:hAnsi="Times New Roman"/>
                <w:color w:val="000000"/>
                <w:lang w:val="en-US"/>
              </w:rPr>
            </w:pPr>
            <w:r w:rsidRPr="007D425D">
              <w:rPr>
                <w:rFonts w:ascii="Times New Roman" w:eastAsia="Calibri" w:hAnsi="Times New Roman"/>
                <w:color w:val="000000"/>
                <w:lang w:val="en-US"/>
              </w:rPr>
              <w:t>Ms. Carol Flore-Smereczniak, UNDP Deputy Resident Representative</w:t>
            </w:r>
          </w:p>
          <w:p w14:paraId="45F30499" w14:textId="77777777" w:rsidR="009D7378" w:rsidRPr="007D425D" w:rsidRDefault="009D7378" w:rsidP="007D425D">
            <w:pPr>
              <w:spacing w:after="200"/>
              <w:rPr>
                <w:rFonts w:ascii="Times New Roman" w:eastAsia="Calibri" w:hAnsi="Times New Roman"/>
                <w:color w:val="000000"/>
                <w:lang w:val="en-US"/>
              </w:rPr>
            </w:pPr>
            <w:r w:rsidRPr="007D425D">
              <w:rPr>
                <w:rFonts w:ascii="Times New Roman" w:eastAsia="Calibri" w:hAnsi="Times New Roman"/>
                <w:color w:val="000000"/>
                <w:lang w:val="en-US"/>
              </w:rPr>
              <w:t>Ms. Agnes Chimbiri, Portfolio Manager, UNDP</w:t>
            </w:r>
          </w:p>
        </w:tc>
        <w:tc>
          <w:tcPr>
            <w:tcW w:w="2500" w:type="dxa"/>
          </w:tcPr>
          <w:p w14:paraId="1704307C" w14:textId="77777777" w:rsidR="009D7378" w:rsidRPr="007D425D" w:rsidRDefault="009D7378" w:rsidP="007D425D">
            <w:pPr>
              <w:spacing w:after="200"/>
              <w:rPr>
                <w:rFonts w:ascii="Times New Roman" w:eastAsia="Calibri" w:hAnsi="Times New Roman"/>
                <w:color w:val="000000"/>
                <w:lang w:val="en-US"/>
              </w:rPr>
            </w:pPr>
          </w:p>
          <w:p w14:paraId="16C4C2CA" w14:textId="77777777" w:rsidR="009D7378" w:rsidRPr="007D425D" w:rsidRDefault="009D7378" w:rsidP="007D425D">
            <w:pPr>
              <w:spacing w:after="200"/>
              <w:rPr>
                <w:rFonts w:ascii="Times New Roman" w:eastAsia="Calibri" w:hAnsi="Times New Roman"/>
                <w:color w:val="000000"/>
                <w:lang w:val="en-US"/>
              </w:rPr>
            </w:pPr>
          </w:p>
          <w:p w14:paraId="15718CA3" w14:textId="77777777" w:rsidR="009D7378" w:rsidRPr="007D425D" w:rsidRDefault="009D7378" w:rsidP="007D425D">
            <w:pPr>
              <w:spacing w:after="200"/>
              <w:rPr>
                <w:rFonts w:ascii="Times New Roman" w:eastAsia="Calibri" w:hAnsi="Times New Roman"/>
                <w:color w:val="000000"/>
                <w:lang w:val="en-US"/>
              </w:rPr>
            </w:pPr>
            <w:r w:rsidRPr="007D425D">
              <w:rPr>
                <w:rFonts w:ascii="Times New Roman" w:eastAsia="Calibri" w:hAnsi="Times New Roman"/>
                <w:color w:val="000000"/>
                <w:lang w:val="en-US"/>
              </w:rPr>
              <w:t>UNDP</w:t>
            </w:r>
          </w:p>
        </w:tc>
      </w:tr>
      <w:tr w:rsidR="009D7378" w:rsidRPr="007D425D" w14:paraId="3EAEC27E" w14:textId="77777777" w:rsidTr="00805BB4">
        <w:tc>
          <w:tcPr>
            <w:tcW w:w="2689" w:type="dxa"/>
          </w:tcPr>
          <w:p w14:paraId="1A767200" w14:textId="77777777" w:rsidR="009D7378" w:rsidRPr="007D425D" w:rsidRDefault="009D7378" w:rsidP="007D425D">
            <w:pPr>
              <w:spacing w:after="200"/>
              <w:rPr>
                <w:rFonts w:ascii="Times New Roman" w:eastAsia="Calibri" w:hAnsi="Times New Roman"/>
                <w:b/>
                <w:color w:val="000000"/>
                <w:lang w:val="en-US"/>
              </w:rPr>
            </w:pPr>
            <w:r w:rsidRPr="007D425D">
              <w:rPr>
                <w:rFonts w:ascii="Times New Roman" w:eastAsia="Calibri" w:hAnsi="Times New Roman"/>
                <w:b/>
                <w:color w:val="000000"/>
                <w:lang w:val="en-US"/>
              </w:rPr>
              <w:t>Tuesday, 27 Oct., 2015</w:t>
            </w:r>
          </w:p>
        </w:tc>
        <w:tc>
          <w:tcPr>
            <w:tcW w:w="3827" w:type="dxa"/>
          </w:tcPr>
          <w:p w14:paraId="4D001FA6" w14:textId="77777777" w:rsidR="009D7378" w:rsidRPr="007D425D" w:rsidRDefault="009D7378" w:rsidP="007D425D">
            <w:pPr>
              <w:spacing w:after="200"/>
              <w:rPr>
                <w:rFonts w:ascii="Times New Roman" w:eastAsia="Calibri" w:hAnsi="Times New Roman"/>
                <w:color w:val="000000"/>
                <w:lang w:val="en-US"/>
              </w:rPr>
            </w:pPr>
          </w:p>
        </w:tc>
        <w:tc>
          <w:tcPr>
            <w:tcW w:w="2500" w:type="dxa"/>
          </w:tcPr>
          <w:p w14:paraId="18CAFF3F" w14:textId="77777777" w:rsidR="009D7378" w:rsidRPr="007D425D" w:rsidRDefault="009D7378" w:rsidP="007D425D">
            <w:pPr>
              <w:spacing w:after="200"/>
              <w:rPr>
                <w:rFonts w:ascii="Times New Roman" w:eastAsia="Calibri" w:hAnsi="Times New Roman"/>
                <w:color w:val="000000"/>
                <w:lang w:val="en-US"/>
              </w:rPr>
            </w:pPr>
          </w:p>
        </w:tc>
      </w:tr>
      <w:tr w:rsidR="009D7378" w:rsidRPr="00F72B0D" w14:paraId="4284CDA4" w14:textId="77777777" w:rsidTr="00805BB4">
        <w:tc>
          <w:tcPr>
            <w:tcW w:w="2689" w:type="dxa"/>
          </w:tcPr>
          <w:p w14:paraId="516834DD" w14:textId="77777777" w:rsidR="009D7378" w:rsidRPr="007D425D" w:rsidRDefault="009D7378" w:rsidP="007D425D">
            <w:pPr>
              <w:spacing w:after="200"/>
              <w:rPr>
                <w:rFonts w:ascii="Times New Roman" w:eastAsia="Calibri" w:hAnsi="Times New Roman"/>
                <w:color w:val="000000"/>
                <w:lang w:val="en-US"/>
              </w:rPr>
            </w:pPr>
            <w:r w:rsidRPr="007D425D">
              <w:rPr>
                <w:rFonts w:ascii="Times New Roman" w:eastAsia="Calibri" w:hAnsi="Times New Roman"/>
                <w:color w:val="000000"/>
                <w:lang w:val="en-US"/>
              </w:rPr>
              <w:t>09:00 – 09:45</w:t>
            </w:r>
          </w:p>
        </w:tc>
        <w:tc>
          <w:tcPr>
            <w:tcW w:w="3827" w:type="dxa"/>
          </w:tcPr>
          <w:p w14:paraId="25C0DB01" w14:textId="77777777" w:rsidR="009D7378" w:rsidRPr="007D425D" w:rsidRDefault="009D7378" w:rsidP="007D425D">
            <w:pPr>
              <w:spacing w:after="200"/>
              <w:rPr>
                <w:rFonts w:ascii="Times New Roman" w:eastAsia="Calibri" w:hAnsi="Times New Roman"/>
                <w:color w:val="000000"/>
                <w:lang w:val="en-US"/>
              </w:rPr>
            </w:pPr>
            <w:r w:rsidRPr="007D425D">
              <w:rPr>
                <w:rFonts w:ascii="Times New Roman" w:eastAsia="Calibri" w:hAnsi="Times New Roman"/>
                <w:color w:val="000000"/>
                <w:lang w:val="en-US"/>
              </w:rPr>
              <w:t>Mrs. Grace Malera, Executive Director, Malawi Human Rights Commission, Lilongwe</w:t>
            </w:r>
          </w:p>
        </w:tc>
        <w:tc>
          <w:tcPr>
            <w:tcW w:w="2500" w:type="dxa"/>
          </w:tcPr>
          <w:p w14:paraId="729E6B3C" w14:textId="77777777" w:rsidR="009D7378" w:rsidRPr="007D425D" w:rsidRDefault="009D7378" w:rsidP="007D425D">
            <w:pPr>
              <w:spacing w:after="200"/>
              <w:rPr>
                <w:rFonts w:ascii="Times New Roman" w:eastAsia="Calibri" w:hAnsi="Times New Roman"/>
                <w:color w:val="000000"/>
                <w:lang w:val="en-US"/>
              </w:rPr>
            </w:pPr>
            <w:r w:rsidRPr="007D425D">
              <w:rPr>
                <w:rFonts w:ascii="Times New Roman" w:eastAsia="Calibri" w:hAnsi="Times New Roman"/>
                <w:color w:val="000000"/>
                <w:lang w:val="en-US"/>
              </w:rPr>
              <w:t>Off Paul Kagame Road, next to  Chipiku Store</w:t>
            </w:r>
          </w:p>
        </w:tc>
      </w:tr>
      <w:tr w:rsidR="009D7378" w:rsidRPr="007D425D" w14:paraId="3B89A534" w14:textId="77777777" w:rsidTr="00805BB4">
        <w:tc>
          <w:tcPr>
            <w:tcW w:w="2689" w:type="dxa"/>
          </w:tcPr>
          <w:p w14:paraId="7BD1D555" w14:textId="77777777" w:rsidR="009D7378" w:rsidRPr="007D425D" w:rsidRDefault="009D7378" w:rsidP="007D425D">
            <w:pPr>
              <w:spacing w:after="200"/>
              <w:rPr>
                <w:rFonts w:ascii="Times New Roman" w:eastAsia="Calibri" w:hAnsi="Times New Roman"/>
                <w:color w:val="000000"/>
                <w:lang w:val="en-US"/>
              </w:rPr>
            </w:pPr>
            <w:r w:rsidRPr="007D425D">
              <w:rPr>
                <w:rFonts w:ascii="Times New Roman" w:eastAsia="Calibri" w:hAnsi="Times New Roman"/>
                <w:color w:val="000000"/>
                <w:lang w:val="en-US"/>
              </w:rPr>
              <w:t>10:00 – 10:30</w:t>
            </w:r>
          </w:p>
        </w:tc>
        <w:tc>
          <w:tcPr>
            <w:tcW w:w="3827" w:type="dxa"/>
          </w:tcPr>
          <w:p w14:paraId="3BF20608" w14:textId="77777777" w:rsidR="009D7378" w:rsidRPr="007D425D" w:rsidRDefault="009D7378" w:rsidP="007D425D">
            <w:pPr>
              <w:spacing w:after="200"/>
              <w:rPr>
                <w:rFonts w:ascii="Times New Roman" w:eastAsia="Calibri" w:hAnsi="Times New Roman"/>
                <w:color w:val="000000"/>
                <w:lang w:val="en-US"/>
              </w:rPr>
            </w:pPr>
            <w:r w:rsidRPr="007D425D">
              <w:rPr>
                <w:rFonts w:ascii="Times New Roman" w:eastAsia="Calibri" w:hAnsi="Times New Roman"/>
                <w:color w:val="000000"/>
                <w:lang w:val="en-US"/>
              </w:rPr>
              <w:t>Security briefing, UNDSS</w:t>
            </w:r>
          </w:p>
        </w:tc>
        <w:tc>
          <w:tcPr>
            <w:tcW w:w="2500" w:type="dxa"/>
          </w:tcPr>
          <w:p w14:paraId="4EDE26F7" w14:textId="77777777" w:rsidR="009D7378" w:rsidRPr="007D425D" w:rsidRDefault="009D7378" w:rsidP="007D425D">
            <w:pPr>
              <w:spacing w:after="200"/>
              <w:rPr>
                <w:rFonts w:ascii="Times New Roman" w:eastAsia="Calibri" w:hAnsi="Times New Roman"/>
                <w:color w:val="000000"/>
                <w:lang w:val="en-US"/>
              </w:rPr>
            </w:pPr>
            <w:r w:rsidRPr="007D425D">
              <w:rPr>
                <w:rFonts w:ascii="Times New Roman" w:eastAsia="Calibri" w:hAnsi="Times New Roman"/>
                <w:color w:val="000000"/>
                <w:lang w:val="en-US"/>
              </w:rPr>
              <w:t>Lingadzi House</w:t>
            </w:r>
          </w:p>
        </w:tc>
      </w:tr>
      <w:tr w:rsidR="009D7378" w:rsidRPr="00F72B0D" w14:paraId="3B19ABFE" w14:textId="77777777" w:rsidTr="00805BB4">
        <w:tc>
          <w:tcPr>
            <w:tcW w:w="2689" w:type="dxa"/>
          </w:tcPr>
          <w:p w14:paraId="2A937CB5" w14:textId="77777777" w:rsidR="009D7378" w:rsidRPr="007D425D" w:rsidRDefault="009D7378" w:rsidP="007D425D">
            <w:pPr>
              <w:spacing w:after="200"/>
              <w:rPr>
                <w:rFonts w:ascii="Times New Roman" w:eastAsia="Calibri" w:hAnsi="Times New Roman"/>
                <w:color w:val="000000"/>
                <w:lang w:val="en-US"/>
              </w:rPr>
            </w:pPr>
            <w:r w:rsidRPr="007D425D">
              <w:rPr>
                <w:rFonts w:ascii="Times New Roman" w:eastAsia="Calibri" w:hAnsi="Times New Roman"/>
                <w:color w:val="000000"/>
                <w:lang w:val="en-US"/>
              </w:rPr>
              <w:t>14:00 – 14:45</w:t>
            </w:r>
          </w:p>
        </w:tc>
        <w:tc>
          <w:tcPr>
            <w:tcW w:w="3827" w:type="dxa"/>
          </w:tcPr>
          <w:p w14:paraId="7723E3CC" w14:textId="77777777" w:rsidR="009D7378" w:rsidRPr="007D425D" w:rsidRDefault="009D7378" w:rsidP="007D425D">
            <w:pPr>
              <w:spacing w:after="200"/>
              <w:rPr>
                <w:rFonts w:ascii="Times New Roman" w:eastAsia="Calibri" w:hAnsi="Times New Roman"/>
                <w:color w:val="000000"/>
                <w:lang w:val="en-US"/>
              </w:rPr>
            </w:pPr>
            <w:r w:rsidRPr="007D425D">
              <w:rPr>
                <w:rFonts w:ascii="Times New Roman" w:eastAsia="Calibri" w:hAnsi="Times New Roman"/>
                <w:color w:val="000000"/>
                <w:lang w:val="en-US"/>
              </w:rPr>
              <w:t>Mr. R. Mapemba and/or Mr. H. Njolomole, Deputy Clerks of Parliament</w:t>
            </w:r>
          </w:p>
        </w:tc>
        <w:tc>
          <w:tcPr>
            <w:tcW w:w="2500" w:type="dxa"/>
          </w:tcPr>
          <w:p w14:paraId="36E70438" w14:textId="77777777" w:rsidR="009D7378" w:rsidRPr="007D425D" w:rsidRDefault="009D7378" w:rsidP="007D425D">
            <w:pPr>
              <w:spacing w:after="200"/>
              <w:rPr>
                <w:rFonts w:ascii="Times New Roman" w:eastAsia="Calibri" w:hAnsi="Times New Roman"/>
                <w:color w:val="000000"/>
                <w:lang w:val="en-US"/>
              </w:rPr>
            </w:pPr>
            <w:r w:rsidRPr="007D425D">
              <w:rPr>
                <w:rFonts w:ascii="Times New Roman" w:eastAsia="Calibri" w:hAnsi="Times New Roman"/>
                <w:color w:val="000000"/>
                <w:lang w:val="en-US"/>
              </w:rPr>
              <w:t>Parliament Building</w:t>
            </w:r>
          </w:p>
          <w:p w14:paraId="57999C9A" w14:textId="77777777" w:rsidR="009D7378" w:rsidRPr="007D425D" w:rsidRDefault="009D7378" w:rsidP="007D425D">
            <w:pPr>
              <w:spacing w:after="200"/>
              <w:rPr>
                <w:rFonts w:ascii="Times New Roman" w:eastAsia="Calibri" w:hAnsi="Times New Roman"/>
                <w:color w:val="000000"/>
                <w:lang w:val="en-US"/>
              </w:rPr>
            </w:pPr>
            <w:r w:rsidRPr="007D425D">
              <w:rPr>
                <w:rFonts w:ascii="Times New Roman" w:eastAsia="Calibri" w:hAnsi="Times New Roman"/>
                <w:color w:val="000000"/>
                <w:lang w:val="en-US"/>
              </w:rPr>
              <w:t>(deferred to 11 Nov)</w:t>
            </w:r>
          </w:p>
        </w:tc>
      </w:tr>
      <w:tr w:rsidR="009D7378" w:rsidRPr="007D425D" w14:paraId="6D672989" w14:textId="77777777" w:rsidTr="00805BB4">
        <w:tc>
          <w:tcPr>
            <w:tcW w:w="2689" w:type="dxa"/>
          </w:tcPr>
          <w:p w14:paraId="62E80643" w14:textId="77777777" w:rsidR="009D7378" w:rsidRPr="007D425D" w:rsidRDefault="009D7378" w:rsidP="007D425D">
            <w:pPr>
              <w:spacing w:after="200"/>
              <w:rPr>
                <w:rFonts w:ascii="Times New Roman" w:eastAsia="Calibri" w:hAnsi="Times New Roman"/>
                <w:color w:val="000000"/>
                <w:lang w:val="en-US"/>
              </w:rPr>
            </w:pPr>
            <w:r w:rsidRPr="007D425D">
              <w:rPr>
                <w:rFonts w:ascii="Times New Roman" w:eastAsia="Calibri" w:hAnsi="Times New Roman"/>
                <w:color w:val="000000"/>
                <w:lang w:val="en-US"/>
              </w:rPr>
              <w:t>15:00 – 16:00</w:t>
            </w:r>
          </w:p>
        </w:tc>
        <w:tc>
          <w:tcPr>
            <w:tcW w:w="3827" w:type="dxa"/>
          </w:tcPr>
          <w:p w14:paraId="7A45341E" w14:textId="7087DDD8" w:rsidR="009D7378" w:rsidRPr="007D425D" w:rsidRDefault="009D7378" w:rsidP="007D425D">
            <w:pPr>
              <w:spacing w:after="200"/>
              <w:rPr>
                <w:rFonts w:ascii="Times New Roman" w:eastAsia="Calibri" w:hAnsi="Times New Roman"/>
                <w:color w:val="000000"/>
                <w:lang w:val="en-US"/>
              </w:rPr>
            </w:pPr>
            <w:r w:rsidRPr="007D425D">
              <w:rPr>
                <w:rFonts w:ascii="Times New Roman" w:eastAsia="Calibri" w:hAnsi="Times New Roman"/>
                <w:color w:val="000000"/>
                <w:lang w:val="en-US"/>
              </w:rPr>
              <w:t xml:space="preserve">Mr. Kizito Tenthani, Executive Director, Centre for Multi-Party Democracy (CMD) </w:t>
            </w:r>
            <w:r w:rsidR="000F2B37">
              <w:rPr>
                <w:rFonts w:ascii="Times New Roman" w:eastAsia="Calibri" w:hAnsi="Times New Roman"/>
                <w:color w:val="000000"/>
                <w:lang w:val="en-US"/>
              </w:rPr>
              <w:t>–</w:t>
            </w:r>
            <w:r w:rsidRPr="007D425D">
              <w:rPr>
                <w:rFonts w:ascii="Times New Roman" w:eastAsia="Calibri" w:hAnsi="Times New Roman"/>
                <w:color w:val="000000"/>
                <w:lang w:val="en-US"/>
              </w:rPr>
              <w:t xml:space="preserve"> Confirmed</w:t>
            </w:r>
          </w:p>
        </w:tc>
        <w:tc>
          <w:tcPr>
            <w:tcW w:w="2500" w:type="dxa"/>
          </w:tcPr>
          <w:p w14:paraId="4BED65CC" w14:textId="77777777" w:rsidR="009D7378" w:rsidRPr="007D425D" w:rsidRDefault="009D7378" w:rsidP="007D425D">
            <w:pPr>
              <w:spacing w:after="200"/>
              <w:rPr>
                <w:rFonts w:ascii="Times New Roman" w:eastAsia="Calibri" w:hAnsi="Times New Roman"/>
                <w:color w:val="000000"/>
                <w:lang w:val="en-US"/>
              </w:rPr>
            </w:pPr>
            <w:r w:rsidRPr="007D425D">
              <w:rPr>
                <w:rFonts w:ascii="Times New Roman" w:eastAsia="Calibri" w:hAnsi="Times New Roman"/>
                <w:color w:val="000000"/>
                <w:lang w:val="en-US"/>
              </w:rPr>
              <w:t>Catholic Secretariat, Area 11</w:t>
            </w:r>
          </w:p>
        </w:tc>
      </w:tr>
      <w:tr w:rsidR="009D7378" w:rsidRPr="007D425D" w14:paraId="0422DFDC" w14:textId="77777777" w:rsidTr="00805BB4">
        <w:tc>
          <w:tcPr>
            <w:tcW w:w="2689" w:type="dxa"/>
          </w:tcPr>
          <w:p w14:paraId="29B15239" w14:textId="77777777" w:rsidR="009D7378" w:rsidRPr="007D425D" w:rsidRDefault="009D7378" w:rsidP="007D425D">
            <w:pPr>
              <w:spacing w:after="200"/>
              <w:rPr>
                <w:rFonts w:ascii="Times New Roman" w:eastAsia="Calibri" w:hAnsi="Times New Roman"/>
                <w:b/>
                <w:color w:val="000000"/>
                <w:lang w:val="en-US"/>
              </w:rPr>
            </w:pPr>
            <w:r w:rsidRPr="007D425D">
              <w:rPr>
                <w:rFonts w:ascii="Times New Roman" w:eastAsia="Calibri" w:hAnsi="Times New Roman"/>
                <w:b/>
                <w:color w:val="000000"/>
                <w:lang w:val="en-US"/>
              </w:rPr>
              <w:t>Wednesday, 28 Oct., 2015</w:t>
            </w:r>
          </w:p>
        </w:tc>
        <w:tc>
          <w:tcPr>
            <w:tcW w:w="3827" w:type="dxa"/>
          </w:tcPr>
          <w:p w14:paraId="12AC2C73" w14:textId="77777777" w:rsidR="009D7378" w:rsidRPr="007D425D" w:rsidRDefault="009D7378" w:rsidP="007D425D">
            <w:pPr>
              <w:spacing w:after="200"/>
              <w:rPr>
                <w:rFonts w:ascii="Times New Roman" w:eastAsia="Calibri" w:hAnsi="Times New Roman"/>
                <w:color w:val="000000"/>
                <w:lang w:val="en-US"/>
              </w:rPr>
            </w:pPr>
          </w:p>
        </w:tc>
        <w:tc>
          <w:tcPr>
            <w:tcW w:w="2500" w:type="dxa"/>
          </w:tcPr>
          <w:p w14:paraId="72320626" w14:textId="77777777" w:rsidR="009D7378" w:rsidRPr="007D425D" w:rsidRDefault="009D7378" w:rsidP="007D425D">
            <w:pPr>
              <w:spacing w:after="200"/>
              <w:rPr>
                <w:rFonts w:ascii="Times New Roman" w:eastAsia="Calibri" w:hAnsi="Times New Roman"/>
                <w:color w:val="000000"/>
                <w:lang w:val="en-US"/>
              </w:rPr>
            </w:pPr>
          </w:p>
        </w:tc>
      </w:tr>
      <w:tr w:rsidR="009D7378" w:rsidRPr="007D425D" w14:paraId="30389FCC" w14:textId="77777777" w:rsidTr="00805BB4">
        <w:tc>
          <w:tcPr>
            <w:tcW w:w="2689" w:type="dxa"/>
          </w:tcPr>
          <w:p w14:paraId="48F2BEBB" w14:textId="77777777" w:rsidR="009D7378" w:rsidRPr="007D425D" w:rsidRDefault="009D7378" w:rsidP="007D425D">
            <w:pPr>
              <w:spacing w:after="200"/>
              <w:rPr>
                <w:rFonts w:ascii="Times New Roman" w:eastAsia="Calibri" w:hAnsi="Times New Roman"/>
                <w:b/>
                <w:color w:val="000000"/>
                <w:lang w:val="en-US"/>
              </w:rPr>
            </w:pPr>
          </w:p>
        </w:tc>
        <w:tc>
          <w:tcPr>
            <w:tcW w:w="3827" w:type="dxa"/>
          </w:tcPr>
          <w:p w14:paraId="238BF489" w14:textId="77777777" w:rsidR="009D7378" w:rsidRPr="007D425D" w:rsidRDefault="009D7378" w:rsidP="007D425D">
            <w:pPr>
              <w:spacing w:after="200"/>
              <w:rPr>
                <w:rFonts w:ascii="Times New Roman" w:eastAsia="Calibri" w:hAnsi="Times New Roman"/>
                <w:color w:val="000000"/>
                <w:lang w:val="en-US"/>
              </w:rPr>
            </w:pPr>
            <w:r w:rsidRPr="007D425D">
              <w:rPr>
                <w:rFonts w:ascii="Times New Roman" w:eastAsia="Calibri" w:hAnsi="Times New Roman"/>
                <w:color w:val="000000"/>
                <w:lang w:val="en-US"/>
              </w:rPr>
              <w:t>Literature review</w:t>
            </w:r>
          </w:p>
        </w:tc>
        <w:tc>
          <w:tcPr>
            <w:tcW w:w="2500" w:type="dxa"/>
          </w:tcPr>
          <w:p w14:paraId="4B30F520" w14:textId="77777777" w:rsidR="009D7378" w:rsidRPr="007D425D" w:rsidRDefault="009D7378" w:rsidP="007D425D">
            <w:pPr>
              <w:spacing w:after="200"/>
              <w:rPr>
                <w:rFonts w:ascii="Times New Roman" w:eastAsia="Calibri" w:hAnsi="Times New Roman"/>
                <w:color w:val="000000"/>
                <w:lang w:val="en-US"/>
              </w:rPr>
            </w:pPr>
          </w:p>
        </w:tc>
      </w:tr>
      <w:tr w:rsidR="009D7378" w:rsidRPr="007D425D" w14:paraId="2E033703" w14:textId="77777777" w:rsidTr="00805BB4">
        <w:tc>
          <w:tcPr>
            <w:tcW w:w="2689" w:type="dxa"/>
          </w:tcPr>
          <w:p w14:paraId="0757206B" w14:textId="77777777" w:rsidR="009D7378" w:rsidRPr="007D425D" w:rsidRDefault="009D7378" w:rsidP="007D425D">
            <w:pPr>
              <w:spacing w:after="200" w:line="276" w:lineRule="auto"/>
              <w:rPr>
                <w:rFonts w:ascii="Times New Roman" w:eastAsia="Calibri" w:hAnsi="Times New Roman"/>
                <w:b/>
                <w:color w:val="000000"/>
                <w:lang w:val="en-US"/>
              </w:rPr>
            </w:pPr>
            <w:r w:rsidRPr="007D425D">
              <w:rPr>
                <w:rFonts w:ascii="Times New Roman" w:eastAsia="Calibri" w:hAnsi="Times New Roman"/>
                <w:b/>
                <w:color w:val="000000"/>
                <w:lang w:val="en-US"/>
              </w:rPr>
              <w:t>Thurs, 29 Oct., 2015</w:t>
            </w:r>
          </w:p>
        </w:tc>
        <w:tc>
          <w:tcPr>
            <w:tcW w:w="3827" w:type="dxa"/>
          </w:tcPr>
          <w:p w14:paraId="34834B0A" w14:textId="77777777" w:rsidR="009D7378" w:rsidRPr="007D425D" w:rsidRDefault="009D7378" w:rsidP="007D425D">
            <w:pPr>
              <w:spacing w:after="200" w:line="276" w:lineRule="auto"/>
              <w:rPr>
                <w:rFonts w:ascii="Times New Roman" w:eastAsia="Calibri" w:hAnsi="Times New Roman"/>
                <w:color w:val="000000"/>
                <w:lang w:val="en-US"/>
              </w:rPr>
            </w:pPr>
          </w:p>
        </w:tc>
        <w:tc>
          <w:tcPr>
            <w:tcW w:w="2500" w:type="dxa"/>
          </w:tcPr>
          <w:p w14:paraId="2BE291E1" w14:textId="77777777" w:rsidR="009D7378" w:rsidRPr="007D425D" w:rsidRDefault="009D7378" w:rsidP="007D425D">
            <w:pPr>
              <w:spacing w:after="200" w:line="276" w:lineRule="auto"/>
              <w:rPr>
                <w:rFonts w:ascii="Times New Roman" w:eastAsia="Calibri" w:hAnsi="Times New Roman"/>
                <w:color w:val="000000"/>
                <w:lang w:val="en-US"/>
              </w:rPr>
            </w:pPr>
          </w:p>
        </w:tc>
      </w:tr>
      <w:tr w:rsidR="009D7378" w:rsidRPr="007D425D" w14:paraId="5E32F955" w14:textId="77777777" w:rsidTr="00805BB4">
        <w:tc>
          <w:tcPr>
            <w:tcW w:w="2689" w:type="dxa"/>
          </w:tcPr>
          <w:p w14:paraId="4C623280" w14:textId="77777777" w:rsidR="009D7378" w:rsidRPr="007D425D" w:rsidRDefault="009D7378" w:rsidP="007D425D">
            <w:pPr>
              <w:spacing w:after="200" w:line="276" w:lineRule="auto"/>
              <w:rPr>
                <w:rFonts w:ascii="Times New Roman" w:eastAsia="Calibri" w:hAnsi="Times New Roman"/>
                <w:color w:val="000000"/>
                <w:lang w:val="en-US"/>
              </w:rPr>
            </w:pPr>
            <w:r w:rsidRPr="007D425D">
              <w:rPr>
                <w:rFonts w:ascii="Times New Roman" w:eastAsia="Calibri" w:hAnsi="Times New Roman"/>
                <w:color w:val="000000"/>
                <w:lang w:val="en-US"/>
              </w:rPr>
              <w:t>09.00 – 09:45</w:t>
            </w:r>
          </w:p>
        </w:tc>
        <w:tc>
          <w:tcPr>
            <w:tcW w:w="3827" w:type="dxa"/>
          </w:tcPr>
          <w:p w14:paraId="6E382C1E" w14:textId="77777777" w:rsidR="009D7378" w:rsidRPr="007D425D" w:rsidRDefault="009D7378" w:rsidP="007D425D">
            <w:pPr>
              <w:spacing w:after="200" w:line="276" w:lineRule="auto"/>
              <w:rPr>
                <w:rFonts w:ascii="Times New Roman" w:eastAsia="Calibri" w:hAnsi="Times New Roman"/>
                <w:color w:val="000000"/>
                <w:lang w:val="en-US"/>
              </w:rPr>
            </w:pPr>
            <w:r w:rsidRPr="007D425D">
              <w:rPr>
                <w:rFonts w:ascii="Times New Roman" w:eastAsia="Calibri" w:hAnsi="Times New Roman"/>
                <w:color w:val="000000"/>
                <w:lang w:val="en-US"/>
              </w:rPr>
              <w:t>Mr. Ellos Lodzeni, Executive Secretary, Ombudsman Office, Lilongwe</w:t>
            </w:r>
          </w:p>
        </w:tc>
        <w:tc>
          <w:tcPr>
            <w:tcW w:w="2500" w:type="dxa"/>
          </w:tcPr>
          <w:p w14:paraId="7C017002" w14:textId="77777777" w:rsidR="009D7378" w:rsidRPr="007D425D" w:rsidRDefault="009D7378" w:rsidP="007D425D">
            <w:pPr>
              <w:spacing w:after="200" w:line="276" w:lineRule="auto"/>
              <w:rPr>
                <w:rFonts w:ascii="Times New Roman" w:eastAsia="Calibri" w:hAnsi="Times New Roman"/>
                <w:color w:val="000000"/>
                <w:lang w:val="en-US"/>
              </w:rPr>
            </w:pPr>
            <w:r w:rsidRPr="007D425D">
              <w:rPr>
                <w:rFonts w:ascii="Times New Roman" w:eastAsia="Calibri" w:hAnsi="Times New Roman"/>
                <w:color w:val="000000"/>
                <w:lang w:val="en-US"/>
              </w:rPr>
              <w:t>(deferred to 2 Nov)</w:t>
            </w:r>
          </w:p>
        </w:tc>
      </w:tr>
      <w:tr w:rsidR="009D7378" w:rsidRPr="007D425D" w14:paraId="359C7D7F" w14:textId="77777777" w:rsidTr="00805BB4">
        <w:tc>
          <w:tcPr>
            <w:tcW w:w="2689" w:type="dxa"/>
          </w:tcPr>
          <w:p w14:paraId="64940E6A" w14:textId="77777777" w:rsidR="009D7378" w:rsidRPr="007D425D" w:rsidRDefault="009D7378" w:rsidP="007D425D">
            <w:pPr>
              <w:spacing w:after="200" w:line="276" w:lineRule="auto"/>
              <w:rPr>
                <w:rFonts w:ascii="Times New Roman" w:eastAsia="Calibri" w:hAnsi="Times New Roman"/>
                <w:color w:val="000000"/>
                <w:lang w:val="en-US"/>
              </w:rPr>
            </w:pPr>
            <w:r w:rsidRPr="007D425D">
              <w:rPr>
                <w:rFonts w:ascii="Times New Roman" w:eastAsia="Calibri" w:hAnsi="Times New Roman"/>
                <w:color w:val="000000"/>
                <w:lang w:val="en-US"/>
              </w:rPr>
              <w:t>10.00 – 17.00</w:t>
            </w:r>
          </w:p>
        </w:tc>
        <w:tc>
          <w:tcPr>
            <w:tcW w:w="3827" w:type="dxa"/>
          </w:tcPr>
          <w:p w14:paraId="1EF9DEDD" w14:textId="77777777" w:rsidR="009D7378" w:rsidRPr="007D425D" w:rsidRDefault="009D7378" w:rsidP="007D425D">
            <w:pPr>
              <w:spacing w:after="200" w:line="276" w:lineRule="auto"/>
              <w:rPr>
                <w:rFonts w:ascii="Times New Roman" w:eastAsia="Calibri" w:hAnsi="Times New Roman"/>
                <w:color w:val="000000"/>
                <w:lang w:val="en-US"/>
              </w:rPr>
            </w:pPr>
            <w:r w:rsidRPr="007D425D">
              <w:rPr>
                <w:rFonts w:ascii="Times New Roman" w:eastAsia="Calibri" w:hAnsi="Times New Roman"/>
                <w:color w:val="000000"/>
                <w:lang w:val="en-US"/>
              </w:rPr>
              <w:t>Preparation of Inception Report</w:t>
            </w:r>
          </w:p>
        </w:tc>
        <w:tc>
          <w:tcPr>
            <w:tcW w:w="2500" w:type="dxa"/>
          </w:tcPr>
          <w:p w14:paraId="72E77C67" w14:textId="77777777" w:rsidR="009D7378" w:rsidRPr="007D425D" w:rsidRDefault="009D7378" w:rsidP="007D425D">
            <w:pPr>
              <w:spacing w:after="200" w:line="276" w:lineRule="auto"/>
              <w:rPr>
                <w:rFonts w:ascii="Times New Roman" w:eastAsia="Calibri" w:hAnsi="Times New Roman"/>
                <w:color w:val="000000"/>
                <w:lang w:val="en-US"/>
              </w:rPr>
            </w:pPr>
          </w:p>
        </w:tc>
      </w:tr>
      <w:tr w:rsidR="009D7378" w:rsidRPr="007D425D" w14:paraId="2BE73CBC" w14:textId="77777777" w:rsidTr="00805BB4">
        <w:tc>
          <w:tcPr>
            <w:tcW w:w="2689" w:type="dxa"/>
          </w:tcPr>
          <w:p w14:paraId="4F873133" w14:textId="77777777" w:rsidR="009D7378" w:rsidRPr="007D425D" w:rsidRDefault="009D7378" w:rsidP="007D425D">
            <w:pPr>
              <w:spacing w:after="200" w:line="276" w:lineRule="auto"/>
              <w:rPr>
                <w:rFonts w:ascii="Times New Roman" w:eastAsia="Calibri" w:hAnsi="Times New Roman"/>
                <w:b/>
                <w:color w:val="000000"/>
                <w:lang w:val="en-US"/>
              </w:rPr>
            </w:pPr>
            <w:r w:rsidRPr="007D425D">
              <w:rPr>
                <w:rFonts w:ascii="Times New Roman" w:eastAsia="Calibri" w:hAnsi="Times New Roman"/>
                <w:b/>
                <w:color w:val="000000"/>
                <w:lang w:val="en-US"/>
              </w:rPr>
              <w:t>Friday, 30 Oct., 2015</w:t>
            </w:r>
          </w:p>
        </w:tc>
        <w:tc>
          <w:tcPr>
            <w:tcW w:w="3827" w:type="dxa"/>
          </w:tcPr>
          <w:p w14:paraId="107756FC" w14:textId="77777777" w:rsidR="009D7378" w:rsidRPr="007D425D" w:rsidRDefault="009D7378" w:rsidP="007D425D">
            <w:pPr>
              <w:spacing w:after="200" w:line="276" w:lineRule="auto"/>
              <w:ind w:left="360"/>
              <w:contextualSpacing/>
              <w:rPr>
                <w:rFonts w:ascii="Times New Roman" w:eastAsia="Calibri" w:hAnsi="Times New Roman"/>
                <w:color w:val="000000"/>
                <w:lang w:val="en-US"/>
              </w:rPr>
            </w:pPr>
          </w:p>
        </w:tc>
        <w:tc>
          <w:tcPr>
            <w:tcW w:w="2500" w:type="dxa"/>
          </w:tcPr>
          <w:p w14:paraId="4D50B2C6" w14:textId="77777777" w:rsidR="009D7378" w:rsidRPr="007D425D" w:rsidRDefault="009D7378" w:rsidP="007D425D">
            <w:pPr>
              <w:spacing w:after="200" w:line="276" w:lineRule="auto"/>
              <w:rPr>
                <w:rFonts w:ascii="Times New Roman" w:eastAsia="Calibri" w:hAnsi="Times New Roman"/>
                <w:color w:val="000000"/>
                <w:lang w:val="en-US"/>
              </w:rPr>
            </w:pPr>
          </w:p>
        </w:tc>
      </w:tr>
      <w:tr w:rsidR="009D7378" w:rsidRPr="007D425D" w14:paraId="4A1C1C71" w14:textId="77777777" w:rsidTr="00805BB4">
        <w:tc>
          <w:tcPr>
            <w:tcW w:w="2689" w:type="dxa"/>
          </w:tcPr>
          <w:p w14:paraId="6111B3DD" w14:textId="77777777" w:rsidR="009D7378" w:rsidRPr="007D425D" w:rsidRDefault="009D7378" w:rsidP="007D425D">
            <w:pPr>
              <w:spacing w:after="200" w:line="276" w:lineRule="auto"/>
              <w:rPr>
                <w:rFonts w:ascii="Times New Roman" w:eastAsia="Calibri" w:hAnsi="Times New Roman"/>
                <w:color w:val="000000"/>
                <w:lang w:val="en-US"/>
              </w:rPr>
            </w:pPr>
            <w:r w:rsidRPr="007D425D">
              <w:rPr>
                <w:rFonts w:ascii="Times New Roman" w:eastAsia="Calibri" w:hAnsi="Times New Roman"/>
                <w:color w:val="000000"/>
                <w:lang w:val="en-US"/>
              </w:rPr>
              <w:t>9:00-10:00</w:t>
            </w:r>
          </w:p>
        </w:tc>
        <w:tc>
          <w:tcPr>
            <w:tcW w:w="3827" w:type="dxa"/>
          </w:tcPr>
          <w:p w14:paraId="7F2E0EA1" w14:textId="77777777" w:rsidR="009D7378" w:rsidRPr="007D425D" w:rsidRDefault="009D7378" w:rsidP="007D425D">
            <w:pPr>
              <w:spacing w:after="200"/>
              <w:rPr>
                <w:rFonts w:ascii="Times New Roman" w:eastAsia="Calibri" w:hAnsi="Times New Roman"/>
                <w:color w:val="000000"/>
                <w:lang w:val="en-US"/>
              </w:rPr>
            </w:pPr>
            <w:r w:rsidRPr="007D425D">
              <w:rPr>
                <w:rFonts w:ascii="Times New Roman" w:eastAsia="Calibri" w:hAnsi="Times New Roman"/>
                <w:color w:val="000000"/>
                <w:lang w:val="en-US"/>
              </w:rPr>
              <w:t>Mr. Luckie Sikwese, Clerk to the Cabinet and Principal Secretary, Office of the President and Cabinet, Lilongwe 3.</w:t>
            </w:r>
          </w:p>
        </w:tc>
        <w:tc>
          <w:tcPr>
            <w:tcW w:w="2500" w:type="dxa"/>
          </w:tcPr>
          <w:p w14:paraId="24F44587" w14:textId="77777777" w:rsidR="009D7378" w:rsidRPr="007D425D" w:rsidRDefault="009D7378" w:rsidP="007D425D">
            <w:pPr>
              <w:spacing w:after="200"/>
              <w:rPr>
                <w:rFonts w:ascii="Times New Roman" w:eastAsia="Calibri" w:hAnsi="Times New Roman"/>
                <w:color w:val="000000"/>
                <w:lang w:val="en-US"/>
              </w:rPr>
            </w:pPr>
            <w:r w:rsidRPr="007D425D">
              <w:rPr>
                <w:rFonts w:ascii="Times New Roman" w:eastAsia="Calibri" w:hAnsi="Times New Roman"/>
                <w:color w:val="000000"/>
                <w:lang w:val="en-US"/>
              </w:rPr>
              <w:t>Capital Hill</w:t>
            </w:r>
          </w:p>
        </w:tc>
      </w:tr>
      <w:tr w:rsidR="009D7378" w:rsidRPr="007D425D" w14:paraId="0EA329B7" w14:textId="77777777" w:rsidTr="00805BB4">
        <w:tc>
          <w:tcPr>
            <w:tcW w:w="2689" w:type="dxa"/>
          </w:tcPr>
          <w:p w14:paraId="337BF112" w14:textId="77777777" w:rsidR="009D7378" w:rsidRPr="007D425D" w:rsidRDefault="009D7378" w:rsidP="007D425D">
            <w:pPr>
              <w:spacing w:after="200"/>
              <w:rPr>
                <w:rFonts w:ascii="Times New Roman" w:eastAsia="Calibri" w:hAnsi="Times New Roman"/>
                <w:color w:val="000000"/>
                <w:lang w:val="en-US"/>
              </w:rPr>
            </w:pPr>
          </w:p>
        </w:tc>
        <w:tc>
          <w:tcPr>
            <w:tcW w:w="3827" w:type="dxa"/>
          </w:tcPr>
          <w:p w14:paraId="34DC0719" w14:textId="77777777" w:rsidR="009D7378" w:rsidRPr="007D425D" w:rsidRDefault="009D7378" w:rsidP="007D425D">
            <w:pPr>
              <w:spacing w:after="200"/>
              <w:rPr>
                <w:rFonts w:ascii="Times New Roman" w:eastAsia="Calibri" w:hAnsi="Times New Roman"/>
                <w:color w:val="000000"/>
                <w:lang w:val="en-US"/>
              </w:rPr>
            </w:pPr>
          </w:p>
        </w:tc>
        <w:tc>
          <w:tcPr>
            <w:tcW w:w="2500" w:type="dxa"/>
          </w:tcPr>
          <w:p w14:paraId="78090F76" w14:textId="77777777" w:rsidR="009D7378" w:rsidRPr="007D425D" w:rsidRDefault="009D7378" w:rsidP="007D425D">
            <w:pPr>
              <w:spacing w:after="200"/>
              <w:rPr>
                <w:rFonts w:ascii="Times New Roman" w:eastAsia="Calibri" w:hAnsi="Times New Roman"/>
                <w:color w:val="000000"/>
                <w:lang w:val="en-US"/>
              </w:rPr>
            </w:pPr>
          </w:p>
        </w:tc>
      </w:tr>
      <w:tr w:rsidR="009D7378" w:rsidRPr="00F72B0D" w14:paraId="5106175D" w14:textId="77777777" w:rsidTr="00805BB4">
        <w:tc>
          <w:tcPr>
            <w:tcW w:w="2689" w:type="dxa"/>
          </w:tcPr>
          <w:p w14:paraId="24841119" w14:textId="77777777" w:rsidR="009D7378" w:rsidRPr="007D425D" w:rsidRDefault="009D7378" w:rsidP="007D425D">
            <w:pPr>
              <w:spacing w:after="200"/>
              <w:rPr>
                <w:rFonts w:ascii="Times New Roman" w:eastAsia="Calibri" w:hAnsi="Times New Roman"/>
                <w:color w:val="000000"/>
                <w:lang w:val="en-US"/>
              </w:rPr>
            </w:pPr>
            <w:r w:rsidRPr="007D425D">
              <w:rPr>
                <w:rFonts w:ascii="Times New Roman" w:eastAsia="Calibri" w:hAnsi="Times New Roman"/>
                <w:color w:val="000000"/>
                <w:lang w:val="en-US"/>
              </w:rPr>
              <w:t>11.15 – 12.00</w:t>
            </w:r>
          </w:p>
        </w:tc>
        <w:tc>
          <w:tcPr>
            <w:tcW w:w="3827" w:type="dxa"/>
          </w:tcPr>
          <w:p w14:paraId="7990A7B9" w14:textId="77777777" w:rsidR="009D7378" w:rsidRPr="007D425D" w:rsidRDefault="009D7378" w:rsidP="007D425D">
            <w:pPr>
              <w:spacing w:after="200"/>
              <w:rPr>
                <w:rFonts w:ascii="Times New Roman" w:eastAsia="Calibri" w:hAnsi="Times New Roman"/>
                <w:color w:val="000000"/>
                <w:lang w:val="en-US"/>
              </w:rPr>
            </w:pPr>
            <w:r w:rsidRPr="007D425D">
              <w:rPr>
                <w:rFonts w:ascii="Times New Roman" w:eastAsia="Calibri" w:hAnsi="Times New Roman"/>
                <w:color w:val="000000"/>
                <w:lang w:val="en-US"/>
              </w:rPr>
              <w:t>Mr. Chris Kang’ombe, Secretary for Local Government and Rural Development</w:t>
            </w:r>
          </w:p>
        </w:tc>
        <w:tc>
          <w:tcPr>
            <w:tcW w:w="2500" w:type="dxa"/>
          </w:tcPr>
          <w:p w14:paraId="3D7F5486" w14:textId="77777777" w:rsidR="009D7378" w:rsidRPr="007D425D" w:rsidRDefault="009D7378" w:rsidP="007D425D">
            <w:pPr>
              <w:spacing w:after="200"/>
              <w:rPr>
                <w:rFonts w:ascii="Times New Roman" w:eastAsia="Calibri" w:hAnsi="Times New Roman"/>
                <w:color w:val="000000"/>
                <w:lang w:val="en-US"/>
              </w:rPr>
            </w:pPr>
            <w:r w:rsidRPr="007D425D">
              <w:rPr>
                <w:rFonts w:ascii="Times New Roman" w:eastAsia="Calibri" w:hAnsi="Times New Roman"/>
                <w:color w:val="000000"/>
                <w:lang w:val="en-US"/>
              </w:rPr>
              <w:t>Capital Hill</w:t>
            </w:r>
          </w:p>
          <w:p w14:paraId="58DA7D4F" w14:textId="77777777" w:rsidR="009D7378" w:rsidRPr="007D425D" w:rsidRDefault="009D7378" w:rsidP="007D425D">
            <w:pPr>
              <w:spacing w:after="200"/>
              <w:rPr>
                <w:rFonts w:ascii="Times New Roman" w:eastAsia="Calibri" w:hAnsi="Times New Roman"/>
                <w:color w:val="000000"/>
                <w:lang w:val="en-US"/>
              </w:rPr>
            </w:pPr>
            <w:r w:rsidRPr="007D425D">
              <w:rPr>
                <w:rFonts w:ascii="Times New Roman" w:eastAsia="Calibri" w:hAnsi="Times New Roman"/>
                <w:color w:val="000000"/>
                <w:lang w:val="en-US"/>
              </w:rPr>
              <w:t>(Deferred to 2 Nov)</w:t>
            </w:r>
          </w:p>
        </w:tc>
      </w:tr>
      <w:tr w:rsidR="009D7378" w:rsidRPr="007D425D" w14:paraId="609D48A9" w14:textId="77777777" w:rsidTr="00805BB4">
        <w:tc>
          <w:tcPr>
            <w:tcW w:w="2689" w:type="dxa"/>
          </w:tcPr>
          <w:p w14:paraId="71BB388D" w14:textId="77777777" w:rsidR="009D7378" w:rsidRPr="007D425D" w:rsidRDefault="009D7378" w:rsidP="007D425D">
            <w:pPr>
              <w:spacing w:after="200"/>
              <w:rPr>
                <w:rFonts w:ascii="Times New Roman" w:eastAsia="Calibri" w:hAnsi="Times New Roman"/>
                <w:color w:val="000000"/>
                <w:lang w:val="en-US"/>
              </w:rPr>
            </w:pPr>
            <w:r w:rsidRPr="007D425D">
              <w:rPr>
                <w:rFonts w:ascii="Times New Roman" w:eastAsia="Calibri" w:hAnsi="Times New Roman"/>
                <w:color w:val="000000"/>
                <w:lang w:val="en-US"/>
              </w:rPr>
              <w:t>Afternoon</w:t>
            </w:r>
          </w:p>
        </w:tc>
        <w:tc>
          <w:tcPr>
            <w:tcW w:w="3827" w:type="dxa"/>
          </w:tcPr>
          <w:p w14:paraId="36757D66" w14:textId="77777777" w:rsidR="009D7378" w:rsidRPr="007D425D" w:rsidRDefault="009D7378" w:rsidP="007D425D">
            <w:pPr>
              <w:spacing w:after="200"/>
              <w:rPr>
                <w:rFonts w:ascii="Times New Roman" w:eastAsia="Calibri" w:hAnsi="Times New Roman"/>
                <w:color w:val="000000"/>
                <w:lang w:val="en-US"/>
              </w:rPr>
            </w:pPr>
            <w:r w:rsidRPr="007D425D">
              <w:rPr>
                <w:rFonts w:ascii="Times New Roman" w:eastAsia="Calibri" w:hAnsi="Times New Roman"/>
                <w:color w:val="000000"/>
                <w:lang w:val="en-US"/>
              </w:rPr>
              <w:t>Preparation of Inception Report</w:t>
            </w:r>
          </w:p>
        </w:tc>
        <w:tc>
          <w:tcPr>
            <w:tcW w:w="2500" w:type="dxa"/>
          </w:tcPr>
          <w:p w14:paraId="5458756A" w14:textId="77777777" w:rsidR="009D7378" w:rsidRPr="007D425D" w:rsidRDefault="009D7378" w:rsidP="007D425D">
            <w:pPr>
              <w:spacing w:after="200"/>
              <w:rPr>
                <w:rFonts w:ascii="Times New Roman" w:eastAsia="Calibri" w:hAnsi="Times New Roman"/>
                <w:color w:val="000000"/>
                <w:lang w:val="en-US"/>
              </w:rPr>
            </w:pPr>
          </w:p>
        </w:tc>
      </w:tr>
      <w:tr w:rsidR="009D7378" w:rsidRPr="007D425D" w14:paraId="5CE13C13" w14:textId="77777777" w:rsidTr="00805BB4">
        <w:tc>
          <w:tcPr>
            <w:tcW w:w="2689" w:type="dxa"/>
          </w:tcPr>
          <w:p w14:paraId="0CF95D7B" w14:textId="77777777" w:rsidR="009D7378" w:rsidRPr="007D425D" w:rsidRDefault="009D7378" w:rsidP="007D425D">
            <w:pPr>
              <w:spacing w:after="200"/>
              <w:rPr>
                <w:rFonts w:ascii="Times New Roman" w:eastAsia="Calibri" w:hAnsi="Times New Roman"/>
                <w:b/>
                <w:color w:val="000000"/>
                <w:lang w:val="en-US"/>
              </w:rPr>
            </w:pPr>
            <w:r w:rsidRPr="007D425D">
              <w:rPr>
                <w:rFonts w:ascii="Times New Roman" w:eastAsia="Calibri" w:hAnsi="Times New Roman"/>
                <w:b/>
                <w:color w:val="000000"/>
                <w:lang w:val="en-US"/>
              </w:rPr>
              <w:t>Monday,  2 Nov., 2015</w:t>
            </w:r>
          </w:p>
        </w:tc>
        <w:tc>
          <w:tcPr>
            <w:tcW w:w="3827" w:type="dxa"/>
          </w:tcPr>
          <w:p w14:paraId="5583E23E" w14:textId="77777777" w:rsidR="009D7378" w:rsidRPr="007D425D" w:rsidRDefault="009D7378" w:rsidP="007D425D">
            <w:pPr>
              <w:spacing w:after="200"/>
              <w:rPr>
                <w:rFonts w:ascii="Times New Roman" w:eastAsia="Calibri" w:hAnsi="Times New Roman"/>
                <w:color w:val="000000"/>
                <w:lang w:val="en-US"/>
              </w:rPr>
            </w:pPr>
          </w:p>
        </w:tc>
        <w:tc>
          <w:tcPr>
            <w:tcW w:w="2500" w:type="dxa"/>
          </w:tcPr>
          <w:p w14:paraId="3F8B44F5" w14:textId="77777777" w:rsidR="009D7378" w:rsidRPr="007D425D" w:rsidRDefault="009D7378" w:rsidP="007D425D">
            <w:pPr>
              <w:spacing w:after="200"/>
              <w:rPr>
                <w:rFonts w:ascii="Times New Roman" w:eastAsia="Calibri" w:hAnsi="Times New Roman"/>
                <w:color w:val="000000"/>
                <w:lang w:val="en-US"/>
              </w:rPr>
            </w:pPr>
          </w:p>
        </w:tc>
      </w:tr>
      <w:tr w:rsidR="009D7378" w:rsidRPr="00F72B0D" w14:paraId="566DFCDE" w14:textId="77777777" w:rsidTr="00805BB4">
        <w:tc>
          <w:tcPr>
            <w:tcW w:w="2689" w:type="dxa"/>
          </w:tcPr>
          <w:p w14:paraId="47CA9346" w14:textId="77777777" w:rsidR="009D7378" w:rsidRPr="007D425D" w:rsidRDefault="009D7378" w:rsidP="007D425D">
            <w:pPr>
              <w:spacing w:after="200"/>
              <w:rPr>
                <w:rFonts w:ascii="Times New Roman" w:eastAsia="Calibri" w:hAnsi="Times New Roman"/>
                <w:color w:val="000000"/>
                <w:lang w:val="en-US"/>
              </w:rPr>
            </w:pPr>
            <w:r w:rsidRPr="007D425D">
              <w:rPr>
                <w:rFonts w:ascii="Times New Roman" w:eastAsia="Calibri" w:hAnsi="Times New Roman"/>
                <w:color w:val="000000"/>
                <w:lang w:val="en-US"/>
              </w:rPr>
              <w:t>09-00 – 17.00</w:t>
            </w:r>
          </w:p>
        </w:tc>
        <w:tc>
          <w:tcPr>
            <w:tcW w:w="3827" w:type="dxa"/>
          </w:tcPr>
          <w:p w14:paraId="4180AD43" w14:textId="77777777" w:rsidR="009D7378" w:rsidRPr="007D425D" w:rsidRDefault="009D7378" w:rsidP="007D425D">
            <w:pPr>
              <w:spacing w:after="200"/>
              <w:rPr>
                <w:rFonts w:ascii="Times New Roman" w:eastAsia="Calibri" w:hAnsi="Times New Roman"/>
                <w:color w:val="000000"/>
                <w:lang w:val="en-US"/>
              </w:rPr>
            </w:pPr>
            <w:r w:rsidRPr="007D425D">
              <w:rPr>
                <w:rFonts w:ascii="Times New Roman" w:eastAsia="Calibri" w:hAnsi="Times New Roman"/>
                <w:color w:val="000000"/>
                <w:lang w:val="en-US"/>
              </w:rPr>
              <w:t>Finalization of submission of Inception report</w:t>
            </w:r>
          </w:p>
        </w:tc>
        <w:tc>
          <w:tcPr>
            <w:tcW w:w="2500" w:type="dxa"/>
          </w:tcPr>
          <w:p w14:paraId="0083AC19" w14:textId="77777777" w:rsidR="009D7378" w:rsidRPr="007D425D" w:rsidRDefault="009D7378" w:rsidP="007D425D">
            <w:pPr>
              <w:spacing w:after="200"/>
              <w:rPr>
                <w:rFonts w:ascii="Times New Roman" w:eastAsia="Calibri" w:hAnsi="Times New Roman"/>
                <w:color w:val="000000"/>
                <w:lang w:val="en-US"/>
              </w:rPr>
            </w:pPr>
          </w:p>
        </w:tc>
      </w:tr>
      <w:tr w:rsidR="009D7378" w:rsidRPr="007D425D" w14:paraId="46859332" w14:textId="77777777" w:rsidTr="00805BB4">
        <w:tc>
          <w:tcPr>
            <w:tcW w:w="2689" w:type="dxa"/>
          </w:tcPr>
          <w:p w14:paraId="548ABCEC" w14:textId="77777777" w:rsidR="009D7378" w:rsidRPr="007D425D" w:rsidRDefault="009D7378" w:rsidP="007D425D">
            <w:pPr>
              <w:spacing w:after="200"/>
              <w:rPr>
                <w:rFonts w:ascii="Times New Roman" w:eastAsia="Calibri" w:hAnsi="Times New Roman"/>
                <w:b/>
                <w:color w:val="000000"/>
                <w:lang w:val="en-US"/>
              </w:rPr>
            </w:pPr>
            <w:r w:rsidRPr="007D425D">
              <w:rPr>
                <w:rFonts w:ascii="Times New Roman" w:eastAsia="Calibri" w:hAnsi="Times New Roman"/>
                <w:b/>
                <w:color w:val="000000"/>
                <w:lang w:val="en-US"/>
              </w:rPr>
              <w:t>Tuesday,  3 Nov., 2015</w:t>
            </w:r>
          </w:p>
        </w:tc>
        <w:tc>
          <w:tcPr>
            <w:tcW w:w="3827" w:type="dxa"/>
          </w:tcPr>
          <w:p w14:paraId="697E7ABB" w14:textId="77777777" w:rsidR="009D7378" w:rsidRPr="007D425D" w:rsidRDefault="009D7378" w:rsidP="007D425D">
            <w:pPr>
              <w:spacing w:after="200"/>
              <w:rPr>
                <w:rFonts w:ascii="Times New Roman" w:eastAsia="Calibri" w:hAnsi="Times New Roman"/>
                <w:color w:val="000000"/>
                <w:lang w:val="en-US"/>
              </w:rPr>
            </w:pPr>
          </w:p>
        </w:tc>
        <w:tc>
          <w:tcPr>
            <w:tcW w:w="2500" w:type="dxa"/>
          </w:tcPr>
          <w:p w14:paraId="34373F56" w14:textId="77777777" w:rsidR="009D7378" w:rsidRPr="007D425D" w:rsidRDefault="009D7378" w:rsidP="007D425D">
            <w:pPr>
              <w:spacing w:after="200"/>
              <w:rPr>
                <w:rFonts w:ascii="Times New Roman" w:eastAsia="Calibri" w:hAnsi="Times New Roman"/>
                <w:color w:val="000000"/>
                <w:lang w:val="en-US"/>
              </w:rPr>
            </w:pPr>
          </w:p>
        </w:tc>
      </w:tr>
      <w:tr w:rsidR="009D7378" w:rsidRPr="007D425D" w14:paraId="07E3BF61" w14:textId="77777777" w:rsidTr="00805BB4">
        <w:tc>
          <w:tcPr>
            <w:tcW w:w="2689" w:type="dxa"/>
          </w:tcPr>
          <w:p w14:paraId="0D6CAD8C" w14:textId="77777777" w:rsidR="009D7378" w:rsidRPr="007D425D" w:rsidRDefault="009D7378" w:rsidP="007D425D">
            <w:pPr>
              <w:spacing w:after="200"/>
              <w:rPr>
                <w:rFonts w:ascii="Times New Roman" w:eastAsia="Calibri" w:hAnsi="Times New Roman"/>
                <w:color w:val="000000"/>
                <w:lang w:val="en-US"/>
              </w:rPr>
            </w:pPr>
            <w:r w:rsidRPr="007D425D">
              <w:rPr>
                <w:rFonts w:ascii="Times New Roman" w:eastAsia="Calibri" w:hAnsi="Times New Roman"/>
                <w:color w:val="000000"/>
                <w:lang w:val="en-US"/>
              </w:rPr>
              <w:t>15:00 – 16:00</w:t>
            </w:r>
          </w:p>
        </w:tc>
        <w:tc>
          <w:tcPr>
            <w:tcW w:w="3827" w:type="dxa"/>
          </w:tcPr>
          <w:p w14:paraId="1D4A992C" w14:textId="77777777" w:rsidR="009D7378" w:rsidRPr="007D425D" w:rsidRDefault="009D7378" w:rsidP="007D425D">
            <w:pPr>
              <w:spacing w:after="200"/>
              <w:rPr>
                <w:rFonts w:ascii="Times New Roman" w:eastAsia="Calibri" w:hAnsi="Times New Roman"/>
                <w:color w:val="000000"/>
                <w:lang w:val="en-US"/>
              </w:rPr>
            </w:pPr>
            <w:r w:rsidRPr="007D425D">
              <w:rPr>
                <w:rFonts w:ascii="Times New Roman" w:eastAsia="Calibri" w:hAnsi="Times New Roman"/>
                <w:color w:val="000000"/>
                <w:lang w:val="en-US"/>
              </w:rPr>
              <w:t>Preliminary review of draft Inception Report</w:t>
            </w:r>
          </w:p>
        </w:tc>
        <w:tc>
          <w:tcPr>
            <w:tcW w:w="2500" w:type="dxa"/>
          </w:tcPr>
          <w:p w14:paraId="51E2E122" w14:textId="77777777" w:rsidR="009D7378" w:rsidRPr="007D425D" w:rsidRDefault="009D7378" w:rsidP="007D425D">
            <w:pPr>
              <w:spacing w:after="200"/>
              <w:rPr>
                <w:rFonts w:ascii="Times New Roman" w:eastAsia="Calibri" w:hAnsi="Times New Roman"/>
                <w:color w:val="000000"/>
                <w:lang w:val="en-US"/>
              </w:rPr>
            </w:pPr>
            <w:r w:rsidRPr="007D425D">
              <w:rPr>
                <w:rFonts w:ascii="Times New Roman" w:eastAsia="Calibri" w:hAnsi="Times New Roman"/>
                <w:color w:val="000000"/>
                <w:lang w:val="en-US"/>
              </w:rPr>
              <w:t>UNDP</w:t>
            </w:r>
          </w:p>
        </w:tc>
      </w:tr>
      <w:tr w:rsidR="009D7378" w:rsidRPr="007D425D" w14:paraId="5B08C467" w14:textId="77777777" w:rsidTr="00805BB4">
        <w:tc>
          <w:tcPr>
            <w:tcW w:w="2689" w:type="dxa"/>
          </w:tcPr>
          <w:p w14:paraId="4731A08A" w14:textId="77777777" w:rsidR="009D7378" w:rsidRPr="007D425D" w:rsidRDefault="009D7378" w:rsidP="007D425D">
            <w:pPr>
              <w:spacing w:after="200"/>
              <w:rPr>
                <w:rFonts w:ascii="Times New Roman" w:eastAsia="Calibri" w:hAnsi="Times New Roman"/>
                <w:b/>
                <w:color w:val="000000"/>
                <w:lang w:val="en-US"/>
              </w:rPr>
            </w:pPr>
            <w:r w:rsidRPr="007D425D">
              <w:rPr>
                <w:rFonts w:ascii="Times New Roman" w:eastAsia="Calibri" w:hAnsi="Times New Roman"/>
                <w:b/>
                <w:color w:val="000000"/>
                <w:lang w:val="en-US"/>
              </w:rPr>
              <w:t>Wednesday, 4 Nov., 2015</w:t>
            </w:r>
          </w:p>
        </w:tc>
        <w:tc>
          <w:tcPr>
            <w:tcW w:w="3827" w:type="dxa"/>
          </w:tcPr>
          <w:p w14:paraId="55E89FBB" w14:textId="77777777" w:rsidR="009D7378" w:rsidRPr="007D425D" w:rsidRDefault="009D7378" w:rsidP="007D425D">
            <w:pPr>
              <w:spacing w:after="200"/>
              <w:rPr>
                <w:rFonts w:ascii="Times New Roman" w:eastAsia="Calibri" w:hAnsi="Times New Roman"/>
                <w:color w:val="000000"/>
                <w:lang w:val="en-US"/>
              </w:rPr>
            </w:pPr>
          </w:p>
        </w:tc>
        <w:tc>
          <w:tcPr>
            <w:tcW w:w="2500" w:type="dxa"/>
          </w:tcPr>
          <w:p w14:paraId="58449B5B" w14:textId="77777777" w:rsidR="009D7378" w:rsidRPr="007D425D" w:rsidRDefault="009D7378" w:rsidP="007D425D">
            <w:pPr>
              <w:spacing w:after="200"/>
              <w:rPr>
                <w:rFonts w:ascii="Times New Roman" w:eastAsia="Calibri" w:hAnsi="Times New Roman"/>
                <w:color w:val="000000"/>
                <w:lang w:val="en-US"/>
              </w:rPr>
            </w:pPr>
          </w:p>
        </w:tc>
      </w:tr>
      <w:tr w:rsidR="009D7378" w:rsidRPr="007D425D" w14:paraId="657B0E71" w14:textId="77777777" w:rsidTr="00805BB4">
        <w:tc>
          <w:tcPr>
            <w:tcW w:w="2689" w:type="dxa"/>
          </w:tcPr>
          <w:p w14:paraId="7A639528" w14:textId="77777777" w:rsidR="009D7378" w:rsidRPr="007D425D" w:rsidRDefault="009D7378" w:rsidP="007D425D">
            <w:pPr>
              <w:spacing w:after="200"/>
              <w:rPr>
                <w:rFonts w:ascii="Times New Roman" w:eastAsia="Calibri" w:hAnsi="Times New Roman"/>
                <w:color w:val="000000"/>
                <w:lang w:val="en-US"/>
              </w:rPr>
            </w:pPr>
            <w:r w:rsidRPr="007D425D">
              <w:rPr>
                <w:rFonts w:ascii="Times New Roman" w:eastAsia="Calibri" w:hAnsi="Times New Roman"/>
                <w:color w:val="000000"/>
                <w:lang w:val="en-US"/>
              </w:rPr>
              <w:t>9:00</w:t>
            </w:r>
          </w:p>
        </w:tc>
        <w:tc>
          <w:tcPr>
            <w:tcW w:w="3827" w:type="dxa"/>
          </w:tcPr>
          <w:p w14:paraId="595E1564" w14:textId="77777777" w:rsidR="009D7378" w:rsidRPr="007D425D" w:rsidRDefault="009D7378" w:rsidP="007D425D">
            <w:pPr>
              <w:spacing w:after="200"/>
              <w:rPr>
                <w:rFonts w:ascii="Times New Roman" w:eastAsia="Calibri" w:hAnsi="Times New Roman"/>
                <w:color w:val="000000"/>
                <w:lang w:val="en-US"/>
              </w:rPr>
            </w:pPr>
            <w:r w:rsidRPr="007D425D">
              <w:rPr>
                <w:rFonts w:ascii="Times New Roman" w:eastAsia="Calibri" w:hAnsi="Times New Roman"/>
                <w:color w:val="000000"/>
                <w:lang w:val="en-US"/>
              </w:rPr>
              <w:t>Travel to Blantyre</w:t>
            </w:r>
          </w:p>
        </w:tc>
        <w:tc>
          <w:tcPr>
            <w:tcW w:w="2500" w:type="dxa"/>
          </w:tcPr>
          <w:p w14:paraId="096792E5" w14:textId="77777777" w:rsidR="009D7378" w:rsidRPr="007D425D" w:rsidRDefault="009D7378" w:rsidP="007D425D">
            <w:pPr>
              <w:spacing w:after="200"/>
              <w:rPr>
                <w:rFonts w:ascii="Times New Roman" w:eastAsia="Calibri" w:hAnsi="Times New Roman"/>
                <w:color w:val="000000"/>
                <w:lang w:val="en-US"/>
              </w:rPr>
            </w:pPr>
            <w:r w:rsidRPr="007D425D">
              <w:rPr>
                <w:rFonts w:ascii="Times New Roman" w:eastAsia="Calibri" w:hAnsi="Times New Roman"/>
                <w:color w:val="000000"/>
                <w:lang w:val="en-US"/>
              </w:rPr>
              <w:t>Petroda House</w:t>
            </w:r>
          </w:p>
        </w:tc>
      </w:tr>
      <w:tr w:rsidR="009D7378" w:rsidRPr="007D425D" w14:paraId="1BAF8F33" w14:textId="77777777" w:rsidTr="00805BB4">
        <w:tc>
          <w:tcPr>
            <w:tcW w:w="2689" w:type="dxa"/>
          </w:tcPr>
          <w:p w14:paraId="3CE5E82E" w14:textId="77777777" w:rsidR="009D7378" w:rsidRPr="007D425D" w:rsidRDefault="009D7378" w:rsidP="007D425D">
            <w:pPr>
              <w:spacing w:after="200"/>
              <w:rPr>
                <w:rFonts w:ascii="Times New Roman" w:eastAsia="Calibri" w:hAnsi="Times New Roman"/>
                <w:color w:val="000000"/>
                <w:lang w:val="en-US"/>
              </w:rPr>
            </w:pPr>
            <w:r w:rsidRPr="007D425D">
              <w:rPr>
                <w:rFonts w:ascii="Times New Roman" w:eastAsia="Calibri" w:hAnsi="Times New Roman"/>
                <w:color w:val="000000"/>
                <w:lang w:val="en-US"/>
              </w:rPr>
              <w:t>13:30 – 14:30</w:t>
            </w:r>
          </w:p>
        </w:tc>
        <w:tc>
          <w:tcPr>
            <w:tcW w:w="3827" w:type="dxa"/>
          </w:tcPr>
          <w:p w14:paraId="5B091276" w14:textId="77777777" w:rsidR="009D7378" w:rsidRPr="007D425D" w:rsidRDefault="009D7378" w:rsidP="007D425D">
            <w:pPr>
              <w:spacing w:after="200"/>
              <w:rPr>
                <w:rFonts w:ascii="Times New Roman" w:eastAsia="Calibri" w:hAnsi="Times New Roman"/>
                <w:color w:val="000000"/>
                <w:lang w:val="en-US"/>
              </w:rPr>
            </w:pPr>
            <w:r w:rsidRPr="007D425D">
              <w:rPr>
                <w:rFonts w:ascii="Times New Roman" w:eastAsia="Calibri" w:hAnsi="Times New Roman"/>
                <w:color w:val="000000"/>
                <w:lang w:val="en-US"/>
              </w:rPr>
              <w:t xml:space="preserve">Meet DCP community </w:t>
            </w:r>
          </w:p>
        </w:tc>
        <w:tc>
          <w:tcPr>
            <w:tcW w:w="2500" w:type="dxa"/>
          </w:tcPr>
          <w:p w14:paraId="06162C56" w14:textId="77777777" w:rsidR="009D7378" w:rsidRPr="007D425D" w:rsidRDefault="009D7378" w:rsidP="007D425D">
            <w:pPr>
              <w:spacing w:after="200"/>
              <w:rPr>
                <w:rFonts w:ascii="Times New Roman" w:eastAsia="Calibri" w:hAnsi="Times New Roman"/>
                <w:color w:val="000000"/>
                <w:lang w:val="en-US"/>
              </w:rPr>
            </w:pPr>
            <w:r w:rsidRPr="007D425D">
              <w:rPr>
                <w:rFonts w:ascii="Times New Roman" w:eastAsia="Calibri" w:hAnsi="Times New Roman"/>
                <w:color w:val="000000"/>
                <w:lang w:val="en-US"/>
              </w:rPr>
              <w:t>Senzani</w:t>
            </w:r>
          </w:p>
        </w:tc>
      </w:tr>
      <w:tr w:rsidR="009D7378" w:rsidRPr="007D425D" w14:paraId="1A2B9494" w14:textId="77777777" w:rsidTr="00805BB4">
        <w:tc>
          <w:tcPr>
            <w:tcW w:w="2689" w:type="dxa"/>
          </w:tcPr>
          <w:p w14:paraId="39155498" w14:textId="77777777" w:rsidR="009D7378" w:rsidRPr="007D425D" w:rsidRDefault="009D7378" w:rsidP="007D425D">
            <w:pPr>
              <w:spacing w:after="200"/>
              <w:rPr>
                <w:rFonts w:ascii="Times New Roman" w:eastAsia="Calibri" w:hAnsi="Times New Roman"/>
                <w:b/>
                <w:color w:val="000000"/>
                <w:lang w:val="en-US"/>
              </w:rPr>
            </w:pPr>
            <w:r w:rsidRPr="007D425D">
              <w:rPr>
                <w:rFonts w:ascii="Times New Roman" w:eastAsia="Calibri" w:hAnsi="Times New Roman"/>
                <w:b/>
                <w:color w:val="000000"/>
                <w:lang w:val="en-US"/>
              </w:rPr>
              <w:t>Thursday, 5 Nov., 2015</w:t>
            </w:r>
          </w:p>
        </w:tc>
        <w:tc>
          <w:tcPr>
            <w:tcW w:w="3827" w:type="dxa"/>
          </w:tcPr>
          <w:p w14:paraId="025B267C" w14:textId="77777777" w:rsidR="009D7378" w:rsidRPr="007D425D" w:rsidRDefault="009D7378" w:rsidP="007D425D">
            <w:pPr>
              <w:spacing w:after="200"/>
              <w:rPr>
                <w:rFonts w:ascii="Times New Roman" w:eastAsia="Calibri" w:hAnsi="Times New Roman"/>
                <w:color w:val="000000"/>
                <w:lang w:val="en-US"/>
              </w:rPr>
            </w:pPr>
          </w:p>
        </w:tc>
        <w:tc>
          <w:tcPr>
            <w:tcW w:w="2500" w:type="dxa"/>
          </w:tcPr>
          <w:p w14:paraId="7DE01FA9" w14:textId="77777777" w:rsidR="009D7378" w:rsidRPr="007D425D" w:rsidRDefault="009D7378" w:rsidP="007D425D">
            <w:pPr>
              <w:spacing w:after="200"/>
              <w:rPr>
                <w:rFonts w:ascii="Times New Roman" w:eastAsia="Calibri" w:hAnsi="Times New Roman"/>
                <w:color w:val="000000"/>
                <w:lang w:val="en-US"/>
              </w:rPr>
            </w:pPr>
          </w:p>
        </w:tc>
      </w:tr>
      <w:tr w:rsidR="009D7378" w:rsidRPr="007D425D" w14:paraId="43FB9819" w14:textId="77777777" w:rsidTr="00805BB4">
        <w:tc>
          <w:tcPr>
            <w:tcW w:w="2689" w:type="dxa"/>
          </w:tcPr>
          <w:p w14:paraId="14EFB7D4" w14:textId="77777777" w:rsidR="009D7378" w:rsidRPr="007D425D" w:rsidRDefault="009D7378" w:rsidP="007D425D">
            <w:pPr>
              <w:spacing w:after="200"/>
              <w:rPr>
                <w:rFonts w:ascii="Times New Roman" w:eastAsia="Calibri" w:hAnsi="Times New Roman"/>
                <w:color w:val="000000"/>
                <w:lang w:val="en-US"/>
              </w:rPr>
            </w:pPr>
            <w:r w:rsidRPr="007D425D">
              <w:rPr>
                <w:rFonts w:ascii="Times New Roman" w:eastAsia="Calibri" w:hAnsi="Times New Roman"/>
                <w:color w:val="000000"/>
                <w:lang w:val="en-US"/>
              </w:rPr>
              <w:t>09:00 – 10:00</w:t>
            </w:r>
          </w:p>
        </w:tc>
        <w:tc>
          <w:tcPr>
            <w:tcW w:w="3827" w:type="dxa"/>
          </w:tcPr>
          <w:p w14:paraId="4B6BED1F" w14:textId="77777777" w:rsidR="009D7378" w:rsidRPr="007D425D" w:rsidRDefault="009D7378" w:rsidP="007D425D">
            <w:pPr>
              <w:spacing w:after="200"/>
              <w:rPr>
                <w:rFonts w:ascii="Times New Roman" w:eastAsia="Calibri" w:hAnsi="Times New Roman"/>
                <w:color w:val="000000"/>
                <w:lang w:val="en-US"/>
              </w:rPr>
            </w:pPr>
            <w:r w:rsidRPr="007D425D">
              <w:rPr>
                <w:rFonts w:ascii="Times New Roman" w:eastAsia="Calibri" w:hAnsi="Times New Roman"/>
                <w:color w:val="000000"/>
                <w:lang w:val="en-US"/>
              </w:rPr>
              <w:t xml:space="preserve">Mr. Willy Kalonga, Chief Elections Officer, Malawi Electoral Commission </w:t>
            </w:r>
          </w:p>
        </w:tc>
        <w:tc>
          <w:tcPr>
            <w:tcW w:w="2500" w:type="dxa"/>
          </w:tcPr>
          <w:p w14:paraId="0674A571" w14:textId="77777777" w:rsidR="009D7378" w:rsidRPr="007D425D" w:rsidRDefault="009D7378" w:rsidP="007D425D">
            <w:pPr>
              <w:spacing w:after="200"/>
              <w:rPr>
                <w:rFonts w:ascii="Times New Roman" w:eastAsia="Calibri" w:hAnsi="Times New Roman"/>
                <w:color w:val="000000"/>
                <w:lang w:val="en-US"/>
              </w:rPr>
            </w:pPr>
            <w:r w:rsidRPr="007D425D">
              <w:rPr>
                <w:rFonts w:ascii="Times New Roman" w:eastAsia="Calibri" w:hAnsi="Times New Roman"/>
                <w:color w:val="000000"/>
                <w:lang w:val="en-US"/>
              </w:rPr>
              <w:t>MEC offices, Blantyre</w:t>
            </w:r>
          </w:p>
        </w:tc>
      </w:tr>
      <w:tr w:rsidR="009D7378" w:rsidRPr="007D425D" w14:paraId="49C6627F" w14:textId="77777777" w:rsidTr="00805BB4">
        <w:tc>
          <w:tcPr>
            <w:tcW w:w="2689" w:type="dxa"/>
          </w:tcPr>
          <w:p w14:paraId="2606CBD4" w14:textId="77777777" w:rsidR="009D7378" w:rsidRPr="007D425D" w:rsidRDefault="009D7378" w:rsidP="007D425D">
            <w:pPr>
              <w:spacing w:after="200"/>
              <w:rPr>
                <w:rFonts w:ascii="Times New Roman" w:eastAsia="Calibri" w:hAnsi="Times New Roman"/>
                <w:color w:val="000000"/>
                <w:lang w:val="en-US"/>
              </w:rPr>
            </w:pPr>
            <w:r w:rsidRPr="007D425D">
              <w:rPr>
                <w:rFonts w:ascii="Times New Roman" w:eastAsia="Calibri" w:hAnsi="Times New Roman"/>
                <w:color w:val="000000"/>
                <w:lang w:val="en-US"/>
              </w:rPr>
              <w:t>12:00 – 13:00</w:t>
            </w:r>
          </w:p>
        </w:tc>
        <w:tc>
          <w:tcPr>
            <w:tcW w:w="3827" w:type="dxa"/>
          </w:tcPr>
          <w:p w14:paraId="6DC64833" w14:textId="77777777" w:rsidR="009D7378" w:rsidRPr="007D425D" w:rsidRDefault="009D7378" w:rsidP="007D425D">
            <w:pPr>
              <w:spacing w:after="200"/>
              <w:rPr>
                <w:rFonts w:ascii="Times New Roman" w:eastAsia="Calibri" w:hAnsi="Times New Roman"/>
                <w:color w:val="000000"/>
                <w:lang w:val="en-US"/>
              </w:rPr>
            </w:pPr>
            <w:r w:rsidRPr="007D425D">
              <w:rPr>
                <w:rFonts w:ascii="Times New Roman" w:eastAsia="Calibri" w:hAnsi="Times New Roman"/>
                <w:color w:val="000000"/>
                <w:lang w:val="en-US"/>
              </w:rPr>
              <w:t>Rev. Dr. Chingota, PAC Chairman</w:t>
            </w:r>
          </w:p>
        </w:tc>
        <w:tc>
          <w:tcPr>
            <w:tcW w:w="2500" w:type="dxa"/>
          </w:tcPr>
          <w:p w14:paraId="6ACCB19A" w14:textId="77777777" w:rsidR="009D7378" w:rsidRPr="007D425D" w:rsidRDefault="009D7378" w:rsidP="007D425D">
            <w:pPr>
              <w:spacing w:after="200"/>
              <w:rPr>
                <w:rFonts w:ascii="Times New Roman" w:eastAsia="Calibri" w:hAnsi="Times New Roman"/>
                <w:color w:val="000000"/>
                <w:lang w:val="en-US"/>
              </w:rPr>
            </w:pPr>
            <w:r w:rsidRPr="007D425D">
              <w:rPr>
                <w:rFonts w:ascii="Times New Roman" w:eastAsia="Calibri" w:hAnsi="Times New Roman"/>
                <w:color w:val="000000"/>
                <w:lang w:val="en-US"/>
              </w:rPr>
              <w:t>Zomba</w:t>
            </w:r>
          </w:p>
        </w:tc>
      </w:tr>
      <w:tr w:rsidR="009D7378" w:rsidRPr="007D425D" w14:paraId="6EBB5D90" w14:textId="77777777" w:rsidTr="00805BB4">
        <w:tc>
          <w:tcPr>
            <w:tcW w:w="2689" w:type="dxa"/>
          </w:tcPr>
          <w:p w14:paraId="5ABD7E39" w14:textId="77777777" w:rsidR="009D7378" w:rsidRPr="007D425D" w:rsidRDefault="009D7378" w:rsidP="007D425D">
            <w:pPr>
              <w:spacing w:after="200"/>
              <w:rPr>
                <w:rFonts w:ascii="Times New Roman" w:eastAsia="Calibri" w:hAnsi="Times New Roman"/>
                <w:color w:val="000000"/>
                <w:lang w:val="en-US"/>
              </w:rPr>
            </w:pPr>
            <w:r w:rsidRPr="007D425D">
              <w:rPr>
                <w:rFonts w:ascii="Times New Roman" w:eastAsia="Calibri" w:hAnsi="Times New Roman"/>
                <w:color w:val="000000"/>
                <w:lang w:val="en-US"/>
              </w:rPr>
              <w:t>15:00</w:t>
            </w:r>
          </w:p>
        </w:tc>
        <w:tc>
          <w:tcPr>
            <w:tcW w:w="3827" w:type="dxa"/>
          </w:tcPr>
          <w:p w14:paraId="32A0339D" w14:textId="77777777" w:rsidR="009D7378" w:rsidRPr="007D425D" w:rsidRDefault="009D7378" w:rsidP="007D425D">
            <w:pPr>
              <w:spacing w:after="200"/>
              <w:rPr>
                <w:rFonts w:ascii="Times New Roman" w:eastAsia="Calibri" w:hAnsi="Times New Roman"/>
                <w:color w:val="000000"/>
                <w:lang w:val="en-US"/>
              </w:rPr>
            </w:pPr>
            <w:r w:rsidRPr="007D425D">
              <w:rPr>
                <w:rFonts w:ascii="Times New Roman" w:eastAsia="Calibri" w:hAnsi="Times New Roman"/>
                <w:color w:val="000000"/>
                <w:lang w:val="en-US"/>
              </w:rPr>
              <w:t>Travel to Mangochi</w:t>
            </w:r>
          </w:p>
        </w:tc>
        <w:tc>
          <w:tcPr>
            <w:tcW w:w="2500" w:type="dxa"/>
          </w:tcPr>
          <w:p w14:paraId="46E8DEE2" w14:textId="77777777" w:rsidR="009D7378" w:rsidRPr="007D425D" w:rsidRDefault="009D7378" w:rsidP="007D425D">
            <w:pPr>
              <w:spacing w:after="200"/>
              <w:rPr>
                <w:rFonts w:ascii="Times New Roman" w:eastAsia="Calibri" w:hAnsi="Times New Roman"/>
                <w:color w:val="000000"/>
                <w:lang w:val="en-US"/>
              </w:rPr>
            </w:pPr>
          </w:p>
        </w:tc>
      </w:tr>
      <w:tr w:rsidR="009D7378" w:rsidRPr="007D425D" w14:paraId="05DA2C80" w14:textId="77777777" w:rsidTr="00805BB4">
        <w:tc>
          <w:tcPr>
            <w:tcW w:w="2689" w:type="dxa"/>
          </w:tcPr>
          <w:p w14:paraId="250158DF" w14:textId="77777777" w:rsidR="009D7378" w:rsidRPr="007D425D" w:rsidRDefault="009D7378" w:rsidP="007D425D">
            <w:pPr>
              <w:spacing w:after="200"/>
              <w:rPr>
                <w:rFonts w:ascii="Times New Roman" w:eastAsia="Calibri" w:hAnsi="Times New Roman"/>
                <w:b/>
                <w:color w:val="000000"/>
                <w:lang w:val="en-US"/>
              </w:rPr>
            </w:pPr>
            <w:r w:rsidRPr="007D425D">
              <w:rPr>
                <w:rFonts w:ascii="Times New Roman" w:eastAsia="Calibri" w:hAnsi="Times New Roman"/>
                <w:b/>
                <w:color w:val="000000"/>
                <w:lang w:val="en-US"/>
              </w:rPr>
              <w:t>Friday, 6 Nov., 2015</w:t>
            </w:r>
          </w:p>
        </w:tc>
        <w:tc>
          <w:tcPr>
            <w:tcW w:w="3827" w:type="dxa"/>
          </w:tcPr>
          <w:p w14:paraId="3FBB2AB8" w14:textId="77777777" w:rsidR="009D7378" w:rsidRPr="007D425D" w:rsidRDefault="009D7378" w:rsidP="007D425D">
            <w:pPr>
              <w:spacing w:after="200"/>
              <w:rPr>
                <w:rFonts w:ascii="Times New Roman" w:eastAsia="Calibri" w:hAnsi="Times New Roman"/>
                <w:color w:val="000000"/>
                <w:lang w:val="en-US"/>
              </w:rPr>
            </w:pPr>
          </w:p>
        </w:tc>
        <w:tc>
          <w:tcPr>
            <w:tcW w:w="2500" w:type="dxa"/>
          </w:tcPr>
          <w:p w14:paraId="0A62A82B" w14:textId="77777777" w:rsidR="009D7378" w:rsidRPr="007D425D" w:rsidRDefault="009D7378" w:rsidP="007D425D">
            <w:pPr>
              <w:spacing w:after="200"/>
              <w:rPr>
                <w:rFonts w:ascii="Times New Roman" w:eastAsia="Calibri" w:hAnsi="Times New Roman"/>
                <w:color w:val="000000"/>
                <w:lang w:val="en-US"/>
              </w:rPr>
            </w:pPr>
          </w:p>
        </w:tc>
      </w:tr>
      <w:tr w:rsidR="009D7378" w:rsidRPr="007D425D" w14:paraId="02317429" w14:textId="77777777" w:rsidTr="00805BB4">
        <w:tc>
          <w:tcPr>
            <w:tcW w:w="2689" w:type="dxa"/>
          </w:tcPr>
          <w:p w14:paraId="1DE9EACA" w14:textId="77777777" w:rsidR="009D7378" w:rsidRPr="007D425D" w:rsidRDefault="009D7378" w:rsidP="007D425D">
            <w:pPr>
              <w:spacing w:after="200"/>
              <w:rPr>
                <w:rFonts w:ascii="Times New Roman" w:eastAsia="Calibri" w:hAnsi="Times New Roman"/>
                <w:color w:val="000000"/>
                <w:lang w:val="en-US"/>
              </w:rPr>
            </w:pPr>
            <w:r w:rsidRPr="007D425D">
              <w:rPr>
                <w:rFonts w:ascii="Times New Roman" w:eastAsia="Calibri" w:hAnsi="Times New Roman"/>
                <w:color w:val="000000"/>
                <w:lang w:val="en-US"/>
              </w:rPr>
              <w:t>09:00 – 10:30</w:t>
            </w:r>
          </w:p>
        </w:tc>
        <w:tc>
          <w:tcPr>
            <w:tcW w:w="3827" w:type="dxa"/>
          </w:tcPr>
          <w:p w14:paraId="31E11B61" w14:textId="77777777" w:rsidR="009D7378" w:rsidRPr="007D425D" w:rsidRDefault="009D7378" w:rsidP="007D425D">
            <w:pPr>
              <w:spacing w:after="200"/>
              <w:rPr>
                <w:rFonts w:ascii="Times New Roman" w:eastAsia="Calibri" w:hAnsi="Times New Roman"/>
                <w:color w:val="000000"/>
                <w:lang w:val="en-US"/>
              </w:rPr>
            </w:pPr>
            <w:r w:rsidRPr="007D425D">
              <w:rPr>
                <w:rFonts w:ascii="Times New Roman" w:eastAsia="Calibri" w:hAnsi="Times New Roman"/>
                <w:color w:val="000000"/>
                <w:lang w:val="en-US"/>
              </w:rPr>
              <w:t>Social Cohesion Project Community</w:t>
            </w:r>
          </w:p>
        </w:tc>
        <w:tc>
          <w:tcPr>
            <w:tcW w:w="2500" w:type="dxa"/>
          </w:tcPr>
          <w:p w14:paraId="23E42378" w14:textId="77777777" w:rsidR="009D7378" w:rsidRPr="007D425D" w:rsidRDefault="009D7378" w:rsidP="007D425D">
            <w:pPr>
              <w:spacing w:after="200"/>
              <w:rPr>
                <w:rFonts w:ascii="Times New Roman" w:eastAsia="Calibri" w:hAnsi="Times New Roman"/>
                <w:color w:val="000000"/>
                <w:lang w:val="en-US"/>
              </w:rPr>
            </w:pPr>
            <w:r w:rsidRPr="007D425D">
              <w:rPr>
                <w:rFonts w:ascii="Times New Roman" w:eastAsia="Calibri" w:hAnsi="Times New Roman"/>
                <w:color w:val="000000"/>
                <w:lang w:val="en-US"/>
              </w:rPr>
              <w:t>Mangochi</w:t>
            </w:r>
          </w:p>
        </w:tc>
      </w:tr>
      <w:tr w:rsidR="009D7378" w:rsidRPr="007D425D" w14:paraId="278A8310" w14:textId="77777777" w:rsidTr="00805BB4">
        <w:tc>
          <w:tcPr>
            <w:tcW w:w="2689" w:type="dxa"/>
          </w:tcPr>
          <w:p w14:paraId="3E41F9E6" w14:textId="77777777" w:rsidR="009D7378" w:rsidRPr="007D425D" w:rsidRDefault="009D7378" w:rsidP="007D425D">
            <w:pPr>
              <w:spacing w:after="200"/>
              <w:rPr>
                <w:rFonts w:ascii="Times New Roman" w:eastAsia="Calibri" w:hAnsi="Times New Roman"/>
                <w:color w:val="000000"/>
                <w:lang w:val="en-US"/>
              </w:rPr>
            </w:pPr>
            <w:r w:rsidRPr="007D425D">
              <w:rPr>
                <w:rFonts w:ascii="Times New Roman" w:eastAsia="Calibri" w:hAnsi="Times New Roman"/>
                <w:color w:val="000000"/>
                <w:lang w:val="en-US"/>
              </w:rPr>
              <w:t>Afternoon</w:t>
            </w:r>
          </w:p>
        </w:tc>
        <w:tc>
          <w:tcPr>
            <w:tcW w:w="3827" w:type="dxa"/>
          </w:tcPr>
          <w:p w14:paraId="041CBE75" w14:textId="77777777" w:rsidR="009D7378" w:rsidRPr="007D425D" w:rsidRDefault="009D7378" w:rsidP="007D425D">
            <w:pPr>
              <w:spacing w:after="200"/>
              <w:rPr>
                <w:rFonts w:ascii="Times New Roman" w:eastAsia="Calibri" w:hAnsi="Times New Roman"/>
                <w:color w:val="000000"/>
                <w:lang w:val="en-US"/>
              </w:rPr>
            </w:pPr>
            <w:r w:rsidRPr="007D425D">
              <w:rPr>
                <w:rFonts w:ascii="Times New Roman" w:eastAsia="Calibri" w:hAnsi="Times New Roman"/>
                <w:color w:val="000000"/>
                <w:lang w:val="en-US"/>
              </w:rPr>
              <w:t>Travel to Lilongwe</w:t>
            </w:r>
          </w:p>
        </w:tc>
        <w:tc>
          <w:tcPr>
            <w:tcW w:w="2500" w:type="dxa"/>
          </w:tcPr>
          <w:p w14:paraId="5DC34713" w14:textId="77777777" w:rsidR="009D7378" w:rsidRPr="007D425D" w:rsidRDefault="009D7378" w:rsidP="007D425D">
            <w:pPr>
              <w:spacing w:after="200"/>
              <w:rPr>
                <w:rFonts w:ascii="Times New Roman" w:eastAsia="Calibri" w:hAnsi="Times New Roman"/>
                <w:color w:val="000000"/>
                <w:lang w:val="en-US"/>
              </w:rPr>
            </w:pPr>
          </w:p>
        </w:tc>
      </w:tr>
      <w:tr w:rsidR="009D7378" w:rsidRPr="007D425D" w14:paraId="5E582403" w14:textId="77777777" w:rsidTr="00805BB4">
        <w:tc>
          <w:tcPr>
            <w:tcW w:w="2689" w:type="dxa"/>
          </w:tcPr>
          <w:p w14:paraId="07D2CA84" w14:textId="77777777" w:rsidR="009D7378" w:rsidRPr="007D425D" w:rsidRDefault="009D7378" w:rsidP="007D425D">
            <w:pPr>
              <w:spacing w:after="200"/>
              <w:rPr>
                <w:rFonts w:ascii="Times New Roman" w:eastAsia="Calibri" w:hAnsi="Times New Roman"/>
                <w:b/>
                <w:color w:val="000000"/>
                <w:lang w:val="en-US"/>
              </w:rPr>
            </w:pPr>
            <w:r w:rsidRPr="007D425D">
              <w:rPr>
                <w:rFonts w:ascii="Times New Roman" w:eastAsia="Calibri" w:hAnsi="Times New Roman"/>
                <w:b/>
                <w:color w:val="000000"/>
                <w:lang w:val="en-US"/>
              </w:rPr>
              <w:t>Monday, 9 Nov., 2015</w:t>
            </w:r>
          </w:p>
        </w:tc>
        <w:tc>
          <w:tcPr>
            <w:tcW w:w="3827" w:type="dxa"/>
          </w:tcPr>
          <w:p w14:paraId="3CAFEB4B" w14:textId="77777777" w:rsidR="009D7378" w:rsidRPr="007D425D" w:rsidRDefault="009D7378" w:rsidP="007D425D">
            <w:pPr>
              <w:spacing w:after="200"/>
              <w:rPr>
                <w:rFonts w:ascii="Times New Roman" w:eastAsia="Calibri" w:hAnsi="Times New Roman"/>
                <w:color w:val="000000"/>
                <w:lang w:val="en-US"/>
              </w:rPr>
            </w:pPr>
          </w:p>
        </w:tc>
        <w:tc>
          <w:tcPr>
            <w:tcW w:w="2500" w:type="dxa"/>
          </w:tcPr>
          <w:p w14:paraId="43E25EB5" w14:textId="77777777" w:rsidR="009D7378" w:rsidRPr="007D425D" w:rsidRDefault="009D7378" w:rsidP="007D425D">
            <w:pPr>
              <w:spacing w:after="200"/>
              <w:rPr>
                <w:rFonts w:ascii="Times New Roman" w:eastAsia="Calibri" w:hAnsi="Times New Roman"/>
                <w:color w:val="000000"/>
                <w:lang w:val="en-US"/>
              </w:rPr>
            </w:pPr>
          </w:p>
        </w:tc>
      </w:tr>
      <w:tr w:rsidR="009D7378" w:rsidRPr="007D425D" w14:paraId="210DE4A4" w14:textId="77777777" w:rsidTr="00805BB4">
        <w:tc>
          <w:tcPr>
            <w:tcW w:w="2689" w:type="dxa"/>
          </w:tcPr>
          <w:p w14:paraId="766A7442" w14:textId="77777777" w:rsidR="009D7378" w:rsidRPr="007D425D" w:rsidRDefault="009D7378" w:rsidP="007D425D">
            <w:pPr>
              <w:spacing w:after="200"/>
              <w:rPr>
                <w:rFonts w:ascii="Times New Roman" w:eastAsia="Calibri" w:hAnsi="Times New Roman"/>
                <w:color w:val="000000"/>
                <w:lang w:val="en-US"/>
              </w:rPr>
            </w:pPr>
            <w:r w:rsidRPr="007D425D">
              <w:rPr>
                <w:rFonts w:ascii="Times New Roman" w:eastAsia="Calibri" w:hAnsi="Times New Roman"/>
                <w:color w:val="000000"/>
                <w:lang w:val="en-US"/>
              </w:rPr>
              <w:t>09:00 – 10: 00</w:t>
            </w:r>
          </w:p>
        </w:tc>
        <w:tc>
          <w:tcPr>
            <w:tcW w:w="3827" w:type="dxa"/>
          </w:tcPr>
          <w:p w14:paraId="6CFAFAC4" w14:textId="77777777" w:rsidR="009D7378" w:rsidRPr="007D425D" w:rsidRDefault="009D7378" w:rsidP="007D425D">
            <w:pPr>
              <w:spacing w:after="200"/>
              <w:rPr>
                <w:rFonts w:ascii="Times New Roman" w:eastAsia="Calibri" w:hAnsi="Times New Roman"/>
                <w:color w:val="000000"/>
                <w:lang w:val="en-US"/>
              </w:rPr>
            </w:pPr>
            <w:r w:rsidRPr="007D425D">
              <w:rPr>
                <w:rFonts w:ascii="Times New Roman" w:eastAsia="Calibri" w:hAnsi="Times New Roman"/>
                <w:color w:val="000000"/>
                <w:lang w:val="en-US"/>
              </w:rPr>
              <w:t xml:space="preserve">Mr. Charles Chunga, MALGA </w:t>
            </w:r>
            <w:r w:rsidRPr="007D425D">
              <w:rPr>
                <w:rFonts w:ascii="Times New Roman" w:eastAsia="Calibri" w:hAnsi="Times New Roman"/>
                <w:b/>
                <w:color w:val="000000"/>
                <w:lang w:val="en-US"/>
              </w:rPr>
              <w:t>Confirmed</w:t>
            </w:r>
          </w:p>
        </w:tc>
        <w:tc>
          <w:tcPr>
            <w:tcW w:w="2500" w:type="dxa"/>
          </w:tcPr>
          <w:p w14:paraId="73731588" w14:textId="77777777" w:rsidR="009D7378" w:rsidRPr="007D425D" w:rsidRDefault="009D7378" w:rsidP="007D425D">
            <w:pPr>
              <w:spacing w:after="200"/>
              <w:rPr>
                <w:rFonts w:ascii="Times New Roman" w:eastAsia="Calibri" w:hAnsi="Times New Roman"/>
                <w:color w:val="000000"/>
                <w:lang w:val="en-US"/>
              </w:rPr>
            </w:pPr>
            <w:r w:rsidRPr="007D425D">
              <w:rPr>
                <w:rFonts w:ascii="Times New Roman" w:eastAsia="Calibri" w:hAnsi="Times New Roman"/>
                <w:color w:val="000000"/>
                <w:lang w:val="en-US"/>
              </w:rPr>
              <w:t>Off-Paul Kagame Road</w:t>
            </w:r>
          </w:p>
        </w:tc>
      </w:tr>
      <w:tr w:rsidR="009D7378" w:rsidRPr="007D425D" w14:paraId="294D00AA" w14:textId="77777777" w:rsidTr="00805BB4">
        <w:tc>
          <w:tcPr>
            <w:tcW w:w="2689" w:type="dxa"/>
          </w:tcPr>
          <w:p w14:paraId="2D092027" w14:textId="77777777" w:rsidR="009D7378" w:rsidRPr="007D425D" w:rsidRDefault="009D7378" w:rsidP="007D425D">
            <w:pPr>
              <w:spacing w:after="200"/>
              <w:rPr>
                <w:rFonts w:ascii="Times New Roman" w:eastAsia="Calibri" w:hAnsi="Times New Roman"/>
                <w:color w:val="000000"/>
                <w:lang w:val="en-US"/>
              </w:rPr>
            </w:pPr>
            <w:r w:rsidRPr="007D425D">
              <w:rPr>
                <w:rFonts w:ascii="Times New Roman" w:eastAsia="Calibri" w:hAnsi="Times New Roman"/>
                <w:color w:val="000000"/>
                <w:lang w:val="en-US"/>
              </w:rPr>
              <w:t>14:00 – 14:45</w:t>
            </w:r>
          </w:p>
        </w:tc>
        <w:tc>
          <w:tcPr>
            <w:tcW w:w="3827" w:type="dxa"/>
          </w:tcPr>
          <w:p w14:paraId="522330F6" w14:textId="77777777" w:rsidR="009D7378" w:rsidRPr="007D425D" w:rsidRDefault="009D7378" w:rsidP="007D425D">
            <w:pPr>
              <w:spacing w:after="200"/>
              <w:rPr>
                <w:rFonts w:ascii="Times New Roman" w:eastAsia="Calibri" w:hAnsi="Times New Roman"/>
                <w:color w:val="000000"/>
                <w:lang w:val="en-US"/>
              </w:rPr>
            </w:pPr>
            <w:r w:rsidRPr="007D425D">
              <w:rPr>
                <w:rFonts w:ascii="Times New Roman" w:eastAsia="Calibri" w:hAnsi="Times New Roman"/>
                <w:color w:val="000000"/>
                <w:lang w:val="en-US"/>
              </w:rPr>
              <w:t xml:space="preserve">Mr. Phaniso Kalua/Mr. Joseph Mpinganjira, Irish Aid. </w:t>
            </w:r>
            <w:r w:rsidRPr="007D425D">
              <w:rPr>
                <w:rFonts w:ascii="Times New Roman" w:eastAsia="Calibri" w:hAnsi="Times New Roman"/>
                <w:b/>
                <w:color w:val="000000"/>
                <w:lang w:val="en-US"/>
              </w:rPr>
              <w:t>Confirmed</w:t>
            </w:r>
          </w:p>
        </w:tc>
        <w:tc>
          <w:tcPr>
            <w:tcW w:w="2500" w:type="dxa"/>
          </w:tcPr>
          <w:p w14:paraId="2B1A416F" w14:textId="77777777" w:rsidR="009D7378" w:rsidRPr="007D425D" w:rsidRDefault="009D7378" w:rsidP="007D425D">
            <w:pPr>
              <w:spacing w:after="200"/>
              <w:rPr>
                <w:rFonts w:ascii="Times New Roman" w:eastAsia="Calibri" w:hAnsi="Times New Roman"/>
                <w:color w:val="000000"/>
                <w:lang w:val="en-US"/>
              </w:rPr>
            </w:pPr>
          </w:p>
        </w:tc>
      </w:tr>
      <w:tr w:rsidR="009D7378" w:rsidRPr="00F72B0D" w14:paraId="1032A667" w14:textId="77777777" w:rsidTr="00805BB4">
        <w:tc>
          <w:tcPr>
            <w:tcW w:w="2689" w:type="dxa"/>
          </w:tcPr>
          <w:p w14:paraId="0A1F3C39" w14:textId="77777777" w:rsidR="009D7378" w:rsidRPr="007D425D" w:rsidRDefault="009D7378" w:rsidP="007D425D">
            <w:pPr>
              <w:spacing w:after="200"/>
              <w:rPr>
                <w:rFonts w:ascii="Times New Roman" w:eastAsia="Calibri" w:hAnsi="Times New Roman"/>
                <w:color w:val="000000"/>
                <w:lang w:val="en-US"/>
              </w:rPr>
            </w:pPr>
            <w:r w:rsidRPr="007D425D">
              <w:rPr>
                <w:rFonts w:ascii="Times New Roman" w:eastAsia="Calibri" w:hAnsi="Times New Roman"/>
                <w:color w:val="000000"/>
                <w:lang w:val="en-US"/>
              </w:rPr>
              <w:t>15:00 – 15:45</w:t>
            </w:r>
          </w:p>
        </w:tc>
        <w:tc>
          <w:tcPr>
            <w:tcW w:w="3827" w:type="dxa"/>
          </w:tcPr>
          <w:p w14:paraId="6B560E9A" w14:textId="77777777" w:rsidR="009D7378" w:rsidRPr="007D425D" w:rsidRDefault="009D7378" w:rsidP="007D425D">
            <w:pPr>
              <w:spacing w:after="200"/>
              <w:rPr>
                <w:rFonts w:ascii="Times New Roman" w:eastAsia="Calibri" w:hAnsi="Times New Roman"/>
                <w:color w:val="000000"/>
                <w:lang w:val="en-US"/>
              </w:rPr>
            </w:pPr>
            <w:r w:rsidRPr="007D425D">
              <w:rPr>
                <w:rFonts w:ascii="Times New Roman" w:eastAsia="Calibri" w:hAnsi="Times New Roman"/>
                <w:color w:val="000000"/>
                <w:lang w:val="en-US"/>
              </w:rPr>
              <w:t xml:space="preserve">Mr. Julius Munthali, EU. </w:t>
            </w:r>
            <w:r w:rsidRPr="007D425D">
              <w:rPr>
                <w:rFonts w:ascii="Times New Roman" w:eastAsia="Calibri" w:hAnsi="Times New Roman"/>
                <w:b/>
                <w:color w:val="000000"/>
                <w:lang w:val="en-US"/>
              </w:rPr>
              <w:t>Confirmed</w:t>
            </w:r>
          </w:p>
        </w:tc>
        <w:tc>
          <w:tcPr>
            <w:tcW w:w="2500" w:type="dxa"/>
          </w:tcPr>
          <w:p w14:paraId="5F7B171D" w14:textId="77777777" w:rsidR="009D7378" w:rsidRPr="007D425D" w:rsidRDefault="009D7378" w:rsidP="007D425D">
            <w:pPr>
              <w:spacing w:after="200"/>
              <w:rPr>
                <w:rFonts w:ascii="Times New Roman" w:eastAsia="Calibri" w:hAnsi="Times New Roman"/>
                <w:color w:val="000000"/>
                <w:lang w:val="en-US"/>
              </w:rPr>
            </w:pPr>
          </w:p>
        </w:tc>
      </w:tr>
      <w:tr w:rsidR="009D7378" w:rsidRPr="007D425D" w14:paraId="32546E52" w14:textId="77777777" w:rsidTr="00805BB4">
        <w:tc>
          <w:tcPr>
            <w:tcW w:w="2689" w:type="dxa"/>
          </w:tcPr>
          <w:p w14:paraId="0226825B" w14:textId="77777777" w:rsidR="009D7378" w:rsidRPr="007D425D" w:rsidRDefault="009D7378" w:rsidP="007D425D">
            <w:pPr>
              <w:spacing w:after="200"/>
              <w:rPr>
                <w:rFonts w:ascii="Times New Roman" w:eastAsia="Calibri" w:hAnsi="Times New Roman"/>
                <w:b/>
                <w:color w:val="000000"/>
                <w:lang w:val="en-US"/>
              </w:rPr>
            </w:pPr>
            <w:r w:rsidRPr="007D425D">
              <w:rPr>
                <w:rFonts w:ascii="Times New Roman" w:eastAsia="Calibri" w:hAnsi="Times New Roman"/>
                <w:b/>
                <w:color w:val="000000"/>
                <w:lang w:val="en-US"/>
              </w:rPr>
              <w:t>Tuesday, 10 Nov.2015</w:t>
            </w:r>
          </w:p>
        </w:tc>
        <w:tc>
          <w:tcPr>
            <w:tcW w:w="3827" w:type="dxa"/>
          </w:tcPr>
          <w:p w14:paraId="1A6394BC" w14:textId="77777777" w:rsidR="009D7378" w:rsidRPr="007D425D" w:rsidRDefault="009D7378" w:rsidP="007D425D">
            <w:pPr>
              <w:spacing w:after="200"/>
              <w:rPr>
                <w:rFonts w:ascii="Times New Roman" w:eastAsia="Calibri" w:hAnsi="Times New Roman"/>
                <w:color w:val="000000"/>
                <w:lang w:val="en-US"/>
              </w:rPr>
            </w:pPr>
          </w:p>
        </w:tc>
        <w:tc>
          <w:tcPr>
            <w:tcW w:w="2500" w:type="dxa"/>
          </w:tcPr>
          <w:p w14:paraId="794DA233" w14:textId="77777777" w:rsidR="009D7378" w:rsidRPr="007D425D" w:rsidRDefault="009D7378" w:rsidP="007D425D">
            <w:pPr>
              <w:spacing w:after="200"/>
              <w:rPr>
                <w:rFonts w:ascii="Times New Roman" w:eastAsia="Calibri" w:hAnsi="Times New Roman"/>
                <w:color w:val="000000"/>
                <w:lang w:val="en-US"/>
              </w:rPr>
            </w:pPr>
          </w:p>
        </w:tc>
      </w:tr>
      <w:tr w:rsidR="009D7378" w:rsidRPr="007D425D" w14:paraId="479A844C" w14:textId="77777777" w:rsidTr="00805BB4">
        <w:tc>
          <w:tcPr>
            <w:tcW w:w="2689" w:type="dxa"/>
          </w:tcPr>
          <w:p w14:paraId="6C1919ED" w14:textId="77777777" w:rsidR="009D7378" w:rsidRPr="007D425D" w:rsidRDefault="009D7378" w:rsidP="007D425D">
            <w:pPr>
              <w:spacing w:after="200"/>
              <w:rPr>
                <w:rFonts w:ascii="Times New Roman" w:eastAsia="Calibri" w:hAnsi="Times New Roman"/>
                <w:color w:val="000000"/>
                <w:lang w:val="en-US"/>
              </w:rPr>
            </w:pPr>
            <w:r w:rsidRPr="007D425D">
              <w:rPr>
                <w:rFonts w:ascii="Times New Roman" w:eastAsia="Calibri" w:hAnsi="Times New Roman"/>
                <w:color w:val="000000"/>
                <w:lang w:val="en-US"/>
              </w:rPr>
              <w:t>09:30 – 10:15</w:t>
            </w:r>
          </w:p>
        </w:tc>
        <w:tc>
          <w:tcPr>
            <w:tcW w:w="3827" w:type="dxa"/>
          </w:tcPr>
          <w:p w14:paraId="1A0486A5" w14:textId="77777777" w:rsidR="009D7378" w:rsidRPr="007D425D" w:rsidRDefault="009D7378" w:rsidP="007D425D">
            <w:pPr>
              <w:spacing w:after="200"/>
              <w:rPr>
                <w:rFonts w:ascii="Times New Roman" w:eastAsia="Calibri" w:hAnsi="Times New Roman"/>
                <w:color w:val="000000"/>
                <w:lang w:val="en-US"/>
              </w:rPr>
            </w:pPr>
            <w:r w:rsidRPr="007D425D">
              <w:rPr>
                <w:rFonts w:ascii="Calibri" w:eastAsia="Calibri" w:hAnsi="Calibri"/>
                <w:lang w:val="en-US"/>
              </w:rPr>
              <w:t>Dr. Rogaia Abdelrahim,</w:t>
            </w:r>
            <w:r w:rsidRPr="007D425D">
              <w:rPr>
                <w:rFonts w:ascii="Times New Roman" w:eastAsia="Calibri" w:hAnsi="Times New Roman"/>
                <w:color w:val="000000"/>
                <w:lang w:val="en-US"/>
              </w:rPr>
              <w:t xml:space="preserve"> Deputy UNFPA Representative. </w:t>
            </w:r>
            <w:r w:rsidRPr="007D425D">
              <w:rPr>
                <w:rFonts w:ascii="Times New Roman" w:eastAsia="Calibri" w:hAnsi="Times New Roman"/>
                <w:b/>
                <w:color w:val="000000"/>
                <w:lang w:val="en-US"/>
              </w:rPr>
              <w:t>Confirmed.</w:t>
            </w:r>
          </w:p>
        </w:tc>
        <w:tc>
          <w:tcPr>
            <w:tcW w:w="2500" w:type="dxa"/>
          </w:tcPr>
          <w:p w14:paraId="3AAE30FF" w14:textId="77777777" w:rsidR="009D7378" w:rsidRPr="007D425D" w:rsidRDefault="009D7378" w:rsidP="007D425D">
            <w:pPr>
              <w:spacing w:after="200"/>
              <w:rPr>
                <w:rFonts w:ascii="Times New Roman" w:eastAsia="Calibri" w:hAnsi="Times New Roman"/>
                <w:color w:val="000000"/>
                <w:lang w:val="en-US"/>
              </w:rPr>
            </w:pPr>
            <w:r w:rsidRPr="007D425D">
              <w:rPr>
                <w:rFonts w:ascii="Times New Roman" w:eastAsia="Calibri" w:hAnsi="Times New Roman"/>
                <w:color w:val="000000"/>
                <w:lang w:val="en-US"/>
              </w:rPr>
              <w:t>Evelyn Court, Area 13</w:t>
            </w:r>
          </w:p>
        </w:tc>
      </w:tr>
      <w:tr w:rsidR="009D7378" w:rsidRPr="007D425D" w14:paraId="4D73301E" w14:textId="77777777" w:rsidTr="00805BB4">
        <w:tc>
          <w:tcPr>
            <w:tcW w:w="2689" w:type="dxa"/>
          </w:tcPr>
          <w:p w14:paraId="0DD23366" w14:textId="77777777" w:rsidR="009D7378" w:rsidRPr="007D425D" w:rsidRDefault="009D7378" w:rsidP="007D425D">
            <w:pPr>
              <w:spacing w:after="200"/>
              <w:rPr>
                <w:rFonts w:ascii="Times New Roman" w:eastAsia="Calibri" w:hAnsi="Times New Roman"/>
                <w:color w:val="000000"/>
                <w:lang w:val="en-US"/>
              </w:rPr>
            </w:pPr>
            <w:r w:rsidRPr="007D425D">
              <w:rPr>
                <w:rFonts w:ascii="Times New Roman" w:eastAsia="Calibri" w:hAnsi="Times New Roman"/>
                <w:color w:val="000000"/>
                <w:lang w:val="en-US"/>
              </w:rPr>
              <w:t>10.30 – 11.15</w:t>
            </w:r>
          </w:p>
        </w:tc>
        <w:tc>
          <w:tcPr>
            <w:tcW w:w="3827" w:type="dxa"/>
          </w:tcPr>
          <w:p w14:paraId="540A9716" w14:textId="77777777" w:rsidR="009D7378" w:rsidRPr="007D425D" w:rsidRDefault="009D7378" w:rsidP="007D425D">
            <w:pPr>
              <w:spacing w:after="200"/>
              <w:rPr>
                <w:rFonts w:ascii="Times New Roman" w:eastAsia="Calibri" w:hAnsi="Times New Roman"/>
                <w:color w:val="000000"/>
                <w:lang w:val="en-US"/>
              </w:rPr>
            </w:pPr>
            <w:r w:rsidRPr="007D425D">
              <w:rPr>
                <w:rFonts w:ascii="Times New Roman" w:eastAsia="Calibri" w:hAnsi="Times New Roman"/>
                <w:color w:val="000000"/>
                <w:lang w:val="en-US"/>
              </w:rPr>
              <w:t xml:space="preserve">Mr. Michael Nyirenda, Royal Norwegian Embassy. </w:t>
            </w:r>
            <w:r w:rsidRPr="007D425D">
              <w:rPr>
                <w:rFonts w:ascii="Times New Roman" w:eastAsia="Calibri" w:hAnsi="Times New Roman"/>
                <w:b/>
                <w:color w:val="000000"/>
                <w:lang w:val="en-US"/>
              </w:rPr>
              <w:t>Confirmed</w:t>
            </w:r>
          </w:p>
        </w:tc>
        <w:tc>
          <w:tcPr>
            <w:tcW w:w="2500" w:type="dxa"/>
          </w:tcPr>
          <w:p w14:paraId="35530853" w14:textId="77777777" w:rsidR="009D7378" w:rsidRPr="007D425D" w:rsidRDefault="009D7378" w:rsidP="007D425D">
            <w:pPr>
              <w:spacing w:after="200"/>
              <w:rPr>
                <w:rFonts w:ascii="Times New Roman" w:eastAsia="Calibri" w:hAnsi="Times New Roman"/>
                <w:color w:val="000000"/>
                <w:lang w:val="en-US"/>
              </w:rPr>
            </w:pPr>
            <w:r w:rsidRPr="007D425D">
              <w:rPr>
                <w:rFonts w:ascii="Times New Roman" w:eastAsia="Calibri" w:hAnsi="Times New Roman"/>
                <w:color w:val="000000"/>
                <w:lang w:val="en-US"/>
              </w:rPr>
              <w:t>Arwa</w:t>
            </w:r>
          </w:p>
        </w:tc>
      </w:tr>
      <w:tr w:rsidR="009D7378" w:rsidRPr="007D425D" w14:paraId="1D8848D8" w14:textId="77777777" w:rsidTr="00805BB4">
        <w:tc>
          <w:tcPr>
            <w:tcW w:w="2689" w:type="dxa"/>
          </w:tcPr>
          <w:p w14:paraId="5709D22D" w14:textId="77777777" w:rsidR="009D7378" w:rsidRPr="007D425D" w:rsidRDefault="009D7378" w:rsidP="007D425D">
            <w:pPr>
              <w:spacing w:after="200"/>
              <w:rPr>
                <w:rFonts w:ascii="Times New Roman" w:eastAsia="Calibri" w:hAnsi="Times New Roman"/>
                <w:color w:val="000000"/>
                <w:lang w:val="en-US"/>
              </w:rPr>
            </w:pPr>
            <w:r w:rsidRPr="007D425D">
              <w:rPr>
                <w:rFonts w:ascii="Times New Roman" w:eastAsia="Calibri" w:hAnsi="Times New Roman"/>
                <w:color w:val="000000"/>
                <w:lang w:val="en-US"/>
              </w:rPr>
              <w:lastRenderedPageBreak/>
              <w:t>14:00 – 14:45</w:t>
            </w:r>
          </w:p>
        </w:tc>
        <w:tc>
          <w:tcPr>
            <w:tcW w:w="3827" w:type="dxa"/>
          </w:tcPr>
          <w:p w14:paraId="2ED0FC0A" w14:textId="77777777" w:rsidR="009D7378" w:rsidRPr="007D425D" w:rsidRDefault="009D7378" w:rsidP="007D425D">
            <w:pPr>
              <w:spacing w:after="200"/>
              <w:rPr>
                <w:rFonts w:ascii="Times New Roman" w:eastAsia="Calibri" w:hAnsi="Times New Roman"/>
                <w:color w:val="000000"/>
                <w:lang w:val="en-US"/>
              </w:rPr>
            </w:pPr>
            <w:r w:rsidRPr="007D425D">
              <w:rPr>
                <w:rFonts w:ascii="Times New Roman" w:eastAsia="Calibri" w:hAnsi="Times New Roman"/>
                <w:color w:val="000000"/>
                <w:lang w:val="en-US"/>
              </w:rPr>
              <w:t xml:space="preserve">Ms. Roisin De Burca, Deputy UNICEF Representative. </w:t>
            </w:r>
            <w:r w:rsidRPr="007D425D">
              <w:rPr>
                <w:rFonts w:ascii="Times New Roman" w:eastAsia="Calibri" w:hAnsi="Times New Roman"/>
                <w:b/>
                <w:color w:val="000000"/>
                <w:lang w:val="en-US"/>
              </w:rPr>
              <w:t>Confirmed</w:t>
            </w:r>
          </w:p>
        </w:tc>
        <w:tc>
          <w:tcPr>
            <w:tcW w:w="2500" w:type="dxa"/>
          </w:tcPr>
          <w:p w14:paraId="2261D07E" w14:textId="77777777" w:rsidR="009D7378" w:rsidRPr="007D425D" w:rsidRDefault="009D7378" w:rsidP="007D425D">
            <w:pPr>
              <w:spacing w:after="200"/>
              <w:rPr>
                <w:rFonts w:ascii="Times New Roman" w:eastAsia="Calibri" w:hAnsi="Times New Roman"/>
                <w:color w:val="000000"/>
                <w:lang w:val="en-US"/>
              </w:rPr>
            </w:pPr>
            <w:r w:rsidRPr="007D425D">
              <w:rPr>
                <w:rFonts w:ascii="Times New Roman" w:eastAsia="Calibri" w:hAnsi="Times New Roman"/>
                <w:color w:val="000000"/>
                <w:lang w:val="en-US"/>
              </w:rPr>
              <w:t>UNICEF House</w:t>
            </w:r>
          </w:p>
        </w:tc>
      </w:tr>
      <w:tr w:rsidR="009D7378" w:rsidRPr="007D425D" w14:paraId="17E71439" w14:textId="77777777" w:rsidTr="00805BB4">
        <w:tc>
          <w:tcPr>
            <w:tcW w:w="2689" w:type="dxa"/>
          </w:tcPr>
          <w:p w14:paraId="105F3C7F" w14:textId="77777777" w:rsidR="009D7378" w:rsidRPr="007D425D" w:rsidRDefault="009D7378" w:rsidP="007D425D">
            <w:pPr>
              <w:spacing w:after="200"/>
              <w:jc w:val="left"/>
              <w:rPr>
                <w:rFonts w:ascii="Times New Roman" w:eastAsia="Calibri" w:hAnsi="Times New Roman"/>
                <w:b/>
                <w:color w:val="000000"/>
                <w:lang w:val="en-US"/>
              </w:rPr>
            </w:pPr>
            <w:r w:rsidRPr="007D425D">
              <w:rPr>
                <w:rFonts w:ascii="Times New Roman" w:eastAsia="Calibri" w:hAnsi="Times New Roman"/>
                <w:b/>
                <w:color w:val="000000"/>
                <w:lang w:val="en-US"/>
              </w:rPr>
              <w:t>Wednesday,  11 Nov.,  2015</w:t>
            </w:r>
          </w:p>
        </w:tc>
        <w:tc>
          <w:tcPr>
            <w:tcW w:w="3827" w:type="dxa"/>
          </w:tcPr>
          <w:p w14:paraId="30A08631" w14:textId="77777777" w:rsidR="009D7378" w:rsidRPr="007D425D" w:rsidRDefault="009D7378" w:rsidP="007D425D">
            <w:pPr>
              <w:spacing w:after="0"/>
              <w:rPr>
                <w:rFonts w:ascii="Times New Roman" w:eastAsia="Calibri" w:hAnsi="Times New Roman"/>
                <w:color w:val="000000"/>
                <w:lang w:val="en-US"/>
              </w:rPr>
            </w:pPr>
          </w:p>
        </w:tc>
        <w:tc>
          <w:tcPr>
            <w:tcW w:w="2500" w:type="dxa"/>
          </w:tcPr>
          <w:p w14:paraId="1948C62B" w14:textId="77777777" w:rsidR="009D7378" w:rsidRPr="007D425D" w:rsidRDefault="009D7378" w:rsidP="007D425D">
            <w:pPr>
              <w:spacing w:after="200"/>
              <w:rPr>
                <w:rFonts w:ascii="Times New Roman" w:eastAsia="Calibri" w:hAnsi="Times New Roman"/>
                <w:color w:val="000000"/>
                <w:lang w:val="en-US"/>
              </w:rPr>
            </w:pPr>
          </w:p>
        </w:tc>
      </w:tr>
      <w:tr w:rsidR="009D7378" w:rsidRPr="007D425D" w14:paraId="47B693A5" w14:textId="77777777" w:rsidTr="00805BB4">
        <w:tc>
          <w:tcPr>
            <w:tcW w:w="2689" w:type="dxa"/>
          </w:tcPr>
          <w:p w14:paraId="16FF95D1" w14:textId="77777777" w:rsidR="009D7378" w:rsidRPr="007D425D" w:rsidRDefault="009D7378" w:rsidP="007D425D">
            <w:pPr>
              <w:spacing w:after="200"/>
              <w:rPr>
                <w:rFonts w:ascii="Times New Roman" w:eastAsia="Calibri" w:hAnsi="Times New Roman"/>
                <w:color w:val="000000"/>
                <w:lang w:val="en-US"/>
              </w:rPr>
            </w:pPr>
            <w:r w:rsidRPr="007D425D">
              <w:rPr>
                <w:rFonts w:ascii="Times New Roman" w:eastAsia="Calibri" w:hAnsi="Times New Roman"/>
                <w:color w:val="000000"/>
                <w:lang w:val="en-US"/>
              </w:rPr>
              <w:t>09:00 – 09:45</w:t>
            </w:r>
          </w:p>
        </w:tc>
        <w:tc>
          <w:tcPr>
            <w:tcW w:w="3827" w:type="dxa"/>
          </w:tcPr>
          <w:p w14:paraId="662334DC" w14:textId="77777777" w:rsidR="009D7378" w:rsidRPr="007D425D" w:rsidRDefault="009D7378" w:rsidP="007D425D">
            <w:pPr>
              <w:spacing w:after="0"/>
              <w:rPr>
                <w:rFonts w:ascii="Times New Roman" w:eastAsia="Calibri" w:hAnsi="Times New Roman"/>
                <w:color w:val="000000"/>
                <w:lang w:val="en-US"/>
              </w:rPr>
            </w:pPr>
            <w:r w:rsidRPr="007D425D">
              <w:rPr>
                <w:rFonts w:ascii="Times New Roman" w:eastAsia="Calibri" w:hAnsi="Times New Roman"/>
                <w:color w:val="000000"/>
                <w:lang w:val="en-US"/>
              </w:rPr>
              <w:t xml:space="preserve">Mr. R. Mapemba, Deputy Clerk of Parliament. </w:t>
            </w:r>
            <w:r w:rsidRPr="007D425D">
              <w:rPr>
                <w:rFonts w:ascii="Times New Roman" w:eastAsia="Calibri" w:hAnsi="Times New Roman"/>
                <w:b/>
                <w:color w:val="000000"/>
                <w:lang w:val="en-US"/>
              </w:rPr>
              <w:t>Confirmed</w:t>
            </w:r>
          </w:p>
        </w:tc>
        <w:tc>
          <w:tcPr>
            <w:tcW w:w="2500" w:type="dxa"/>
          </w:tcPr>
          <w:p w14:paraId="6FAFD621" w14:textId="77777777" w:rsidR="009D7378" w:rsidRPr="007D425D" w:rsidRDefault="009D7378" w:rsidP="007D425D">
            <w:pPr>
              <w:spacing w:after="200"/>
              <w:rPr>
                <w:rFonts w:ascii="Times New Roman" w:eastAsia="Calibri" w:hAnsi="Times New Roman"/>
                <w:color w:val="000000"/>
                <w:lang w:val="en-US"/>
              </w:rPr>
            </w:pPr>
            <w:r w:rsidRPr="007D425D">
              <w:rPr>
                <w:rFonts w:ascii="Times New Roman" w:eastAsia="Calibri" w:hAnsi="Times New Roman"/>
                <w:color w:val="000000"/>
                <w:lang w:val="en-US"/>
              </w:rPr>
              <w:t>Parliament Building</w:t>
            </w:r>
          </w:p>
        </w:tc>
      </w:tr>
      <w:tr w:rsidR="009D7378" w:rsidRPr="007D425D" w14:paraId="0D35F686" w14:textId="77777777" w:rsidTr="00805BB4">
        <w:tc>
          <w:tcPr>
            <w:tcW w:w="2689" w:type="dxa"/>
          </w:tcPr>
          <w:p w14:paraId="424AEAE5" w14:textId="77777777" w:rsidR="009D7378" w:rsidRPr="007D425D" w:rsidRDefault="009D7378" w:rsidP="007D425D">
            <w:pPr>
              <w:spacing w:after="200"/>
              <w:rPr>
                <w:rFonts w:ascii="Times New Roman" w:eastAsia="Calibri" w:hAnsi="Times New Roman"/>
                <w:color w:val="000000"/>
                <w:lang w:val="en-US"/>
              </w:rPr>
            </w:pPr>
            <w:r w:rsidRPr="007D425D">
              <w:rPr>
                <w:rFonts w:ascii="Times New Roman" w:eastAsia="Calibri" w:hAnsi="Times New Roman"/>
                <w:color w:val="000000"/>
                <w:lang w:val="en-US"/>
              </w:rPr>
              <w:t>10:00 – 10.45</w:t>
            </w:r>
          </w:p>
        </w:tc>
        <w:tc>
          <w:tcPr>
            <w:tcW w:w="3827" w:type="dxa"/>
          </w:tcPr>
          <w:p w14:paraId="4F2237BF" w14:textId="77777777" w:rsidR="009D7378" w:rsidRPr="007D425D" w:rsidRDefault="009D7378" w:rsidP="007D425D">
            <w:pPr>
              <w:spacing w:after="0"/>
              <w:rPr>
                <w:rFonts w:ascii="Times New Roman" w:eastAsia="Calibri" w:hAnsi="Times New Roman"/>
                <w:color w:val="000000"/>
                <w:lang w:val="en-US"/>
              </w:rPr>
            </w:pPr>
            <w:r w:rsidRPr="007D425D">
              <w:rPr>
                <w:rFonts w:ascii="Times New Roman" w:eastAsia="Calibri" w:hAnsi="Times New Roman"/>
                <w:color w:val="000000"/>
                <w:lang w:val="en-US"/>
              </w:rPr>
              <w:t xml:space="preserve">Mr. Amani Mussa, Programme Manager, DCP.  </w:t>
            </w:r>
            <w:r w:rsidRPr="007D425D">
              <w:rPr>
                <w:rFonts w:ascii="Times New Roman" w:eastAsia="Calibri" w:hAnsi="Times New Roman"/>
                <w:b/>
                <w:color w:val="000000"/>
                <w:lang w:val="en-US"/>
              </w:rPr>
              <w:t>Confirmed</w:t>
            </w:r>
          </w:p>
        </w:tc>
        <w:tc>
          <w:tcPr>
            <w:tcW w:w="2500" w:type="dxa"/>
          </w:tcPr>
          <w:p w14:paraId="6EC16B15" w14:textId="77777777" w:rsidR="009D7378" w:rsidRPr="007D425D" w:rsidRDefault="009D7378" w:rsidP="007D425D">
            <w:pPr>
              <w:spacing w:after="200"/>
              <w:rPr>
                <w:rFonts w:ascii="Times New Roman" w:eastAsia="Calibri" w:hAnsi="Times New Roman"/>
                <w:color w:val="000000"/>
                <w:lang w:val="en-US"/>
              </w:rPr>
            </w:pPr>
            <w:r w:rsidRPr="007D425D">
              <w:rPr>
                <w:rFonts w:ascii="Times New Roman" w:eastAsia="Calibri" w:hAnsi="Times New Roman"/>
                <w:color w:val="000000"/>
                <w:lang w:val="en-US"/>
              </w:rPr>
              <w:t>Filimoni House, City Centre</w:t>
            </w:r>
          </w:p>
        </w:tc>
      </w:tr>
      <w:tr w:rsidR="009D7378" w:rsidRPr="007D425D" w14:paraId="1D64EF11" w14:textId="77777777" w:rsidTr="00805BB4">
        <w:tc>
          <w:tcPr>
            <w:tcW w:w="2689" w:type="dxa"/>
          </w:tcPr>
          <w:p w14:paraId="6A3F29C0" w14:textId="77777777" w:rsidR="009D7378" w:rsidRPr="007D425D" w:rsidRDefault="009D7378" w:rsidP="007D425D">
            <w:pPr>
              <w:spacing w:after="200"/>
              <w:rPr>
                <w:rFonts w:ascii="Times New Roman" w:eastAsia="Calibri" w:hAnsi="Times New Roman"/>
                <w:color w:val="000000"/>
                <w:lang w:val="en-US"/>
              </w:rPr>
            </w:pPr>
            <w:r w:rsidRPr="007D425D">
              <w:rPr>
                <w:rFonts w:ascii="Times New Roman" w:eastAsia="Calibri" w:hAnsi="Times New Roman"/>
                <w:color w:val="000000"/>
                <w:lang w:val="en-US"/>
              </w:rPr>
              <w:t>14:00 – 14:45</w:t>
            </w:r>
          </w:p>
        </w:tc>
        <w:tc>
          <w:tcPr>
            <w:tcW w:w="3827" w:type="dxa"/>
          </w:tcPr>
          <w:p w14:paraId="14319800" w14:textId="77777777" w:rsidR="009D7378" w:rsidRPr="007D425D" w:rsidRDefault="009D7378" w:rsidP="007D425D">
            <w:pPr>
              <w:spacing w:after="200"/>
              <w:rPr>
                <w:rFonts w:ascii="Times New Roman" w:eastAsia="Calibri" w:hAnsi="Times New Roman"/>
                <w:color w:val="000000"/>
              </w:rPr>
            </w:pPr>
            <w:r w:rsidRPr="007D425D">
              <w:rPr>
                <w:rFonts w:ascii="Times New Roman" w:eastAsia="Calibri" w:hAnsi="Times New Roman"/>
                <w:color w:val="000000"/>
              </w:rPr>
              <w:t>Dr. Janet Banda, Solicitor General, MoJCA</w:t>
            </w:r>
          </w:p>
          <w:p w14:paraId="4DA0E508" w14:textId="77777777" w:rsidR="009D7378" w:rsidRPr="007D425D" w:rsidRDefault="009D7378" w:rsidP="007D425D">
            <w:pPr>
              <w:spacing w:after="200"/>
              <w:rPr>
                <w:rFonts w:ascii="Times New Roman" w:eastAsia="Calibri" w:hAnsi="Times New Roman"/>
                <w:b/>
                <w:color w:val="000000"/>
                <w:lang w:val="en-US"/>
              </w:rPr>
            </w:pPr>
            <w:r w:rsidRPr="007D425D">
              <w:rPr>
                <w:rFonts w:ascii="Times New Roman" w:eastAsia="Calibri" w:hAnsi="Times New Roman"/>
                <w:b/>
                <w:color w:val="000000"/>
                <w:lang w:val="en-US"/>
              </w:rPr>
              <w:t>Confirmed</w:t>
            </w:r>
          </w:p>
        </w:tc>
        <w:tc>
          <w:tcPr>
            <w:tcW w:w="2500" w:type="dxa"/>
          </w:tcPr>
          <w:p w14:paraId="307F441E" w14:textId="77777777" w:rsidR="009D7378" w:rsidRPr="007D425D" w:rsidRDefault="009D7378" w:rsidP="007D425D">
            <w:pPr>
              <w:spacing w:after="200"/>
              <w:rPr>
                <w:rFonts w:ascii="Times New Roman" w:eastAsia="Calibri" w:hAnsi="Times New Roman"/>
                <w:color w:val="000000"/>
                <w:lang w:val="en-US"/>
              </w:rPr>
            </w:pPr>
            <w:r w:rsidRPr="007D425D">
              <w:rPr>
                <w:rFonts w:ascii="Times New Roman" w:eastAsia="Calibri" w:hAnsi="Times New Roman"/>
                <w:color w:val="000000"/>
                <w:lang w:val="en-US"/>
              </w:rPr>
              <w:t>Capital Hill</w:t>
            </w:r>
          </w:p>
        </w:tc>
      </w:tr>
      <w:tr w:rsidR="009D7378" w:rsidRPr="007D425D" w14:paraId="354699E1" w14:textId="77777777" w:rsidTr="00805BB4">
        <w:tc>
          <w:tcPr>
            <w:tcW w:w="2689" w:type="dxa"/>
          </w:tcPr>
          <w:p w14:paraId="4434338C" w14:textId="77777777" w:rsidR="009D7378" w:rsidRPr="007D425D" w:rsidRDefault="009D7378" w:rsidP="007D425D">
            <w:pPr>
              <w:spacing w:after="200"/>
              <w:rPr>
                <w:rFonts w:ascii="Times New Roman" w:eastAsia="Calibri" w:hAnsi="Times New Roman"/>
                <w:b/>
                <w:color w:val="000000"/>
                <w:lang w:val="en-US"/>
              </w:rPr>
            </w:pPr>
            <w:r w:rsidRPr="007D425D">
              <w:rPr>
                <w:rFonts w:ascii="Times New Roman" w:eastAsia="Calibri" w:hAnsi="Times New Roman"/>
                <w:b/>
                <w:color w:val="000000"/>
                <w:lang w:val="en-US"/>
              </w:rPr>
              <w:t>Thursday, 12 Nov., 2015</w:t>
            </w:r>
          </w:p>
        </w:tc>
        <w:tc>
          <w:tcPr>
            <w:tcW w:w="3827" w:type="dxa"/>
          </w:tcPr>
          <w:p w14:paraId="21AA4991" w14:textId="77777777" w:rsidR="009D7378" w:rsidRPr="007D425D" w:rsidRDefault="009D7378" w:rsidP="007D425D">
            <w:pPr>
              <w:spacing w:after="200"/>
              <w:rPr>
                <w:rFonts w:ascii="Times New Roman" w:eastAsia="Calibri" w:hAnsi="Times New Roman"/>
                <w:color w:val="000000"/>
                <w:lang w:val="en-US"/>
              </w:rPr>
            </w:pPr>
          </w:p>
        </w:tc>
        <w:tc>
          <w:tcPr>
            <w:tcW w:w="2500" w:type="dxa"/>
          </w:tcPr>
          <w:p w14:paraId="1CD51300" w14:textId="77777777" w:rsidR="009D7378" w:rsidRPr="007D425D" w:rsidRDefault="009D7378" w:rsidP="007D425D">
            <w:pPr>
              <w:spacing w:after="200"/>
              <w:rPr>
                <w:rFonts w:ascii="Times New Roman" w:eastAsia="Calibri" w:hAnsi="Times New Roman"/>
                <w:color w:val="000000"/>
                <w:lang w:val="en-US"/>
              </w:rPr>
            </w:pPr>
          </w:p>
        </w:tc>
      </w:tr>
      <w:tr w:rsidR="009D7378" w:rsidRPr="007D425D" w14:paraId="4E5BA74B" w14:textId="77777777" w:rsidTr="00805BB4">
        <w:tc>
          <w:tcPr>
            <w:tcW w:w="2689" w:type="dxa"/>
          </w:tcPr>
          <w:p w14:paraId="708A0D06" w14:textId="77777777" w:rsidR="009D7378" w:rsidRPr="007D425D" w:rsidRDefault="009D7378" w:rsidP="007D425D">
            <w:pPr>
              <w:spacing w:after="200"/>
              <w:rPr>
                <w:rFonts w:ascii="Times New Roman" w:eastAsia="Calibri" w:hAnsi="Times New Roman"/>
                <w:color w:val="000000"/>
                <w:lang w:val="en-US"/>
              </w:rPr>
            </w:pPr>
            <w:r w:rsidRPr="007D425D">
              <w:rPr>
                <w:rFonts w:ascii="Times New Roman" w:eastAsia="Calibri" w:hAnsi="Times New Roman"/>
                <w:color w:val="000000"/>
                <w:lang w:val="en-US"/>
              </w:rPr>
              <w:t>10:00 – 10:45</w:t>
            </w:r>
          </w:p>
        </w:tc>
        <w:tc>
          <w:tcPr>
            <w:tcW w:w="3827" w:type="dxa"/>
          </w:tcPr>
          <w:p w14:paraId="7B229989" w14:textId="77777777" w:rsidR="009D7378" w:rsidRPr="007D425D" w:rsidRDefault="009D7378" w:rsidP="007D425D">
            <w:pPr>
              <w:spacing w:after="200"/>
              <w:rPr>
                <w:rFonts w:ascii="Times New Roman" w:eastAsia="Calibri" w:hAnsi="Times New Roman"/>
                <w:color w:val="000000"/>
                <w:lang w:val="en-US"/>
              </w:rPr>
            </w:pPr>
            <w:r w:rsidRPr="007D425D">
              <w:rPr>
                <w:rFonts w:ascii="Times New Roman" w:eastAsia="Calibri" w:hAnsi="Times New Roman"/>
                <w:color w:val="000000"/>
                <w:lang w:val="en-US"/>
              </w:rPr>
              <w:t xml:space="preserve">UNFPA  </w:t>
            </w:r>
            <w:r w:rsidRPr="007D425D">
              <w:rPr>
                <w:rFonts w:ascii="Times New Roman" w:eastAsia="Calibri" w:hAnsi="Times New Roman"/>
                <w:b/>
                <w:color w:val="000000"/>
                <w:lang w:val="en-US"/>
              </w:rPr>
              <w:t>Confirmed</w:t>
            </w:r>
          </w:p>
        </w:tc>
        <w:tc>
          <w:tcPr>
            <w:tcW w:w="2500" w:type="dxa"/>
          </w:tcPr>
          <w:p w14:paraId="79690E6F" w14:textId="77777777" w:rsidR="009D7378" w:rsidRPr="007D425D" w:rsidRDefault="009D7378" w:rsidP="007D425D">
            <w:pPr>
              <w:spacing w:after="200"/>
              <w:rPr>
                <w:rFonts w:ascii="Times New Roman" w:eastAsia="Calibri" w:hAnsi="Times New Roman"/>
                <w:color w:val="000000"/>
                <w:lang w:val="en-US"/>
              </w:rPr>
            </w:pPr>
          </w:p>
        </w:tc>
      </w:tr>
      <w:tr w:rsidR="009D7378" w:rsidRPr="007D425D" w14:paraId="0B9F1740" w14:textId="77777777" w:rsidTr="00805BB4">
        <w:tc>
          <w:tcPr>
            <w:tcW w:w="2689" w:type="dxa"/>
          </w:tcPr>
          <w:p w14:paraId="2D2DC289" w14:textId="77777777" w:rsidR="009D7378" w:rsidRPr="007D425D" w:rsidRDefault="009D7378" w:rsidP="007D425D">
            <w:pPr>
              <w:spacing w:after="200"/>
              <w:rPr>
                <w:rFonts w:ascii="Times New Roman" w:eastAsia="Calibri" w:hAnsi="Times New Roman"/>
                <w:color w:val="000000"/>
                <w:lang w:val="en-US"/>
              </w:rPr>
            </w:pPr>
            <w:r w:rsidRPr="007D425D">
              <w:rPr>
                <w:rFonts w:ascii="Times New Roman" w:eastAsia="Calibri" w:hAnsi="Times New Roman"/>
                <w:color w:val="000000"/>
                <w:lang w:val="en-US"/>
              </w:rPr>
              <w:t>11::00 – 11:45</w:t>
            </w:r>
          </w:p>
        </w:tc>
        <w:tc>
          <w:tcPr>
            <w:tcW w:w="3827" w:type="dxa"/>
          </w:tcPr>
          <w:p w14:paraId="4F8CD6E3" w14:textId="77777777" w:rsidR="009D7378" w:rsidRPr="007D425D" w:rsidRDefault="009D7378" w:rsidP="007D425D">
            <w:pPr>
              <w:spacing w:after="200"/>
              <w:rPr>
                <w:rFonts w:ascii="Times New Roman" w:eastAsia="Calibri" w:hAnsi="Times New Roman"/>
                <w:color w:val="000000"/>
                <w:lang w:val="en-US"/>
              </w:rPr>
            </w:pPr>
            <w:r w:rsidRPr="007D425D">
              <w:rPr>
                <w:rFonts w:ascii="Times New Roman" w:eastAsia="Calibri" w:hAnsi="Times New Roman"/>
                <w:color w:val="000000"/>
                <w:lang w:val="en-US"/>
              </w:rPr>
              <w:t xml:space="preserve">Director of Planning and Development, Lilongwe District Council. </w:t>
            </w:r>
            <w:r w:rsidRPr="007D425D">
              <w:rPr>
                <w:rFonts w:ascii="Times New Roman" w:eastAsia="Calibri" w:hAnsi="Times New Roman"/>
                <w:b/>
                <w:color w:val="000000"/>
                <w:lang w:val="en-US"/>
              </w:rPr>
              <w:t>Confirmed</w:t>
            </w:r>
          </w:p>
        </w:tc>
        <w:tc>
          <w:tcPr>
            <w:tcW w:w="2500" w:type="dxa"/>
          </w:tcPr>
          <w:p w14:paraId="691CA97D" w14:textId="77777777" w:rsidR="009D7378" w:rsidRPr="007D425D" w:rsidRDefault="009D7378" w:rsidP="007D425D">
            <w:pPr>
              <w:spacing w:after="200"/>
              <w:rPr>
                <w:rFonts w:ascii="Times New Roman" w:eastAsia="Calibri" w:hAnsi="Times New Roman"/>
                <w:color w:val="000000"/>
                <w:lang w:val="en-US"/>
              </w:rPr>
            </w:pPr>
            <w:r w:rsidRPr="007D425D">
              <w:rPr>
                <w:rFonts w:ascii="Times New Roman" w:eastAsia="Calibri" w:hAnsi="Times New Roman"/>
                <w:color w:val="000000"/>
                <w:lang w:val="en-US"/>
              </w:rPr>
              <w:t>DC’s Office01756110/0888641596</w:t>
            </w:r>
          </w:p>
        </w:tc>
      </w:tr>
      <w:tr w:rsidR="009D7378" w:rsidRPr="007D425D" w14:paraId="00F3F0D4" w14:textId="77777777" w:rsidTr="00805BB4">
        <w:tc>
          <w:tcPr>
            <w:tcW w:w="2689" w:type="dxa"/>
          </w:tcPr>
          <w:p w14:paraId="714BA8DF" w14:textId="77777777" w:rsidR="009D7378" w:rsidRPr="007D425D" w:rsidRDefault="009D7378" w:rsidP="007D425D">
            <w:pPr>
              <w:spacing w:after="200"/>
              <w:rPr>
                <w:rFonts w:ascii="Times New Roman" w:eastAsia="Calibri" w:hAnsi="Times New Roman"/>
                <w:color w:val="000000"/>
                <w:lang w:val="en-US"/>
              </w:rPr>
            </w:pPr>
            <w:r w:rsidRPr="007D425D">
              <w:rPr>
                <w:rFonts w:ascii="Times New Roman" w:eastAsia="Calibri" w:hAnsi="Times New Roman"/>
                <w:color w:val="000000"/>
                <w:lang w:val="en-US"/>
              </w:rPr>
              <w:t>12:00 – 12:45</w:t>
            </w:r>
          </w:p>
        </w:tc>
        <w:tc>
          <w:tcPr>
            <w:tcW w:w="3827" w:type="dxa"/>
          </w:tcPr>
          <w:p w14:paraId="7E9A5CCF" w14:textId="77777777" w:rsidR="009D7378" w:rsidRPr="007D425D" w:rsidRDefault="009D7378" w:rsidP="007D425D">
            <w:pPr>
              <w:spacing w:after="200"/>
              <w:rPr>
                <w:rFonts w:ascii="Times New Roman" w:eastAsia="Calibri" w:hAnsi="Times New Roman"/>
                <w:color w:val="000000"/>
                <w:lang w:val="en-US"/>
              </w:rPr>
            </w:pPr>
            <w:r w:rsidRPr="007D425D">
              <w:rPr>
                <w:rFonts w:ascii="Times New Roman" w:eastAsia="Calibri" w:hAnsi="Times New Roman"/>
                <w:color w:val="000000"/>
                <w:lang w:val="en-US"/>
              </w:rPr>
              <w:t xml:space="preserve">Ms. Alice Shackelford, UN Women. </w:t>
            </w:r>
            <w:r w:rsidRPr="007D425D">
              <w:rPr>
                <w:rFonts w:ascii="Times New Roman" w:eastAsia="Calibri" w:hAnsi="Times New Roman"/>
                <w:b/>
                <w:color w:val="000000"/>
                <w:lang w:val="en-US"/>
              </w:rPr>
              <w:t>Confirmed</w:t>
            </w:r>
          </w:p>
        </w:tc>
        <w:tc>
          <w:tcPr>
            <w:tcW w:w="2500" w:type="dxa"/>
          </w:tcPr>
          <w:p w14:paraId="02E75D53" w14:textId="77777777" w:rsidR="009D7378" w:rsidRPr="007D425D" w:rsidRDefault="009D7378" w:rsidP="007D425D">
            <w:pPr>
              <w:spacing w:after="200"/>
              <w:rPr>
                <w:rFonts w:ascii="Times New Roman" w:eastAsia="Calibri" w:hAnsi="Times New Roman"/>
                <w:color w:val="000000"/>
                <w:lang w:val="en-US"/>
              </w:rPr>
            </w:pPr>
            <w:r w:rsidRPr="007D425D">
              <w:rPr>
                <w:rFonts w:ascii="Times New Roman" w:eastAsia="Calibri" w:hAnsi="Times New Roman"/>
                <w:color w:val="000000"/>
                <w:lang w:val="en-US"/>
              </w:rPr>
              <w:t>Evelyn Court, Area 13</w:t>
            </w:r>
          </w:p>
        </w:tc>
      </w:tr>
      <w:tr w:rsidR="009D7378" w:rsidRPr="007D425D" w14:paraId="314F3188" w14:textId="77777777" w:rsidTr="00805BB4">
        <w:tc>
          <w:tcPr>
            <w:tcW w:w="2689" w:type="dxa"/>
          </w:tcPr>
          <w:p w14:paraId="296AA6EC" w14:textId="77777777" w:rsidR="009D7378" w:rsidRPr="007D425D" w:rsidRDefault="009D7378" w:rsidP="007D425D">
            <w:pPr>
              <w:spacing w:after="200"/>
              <w:rPr>
                <w:rFonts w:ascii="Times New Roman" w:eastAsia="Calibri" w:hAnsi="Times New Roman"/>
                <w:color w:val="000000"/>
                <w:lang w:val="en-US"/>
              </w:rPr>
            </w:pPr>
            <w:r w:rsidRPr="007D425D">
              <w:rPr>
                <w:rFonts w:ascii="Times New Roman" w:eastAsia="Calibri" w:hAnsi="Times New Roman"/>
                <w:color w:val="000000"/>
                <w:lang w:val="en-US"/>
              </w:rPr>
              <w:t>13:00-17:00</w:t>
            </w:r>
          </w:p>
        </w:tc>
        <w:tc>
          <w:tcPr>
            <w:tcW w:w="3827" w:type="dxa"/>
          </w:tcPr>
          <w:p w14:paraId="7B927528" w14:textId="77777777" w:rsidR="009D7378" w:rsidRPr="007D425D" w:rsidRDefault="009D7378" w:rsidP="007D425D">
            <w:pPr>
              <w:spacing w:after="0"/>
              <w:rPr>
                <w:rFonts w:ascii="Times New Roman" w:eastAsia="Calibri" w:hAnsi="Times New Roman"/>
                <w:color w:val="000000"/>
                <w:lang w:val="en-US"/>
              </w:rPr>
            </w:pPr>
            <w:r w:rsidRPr="007D425D">
              <w:rPr>
                <w:rFonts w:ascii="Times New Roman" w:eastAsia="Calibri" w:hAnsi="Times New Roman"/>
                <w:color w:val="000000"/>
                <w:lang w:val="en-US"/>
              </w:rPr>
              <w:t>Decentralisation/IRD SWG</w:t>
            </w:r>
          </w:p>
        </w:tc>
        <w:tc>
          <w:tcPr>
            <w:tcW w:w="2500" w:type="dxa"/>
          </w:tcPr>
          <w:p w14:paraId="3CA56CE4" w14:textId="77777777" w:rsidR="009D7378" w:rsidRPr="007D425D" w:rsidRDefault="009D7378" w:rsidP="007D425D">
            <w:pPr>
              <w:spacing w:after="200"/>
              <w:rPr>
                <w:rFonts w:ascii="Times New Roman" w:eastAsia="Calibri" w:hAnsi="Times New Roman"/>
                <w:color w:val="000000"/>
                <w:lang w:val="en-US"/>
              </w:rPr>
            </w:pPr>
            <w:r w:rsidRPr="007D425D">
              <w:rPr>
                <w:rFonts w:ascii="Times New Roman" w:eastAsia="Calibri" w:hAnsi="Times New Roman"/>
                <w:color w:val="000000"/>
                <w:lang w:val="en-US"/>
              </w:rPr>
              <w:t>Sunbird Capital</w:t>
            </w:r>
          </w:p>
        </w:tc>
      </w:tr>
      <w:tr w:rsidR="009D7378" w:rsidRPr="007D425D" w14:paraId="7D02F6C3" w14:textId="77777777" w:rsidTr="00805BB4">
        <w:tc>
          <w:tcPr>
            <w:tcW w:w="2689" w:type="dxa"/>
          </w:tcPr>
          <w:p w14:paraId="462C0BEB" w14:textId="77777777" w:rsidR="009D7378" w:rsidRPr="007D425D" w:rsidRDefault="009D7378" w:rsidP="007D425D">
            <w:pPr>
              <w:spacing w:after="200"/>
              <w:rPr>
                <w:rFonts w:ascii="Times New Roman" w:eastAsia="Calibri" w:hAnsi="Times New Roman"/>
                <w:b/>
                <w:color w:val="000000"/>
                <w:lang w:val="en-US"/>
              </w:rPr>
            </w:pPr>
            <w:r w:rsidRPr="007D425D">
              <w:rPr>
                <w:rFonts w:ascii="Times New Roman" w:eastAsia="Calibri" w:hAnsi="Times New Roman"/>
                <w:b/>
                <w:color w:val="000000"/>
                <w:lang w:val="en-US"/>
              </w:rPr>
              <w:t>Friday, 13 Nov., 2015</w:t>
            </w:r>
          </w:p>
        </w:tc>
        <w:tc>
          <w:tcPr>
            <w:tcW w:w="3827" w:type="dxa"/>
          </w:tcPr>
          <w:p w14:paraId="22D20439" w14:textId="77777777" w:rsidR="009D7378" w:rsidRPr="007D425D" w:rsidRDefault="009D7378" w:rsidP="007D425D">
            <w:pPr>
              <w:spacing w:after="0"/>
              <w:rPr>
                <w:rFonts w:ascii="Times New Roman" w:eastAsia="Calibri" w:hAnsi="Times New Roman"/>
                <w:color w:val="000000"/>
                <w:lang w:val="en-US"/>
              </w:rPr>
            </w:pPr>
          </w:p>
        </w:tc>
        <w:tc>
          <w:tcPr>
            <w:tcW w:w="2500" w:type="dxa"/>
          </w:tcPr>
          <w:p w14:paraId="6DF8CDFB" w14:textId="77777777" w:rsidR="009D7378" w:rsidRPr="007D425D" w:rsidRDefault="009D7378" w:rsidP="007D425D">
            <w:pPr>
              <w:spacing w:after="200"/>
              <w:rPr>
                <w:rFonts w:ascii="Times New Roman" w:eastAsia="Calibri" w:hAnsi="Times New Roman"/>
                <w:color w:val="000000"/>
                <w:lang w:val="en-US"/>
              </w:rPr>
            </w:pPr>
          </w:p>
        </w:tc>
      </w:tr>
      <w:tr w:rsidR="009D7378" w:rsidRPr="007D425D" w14:paraId="382DFEC5" w14:textId="77777777" w:rsidTr="00805BB4">
        <w:tc>
          <w:tcPr>
            <w:tcW w:w="2689" w:type="dxa"/>
          </w:tcPr>
          <w:p w14:paraId="75C19C49" w14:textId="77777777" w:rsidR="009D7378" w:rsidRPr="007D425D" w:rsidRDefault="009D7378" w:rsidP="007D425D">
            <w:pPr>
              <w:spacing w:after="200"/>
              <w:rPr>
                <w:rFonts w:ascii="Times New Roman" w:eastAsia="Calibri" w:hAnsi="Times New Roman"/>
                <w:color w:val="000000"/>
                <w:lang w:val="en-US"/>
              </w:rPr>
            </w:pPr>
            <w:r w:rsidRPr="007D425D">
              <w:rPr>
                <w:rFonts w:ascii="Times New Roman" w:eastAsia="Calibri" w:hAnsi="Times New Roman"/>
                <w:color w:val="000000"/>
                <w:lang w:val="en-US"/>
              </w:rPr>
              <w:t>9.00-10.00</w:t>
            </w:r>
          </w:p>
        </w:tc>
        <w:tc>
          <w:tcPr>
            <w:tcW w:w="3827" w:type="dxa"/>
          </w:tcPr>
          <w:p w14:paraId="1F9589B1" w14:textId="77777777" w:rsidR="009D7378" w:rsidRPr="007D425D" w:rsidRDefault="009D7378" w:rsidP="007D425D">
            <w:pPr>
              <w:spacing w:after="0"/>
              <w:rPr>
                <w:rFonts w:ascii="Times New Roman" w:eastAsia="Calibri" w:hAnsi="Times New Roman"/>
                <w:color w:val="000000"/>
                <w:lang w:val="en-US"/>
              </w:rPr>
            </w:pPr>
            <w:r w:rsidRPr="007D425D">
              <w:rPr>
                <w:rFonts w:ascii="Times New Roman" w:eastAsia="Calibri" w:hAnsi="Times New Roman"/>
                <w:color w:val="000000"/>
                <w:lang w:val="en-US"/>
              </w:rPr>
              <w:t xml:space="preserve">Mr. Sean Dunne, Chief Elections Adviser, UNDP.  </w:t>
            </w:r>
            <w:r w:rsidRPr="007D425D">
              <w:rPr>
                <w:rFonts w:ascii="Times New Roman" w:eastAsia="Calibri" w:hAnsi="Times New Roman"/>
                <w:b/>
                <w:color w:val="000000"/>
                <w:lang w:val="en-US"/>
              </w:rPr>
              <w:t>Confirmed</w:t>
            </w:r>
          </w:p>
        </w:tc>
        <w:tc>
          <w:tcPr>
            <w:tcW w:w="2500" w:type="dxa"/>
          </w:tcPr>
          <w:p w14:paraId="46D017CD" w14:textId="77777777" w:rsidR="009D7378" w:rsidRPr="007D425D" w:rsidRDefault="009D7378" w:rsidP="007D425D">
            <w:pPr>
              <w:spacing w:after="200"/>
              <w:rPr>
                <w:rFonts w:ascii="Times New Roman" w:eastAsia="Calibri" w:hAnsi="Times New Roman"/>
                <w:color w:val="000000"/>
                <w:lang w:val="en-US"/>
              </w:rPr>
            </w:pPr>
            <w:r w:rsidRPr="007D425D">
              <w:rPr>
                <w:rFonts w:ascii="Times New Roman" w:eastAsia="Calibri" w:hAnsi="Times New Roman"/>
                <w:color w:val="000000"/>
                <w:lang w:val="en-US"/>
              </w:rPr>
              <w:t>UNDP</w:t>
            </w:r>
          </w:p>
        </w:tc>
      </w:tr>
      <w:tr w:rsidR="009D7378" w:rsidRPr="007D425D" w14:paraId="52B241FC" w14:textId="77777777" w:rsidTr="00805BB4">
        <w:tc>
          <w:tcPr>
            <w:tcW w:w="2689" w:type="dxa"/>
          </w:tcPr>
          <w:p w14:paraId="5793A99A" w14:textId="77777777" w:rsidR="009D7378" w:rsidRPr="007D425D" w:rsidRDefault="009D7378" w:rsidP="007D425D">
            <w:pPr>
              <w:spacing w:after="200"/>
              <w:rPr>
                <w:rFonts w:ascii="Times New Roman" w:eastAsia="Calibri" w:hAnsi="Times New Roman"/>
                <w:b/>
                <w:color w:val="000000"/>
                <w:lang w:val="en-US"/>
              </w:rPr>
            </w:pPr>
            <w:r w:rsidRPr="007D425D">
              <w:rPr>
                <w:rFonts w:ascii="Times New Roman" w:eastAsia="Calibri" w:hAnsi="Times New Roman"/>
                <w:b/>
                <w:color w:val="000000"/>
                <w:lang w:val="en-US"/>
              </w:rPr>
              <w:t>Monday, 16 Nov., 2015</w:t>
            </w:r>
          </w:p>
        </w:tc>
        <w:tc>
          <w:tcPr>
            <w:tcW w:w="3827" w:type="dxa"/>
          </w:tcPr>
          <w:p w14:paraId="56DE5136" w14:textId="77777777" w:rsidR="009D7378" w:rsidRPr="007D425D" w:rsidRDefault="009D7378" w:rsidP="007D425D">
            <w:pPr>
              <w:spacing w:after="0"/>
              <w:rPr>
                <w:rFonts w:ascii="Times New Roman" w:eastAsia="Calibri" w:hAnsi="Times New Roman"/>
                <w:color w:val="000000"/>
                <w:lang w:val="en-US"/>
              </w:rPr>
            </w:pPr>
          </w:p>
        </w:tc>
        <w:tc>
          <w:tcPr>
            <w:tcW w:w="2500" w:type="dxa"/>
          </w:tcPr>
          <w:p w14:paraId="29DE5D69" w14:textId="77777777" w:rsidR="009D7378" w:rsidRPr="007D425D" w:rsidRDefault="009D7378" w:rsidP="007D425D">
            <w:pPr>
              <w:spacing w:after="200"/>
              <w:rPr>
                <w:rFonts w:ascii="Times New Roman" w:eastAsia="Calibri" w:hAnsi="Times New Roman"/>
                <w:color w:val="000000"/>
                <w:lang w:val="en-US"/>
              </w:rPr>
            </w:pPr>
          </w:p>
        </w:tc>
      </w:tr>
      <w:tr w:rsidR="009D7378" w:rsidRPr="007D425D" w14:paraId="6085AAA1" w14:textId="77777777" w:rsidTr="00805BB4">
        <w:tc>
          <w:tcPr>
            <w:tcW w:w="2689" w:type="dxa"/>
          </w:tcPr>
          <w:p w14:paraId="1B9A4D45" w14:textId="77777777" w:rsidR="009D7378" w:rsidRPr="007D425D" w:rsidRDefault="009D7378" w:rsidP="007D425D">
            <w:pPr>
              <w:spacing w:after="200"/>
              <w:rPr>
                <w:rFonts w:ascii="Times New Roman" w:eastAsia="Calibri" w:hAnsi="Times New Roman"/>
                <w:color w:val="000000"/>
                <w:lang w:val="en-US"/>
              </w:rPr>
            </w:pPr>
          </w:p>
        </w:tc>
        <w:tc>
          <w:tcPr>
            <w:tcW w:w="3827" w:type="dxa"/>
          </w:tcPr>
          <w:p w14:paraId="0993190D" w14:textId="77777777" w:rsidR="009D7378" w:rsidRPr="007D425D" w:rsidRDefault="009D7378" w:rsidP="007D425D">
            <w:pPr>
              <w:spacing w:after="0"/>
              <w:rPr>
                <w:rFonts w:ascii="Times New Roman" w:eastAsia="Calibri" w:hAnsi="Times New Roman"/>
                <w:color w:val="000000"/>
                <w:lang w:val="en-US"/>
              </w:rPr>
            </w:pPr>
          </w:p>
        </w:tc>
        <w:tc>
          <w:tcPr>
            <w:tcW w:w="2500" w:type="dxa"/>
          </w:tcPr>
          <w:p w14:paraId="6B34B80D" w14:textId="77777777" w:rsidR="009D7378" w:rsidRPr="007D425D" w:rsidRDefault="009D7378" w:rsidP="007D425D">
            <w:pPr>
              <w:spacing w:after="200"/>
              <w:rPr>
                <w:rFonts w:ascii="Times New Roman" w:eastAsia="Calibri" w:hAnsi="Times New Roman"/>
                <w:color w:val="000000"/>
                <w:lang w:val="en-US"/>
              </w:rPr>
            </w:pPr>
          </w:p>
        </w:tc>
      </w:tr>
      <w:tr w:rsidR="009D7378" w:rsidRPr="007D425D" w14:paraId="2589D427" w14:textId="77777777" w:rsidTr="00805BB4">
        <w:tc>
          <w:tcPr>
            <w:tcW w:w="2689" w:type="dxa"/>
          </w:tcPr>
          <w:p w14:paraId="02EFCF83" w14:textId="77777777" w:rsidR="009D7378" w:rsidRPr="007D425D" w:rsidRDefault="009D7378" w:rsidP="007D425D">
            <w:pPr>
              <w:spacing w:after="200"/>
              <w:rPr>
                <w:rFonts w:ascii="Times New Roman" w:eastAsia="Calibri" w:hAnsi="Times New Roman"/>
                <w:b/>
                <w:color w:val="000000"/>
                <w:lang w:val="en-US"/>
              </w:rPr>
            </w:pPr>
            <w:r w:rsidRPr="007D425D">
              <w:rPr>
                <w:rFonts w:ascii="Times New Roman" w:eastAsia="Calibri" w:hAnsi="Times New Roman"/>
                <w:b/>
                <w:color w:val="000000"/>
                <w:lang w:val="en-US"/>
              </w:rPr>
              <w:t>Tuesday, 17 Nov., 2015</w:t>
            </w:r>
          </w:p>
        </w:tc>
        <w:tc>
          <w:tcPr>
            <w:tcW w:w="3827" w:type="dxa"/>
          </w:tcPr>
          <w:p w14:paraId="44F89314" w14:textId="77777777" w:rsidR="009D7378" w:rsidRPr="007D425D" w:rsidRDefault="009D7378" w:rsidP="007D425D">
            <w:pPr>
              <w:spacing w:after="0"/>
              <w:rPr>
                <w:rFonts w:ascii="Times New Roman" w:eastAsia="Calibri" w:hAnsi="Times New Roman"/>
                <w:color w:val="000000"/>
                <w:lang w:val="en-US"/>
              </w:rPr>
            </w:pPr>
          </w:p>
        </w:tc>
        <w:tc>
          <w:tcPr>
            <w:tcW w:w="2500" w:type="dxa"/>
          </w:tcPr>
          <w:p w14:paraId="0F2F52D8" w14:textId="77777777" w:rsidR="009D7378" w:rsidRPr="007D425D" w:rsidRDefault="009D7378" w:rsidP="007D425D">
            <w:pPr>
              <w:spacing w:after="200"/>
              <w:rPr>
                <w:rFonts w:ascii="Times New Roman" w:eastAsia="Calibri" w:hAnsi="Times New Roman"/>
                <w:color w:val="000000"/>
                <w:lang w:val="en-US"/>
              </w:rPr>
            </w:pPr>
          </w:p>
        </w:tc>
      </w:tr>
      <w:tr w:rsidR="009D7378" w:rsidRPr="007D425D" w14:paraId="3347BEE5" w14:textId="77777777" w:rsidTr="00805BB4">
        <w:tc>
          <w:tcPr>
            <w:tcW w:w="2689" w:type="dxa"/>
          </w:tcPr>
          <w:p w14:paraId="339CB209" w14:textId="77777777" w:rsidR="009D7378" w:rsidRPr="007D425D" w:rsidRDefault="009D7378" w:rsidP="007D425D">
            <w:pPr>
              <w:spacing w:after="200"/>
              <w:rPr>
                <w:rFonts w:ascii="Times New Roman" w:eastAsia="Calibri" w:hAnsi="Times New Roman"/>
                <w:color w:val="000000"/>
                <w:lang w:val="en-US"/>
              </w:rPr>
            </w:pPr>
            <w:r w:rsidRPr="007D425D">
              <w:rPr>
                <w:rFonts w:ascii="Times New Roman" w:eastAsia="Calibri" w:hAnsi="Times New Roman"/>
                <w:color w:val="000000"/>
                <w:lang w:val="en-US"/>
              </w:rPr>
              <w:t>08:00 – 08:45</w:t>
            </w:r>
          </w:p>
        </w:tc>
        <w:tc>
          <w:tcPr>
            <w:tcW w:w="3827" w:type="dxa"/>
          </w:tcPr>
          <w:p w14:paraId="1D66E341" w14:textId="77777777" w:rsidR="009D7378" w:rsidRPr="007D425D" w:rsidRDefault="009D7378" w:rsidP="007D425D">
            <w:pPr>
              <w:spacing w:after="0"/>
              <w:rPr>
                <w:rFonts w:ascii="Times New Roman" w:eastAsia="Calibri" w:hAnsi="Times New Roman"/>
                <w:color w:val="000000"/>
                <w:lang w:val="en-US"/>
              </w:rPr>
            </w:pPr>
            <w:r w:rsidRPr="007D425D">
              <w:rPr>
                <w:rFonts w:ascii="Times New Roman" w:eastAsia="Calibri" w:hAnsi="Times New Roman"/>
                <w:color w:val="000000"/>
                <w:lang w:val="en-US"/>
              </w:rPr>
              <w:t>Ms. Rebecca Adda Dontoh, Peace and Development Adviser, UNDP</w:t>
            </w:r>
          </w:p>
        </w:tc>
        <w:tc>
          <w:tcPr>
            <w:tcW w:w="2500" w:type="dxa"/>
          </w:tcPr>
          <w:p w14:paraId="0F29023E" w14:textId="77777777" w:rsidR="009D7378" w:rsidRPr="007D425D" w:rsidRDefault="009D7378" w:rsidP="007D425D">
            <w:pPr>
              <w:spacing w:after="200"/>
              <w:rPr>
                <w:rFonts w:ascii="Times New Roman" w:eastAsia="Calibri" w:hAnsi="Times New Roman"/>
                <w:color w:val="000000"/>
                <w:lang w:val="en-US"/>
              </w:rPr>
            </w:pPr>
            <w:r w:rsidRPr="007D425D">
              <w:rPr>
                <w:rFonts w:ascii="Times New Roman" w:eastAsia="Calibri" w:hAnsi="Times New Roman"/>
                <w:color w:val="000000"/>
                <w:lang w:val="en-US"/>
              </w:rPr>
              <w:t>UNDP</w:t>
            </w:r>
          </w:p>
        </w:tc>
      </w:tr>
      <w:tr w:rsidR="009D7378" w:rsidRPr="007D425D" w14:paraId="3AB6ECA5" w14:textId="77777777" w:rsidTr="00805BB4">
        <w:tc>
          <w:tcPr>
            <w:tcW w:w="2689" w:type="dxa"/>
          </w:tcPr>
          <w:p w14:paraId="62731DC6" w14:textId="77777777" w:rsidR="009D7378" w:rsidRPr="007D425D" w:rsidRDefault="009D7378" w:rsidP="007D425D">
            <w:pPr>
              <w:spacing w:after="200"/>
              <w:rPr>
                <w:rFonts w:ascii="Times New Roman" w:eastAsia="Calibri" w:hAnsi="Times New Roman"/>
                <w:color w:val="000000"/>
                <w:lang w:val="en-US"/>
              </w:rPr>
            </w:pPr>
            <w:r w:rsidRPr="007D425D">
              <w:rPr>
                <w:rFonts w:ascii="Times New Roman" w:eastAsia="Calibri" w:hAnsi="Times New Roman"/>
                <w:color w:val="000000"/>
                <w:lang w:val="en-US"/>
              </w:rPr>
              <w:t>09:00 – 9:45</w:t>
            </w:r>
          </w:p>
        </w:tc>
        <w:tc>
          <w:tcPr>
            <w:tcW w:w="3827" w:type="dxa"/>
          </w:tcPr>
          <w:p w14:paraId="754A12D0" w14:textId="77777777" w:rsidR="009D7378" w:rsidRPr="007D425D" w:rsidRDefault="009D7378" w:rsidP="007D425D">
            <w:pPr>
              <w:spacing w:after="0"/>
              <w:rPr>
                <w:rFonts w:ascii="Times New Roman" w:eastAsia="Calibri" w:hAnsi="Times New Roman"/>
                <w:color w:val="000000"/>
                <w:lang w:val="en-US"/>
              </w:rPr>
            </w:pPr>
            <w:r w:rsidRPr="007D425D">
              <w:rPr>
                <w:rFonts w:ascii="Times New Roman" w:eastAsia="Calibri" w:hAnsi="Times New Roman"/>
                <w:color w:val="000000"/>
                <w:lang w:val="en-US"/>
              </w:rPr>
              <w:t>Mr. Neal Gilmore, Human Rights Adviser, UN</w:t>
            </w:r>
          </w:p>
        </w:tc>
        <w:tc>
          <w:tcPr>
            <w:tcW w:w="2500" w:type="dxa"/>
          </w:tcPr>
          <w:p w14:paraId="35C0A641" w14:textId="77777777" w:rsidR="009D7378" w:rsidRPr="007D425D" w:rsidRDefault="009D7378" w:rsidP="007D425D">
            <w:pPr>
              <w:spacing w:after="200"/>
              <w:rPr>
                <w:rFonts w:ascii="Times New Roman" w:eastAsia="Calibri" w:hAnsi="Times New Roman"/>
                <w:color w:val="000000"/>
                <w:lang w:val="en-US"/>
              </w:rPr>
            </w:pPr>
            <w:r w:rsidRPr="007D425D">
              <w:rPr>
                <w:rFonts w:ascii="Times New Roman" w:eastAsia="Calibri" w:hAnsi="Times New Roman"/>
                <w:color w:val="000000"/>
                <w:lang w:val="en-US"/>
              </w:rPr>
              <w:t>UNDP</w:t>
            </w:r>
          </w:p>
        </w:tc>
      </w:tr>
      <w:tr w:rsidR="009D7378" w:rsidRPr="007D425D" w14:paraId="6AC811D2" w14:textId="77777777" w:rsidTr="00805BB4">
        <w:trPr>
          <w:trHeight w:val="746"/>
        </w:trPr>
        <w:tc>
          <w:tcPr>
            <w:tcW w:w="2689" w:type="dxa"/>
          </w:tcPr>
          <w:p w14:paraId="16A15866" w14:textId="77777777" w:rsidR="009D7378" w:rsidRPr="007D425D" w:rsidRDefault="009D7378" w:rsidP="007D425D">
            <w:pPr>
              <w:spacing w:after="200"/>
              <w:rPr>
                <w:rFonts w:ascii="Times New Roman" w:eastAsia="Calibri" w:hAnsi="Times New Roman"/>
                <w:b/>
                <w:color w:val="000000"/>
                <w:lang w:val="en-US"/>
              </w:rPr>
            </w:pPr>
            <w:r w:rsidRPr="007D425D">
              <w:rPr>
                <w:rFonts w:ascii="Times New Roman" w:eastAsia="Calibri" w:hAnsi="Times New Roman"/>
                <w:b/>
                <w:color w:val="000000"/>
                <w:lang w:val="en-US"/>
              </w:rPr>
              <w:t>Wednesday, 18 Nov.,  2015</w:t>
            </w:r>
          </w:p>
        </w:tc>
        <w:tc>
          <w:tcPr>
            <w:tcW w:w="3827" w:type="dxa"/>
          </w:tcPr>
          <w:p w14:paraId="46C90E75" w14:textId="77777777" w:rsidR="009D7378" w:rsidRPr="007D425D" w:rsidRDefault="009D7378" w:rsidP="007D425D">
            <w:pPr>
              <w:spacing w:after="0"/>
              <w:rPr>
                <w:rFonts w:ascii="Times New Roman" w:eastAsia="Calibri" w:hAnsi="Times New Roman"/>
                <w:color w:val="000000"/>
                <w:lang w:val="en-US"/>
              </w:rPr>
            </w:pPr>
          </w:p>
        </w:tc>
        <w:tc>
          <w:tcPr>
            <w:tcW w:w="2500" w:type="dxa"/>
          </w:tcPr>
          <w:p w14:paraId="2A3C6A55" w14:textId="77777777" w:rsidR="009D7378" w:rsidRPr="007D425D" w:rsidRDefault="009D7378" w:rsidP="007D425D">
            <w:pPr>
              <w:spacing w:after="200"/>
              <w:rPr>
                <w:rFonts w:ascii="Times New Roman" w:eastAsia="Calibri" w:hAnsi="Times New Roman"/>
                <w:color w:val="000000"/>
                <w:lang w:val="en-US"/>
              </w:rPr>
            </w:pPr>
          </w:p>
        </w:tc>
      </w:tr>
      <w:tr w:rsidR="009D7378" w:rsidRPr="007D425D" w14:paraId="7D61F2BF" w14:textId="77777777" w:rsidTr="00805BB4">
        <w:tc>
          <w:tcPr>
            <w:tcW w:w="2689" w:type="dxa"/>
          </w:tcPr>
          <w:p w14:paraId="1860A86B" w14:textId="77777777" w:rsidR="009D7378" w:rsidRPr="007D425D" w:rsidRDefault="009D7378" w:rsidP="007D425D">
            <w:pPr>
              <w:spacing w:after="200"/>
              <w:rPr>
                <w:rFonts w:ascii="Times New Roman" w:eastAsia="Calibri" w:hAnsi="Times New Roman"/>
                <w:color w:val="000000"/>
                <w:lang w:val="en-US"/>
              </w:rPr>
            </w:pPr>
            <w:r w:rsidRPr="007D425D">
              <w:rPr>
                <w:rFonts w:ascii="Times New Roman" w:eastAsia="Calibri" w:hAnsi="Times New Roman"/>
                <w:color w:val="000000"/>
                <w:lang w:val="en-US"/>
              </w:rPr>
              <w:t>09:30 – 10:15</w:t>
            </w:r>
          </w:p>
        </w:tc>
        <w:tc>
          <w:tcPr>
            <w:tcW w:w="3827" w:type="dxa"/>
          </w:tcPr>
          <w:p w14:paraId="4F29BF8D" w14:textId="77777777" w:rsidR="009D7378" w:rsidRPr="007D425D" w:rsidRDefault="009D7378" w:rsidP="007D425D">
            <w:pPr>
              <w:spacing w:after="0"/>
              <w:rPr>
                <w:rFonts w:ascii="Times New Roman" w:eastAsia="Calibri" w:hAnsi="Times New Roman"/>
                <w:color w:val="000000"/>
                <w:lang w:val="en-US"/>
              </w:rPr>
            </w:pPr>
            <w:r w:rsidRPr="007D425D">
              <w:rPr>
                <w:rFonts w:ascii="Times New Roman" w:eastAsia="Calibri" w:hAnsi="Times New Roman"/>
                <w:color w:val="000000"/>
                <w:lang w:val="en-US"/>
              </w:rPr>
              <w:t>Ms. Lone Sorensen, DFID-Malawi</w:t>
            </w:r>
          </w:p>
        </w:tc>
        <w:tc>
          <w:tcPr>
            <w:tcW w:w="2500" w:type="dxa"/>
          </w:tcPr>
          <w:p w14:paraId="0FA66449" w14:textId="77777777" w:rsidR="009D7378" w:rsidRPr="007D425D" w:rsidRDefault="009D7378" w:rsidP="007D425D">
            <w:pPr>
              <w:spacing w:after="200"/>
              <w:rPr>
                <w:rFonts w:ascii="Times New Roman" w:eastAsia="Calibri" w:hAnsi="Times New Roman"/>
                <w:color w:val="000000"/>
                <w:lang w:val="en-US"/>
              </w:rPr>
            </w:pPr>
            <w:r w:rsidRPr="007D425D">
              <w:rPr>
                <w:rFonts w:ascii="Times New Roman" w:eastAsia="Calibri" w:hAnsi="Times New Roman"/>
                <w:color w:val="000000"/>
                <w:lang w:val="en-US"/>
              </w:rPr>
              <w:t>British High Commission</w:t>
            </w:r>
          </w:p>
        </w:tc>
      </w:tr>
      <w:tr w:rsidR="009D7378" w:rsidRPr="007D425D" w14:paraId="7F7C7B33" w14:textId="77777777" w:rsidTr="00805BB4">
        <w:tc>
          <w:tcPr>
            <w:tcW w:w="2689" w:type="dxa"/>
          </w:tcPr>
          <w:p w14:paraId="31AA8C5D" w14:textId="77777777" w:rsidR="009D7378" w:rsidRPr="007D425D" w:rsidRDefault="009D7378" w:rsidP="007D425D">
            <w:pPr>
              <w:spacing w:after="200"/>
              <w:rPr>
                <w:rFonts w:ascii="Times New Roman" w:eastAsia="Calibri" w:hAnsi="Times New Roman"/>
                <w:color w:val="000000"/>
                <w:lang w:val="en-US"/>
              </w:rPr>
            </w:pPr>
            <w:r w:rsidRPr="007D425D">
              <w:rPr>
                <w:rFonts w:ascii="Times New Roman" w:eastAsia="Calibri" w:hAnsi="Times New Roman"/>
                <w:color w:val="000000"/>
                <w:lang w:val="en-US"/>
              </w:rPr>
              <w:t>11:00-12:00</w:t>
            </w:r>
          </w:p>
        </w:tc>
        <w:tc>
          <w:tcPr>
            <w:tcW w:w="3827" w:type="dxa"/>
          </w:tcPr>
          <w:p w14:paraId="76D792BD" w14:textId="77777777" w:rsidR="009D7378" w:rsidRPr="007D425D" w:rsidRDefault="009D7378" w:rsidP="007D425D">
            <w:pPr>
              <w:spacing w:after="0"/>
              <w:rPr>
                <w:rFonts w:ascii="Times New Roman" w:eastAsia="Calibri" w:hAnsi="Times New Roman"/>
                <w:color w:val="000000"/>
                <w:lang w:val="en-US"/>
              </w:rPr>
            </w:pPr>
            <w:r w:rsidRPr="007D425D">
              <w:rPr>
                <w:rFonts w:ascii="Times New Roman" w:eastAsia="Calibri" w:hAnsi="Times New Roman"/>
                <w:color w:val="000000"/>
                <w:lang w:val="en-US"/>
              </w:rPr>
              <w:t>Martin</w:t>
            </w:r>
          </w:p>
        </w:tc>
        <w:tc>
          <w:tcPr>
            <w:tcW w:w="2500" w:type="dxa"/>
          </w:tcPr>
          <w:p w14:paraId="47255D63" w14:textId="77777777" w:rsidR="009D7378" w:rsidRPr="007D425D" w:rsidRDefault="009D7378" w:rsidP="007D425D">
            <w:pPr>
              <w:spacing w:after="200"/>
              <w:rPr>
                <w:rFonts w:ascii="Times New Roman" w:eastAsia="Calibri" w:hAnsi="Times New Roman"/>
                <w:color w:val="000000"/>
                <w:lang w:val="en-US"/>
              </w:rPr>
            </w:pPr>
            <w:r w:rsidRPr="007D425D">
              <w:rPr>
                <w:rFonts w:ascii="Times New Roman" w:eastAsia="Calibri" w:hAnsi="Times New Roman"/>
                <w:color w:val="000000"/>
                <w:lang w:val="en-US"/>
              </w:rPr>
              <w:t>UNICEF</w:t>
            </w:r>
          </w:p>
        </w:tc>
      </w:tr>
      <w:tr w:rsidR="009D7378" w:rsidRPr="007D425D" w14:paraId="4AF59077" w14:textId="77777777" w:rsidTr="00805BB4">
        <w:tc>
          <w:tcPr>
            <w:tcW w:w="2689" w:type="dxa"/>
          </w:tcPr>
          <w:p w14:paraId="658F445E" w14:textId="77777777" w:rsidR="009D7378" w:rsidRPr="007D425D" w:rsidRDefault="009D7378" w:rsidP="007D425D">
            <w:pPr>
              <w:spacing w:after="200"/>
              <w:rPr>
                <w:rFonts w:ascii="Times New Roman" w:eastAsia="Calibri" w:hAnsi="Times New Roman"/>
                <w:b/>
                <w:color w:val="000000"/>
                <w:lang w:val="en-US"/>
              </w:rPr>
            </w:pPr>
            <w:r w:rsidRPr="007D425D">
              <w:rPr>
                <w:rFonts w:ascii="Times New Roman" w:eastAsia="Calibri" w:hAnsi="Times New Roman"/>
                <w:b/>
                <w:color w:val="000000"/>
                <w:lang w:val="en-US"/>
              </w:rPr>
              <w:t>Thursday, 19 Nov., 2015</w:t>
            </w:r>
          </w:p>
        </w:tc>
        <w:tc>
          <w:tcPr>
            <w:tcW w:w="3827" w:type="dxa"/>
          </w:tcPr>
          <w:p w14:paraId="443EB944" w14:textId="77777777" w:rsidR="009D7378" w:rsidRPr="007D425D" w:rsidRDefault="009D7378" w:rsidP="007D425D">
            <w:pPr>
              <w:spacing w:after="0"/>
              <w:rPr>
                <w:rFonts w:ascii="Times New Roman" w:eastAsia="Calibri" w:hAnsi="Times New Roman"/>
                <w:color w:val="000000"/>
                <w:lang w:val="en-US"/>
              </w:rPr>
            </w:pPr>
          </w:p>
        </w:tc>
        <w:tc>
          <w:tcPr>
            <w:tcW w:w="2500" w:type="dxa"/>
          </w:tcPr>
          <w:p w14:paraId="35564DDB" w14:textId="77777777" w:rsidR="009D7378" w:rsidRPr="007D425D" w:rsidRDefault="009D7378" w:rsidP="007D425D">
            <w:pPr>
              <w:spacing w:after="200"/>
              <w:rPr>
                <w:rFonts w:ascii="Times New Roman" w:eastAsia="Calibri" w:hAnsi="Times New Roman"/>
                <w:color w:val="000000"/>
                <w:lang w:val="en-US"/>
              </w:rPr>
            </w:pPr>
          </w:p>
        </w:tc>
      </w:tr>
      <w:tr w:rsidR="009D7378" w:rsidRPr="007D425D" w14:paraId="14A4C7D2" w14:textId="77777777" w:rsidTr="00805BB4">
        <w:tc>
          <w:tcPr>
            <w:tcW w:w="2689" w:type="dxa"/>
          </w:tcPr>
          <w:p w14:paraId="49B41120" w14:textId="77777777" w:rsidR="009D7378" w:rsidRPr="007D425D" w:rsidRDefault="009D7378" w:rsidP="007D425D">
            <w:pPr>
              <w:spacing w:after="200"/>
              <w:rPr>
                <w:rFonts w:ascii="Times New Roman" w:eastAsia="Calibri" w:hAnsi="Times New Roman"/>
                <w:color w:val="000000"/>
                <w:lang w:val="en-US"/>
              </w:rPr>
            </w:pPr>
            <w:r w:rsidRPr="007D425D">
              <w:rPr>
                <w:rFonts w:ascii="Times New Roman" w:eastAsia="Calibri" w:hAnsi="Times New Roman"/>
                <w:color w:val="000000"/>
                <w:lang w:val="en-US"/>
              </w:rPr>
              <w:t>08:15 – 09:15</w:t>
            </w:r>
          </w:p>
        </w:tc>
        <w:tc>
          <w:tcPr>
            <w:tcW w:w="3827" w:type="dxa"/>
          </w:tcPr>
          <w:p w14:paraId="1C01E80C" w14:textId="77777777" w:rsidR="009D7378" w:rsidRPr="007D425D" w:rsidRDefault="009D7378" w:rsidP="007D425D">
            <w:pPr>
              <w:spacing w:after="0"/>
              <w:rPr>
                <w:rFonts w:ascii="Times New Roman" w:eastAsia="Calibri" w:hAnsi="Times New Roman"/>
                <w:color w:val="000000"/>
                <w:lang w:val="en-US"/>
              </w:rPr>
            </w:pPr>
            <w:r w:rsidRPr="007D425D">
              <w:rPr>
                <w:rFonts w:ascii="Times New Roman" w:eastAsia="Calibri" w:hAnsi="Times New Roman"/>
                <w:color w:val="000000"/>
                <w:lang w:val="en-US"/>
              </w:rPr>
              <w:t>Ms. Mia Seppo, UNDP Resident Representative</w:t>
            </w:r>
          </w:p>
        </w:tc>
        <w:tc>
          <w:tcPr>
            <w:tcW w:w="2500" w:type="dxa"/>
          </w:tcPr>
          <w:p w14:paraId="102FCBA9" w14:textId="77777777" w:rsidR="009D7378" w:rsidRPr="007D425D" w:rsidRDefault="009D7378" w:rsidP="007D425D">
            <w:pPr>
              <w:spacing w:after="200"/>
              <w:rPr>
                <w:rFonts w:ascii="Times New Roman" w:eastAsia="Calibri" w:hAnsi="Times New Roman"/>
                <w:color w:val="000000"/>
                <w:lang w:val="en-US"/>
              </w:rPr>
            </w:pPr>
            <w:r w:rsidRPr="007D425D">
              <w:rPr>
                <w:rFonts w:ascii="Times New Roman" w:eastAsia="Calibri" w:hAnsi="Times New Roman"/>
                <w:color w:val="000000"/>
                <w:lang w:val="en-US"/>
              </w:rPr>
              <w:t>UNDP</w:t>
            </w:r>
          </w:p>
        </w:tc>
      </w:tr>
      <w:tr w:rsidR="009D7378" w:rsidRPr="007D425D" w14:paraId="062C725B" w14:textId="77777777" w:rsidTr="00805BB4">
        <w:tc>
          <w:tcPr>
            <w:tcW w:w="2689" w:type="dxa"/>
          </w:tcPr>
          <w:p w14:paraId="10928A53" w14:textId="77777777" w:rsidR="009D7378" w:rsidRPr="007D425D" w:rsidRDefault="009D7378" w:rsidP="007D425D">
            <w:pPr>
              <w:spacing w:after="200"/>
              <w:rPr>
                <w:rFonts w:ascii="Times New Roman" w:eastAsia="Calibri" w:hAnsi="Times New Roman"/>
                <w:color w:val="000000"/>
                <w:lang w:val="en-US"/>
              </w:rPr>
            </w:pPr>
            <w:r w:rsidRPr="007D425D">
              <w:rPr>
                <w:rFonts w:ascii="Times New Roman" w:eastAsia="Calibri" w:hAnsi="Times New Roman"/>
                <w:color w:val="000000"/>
                <w:lang w:val="en-US"/>
              </w:rPr>
              <w:t>15:00 – 17:00</w:t>
            </w:r>
          </w:p>
        </w:tc>
        <w:tc>
          <w:tcPr>
            <w:tcW w:w="3827" w:type="dxa"/>
          </w:tcPr>
          <w:p w14:paraId="60D14D1F" w14:textId="77777777" w:rsidR="009D7378" w:rsidRPr="007D425D" w:rsidRDefault="009D7378" w:rsidP="007D425D">
            <w:pPr>
              <w:spacing w:after="0"/>
              <w:rPr>
                <w:rFonts w:ascii="Times New Roman" w:eastAsia="Calibri" w:hAnsi="Times New Roman"/>
                <w:color w:val="000000"/>
                <w:lang w:val="en-US"/>
              </w:rPr>
            </w:pPr>
            <w:r w:rsidRPr="007D425D">
              <w:rPr>
                <w:rFonts w:ascii="Times New Roman" w:eastAsia="Calibri" w:hAnsi="Times New Roman"/>
                <w:color w:val="000000"/>
                <w:lang w:val="en-US"/>
              </w:rPr>
              <w:t>Debriefing meeting with Outcome 4.1 Implementing Partners</w:t>
            </w:r>
          </w:p>
        </w:tc>
        <w:tc>
          <w:tcPr>
            <w:tcW w:w="2500" w:type="dxa"/>
          </w:tcPr>
          <w:p w14:paraId="5888763A" w14:textId="77777777" w:rsidR="009D7378" w:rsidRPr="007D425D" w:rsidRDefault="009D7378" w:rsidP="007D425D">
            <w:pPr>
              <w:spacing w:after="200"/>
              <w:rPr>
                <w:rFonts w:ascii="Times New Roman" w:eastAsia="Calibri" w:hAnsi="Times New Roman"/>
                <w:color w:val="000000"/>
                <w:lang w:val="en-US"/>
              </w:rPr>
            </w:pPr>
            <w:r w:rsidRPr="007D425D">
              <w:rPr>
                <w:rFonts w:ascii="Times New Roman" w:eastAsia="Calibri" w:hAnsi="Times New Roman"/>
                <w:color w:val="000000"/>
                <w:lang w:val="en-US"/>
              </w:rPr>
              <w:t>UNDP</w:t>
            </w:r>
          </w:p>
        </w:tc>
      </w:tr>
    </w:tbl>
    <w:p w14:paraId="722BB405" w14:textId="77777777" w:rsidR="009D7378" w:rsidRPr="00A14E65" w:rsidRDefault="009D7378" w:rsidP="00A14E65">
      <w:pPr>
        <w:rPr>
          <w:lang w:val="en-US"/>
        </w:rPr>
      </w:pPr>
    </w:p>
    <w:p w14:paraId="11A60F0B" w14:textId="77777777" w:rsidR="00C32D76" w:rsidRDefault="00C32D76" w:rsidP="0094330A">
      <w:pPr>
        <w:rPr>
          <w:rFonts w:cs="Arial"/>
        </w:rPr>
        <w:sectPr w:rsidR="00C32D76" w:rsidSect="003E7255">
          <w:pgSz w:w="11906" w:h="16838"/>
          <w:pgMar w:top="1440" w:right="1440" w:bottom="1440" w:left="1440" w:header="708" w:footer="708" w:gutter="0"/>
          <w:cols w:space="708"/>
          <w:docGrid w:linePitch="360"/>
        </w:sectPr>
      </w:pPr>
    </w:p>
    <w:p w14:paraId="2A9BC9C7" w14:textId="77777777" w:rsidR="00052C3D" w:rsidRDefault="00C32D76" w:rsidP="00C32D76">
      <w:pPr>
        <w:pStyle w:val="Overskrift1"/>
      </w:pPr>
      <w:bookmarkStart w:id="52" w:name="_Toc439245604"/>
      <w:r>
        <w:lastRenderedPageBreak/>
        <w:t>Annex 4. List of Persons Met</w:t>
      </w:r>
      <w:bookmarkEnd w:id="52"/>
    </w:p>
    <w:p w14:paraId="35989449" w14:textId="77777777" w:rsidR="00C32D76" w:rsidRDefault="00C32D76" w:rsidP="00C32D76"/>
    <w:p w14:paraId="397D88D1" w14:textId="77777777" w:rsidR="005A5BE1" w:rsidRDefault="005A5BE1" w:rsidP="005A5BE1">
      <w:r>
        <w:t>Abraham Adamson, DFiD</w:t>
      </w:r>
    </w:p>
    <w:p w14:paraId="1FF67AAB" w14:textId="77777777" w:rsidR="005A5BE1" w:rsidRDefault="005A5BE1" w:rsidP="005A5BE1">
      <w:r>
        <w:t>Agatha Nieboj, EU</w:t>
      </w:r>
    </w:p>
    <w:p w14:paraId="4DCCA333" w14:textId="77777777" w:rsidR="005A5BE1" w:rsidRDefault="005A5BE1" w:rsidP="005A5BE1">
      <w:r>
        <w:t>Alice, UN Women</w:t>
      </w:r>
    </w:p>
    <w:p w14:paraId="3E9DB465" w14:textId="77777777" w:rsidR="005A5BE1" w:rsidRDefault="005A5BE1" w:rsidP="005A5BE1">
      <w:r>
        <w:t>Amani Musa, Programme Manager, DCP</w:t>
      </w:r>
    </w:p>
    <w:p w14:paraId="431E4A80" w14:textId="77777777" w:rsidR="005A5BE1" w:rsidRDefault="005A5BE1" w:rsidP="005A5BE1">
      <w:r>
        <w:t>Anna, UN Women</w:t>
      </w:r>
    </w:p>
    <w:p w14:paraId="7C1CF919" w14:textId="77777777" w:rsidR="005A5BE1" w:rsidRDefault="005A5BE1" w:rsidP="005A5BE1">
      <w:r>
        <w:t>Anne-Thora Vardoy-Mutale, UNDP</w:t>
      </w:r>
    </w:p>
    <w:p w14:paraId="7E8D23CC" w14:textId="77777777" w:rsidR="005A5BE1" w:rsidRDefault="005A5BE1" w:rsidP="005A5BE1">
      <w:r>
        <w:t>Beatrice Kumwenda, Gender Specialist, UNFPA</w:t>
      </w:r>
    </w:p>
    <w:p w14:paraId="07A342B9" w14:textId="77777777" w:rsidR="005A5BE1" w:rsidRDefault="005A5BE1" w:rsidP="005A5BE1">
      <w:r>
        <w:t>Carol, Deputy Resident rep NDP</w:t>
      </w:r>
    </w:p>
    <w:p w14:paraId="1D435F31" w14:textId="77777777" w:rsidR="005A5BE1" w:rsidRDefault="005A5BE1" w:rsidP="005A5BE1">
      <w:r>
        <w:t>Chipiliro Thombozi, MoJC</w:t>
      </w:r>
    </w:p>
    <w:p w14:paraId="3CA7A62E" w14:textId="77777777" w:rsidR="005A5BE1" w:rsidRDefault="005A5BE1" w:rsidP="005A5BE1">
      <w:r>
        <w:t>Clemence, Programme Analyst, UNDP</w:t>
      </w:r>
    </w:p>
    <w:p w14:paraId="069F0237" w14:textId="77777777" w:rsidR="005A5BE1" w:rsidRPr="00CD56B9" w:rsidRDefault="005A5BE1" w:rsidP="005A5BE1">
      <w:pPr>
        <w:rPr>
          <w:lang w:val="en-US"/>
        </w:rPr>
      </w:pPr>
      <w:r w:rsidRPr="00CD56B9">
        <w:rPr>
          <w:lang w:val="en-US"/>
        </w:rPr>
        <w:t>De Burca, Deputy Resident Representative, UNICEF</w:t>
      </w:r>
    </w:p>
    <w:p w14:paraId="1D24A0BE" w14:textId="77777777" w:rsidR="005A5BE1" w:rsidRPr="00CD56B9" w:rsidRDefault="005A5BE1" w:rsidP="005A5BE1">
      <w:pPr>
        <w:rPr>
          <w:lang w:val="en-US"/>
        </w:rPr>
      </w:pPr>
      <w:r w:rsidRPr="00CD56B9">
        <w:rPr>
          <w:lang w:val="en-US"/>
        </w:rPr>
        <w:t>Dr Agnes Chimbiri, Portfolio Manager, UNDP</w:t>
      </w:r>
    </w:p>
    <w:p w14:paraId="21376BAC" w14:textId="77777777" w:rsidR="005A5BE1" w:rsidRPr="00CD56B9" w:rsidRDefault="005A5BE1" w:rsidP="005A5BE1">
      <w:pPr>
        <w:rPr>
          <w:lang w:val="en-US"/>
        </w:rPr>
      </w:pPr>
      <w:r w:rsidRPr="00CD56B9">
        <w:rPr>
          <w:lang w:val="en-US"/>
        </w:rPr>
        <w:t>Dr Rev Chingota, Chairperson, PAC</w:t>
      </w:r>
    </w:p>
    <w:p w14:paraId="662A665F" w14:textId="77777777" w:rsidR="005A5BE1" w:rsidRPr="00CD56B9" w:rsidRDefault="005A5BE1" w:rsidP="005A5BE1">
      <w:pPr>
        <w:rPr>
          <w:lang w:val="en-US"/>
        </w:rPr>
      </w:pPr>
      <w:r w:rsidRPr="00CD56B9">
        <w:rPr>
          <w:lang w:val="en-US"/>
        </w:rPr>
        <w:t>Edson Chikoko, Senzani Community Rights Committee</w:t>
      </w:r>
    </w:p>
    <w:p w14:paraId="03A62FE5" w14:textId="77777777" w:rsidR="005A5BE1" w:rsidRPr="00CD56B9" w:rsidRDefault="005A5BE1" w:rsidP="005A5BE1">
      <w:pPr>
        <w:rPr>
          <w:lang w:val="en-US"/>
        </w:rPr>
      </w:pPr>
      <w:r w:rsidRPr="00CD56B9">
        <w:rPr>
          <w:lang w:val="en-US"/>
        </w:rPr>
        <w:t>Ellos Lodzeni, Executive Secretary, OO</w:t>
      </w:r>
    </w:p>
    <w:p w14:paraId="19880E74" w14:textId="77777777" w:rsidR="005A5BE1" w:rsidRPr="00CD56B9" w:rsidRDefault="005A5BE1" w:rsidP="005A5BE1">
      <w:pPr>
        <w:rPr>
          <w:lang w:val="en-US"/>
        </w:rPr>
      </w:pPr>
      <w:r w:rsidRPr="00CD56B9">
        <w:rPr>
          <w:lang w:val="en-US"/>
        </w:rPr>
        <w:t>Grace Malera, Executive Director, MHRC</w:t>
      </w:r>
    </w:p>
    <w:p w14:paraId="139F3CB4" w14:textId="77777777" w:rsidR="005A5BE1" w:rsidRPr="00CD56B9" w:rsidRDefault="005A5BE1" w:rsidP="005A5BE1">
      <w:pPr>
        <w:rPr>
          <w:lang w:val="en-US"/>
        </w:rPr>
      </w:pPr>
      <w:r w:rsidRPr="00CD56B9">
        <w:rPr>
          <w:lang w:val="en-US"/>
        </w:rPr>
        <w:t>Johnstone Mdala, Chief Policy and Planning Officer, Parliament</w:t>
      </w:r>
    </w:p>
    <w:p w14:paraId="5EE88095" w14:textId="77777777" w:rsidR="005A5BE1" w:rsidRPr="00CD56B9" w:rsidRDefault="005A5BE1" w:rsidP="005A5BE1">
      <w:pPr>
        <w:rPr>
          <w:lang w:val="en-US"/>
        </w:rPr>
      </w:pPr>
      <w:r w:rsidRPr="00CD56B9">
        <w:rPr>
          <w:lang w:val="en-US"/>
        </w:rPr>
        <w:t>Jonathan Cheib, UNICEF</w:t>
      </w:r>
    </w:p>
    <w:p w14:paraId="1899C101" w14:textId="77777777" w:rsidR="005A5BE1" w:rsidRPr="00CD56B9" w:rsidRDefault="005A5BE1" w:rsidP="005A5BE1">
      <w:pPr>
        <w:rPr>
          <w:lang w:val="en-US"/>
        </w:rPr>
      </w:pPr>
      <w:r w:rsidRPr="00CD56B9">
        <w:rPr>
          <w:lang w:val="en-US"/>
        </w:rPr>
        <w:t>Kalonga, MEC</w:t>
      </w:r>
    </w:p>
    <w:p w14:paraId="5D8DF3EA" w14:textId="77777777" w:rsidR="005A5BE1" w:rsidRPr="00CD56B9" w:rsidRDefault="005A5BE1" w:rsidP="005A5BE1">
      <w:pPr>
        <w:rPr>
          <w:lang w:val="en-US"/>
        </w:rPr>
      </w:pPr>
      <w:r w:rsidRPr="00CD56B9">
        <w:rPr>
          <w:lang w:val="en-US"/>
        </w:rPr>
        <w:t>Khumbo Mwalwimba, Principal Research and Civic Education Officer, OO</w:t>
      </w:r>
    </w:p>
    <w:p w14:paraId="29D34CD3" w14:textId="77777777" w:rsidR="005A5BE1" w:rsidRPr="00CD56B9" w:rsidRDefault="005A5BE1" w:rsidP="005A5BE1">
      <w:pPr>
        <w:rPr>
          <w:lang w:val="en-US"/>
        </w:rPr>
      </w:pPr>
      <w:r w:rsidRPr="00CD56B9">
        <w:rPr>
          <w:lang w:val="en-US"/>
        </w:rPr>
        <w:t>Kilembe, Programme, UNDP</w:t>
      </w:r>
    </w:p>
    <w:p w14:paraId="2A36F4F3" w14:textId="77777777" w:rsidR="005A5BE1" w:rsidRPr="00CD56B9" w:rsidRDefault="005A5BE1" w:rsidP="005A5BE1">
      <w:pPr>
        <w:rPr>
          <w:lang w:val="en-US"/>
        </w:rPr>
      </w:pPr>
      <w:r w:rsidRPr="00CD56B9">
        <w:rPr>
          <w:lang w:val="en-US"/>
        </w:rPr>
        <w:t>Kisswell Dakamau, DLDS, MLGRD</w:t>
      </w:r>
    </w:p>
    <w:p w14:paraId="195FCDE5" w14:textId="77777777" w:rsidR="005A5BE1" w:rsidRPr="00CD56B9" w:rsidRDefault="005A5BE1" w:rsidP="005A5BE1">
      <w:pPr>
        <w:rPr>
          <w:lang w:val="en-US"/>
        </w:rPr>
      </w:pPr>
      <w:r w:rsidRPr="00CD56B9">
        <w:rPr>
          <w:lang w:val="en-US"/>
        </w:rPr>
        <w:t>Kizito Tenthani, Executive Director, CMD</w:t>
      </w:r>
    </w:p>
    <w:p w14:paraId="0B6A85D6" w14:textId="77777777" w:rsidR="005A5BE1" w:rsidRPr="00CD56B9" w:rsidRDefault="005A5BE1" w:rsidP="005A5BE1">
      <w:pPr>
        <w:rPr>
          <w:lang w:val="en-US"/>
        </w:rPr>
      </w:pPr>
      <w:r w:rsidRPr="00CD56B9">
        <w:rPr>
          <w:lang w:val="en-US"/>
        </w:rPr>
        <w:t>Lone Sorensen, DFiD</w:t>
      </w:r>
    </w:p>
    <w:p w14:paraId="109D2CB3" w14:textId="77777777" w:rsidR="005A5BE1" w:rsidRPr="00CD56B9" w:rsidRDefault="005A5BE1" w:rsidP="005A5BE1">
      <w:pPr>
        <w:rPr>
          <w:lang w:val="en-US"/>
        </w:rPr>
      </w:pPr>
      <w:r w:rsidRPr="00CD56B9">
        <w:rPr>
          <w:lang w:val="en-US"/>
        </w:rPr>
        <w:t>Lucky Sikwese, OPC</w:t>
      </w:r>
    </w:p>
    <w:p w14:paraId="78C88D37" w14:textId="77777777" w:rsidR="005A5BE1" w:rsidRPr="00CD56B9" w:rsidRDefault="005A5BE1" w:rsidP="005A5BE1">
      <w:pPr>
        <w:rPr>
          <w:lang w:val="en-US"/>
        </w:rPr>
      </w:pPr>
      <w:r w:rsidRPr="00CD56B9">
        <w:rPr>
          <w:lang w:val="en-US"/>
        </w:rPr>
        <w:t>Madalitso Mbendera, Program Officer, Centre for Multiparty Democracy (CMD)</w:t>
      </w:r>
    </w:p>
    <w:p w14:paraId="40DE6E0B" w14:textId="77777777" w:rsidR="005A5BE1" w:rsidRPr="00CD56B9" w:rsidRDefault="005A5BE1" w:rsidP="005A5BE1">
      <w:pPr>
        <w:rPr>
          <w:lang w:val="en-US"/>
        </w:rPr>
      </w:pPr>
      <w:r w:rsidRPr="00CD56B9">
        <w:rPr>
          <w:lang w:val="en-US"/>
        </w:rPr>
        <w:t>Makunja, Governance Advisor, UNDP,</w:t>
      </w:r>
    </w:p>
    <w:p w14:paraId="4C033CFC" w14:textId="77777777" w:rsidR="005A5BE1" w:rsidRPr="00CD56B9" w:rsidRDefault="005A5BE1" w:rsidP="005A5BE1">
      <w:pPr>
        <w:rPr>
          <w:lang w:val="en-US"/>
        </w:rPr>
      </w:pPr>
      <w:r w:rsidRPr="00CD56B9">
        <w:rPr>
          <w:lang w:val="en-US"/>
        </w:rPr>
        <w:t>Martin Nkuna, Child Protection Officer, UNICEF</w:t>
      </w:r>
    </w:p>
    <w:p w14:paraId="334778AC" w14:textId="77777777" w:rsidR="005A5BE1" w:rsidRPr="00CD56B9" w:rsidRDefault="005A5BE1" w:rsidP="005A5BE1">
      <w:pPr>
        <w:rPr>
          <w:lang w:val="en-US"/>
        </w:rPr>
      </w:pPr>
      <w:r w:rsidRPr="00CD56B9">
        <w:rPr>
          <w:lang w:val="en-US"/>
        </w:rPr>
        <w:t>Mavuto, Logistics, UNDP</w:t>
      </w:r>
    </w:p>
    <w:p w14:paraId="57ED3241" w14:textId="77777777" w:rsidR="005A5BE1" w:rsidRPr="00CD56B9" w:rsidRDefault="005A5BE1" w:rsidP="005A5BE1">
      <w:pPr>
        <w:rPr>
          <w:lang w:val="en-US"/>
        </w:rPr>
      </w:pPr>
      <w:r w:rsidRPr="00CD56B9">
        <w:rPr>
          <w:lang w:val="en-US"/>
        </w:rPr>
        <w:t>Michael Nyirenda-Norwegian Embassy</w:t>
      </w:r>
    </w:p>
    <w:p w14:paraId="41ADC44D" w14:textId="77777777" w:rsidR="005A5BE1" w:rsidRPr="00CD56B9" w:rsidRDefault="005A5BE1" w:rsidP="005A5BE1">
      <w:pPr>
        <w:rPr>
          <w:lang w:val="en-US"/>
        </w:rPr>
      </w:pPr>
      <w:r w:rsidRPr="00CD56B9">
        <w:rPr>
          <w:lang w:val="en-US"/>
        </w:rPr>
        <w:t>Mpinganjira-Irish Aid</w:t>
      </w:r>
    </w:p>
    <w:p w14:paraId="42508BE6" w14:textId="77777777" w:rsidR="005A5BE1" w:rsidRPr="00CD56B9" w:rsidRDefault="005A5BE1" w:rsidP="005A5BE1">
      <w:pPr>
        <w:rPr>
          <w:lang w:val="en-US"/>
        </w:rPr>
      </w:pPr>
      <w:r w:rsidRPr="00CD56B9">
        <w:rPr>
          <w:lang w:val="en-US"/>
        </w:rPr>
        <w:t>Mr. Chunga-MALGA</w:t>
      </w:r>
    </w:p>
    <w:p w14:paraId="2713CCCD" w14:textId="77777777" w:rsidR="005A5BE1" w:rsidRPr="00CD56B9" w:rsidRDefault="005A5BE1" w:rsidP="005A5BE1">
      <w:pPr>
        <w:rPr>
          <w:lang w:val="en-US"/>
        </w:rPr>
      </w:pPr>
      <w:r w:rsidRPr="00CD56B9">
        <w:rPr>
          <w:lang w:val="en-US"/>
        </w:rPr>
        <w:lastRenderedPageBreak/>
        <w:t>Mrs. Valera-Deputy Programme manager, DCP</w:t>
      </w:r>
    </w:p>
    <w:p w14:paraId="3DA48A92" w14:textId="77777777" w:rsidR="005A5BE1" w:rsidRPr="00CD56B9" w:rsidRDefault="005A5BE1" w:rsidP="005A5BE1">
      <w:pPr>
        <w:rPr>
          <w:lang w:val="en-US"/>
        </w:rPr>
      </w:pPr>
      <w:r w:rsidRPr="00CD56B9">
        <w:rPr>
          <w:lang w:val="en-US"/>
        </w:rPr>
        <w:t>Munthali, EU</w:t>
      </w:r>
    </w:p>
    <w:p w14:paraId="6C64E26C" w14:textId="77777777" w:rsidR="005A5BE1" w:rsidRPr="00CD56B9" w:rsidRDefault="005A5BE1" w:rsidP="005A5BE1">
      <w:pPr>
        <w:rPr>
          <w:lang w:val="en-US"/>
        </w:rPr>
      </w:pPr>
      <w:r w:rsidRPr="00CD56B9">
        <w:rPr>
          <w:lang w:val="en-US"/>
        </w:rPr>
        <w:t>Mwafulirwa, MHRC</w:t>
      </w:r>
    </w:p>
    <w:p w14:paraId="754F2BD6" w14:textId="77777777" w:rsidR="005A5BE1" w:rsidRPr="00CD56B9" w:rsidRDefault="005A5BE1" w:rsidP="005A5BE1">
      <w:pPr>
        <w:rPr>
          <w:lang w:val="en-US"/>
        </w:rPr>
      </w:pPr>
      <w:r w:rsidRPr="00CD56B9">
        <w:rPr>
          <w:lang w:val="en-US"/>
        </w:rPr>
        <w:t>Neal Gilmore, Human Right Advisor, UNDP</w:t>
      </w:r>
    </w:p>
    <w:p w14:paraId="7951B271" w14:textId="77777777" w:rsidR="005A5BE1" w:rsidRPr="00CD56B9" w:rsidRDefault="005A5BE1" w:rsidP="005A5BE1">
      <w:pPr>
        <w:rPr>
          <w:lang w:val="en-US"/>
        </w:rPr>
      </w:pPr>
      <w:r w:rsidRPr="00CD56B9">
        <w:rPr>
          <w:lang w:val="en-US"/>
        </w:rPr>
        <w:t>Pastor Mark Songolo, Chairperson, Youth Violence Awareness Committee-Mangochi</w:t>
      </w:r>
    </w:p>
    <w:p w14:paraId="4E378313" w14:textId="77777777" w:rsidR="00C6393B" w:rsidRPr="00CD56B9" w:rsidRDefault="00F2776E" w:rsidP="005A5BE1">
      <w:pPr>
        <w:rPr>
          <w:lang w:val="en-US"/>
        </w:rPr>
      </w:pPr>
      <w:r>
        <w:rPr>
          <w:lang w:val="en-US"/>
        </w:rPr>
        <w:t xml:space="preserve">Dr </w:t>
      </w:r>
      <w:r w:rsidR="00C6393B" w:rsidRPr="00CD56B9">
        <w:rPr>
          <w:lang w:val="en-US"/>
        </w:rPr>
        <w:t xml:space="preserve">Paul Jackson, </w:t>
      </w:r>
      <w:r w:rsidR="002B776D" w:rsidRPr="00CD56B9">
        <w:rPr>
          <w:lang w:val="en-US"/>
        </w:rPr>
        <w:t xml:space="preserve">Professor, </w:t>
      </w:r>
      <w:r>
        <w:rPr>
          <w:lang w:val="en-US"/>
        </w:rPr>
        <w:t xml:space="preserve">Head of International Department, </w:t>
      </w:r>
      <w:r w:rsidR="002B776D" w:rsidRPr="00CD56B9">
        <w:rPr>
          <w:lang w:val="en-US"/>
        </w:rPr>
        <w:t>Birmingham University</w:t>
      </w:r>
    </w:p>
    <w:p w14:paraId="42AC4AA4" w14:textId="77777777" w:rsidR="005A5BE1" w:rsidRPr="00CD56B9" w:rsidRDefault="005A5BE1" w:rsidP="005A5BE1">
      <w:pPr>
        <w:rPr>
          <w:lang w:val="en-US"/>
        </w:rPr>
      </w:pPr>
      <w:r w:rsidRPr="00CD56B9">
        <w:rPr>
          <w:lang w:val="en-US"/>
        </w:rPr>
        <w:t>Peter Jimusole, DPD, Lilongwe City Council</w:t>
      </w:r>
    </w:p>
    <w:p w14:paraId="66B84E24" w14:textId="77777777" w:rsidR="005A5BE1" w:rsidRPr="00CD56B9" w:rsidRDefault="005A5BE1" w:rsidP="005A5BE1">
      <w:pPr>
        <w:rPr>
          <w:lang w:val="en-US"/>
        </w:rPr>
      </w:pPr>
      <w:r w:rsidRPr="00CD56B9">
        <w:rPr>
          <w:lang w:val="en-US"/>
        </w:rPr>
        <w:t>Peter Kulemeka, Planning, M&amp;E, Programme Coordination Specialist, UNDP</w:t>
      </w:r>
    </w:p>
    <w:p w14:paraId="479AAFBE" w14:textId="77777777" w:rsidR="005A5BE1" w:rsidRPr="00CD56B9" w:rsidRDefault="005A5BE1" w:rsidP="005A5BE1">
      <w:pPr>
        <w:rPr>
          <w:lang w:val="en-US"/>
        </w:rPr>
      </w:pPr>
      <w:r w:rsidRPr="00CD56B9">
        <w:rPr>
          <w:lang w:val="en-US"/>
        </w:rPr>
        <w:t>Phanis</w:t>
      </w:r>
      <w:r w:rsidR="003F4020">
        <w:rPr>
          <w:lang w:val="en-US"/>
        </w:rPr>
        <w:t>o Kaluwa</w:t>
      </w:r>
      <w:r w:rsidRPr="00CD56B9">
        <w:rPr>
          <w:lang w:val="en-US"/>
        </w:rPr>
        <w:t xml:space="preserve">, Irish Aid </w:t>
      </w:r>
    </w:p>
    <w:p w14:paraId="1454DEBF" w14:textId="77777777" w:rsidR="005A5BE1" w:rsidRPr="00CD56B9" w:rsidRDefault="005A5BE1" w:rsidP="005A5BE1">
      <w:pPr>
        <w:rPr>
          <w:lang w:val="en-US"/>
        </w:rPr>
      </w:pPr>
      <w:r w:rsidRPr="00CD56B9">
        <w:rPr>
          <w:lang w:val="en-US"/>
        </w:rPr>
        <w:t>Rebbecca Adonto Peace Advisor, UNDP</w:t>
      </w:r>
    </w:p>
    <w:p w14:paraId="16F20D3F" w14:textId="77777777" w:rsidR="005A5BE1" w:rsidRPr="00CD56B9" w:rsidRDefault="005A5BE1" w:rsidP="005A5BE1">
      <w:pPr>
        <w:rPr>
          <w:lang w:val="en-US"/>
        </w:rPr>
      </w:pPr>
      <w:r w:rsidRPr="00CD56B9">
        <w:rPr>
          <w:lang w:val="en-US"/>
        </w:rPr>
        <w:t>Renhard Mapemba-Deputy Clerk of Parliament</w:t>
      </w:r>
    </w:p>
    <w:p w14:paraId="5EF2E4C7" w14:textId="77777777" w:rsidR="005A5BE1" w:rsidRPr="00CD56B9" w:rsidRDefault="005A5BE1" w:rsidP="005A5BE1">
      <w:pPr>
        <w:rPr>
          <w:lang w:val="en-US"/>
        </w:rPr>
      </w:pPr>
      <w:r w:rsidRPr="00CD56B9">
        <w:rPr>
          <w:lang w:val="en-US"/>
        </w:rPr>
        <w:t>Rev Lazarus Kadango, Regional Secretary PAC</w:t>
      </w:r>
    </w:p>
    <w:p w14:paraId="273F9DA8" w14:textId="77777777" w:rsidR="005A5BE1" w:rsidRPr="00CD56B9" w:rsidRDefault="005A5BE1" w:rsidP="005A5BE1">
      <w:pPr>
        <w:rPr>
          <w:lang w:val="en-US"/>
        </w:rPr>
      </w:pPr>
      <w:r w:rsidRPr="00CD56B9">
        <w:rPr>
          <w:lang w:val="en-US"/>
        </w:rPr>
        <w:t>Ruqaya AbdulKarim, Deputy Resident Representative UNFPA</w:t>
      </w:r>
    </w:p>
    <w:p w14:paraId="4E8FF712" w14:textId="77777777" w:rsidR="005A5BE1" w:rsidRPr="00CD56B9" w:rsidRDefault="005A5BE1" w:rsidP="005A5BE1">
      <w:pPr>
        <w:rPr>
          <w:lang w:val="en-US"/>
        </w:rPr>
      </w:pPr>
      <w:r w:rsidRPr="00CD56B9">
        <w:rPr>
          <w:lang w:val="en-US"/>
        </w:rPr>
        <w:t>Sam Alfandika, UN Women</w:t>
      </w:r>
    </w:p>
    <w:p w14:paraId="04063A7F" w14:textId="77777777" w:rsidR="005A5BE1" w:rsidRPr="00CD56B9" w:rsidRDefault="005A5BE1" w:rsidP="005A5BE1">
      <w:pPr>
        <w:rPr>
          <w:lang w:val="en-US"/>
        </w:rPr>
      </w:pPr>
      <w:r w:rsidRPr="00CD56B9">
        <w:rPr>
          <w:lang w:val="en-US"/>
        </w:rPr>
        <w:t>Sam Chikakusa, MoJCA</w:t>
      </w:r>
    </w:p>
    <w:p w14:paraId="7DFEBC27" w14:textId="77777777" w:rsidR="005A5BE1" w:rsidRPr="00CD56B9" w:rsidRDefault="005A5BE1" w:rsidP="005A5BE1">
      <w:pPr>
        <w:rPr>
          <w:lang w:val="en-US"/>
        </w:rPr>
      </w:pPr>
      <w:r w:rsidRPr="00CD56B9">
        <w:rPr>
          <w:lang w:val="en-US"/>
        </w:rPr>
        <w:t>Sean, Election Advisor, UNDP</w:t>
      </w:r>
    </w:p>
    <w:p w14:paraId="30850FD7" w14:textId="77777777" w:rsidR="005A5BE1" w:rsidRPr="00CD56B9" w:rsidRDefault="005A5BE1" w:rsidP="005A5BE1">
      <w:pPr>
        <w:rPr>
          <w:lang w:val="en-US"/>
        </w:rPr>
      </w:pPr>
      <w:r w:rsidRPr="00CD56B9">
        <w:rPr>
          <w:lang w:val="en-US"/>
        </w:rPr>
        <w:t>Senzani Community Rights Committee Group</w:t>
      </w:r>
    </w:p>
    <w:p w14:paraId="7BBD85B1" w14:textId="77777777" w:rsidR="005A5BE1" w:rsidRPr="00CD56B9" w:rsidRDefault="005A5BE1" w:rsidP="005A5BE1">
      <w:pPr>
        <w:rPr>
          <w:lang w:val="en-US"/>
        </w:rPr>
      </w:pPr>
      <w:r w:rsidRPr="00CD56B9">
        <w:rPr>
          <w:lang w:val="en-US"/>
        </w:rPr>
        <w:t>Seppo Mia, Resident Representative, UNDP</w:t>
      </w:r>
    </w:p>
    <w:p w14:paraId="30BEC84B" w14:textId="77777777" w:rsidR="005A5BE1" w:rsidRPr="00CD56B9" w:rsidRDefault="005A5BE1" w:rsidP="005A5BE1">
      <w:pPr>
        <w:rPr>
          <w:lang w:val="en-US"/>
        </w:rPr>
      </w:pPr>
      <w:r w:rsidRPr="00CD56B9">
        <w:rPr>
          <w:lang w:val="en-US"/>
        </w:rPr>
        <w:t>Sewethe Mawhayo, Senzani Community Rights Committee</w:t>
      </w:r>
    </w:p>
    <w:p w14:paraId="2216BBCA" w14:textId="77777777" w:rsidR="005A5BE1" w:rsidRPr="00CD56B9" w:rsidRDefault="005A5BE1" w:rsidP="005A5BE1">
      <w:pPr>
        <w:rPr>
          <w:lang w:val="en-US"/>
        </w:rPr>
      </w:pPr>
      <w:r w:rsidRPr="00CD56B9">
        <w:rPr>
          <w:lang w:val="en-US"/>
        </w:rPr>
        <w:t xml:space="preserve">Simutowe, MoJCA </w:t>
      </w:r>
    </w:p>
    <w:p w14:paraId="5D2F065A" w14:textId="77777777" w:rsidR="005A5BE1" w:rsidRPr="00CD56B9" w:rsidRDefault="005A5BE1" w:rsidP="005A5BE1">
      <w:pPr>
        <w:rPr>
          <w:lang w:val="en-US"/>
        </w:rPr>
      </w:pPr>
      <w:r w:rsidRPr="00CD56B9">
        <w:rPr>
          <w:lang w:val="en-US"/>
        </w:rPr>
        <w:t>Sophia Nthenda, Director of Education, PAC</w:t>
      </w:r>
    </w:p>
    <w:p w14:paraId="70139FF5" w14:textId="77777777" w:rsidR="005A5BE1" w:rsidRPr="00CD56B9" w:rsidRDefault="005A5BE1" w:rsidP="005A5BE1">
      <w:pPr>
        <w:rPr>
          <w:lang w:val="en-US"/>
        </w:rPr>
      </w:pPr>
      <w:r w:rsidRPr="00CD56B9">
        <w:rPr>
          <w:lang w:val="en-US"/>
        </w:rPr>
        <w:t>Susan Mkandawire, Procurement</w:t>
      </w:r>
    </w:p>
    <w:p w14:paraId="3BEC5E1C" w14:textId="77777777" w:rsidR="005A5BE1" w:rsidRPr="00CD56B9" w:rsidRDefault="005A5BE1" w:rsidP="005A5BE1">
      <w:pPr>
        <w:rPr>
          <w:lang w:val="en-US"/>
        </w:rPr>
      </w:pPr>
      <w:r w:rsidRPr="00CD56B9">
        <w:rPr>
          <w:lang w:val="en-US"/>
        </w:rPr>
        <w:t>Thandiwe Mijowa, Gender, UNFPA</w:t>
      </w:r>
    </w:p>
    <w:p w14:paraId="75E3256C" w14:textId="77777777" w:rsidR="005A5BE1" w:rsidRPr="00CD56B9" w:rsidRDefault="005A5BE1" w:rsidP="005A5BE1">
      <w:pPr>
        <w:rPr>
          <w:lang w:val="en-US"/>
        </w:rPr>
      </w:pPr>
      <w:r w:rsidRPr="00CD56B9">
        <w:rPr>
          <w:lang w:val="en-US"/>
        </w:rPr>
        <w:t>Wycliffe Maso, MHRC</w:t>
      </w:r>
    </w:p>
    <w:p w14:paraId="261F847E" w14:textId="77777777" w:rsidR="005A5BE1" w:rsidRPr="00CD56B9" w:rsidRDefault="005A5BE1" w:rsidP="005A5BE1">
      <w:pPr>
        <w:rPr>
          <w:lang w:val="en-US"/>
        </w:rPr>
      </w:pPr>
    </w:p>
    <w:p w14:paraId="222A8AC0" w14:textId="77777777" w:rsidR="00C32D76" w:rsidRPr="00CD56B9" w:rsidRDefault="005A5BE1" w:rsidP="005A5BE1">
      <w:pPr>
        <w:rPr>
          <w:i/>
          <w:lang w:val="en-US"/>
        </w:rPr>
      </w:pPr>
      <w:r w:rsidRPr="00CD56B9">
        <w:rPr>
          <w:i/>
          <w:lang w:val="en-US"/>
        </w:rPr>
        <w:t>The team would like to apologize to any persons met not listed above.</w:t>
      </w:r>
    </w:p>
    <w:p w14:paraId="5519AB56" w14:textId="77777777" w:rsidR="005A5BE1" w:rsidRPr="00CD56B9" w:rsidRDefault="005A5BE1" w:rsidP="00C32D76">
      <w:pPr>
        <w:rPr>
          <w:lang w:val="en-US"/>
        </w:rPr>
        <w:sectPr w:rsidR="005A5BE1" w:rsidRPr="00CD56B9" w:rsidSect="003E7255">
          <w:pgSz w:w="11906" w:h="16838"/>
          <w:pgMar w:top="1440" w:right="1440" w:bottom="1440" w:left="1440" w:header="708" w:footer="708" w:gutter="0"/>
          <w:cols w:space="708"/>
          <w:docGrid w:linePitch="360"/>
        </w:sectPr>
      </w:pPr>
    </w:p>
    <w:p w14:paraId="54CED5F0" w14:textId="77777777" w:rsidR="000E0A4D" w:rsidRDefault="000D7686" w:rsidP="005B5F1B">
      <w:pPr>
        <w:pStyle w:val="Overskrift1"/>
      </w:pPr>
      <w:bookmarkStart w:id="53" w:name="_Toc439245605"/>
      <w:r>
        <w:rPr>
          <w:rFonts w:eastAsia="Calibri"/>
        </w:rPr>
        <w:lastRenderedPageBreak/>
        <w:t>Annex 5</w:t>
      </w:r>
      <w:r w:rsidR="00BF7CA6">
        <w:rPr>
          <w:rFonts w:eastAsia="Calibri"/>
        </w:rPr>
        <w:t xml:space="preserve">. </w:t>
      </w:r>
      <w:r w:rsidR="000E0A4D">
        <w:t>Evaluation Criteria Matrix</w:t>
      </w:r>
      <w:bookmarkEnd w:id="53"/>
    </w:p>
    <w:p w14:paraId="1DF22DE8" w14:textId="77777777" w:rsidR="000E0A4D" w:rsidRPr="00B679D4" w:rsidRDefault="000E0A4D" w:rsidP="000E0A4D">
      <w:pPr>
        <w:spacing w:after="200" w:line="276" w:lineRule="auto"/>
        <w:jc w:val="left"/>
        <w:rPr>
          <w:rFonts w:ascii="Calibri" w:eastAsia="Calibri" w:hAnsi="Calibri"/>
        </w:rPr>
      </w:pPr>
    </w:p>
    <w:tbl>
      <w:tblPr>
        <w:tblpPr w:leftFromText="141" w:rightFromText="141" w:vertAnchor="page" w:horzAnchor="margin" w:tblpX="216" w:tblpY="192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5"/>
        <w:gridCol w:w="3905"/>
        <w:gridCol w:w="4752"/>
        <w:gridCol w:w="2406"/>
        <w:gridCol w:w="2242"/>
      </w:tblGrid>
      <w:tr w:rsidR="009D7BFA" w:rsidRPr="007D425D" w14:paraId="762F3C99" w14:textId="77777777" w:rsidTr="007D425D">
        <w:trPr>
          <w:trHeight w:val="557"/>
        </w:trPr>
        <w:tc>
          <w:tcPr>
            <w:tcW w:w="377" w:type="pct"/>
            <w:shd w:val="clear" w:color="auto" w:fill="E7E6E6"/>
          </w:tcPr>
          <w:p w14:paraId="6ED7EF53" w14:textId="77777777" w:rsidR="000E0A4D" w:rsidRPr="007D425D" w:rsidRDefault="000E0A4D" w:rsidP="007D425D">
            <w:pPr>
              <w:spacing w:after="0"/>
              <w:rPr>
                <w:rFonts w:ascii="Calibri" w:eastAsia="Calibri" w:hAnsi="Calibri" w:cs="Arial"/>
                <w:b/>
                <w:noProof/>
                <w:sz w:val="16"/>
                <w:szCs w:val="18"/>
                <w:lang w:val="en-US" w:eastAsia="zh-CN"/>
              </w:rPr>
            </w:pPr>
            <w:r w:rsidRPr="007D425D">
              <w:rPr>
                <w:rFonts w:ascii="Calibri" w:eastAsia="Calibri" w:hAnsi="Calibri" w:cs="Arial"/>
                <w:b/>
                <w:noProof/>
                <w:sz w:val="16"/>
                <w:szCs w:val="18"/>
                <w:lang w:val="en-US" w:eastAsia="zh-CN"/>
              </w:rPr>
              <w:t>Criterion</w:t>
            </w:r>
          </w:p>
        </w:tc>
        <w:tc>
          <w:tcPr>
            <w:tcW w:w="1357" w:type="pct"/>
            <w:shd w:val="clear" w:color="auto" w:fill="E7E6E6"/>
          </w:tcPr>
          <w:p w14:paraId="6D053F62" w14:textId="77777777" w:rsidR="000E0A4D" w:rsidRPr="007D425D" w:rsidRDefault="000E0A4D" w:rsidP="007D425D">
            <w:pPr>
              <w:spacing w:after="0"/>
              <w:rPr>
                <w:rFonts w:ascii="Calibri" w:eastAsia="Calibri" w:hAnsi="Calibri" w:cs="Arial"/>
                <w:b/>
                <w:noProof/>
                <w:sz w:val="16"/>
                <w:szCs w:val="18"/>
                <w:lang w:val="en-US" w:eastAsia="zh-CN"/>
              </w:rPr>
            </w:pPr>
            <w:r w:rsidRPr="007D425D">
              <w:rPr>
                <w:rFonts w:ascii="Calibri" w:eastAsia="Calibri" w:hAnsi="Calibri" w:cs="Arial"/>
                <w:b/>
                <w:noProof/>
                <w:sz w:val="16"/>
                <w:szCs w:val="18"/>
                <w:lang w:val="en-US" w:eastAsia="zh-CN"/>
              </w:rPr>
              <w:t>Evaluation questions</w:t>
            </w:r>
          </w:p>
        </w:tc>
        <w:tc>
          <w:tcPr>
            <w:tcW w:w="1651" w:type="pct"/>
            <w:shd w:val="clear" w:color="auto" w:fill="E7E6E6"/>
          </w:tcPr>
          <w:p w14:paraId="7D5D72BB" w14:textId="77777777" w:rsidR="000E0A4D" w:rsidRPr="007D425D" w:rsidRDefault="000E0A4D" w:rsidP="007D425D">
            <w:pPr>
              <w:spacing w:after="0"/>
              <w:jc w:val="left"/>
              <w:rPr>
                <w:rFonts w:ascii="Calibri" w:eastAsia="Calibri" w:hAnsi="Calibri" w:cs="Arial"/>
                <w:b/>
                <w:sz w:val="16"/>
                <w:szCs w:val="18"/>
                <w:lang w:val="en-US"/>
              </w:rPr>
            </w:pPr>
            <w:r w:rsidRPr="007D425D">
              <w:rPr>
                <w:rFonts w:ascii="Calibri" w:eastAsia="Calibri" w:hAnsi="Calibri" w:cs="Arial"/>
                <w:b/>
                <w:sz w:val="16"/>
                <w:szCs w:val="18"/>
                <w:lang w:val="en-US"/>
              </w:rPr>
              <w:t xml:space="preserve">Sub questions </w:t>
            </w:r>
          </w:p>
        </w:tc>
        <w:tc>
          <w:tcPr>
            <w:tcW w:w="836" w:type="pct"/>
            <w:shd w:val="clear" w:color="auto" w:fill="E7E6E6"/>
          </w:tcPr>
          <w:p w14:paraId="050771F0" w14:textId="77777777" w:rsidR="000E0A4D" w:rsidRPr="007D425D" w:rsidRDefault="000E0A4D" w:rsidP="007D425D">
            <w:pPr>
              <w:spacing w:after="0"/>
              <w:jc w:val="left"/>
              <w:rPr>
                <w:rFonts w:ascii="Calibri" w:eastAsia="Calibri" w:hAnsi="Calibri" w:cs="Arial"/>
                <w:b/>
                <w:sz w:val="18"/>
                <w:szCs w:val="18"/>
                <w:lang w:val="en-US"/>
              </w:rPr>
            </w:pPr>
            <w:r w:rsidRPr="007D425D">
              <w:rPr>
                <w:rFonts w:ascii="Calibri" w:eastAsia="Calibri" w:hAnsi="Calibri" w:cs="Arial"/>
                <w:b/>
                <w:sz w:val="18"/>
                <w:szCs w:val="18"/>
                <w:lang w:val="en-US"/>
              </w:rPr>
              <w:t>Data sources</w:t>
            </w:r>
          </w:p>
        </w:tc>
        <w:tc>
          <w:tcPr>
            <w:tcW w:w="779" w:type="pct"/>
            <w:shd w:val="clear" w:color="auto" w:fill="E7E6E6"/>
          </w:tcPr>
          <w:p w14:paraId="09AABD5D" w14:textId="77777777" w:rsidR="000E0A4D" w:rsidRPr="007D425D" w:rsidRDefault="000E0A4D" w:rsidP="007D425D">
            <w:pPr>
              <w:spacing w:after="0"/>
              <w:jc w:val="left"/>
              <w:rPr>
                <w:rFonts w:ascii="Calibri" w:eastAsia="Calibri" w:hAnsi="Calibri" w:cs="Arial"/>
                <w:b/>
                <w:sz w:val="18"/>
                <w:szCs w:val="18"/>
                <w:lang w:val="en-US"/>
              </w:rPr>
            </w:pPr>
            <w:r w:rsidRPr="007D425D">
              <w:rPr>
                <w:rFonts w:ascii="Calibri" w:eastAsia="Calibri" w:hAnsi="Calibri" w:cs="Arial"/>
                <w:b/>
                <w:sz w:val="18"/>
                <w:szCs w:val="18"/>
                <w:lang w:val="en-US"/>
              </w:rPr>
              <w:t>Data collection methods</w:t>
            </w:r>
          </w:p>
        </w:tc>
      </w:tr>
      <w:tr w:rsidR="009D7BFA" w:rsidRPr="00F72B0D" w14:paraId="4E3B3490" w14:textId="77777777" w:rsidTr="007D425D">
        <w:tc>
          <w:tcPr>
            <w:tcW w:w="377" w:type="pct"/>
          </w:tcPr>
          <w:p w14:paraId="0D34B30B" w14:textId="77777777" w:rsidR="000E0A4D" w:rsidRPr="007D425D" w:rsidRDefault="000E0A4D" w:rsidP="007D425D">
            <w:pPr>
              <w:spacing w:after="0"/>
              <w:jc w:val="left"/>
              <w:rPr>
                <w:rFonts w:ascii="Calibri" w:eastAsia="Calibri" w:hAnsi="Calibri" w:cs="Arial"/>
                <w:b/>
                <w:sz w:val="16"/>
                <w:szCs w:val="16"/>
                <w:lang w:val="en-ZW"/>
              </w:rPr>
            </w:pPr>
            <w:r w:rsidRPr="007D425D">
              <w:rPr>
                <w:rFonts w:ascii="Calibri" w:eastAsia="Calibri" w:hAnsi="Calibri" w:cs="Arial"/>
                <w:b/>
                <w:sz w:val="16"/>
                <w:szCs w:val="16"/>
                <w:lang w:val="en-ZW"/>
              </w:rPr>
              <w:t>Relevance</w:t>
            </w:r>
          </w:p>
        </w:tc>
        <w:tc>
          <w:tcPr>
            <w:tcW w:w="1357" w:type="pct"/>
          </w:tcPr>
          <w:p w14:paraId="39C57168" w14:textId="77777777" w:rsidR="000E0A4D" w:rsidRPr="007D425D" w:rsidRDefault="000E0A4D" w:rsidP="007D425D">
            <w:pPr>
              <w:spacing w:after="0"/>
              <w:jc w:val="left"/>
              <w:rPr>
                <w:rFonts w:ascii="Calibri" w:eastAsia="Calibri" w:hAnsi="Calibri" w:cs="Arial"/>
                <w:sz w:val="16"/>
                <w:szCs w:val="16"/>
                <w:lang w:val="en-ZW"/>
              </w:rPr>
            </w:pPr>
            <w:r w:rsidRPr="007D425D">
              <w:rPr>
                <w:rFonts w:ascii="Calibri" w:eastAsia="Calibri" w:hAnsi="Calibri" w:cs="Arial"/>
                <w:sz w:val="16"/>
                <w:szCs w:val="16"/>
                <w:lang w:val="en-ZW"/>
              </w:rPr>
              <w:t>1.To what extent is the UNCT’s collectively and each UN agency’ engaging in promoting democratic governance together with reflection of strategic considerations, including UNCT’s role in the development context of Malawi and its comparative advantage vis-a-vis other partners?</w:t>
            </w:r>
          </w:p>
          <w:p w14:paraId="669C7666" w14:textId="77777777" w:rsidR="000E0A4D" w:rsidRPr="007D425D" w:rsidRDefault="000E0A4D" w:rsidP="007D425D">
            <w:pPr>
              <w:spacing w:after="0"/>
              <w:jc w:val="left"/>
              <w:rPr>
                <w:rFonts w:ascii="Calibri" w:eastAsia="Calibri" w:hAnsi="Calibri" w:cs="Arial"/>
                <w:sz w:val="16"/>
                <w:szCs w:val="16"/>
                <w:lang w:val="en-ZW"/>
              </w:rPr>
            </w:pPr>
          </w:p>
          <w:p w14:paraId="1B771C2C" w14:textId="77777777" w:rsidR="000E0A4D" w:rsidRPr="007D425D" w:rsidRDefault="000E0A4D" w:rsidP="007D425D">
            <w:pPr>
              <w:spacing w:after="0"/>
              <w:jc w:val="left"/>
              <w:rPr>
                <w:rFonts w:ascii="Calibri" w:eastAsia="Calibri" w:hAnsi="Calibri" w:cs="Arial"/>
                <w:sz w:val="16"/>
                <w:szCs w:val="16"/>
                <w:lang w:val="en-ZW"/>
              </w:rPr>
            </w:pPr>
            <w:r w:rsidRPr="007D425D">
              <w:rPr>
                <w:rFonts w:ascii="Calibri" w:eastAsia="Calibri" w:hAnsi="Calibri" w:cs="Arial"/>
                <w:sz w:val="16"/>
                <w:szCs w:val="16"/>
                <w:lang w:val="en-ZW"/>
              </w:rPr>
              <w:t>2. To what extent has the UNCT’s collectively, and each participating UN agencies selected method of delivery been appropriated to the development context?</w:t>
            </w:r>
          </w:p>
          <w:p w14:paraId="438073CA" w14:textId="77777777" w:rsidR="000E0A4D" w:rsidRPr="007D425D" w:rsidRDefault="000E0A4D" w:rsidP="007D425D">
            <w:pPr>
              <w:spacing w:after="0"/>
              <w:jc w:val="left"/>
              <w:rPr>
                <w:rFonts w:ascii="Calibri" w:eastAsia="Calibri" w:hAnsi="Calibri" w:cs="Arial"/>
                <w:sz w:val="16"/>
                <w:szCs w:val="16"/>
                <w:lang w:val="en-ZW"/>
              </w:rPr>
            </w:pPr>
          </w:p>
          <w:p w14:paraId="31E6E1E1" w14:textId="77777777" w:rsidR="000E0A4D" w:rsidRPr="007D425D" w:rsidRDefault="000E0A4D" w:rsidP="007D425D">
            <w:pPr>
              <w:spacing w:after="0"/>
              <w:jc w:val="left"/>
              <w:rPr>
                <w:rFonts w:ascii="Calibri" w:eastAsia="Calibri" w:hAnsi="Calibri" w:cs="Arial"/>
                <w:sz w:val="16"/>
                <w:szCs w:val="16"/>
                <w:lang w:val="en-ZW"/>
              </w:rPr>
            </w:pPr>
            <w:r w:rsidRPr="007D425D">
              <w:rPr>
                <w:rFonts w:ascii="Calibri" w:eastAsia="Calibri" w:hAnsi="Calibri" w:cs="Arial"/>
                <w:sz w:val="16"/>
                <w:szCs w:val="16"/>
                <w:lang w:val="en-ZW"/>
              </w:rPr>
              <w:t>3. Has the UNCT been influential in national debates in promoting democratic governance issues, and has it influenced national policies on legal reforms and human rights protection?</w:t>
            </w:r>
          </w:p>
          <w:p w14:paraId="017431E2" w14:textId="77777777" w:rsidR="000E0A4D" w:rsidRPr="007D425D" w:rsidRDefault="000E0A4D" w:rsidP="007D425D">
            <w:pPr>
              <w:spacing w:after="0"/>
              <w:jc w:val="left"/>
              <w:rPr>
                <w:rFonts w:ascii="Calibri" w:eastAsia="Calibri" w:hAnsi="Calibri" w:cs="Arial"/>
                <w:sz w:val="16"/>
                <w:szCs w:val="16"/>
                <w:lang w:val="en-ZW"/>
              </w:rPr>
            </w:pPr>
          </w:p>
        </w:tc>
        <w:tc>
          <w:tcPr>
            <w:tcW w:w="1651" w:type="pct"/>
          </w:tcPr>
          <w:p w14:paraId="61AA66F8" w14:textId="77777777" w:rsidR="000E0A4D" w:rsidRPr="007D425D" w:rsidRDefault="000E0A4D" w:rsidP="007D425D">
            <w:pPr>
              <w:spacing w:after="0"/>
              <w:jc w:val="left"/>
              <w:rPr>
                <w:rFonts w:ascii="Calibri" w:eastAsia="Calibri" w:hAnsi="Calibri" w:cs="Arial"/>
                <w:sz w:val="16"/>
                <w:szCs w:val="16"/>
                <w:lang w:val="en-US"/>
              </w:rPr>
            </w:pPr>
            <w:r w:rsidRPr="007D425D">
              <w:rPr>
                <w:rFonts w:ascii="Calibri" w:eastAsia="Calibri" w:hAnsi="Calibri" w:cs="Arial"/>
                <w:sz w:val="16"/>
                <w:szCs w:val="16"/>
                <w:lang w:val="en-ZW"/>
              </w:rPr>
              <w:t>1.1.</w:t>
            </w:r>
            <w:r w:rsidRPr="007D425D">
              <w:rPr>
                <w:rFonts w:ascii="Calibri" w:eastAsia="Calibri" w:hAnsi="Calibri" w:cs="Arial"/>
                <w:sz w:val="16"/>
                <w:szCs w:val="16"/>
                <w:lang w:val="en-US"/>
              </w:rPr>
              <w:t xml:space="preserve"> What common analyses were done in designing the UNDAF outcome and the PSDs?</w:t>
            </w:r>
            <w:r w:rsidRPr="007D425D">
              <w:rPr>
                <w:rFonts w:ascii="Cambria" w:eastAsia="MS Mincho" w:hAnsi="Cambria"/>
                <w:sz w:val="24"/>
                <w:szCs w:val="24"/>
                <w:lang w:val="en-US"/>
              </w:rPr>
              <w:t xml:space="preserve"> </w:t>
            </w:r>
            <w:r w:rsidRPr="007D425D">
              <w:rPr>
                <w:rFonts w:ascii="Calibri" w:eastAsia="Calibri" w:hAnsi="Calibri" w:cs="Arial"/>
                <w:sz w:val="16"/>
                <w:szCs w:val="16"/>
                <w:lang w:val="en-US"/>
              </w:rPr>
              <w:t xml:space="preserve">To what extent was a rights based approach and a gender mainstreaming been incorporated into the design and implementation of the support? </w:t>
            </w:r>
          </w:p>
          <w:p w14:paraId="613D16F4" w14:textId="77777777" w:rsidR="000E0A4D" w:rsidRPr="007D425D" w:rsidRDefault="000E0A4D" w:rsidP="007D425D">
            <w:pPr>
              <w:spacing w:after="0"/>
              <w:jc w:val="left"/>
              <w:rPr>
                <w:rFonts w:ascii="Calibri" w:eastAsia="Calibri" w:hAnsi="Calibri" w:cs="Arial"/>
                <w:sz w:val="16"/>
                <w:szCs w:val="16"/>
                <w:lang w:val="en-US"/>
              </w:rPr>
            </w:pPr>
          </w:p>
          <w:p w14:paraId="7FA6724B" w14:textId="77777777" w:rsidR="000E0A4D" w:rsidRPr="007D425D" w:rsidRDefault="000E0A4D" w:rsidP="007D425D">
            <w:pPr>
              <w:spacing w:after="0"/>
              <w:jc w:val="left"/>
              <w:rPr>
                <w:rFonts w:ascii="Calibri" w:eastAsia="Calibri" w:hAnsi="Calibri" w:cs="Arial"/>
                <w:sz w:val="16"/>
                <w:szCs w:val="16"/>
                <w:lang w:val="en-US"/>
              </w:rPr>
            </w:pPr>
            <w:r w:rsidRPr="007D425D">
              <w:rPr>
                <w:rFonts w:ascii="Calibri" w:eastAsia="Calibri" w:hAnsi="Calibri" w:cs="Arial"/>
                <w:sz w:val="16"/>
                <w:szCs w:val="16"/>
                <w:lang w:val="en-US"/>
              </w:rPr>
              <w:t>1.2. Is it consistent with current needs and challenges in democratic governance in the country?</w:t>
            </w:r>
          </w:p>
          <w:p w14:paraId="2F7B976A" w14:textId="77777777" w:rsidR="000E0A4D" w:rsidRPr="007D425D" w:rsidRDefault="000E0A4D" w:rsidP="007D425D">
            <w:pPr>
              <w:spacing w:after="0"/>
              <w:jc w:val="left"/>
              <w:rPr>
                <w:rFonts w:ascii="Calibri" w:eastAsia="Calibri" w:hAnsi="Calibri" w:cs="Arial"/>
                <w:sz w:val="16"/>
                <w:szCs w:val="16"/>
                <w:lang w:val="en-US"/>
              </w:rPr>
            </w:pPr>
          </w:p>
          <w:p w14:paraId="336C9433" w14:textId="77777777" w:rsidR="000E0A4D" w:rsidRPr="007D425D" w:rsidRDefault="000E0A4D" w:rsidP="007D425D">
            <w:pPr>
              <w:spacing w:after="0"/>
              <w:jc w:val="left"/>
              <w:rPr>
                <w:rFonts w:ascii="Calibri" w:eastAsia="Calibri" w:hAnsi="Calibri" w:cs="Arial"/>
                <w:sz w:val="16"/>
                <w:szCs w:val="16"/>
                <w:lang w:val="en-US"/>
              </w:rPr>
            </w:pPr>
            <w:r w:rsidRPr="007D425D">
              <w:rPr>
                <w:rFonts w:ascii="Calibri" w:eastAsia="Calibri" w:hAnsi="Calibri" w:cs="Arial"/>
                <w:sz w:val="16"/>
                <w:szCs w:val="16"/>
                <w:lang w:val="en-US"/>
              </w:rPr>
              <w:t xml:space="preserve">1.3. Does it complement other DP support and draw on the collective strategic advantages and offers of the UN system.  </w:t>
            </w:r>
          </w:p>
          <w:p w14:paraId="677E486F" w14:textId="77777777" w:rsidR="000E0A4D" w:rsidRPr="007D425D" w:rsidRDefault="000E0A4D" w:rsidP="007D425D">
            <w:pPr>
              <w:spacing w:after="0"/>
              <w:jc w:val="left"/>
              <w:rPr>
                <w:rFonts w:ascii="Calibri" w:eastAsia="Calibri" w:hAnsi="Calibri" w:cs="Arial"/>
                <w:sz w:val="16"/>
                <w:szCs w:val="16"/>
                <w:lang w:val="en-US"/>
              </w:rPr>
            </w:pPr>
          </w:p>
          <w:p w14:paraId="72ADB758" w14:textId="77777777" w:rsidR="000E0A4D" w:rsidRPr="007D425D" w:rsidRDefault="000E0A4D" w:rsidP="007D425D">
            <w:pPr>
              <w:spacing w:after="0"/>
              <w:jc w:val="left"/>
              <w:rPr>
                <w:rFonts w:ascii="Calibri" w:eastAsia="Calibri" w:hAnsi="Calibri" w:cs="Arial"/>
                <w:sz w:val="16"/>
                <w:szCs w:val="16"/>
                <w:lang w:val="en-US"/>
              </w:rPr>
            </w:pPr>
            <w:r w:rsidRPr="007D425D">
              <w:rPr>
                <w:rFonts w:ascii="Calibri" w:eastAsia="SimSun" w:hAnsi="Calibri" w:cs="Arial"/>
                <w:noProof/>
                <w:color w:val="231F20"/>
                <w:spacing w:val="-15"/>
                <w:kern w:val="2"/>
                <w:position w:val="2"/>
                <w:sz w:val="16"/>
                <w:szCs w:val="16"/>
                <w:lang w:val="en-US" w:eastAsia="zh-CN"/>
              </w:rPr>
              <w:t>1.4. Is</w:t>
            </w:r>
            <w:r w:rsidRPr="007D425D">
              <w:rPr>
                <w:rFonts w:ascii="Calibri" w:eastAsia="SimSun" w:hAnsi="Calibri" w:cs="Arial"/>
                <w:noProof/>
                <w:color w:val="000000"/>
                <w:kern w:val="2"/>
                <w:sz w:val="16"/>
                <w:szCs w:val="16"/>
                <w:lang w:val="en-US" w:eastAsia="zh-CN"/>
              </w:rPr>
              <w:t> </w:t>
            </w:r>
            <w:r w:rsidRPr="007D425D">
              <w:rPr>
                <w:rFonts w:ascii="Calibri" w:eastAsia="SimSun" w:hAnsi="Calibri" w:cs="Arial"/>
                <w:noProof/>
                <w:color w:val="231F20"/>
                <w:spacing w:val="-3"/>
                <w:kern w:val="2"/>
                <w:position w:val="2"/>
                <w:sz w:val="16"/>
                <w:szCs w:val="16"/>
                <w:lang w:val="en-US" w:eastAsia="zh-CN"/>
              </w:rPr>
              <w:t>the</w:t>
            </w:r>
            <w:r w:rsidRPr="007D425D">
              <w:rPr>
                <w:rFonts w:ascii="Calibri" w:eastAsia="SimSun" w:hAnsi="Calibri" w:cs="Arial"/>
                <w:noProof/>
                <w:color w:val="000000"/>
                <w:kern w:val="2"/>
                <w:sz w:val="16"/>
                <w:szCs w:val="16"/>
                <w:lang w:val="en-US" w:eastAsia="zh-CN"/>
              </w:rPr>
              <w:t> </w:t>
            </w:r>
            <w:r w:rsidRPr="007D425D">
              <w:rPr>
                <w:rFonts w:ascii="Calibri" w:eastAsia="SimSun" w:hAnsi="Calibri" w:cs="Arial"/>
                <w:noProof/>
                <w:color w:val="231F20"/>
                <w:spacing w:val="-3"/>
                <w:kern w:val="2"/>
                <w:position w:val="2"/>
                <w:sz w:val="16"/>
                <w:szCs w:val="16"/>
                <w:lang w:val="en-US" w:eastAsia="zh-CN"/>
              </w:rPr>
              <w:t xml:space="preserve">outcome </w:t>
            </w:r>
            <w:r w:rsidRPr="007D425D">
              <w:rPr>
                <w:rFonts w:ascii="Calibri" w:eastAsia="SimSun" w:hAnsi="Calibri" w:cs="Arial"/>
                <w:noProof/>
                <w:color w:val="231F20"/>
                <w:spacing w:val="-6"/>
                <w:kern w:val="2"/>
                <w:position w:val="2"/>
                <w:sz w:val="16"/>
                <w:szCs w:val="16"/>
                <w:lang w:val="en-US" w:eastAsia="zh-CN"/>
              </w:rPr>
              <w:t>aligned</w:t>
            </w:r>
            <w:r w:rsidRPr="007D425D">
              <w:rPr>
                <w:rFonts w:ascii="Calibri" w:eastAsia="SimSun" w:hAnsi="Calibri" w:cs="Arial"/>
                <w:noProof/>
                <w:color w:val="000000"/>
                <w:kern w:val="2"/>
                <w:sz w:val="16"/>
                <w:szCs w:val="16"/>
                <w:lang w:val="en-US" w:eastAsia="zh-CN"/>
              </w:rPr>
              <w:t> </w:t>
            </w:r>
            <w:r w:rsidRPr="007D425D">
              <w:rPr>
                <w:rFonts w:ascii="Calibri" w:eastAsia="SimSun" w:hAnsi="Calibri" w:cs="Arial"/>
                <w:noProof/>
                <w:color w:val="231F20"/>
                <w:kern w:val="2"/>
                <w:position w:val="2"/>
                <w:sz w:val="16"/>
                <w:szCs w:val="16"/>
                <w:lang w:val="en-US" w:eastAsia="zh-CN"/>
              </w:rPr>
              <w:t xml:space="preserve">with </w:t>
            </w:r>
            <w:r w:rsidRPr="007D425D">
              <w:rPr>
                <w:rFonts w:ascii="Calibri" w:eastAsia="SimSun" w:hAnsi="Calibri" w:cs="Arial"/>
                <w:noProof/>
                <w:color w:val="231F20"/>
                <w:spacing w:val="-5"/>
                <w:kern w:val="2"/>
                <w:sz w:val="16"/>
                <w:szCs w:val="16"/>
                <w:lang w:val="en-US" w:eastAsia="zh-CN"/>
              </w:rPr>
              <w:t>national</w:t>
            </w:r>
            <w:r w:rsidRPr="007D425D">
              <w:rPr>
                <w:rFonts w:ascii="Calibri" w:eastAsia="SimSun" w:hAnsi="Calibri" w:cs="Arial"/>
                <w:noProof/>
                <w:color w:val="000000"/>
                <w:kern w:val="2"/>
                <w:sz w:val="16"/>
                <w:szCs w:val="16"/>
                <w:lang w:val="en-US" w:eastAsia="zh-CN"/>
              </w:rPr>
              <w:t> </w:t>
            </w:r>
            <w:r w:rsidRPr="007D425D">
              <w:rPr>
                <w:rFonts w:ascii="Calibri" w:eastAsia="SimSun" w:hAnsi="Calibri" w:cs="Arial"/>
                <w:noProof/>
                <w:color w:val="231F20"/>
                <w:spacing w:val="-10"/>
                <w:kern w:val="2"/>
                <w:sz w:val="16"/>
                <w:szCs w:val="16"/>
                <w:lang w:val="en-US" w:eastAsia="zh-CN"/>
              </w:rPr>
              <w:t xml:space="preserve">strategies:  </w:t>
            </w:r>
            <w:r w:rsidRPr="007D425D">
              <w:rPr>
                <w:rFonts w:ascii="Calibri" w:eastAsia="Calibri" w:hAnsi="Calibri" w:cs="Arial"/>
                <w:sz w:val="16"/>
                <w:szCs w:val="16"/>
                <w:lang w:val="en-US"/>
              </w:rPr>
              <w:t>MGDS II, DGSS, Devolution strategy (1998)</w:t>
            </w:r>
          </w:p>
          <w:p w14:paraId="0D5F8FD3" w14:textId="77777777" w:rsidR="000E0A4D" w:rsidRPr="007D425D" w:rsidRDefault="000E0A4D" w:rsidP="007D425D">
            <w:pPr>
              <w:spacing w:after="0"/>
              <w:jc w:val="left"/>
              <w:rPr>
                <w:rFonts w:ascii="Calibri" w:eastAsia="Calibri" w:hAnsi="Calibri" w:cs="Arial"/>
                <w:sz w:val="16"/>
                <w:szCs w:val="16"/>
                <w:lang w:val="en-US"/>
              </w:rPr>
            </w:pPr>
          </w:p>
          <w:p w14:paraId="261D5803" w14:textId="77777777" w:rsidR="000E0A4D" w:rsidRPr="007D425D" w:rsidRDefault="000E0A4D" w:rsidP="007D425D">
            <w:pPr>
              <w:spacing w:after="0"/>
              <w:jc w:val="left"/>
              <w:rPr>
                <w:rFonts w:ascii="Calibri" w:eastAsia="Calibri" w:hAnsi="Calibri" w:cs="Arial"/>
                <w:sz w:val="16"/>
                <w:szCs w:val="16"/>
                <w:lang w:val="en-US"/>
              </w:rPr>
            </w:pPr>
            <w:r w:rsidRPr="007D425D">
              <w:rPr>
                <w:rFonts w:ascii="Calibri" w:eastAsia="Calibri" w:hAnsi="Calibri" w:cs="Arial"/>
                <w:sz w:val="16"/>
                <w:szCs w:val="16"/>
                <w:lang w:val="en-US"/>
              </w:rPr>
              <w:t>1.5.To what extent was the addition of the peace architecture support aligned with government initiatives</w:t>
            </w:r>
          </w:p>
          <w:p w14:paraId="4EC63412" w14:textId="77777777" w:rsidR="000E0A4D" w:rsidRPr="007D425D" w:rsidRDefault="000E0A4D" w:rsidP="007D425D">
            <w:pPr>
              <w:spacing w:after="0"/>
              <w:jc w:val="left"/>
              <w:rPr>
                <w:rFonts w:ascii="Calibri" w:eastAsia="Calibri" w:hAnsi="Calibri" w:cs="Arial"/>
                <w:sz w:val="16"/>
                <w:szCs w:val="16"/>
                <w:lang w:val="en-US"/>
              </w:rPr>
            </w:pPr>
          </w:p>
          <w:p w14:paraId="24C86D3C" w14:textId="77777777" w:rsidR="000E0A4D" w:rsidRPr="007D425D" w:rsidRDefault="000E0A4D" w:rsidP="007D425D">
            <w:pPr>
              <w:spacing w:after="0"/>
              <w:jc w:val="left"/>
              <w:rPr>
                <w:rFonts w:ascii="Calibri" w:eastAsia="Calibri" w:hAnsi="Calibri" w:cs="Arial"/>
                <w:sz w:val="16"/>
                <w:szCs w:val="16"/>
                <w:lang w:val="en-US"/>
              </w:rPr>
            </w:pPr>
            <w:r w:rsidRPr="007D425D">
              <w:rPr>
                <w:rFonts w:ascii="Calibri" w:eastAsia="Calibri" w:hAnsi="Calibri" w:cs="Arial"/>
                <w:sz w:val="16"/>
                <w:szCs w:val="16"/>
                <w:lang w:val="en-US"/>
              </w:rPr>
              <w:t>1.6 Are there any emerging policies in need of support?  Any missed opportunities, gaps in the present support?</w:t>
            </w:r>
          </w:p>
          <w:p w14:paraId="38135058" w14:textId="77777777" w:rsidR="000E0A4D" w:rsidRPr="007D425D" w:rsidRDefault="000E0A4D" w:rsidP="007D425D">
            <w:pPr>
              <w:spacing w:after="0"/>
              <w:jc w:val="left"/>
              <w:rPr>
                <w:rFonts w:ascii="Calibri" w:eastAsia="Calibri" w:hAnsi="Calibri" w:cs="Arial"/>
                <w:sz w:val="16"/>
                <w:szCs w:val="16"/>
                <w:lang w:val="en-US"/>
              </w:rPr>
            </w:pPr>
          </w:p>
          <w:p w14:paraId="57FE06A0" w14:textId="77777777" w:rsidR="000E0A4D" w:rsidRPr="007D425D" w:rsidRDefault="000E0A4D" w:rsidP="007D425D">
            <w:pPr>
              <w:spacing w:after="0"/>
              <w:jc w:val="left"/>
              <w:rPr>
                <w:rFonts w:ascii="Calibri" w:eastAsia="Calibri" w:hAnsi="Calibri" w:cs="Arial"/>
                <w:sz w:val="16"/>
                <w:szCs w:val="16"/>
                <w:lang w:val="en-US"/>
              </w:rPr>
            </w:pPr>
            <w:r w:rsidRPr="007D425D">
              <w:rPr>
                <w:rFonts w:ascii="Calibri" w:eastAsia="Calibri" w:hAnsi="Calibri" w:cs="Arial"/>
                <w:sz w:val="16"/>
                <w:szCs w:val="16"/>
                <w:lang w:val="en-US"/>
              </w:rPr>
              <w:t>1.7 How responsive has the UNCT been in addressing emerging opportunities or issues during implementation of UNDAF.</w:t>
            </w:r>
          </w:p>
          <w:p w14:paraId="47510CFA" w14:textId="77777777" w:rsidR="000E0A4D" w:rsidRPr="007D425D" w:rsidRDefault="000E0A4D" w:rsidP="007D425D">
            <w:pPr>
              <w:spacing w:after="0"/>
              <w:jc w:val="left"/>
              <w:rPr>
                <w:rFonts w:ascii="Calibri" w:eastAsia="Calibri" w:hAnsi="Calibri" w:cs="Arial"/>
                <w:sz w:val="16"/>
                <w:szCs w:val="16"/>
                <w:lang w:val="en-US"/>
              </w:rPr>
            </w:pPr>
          </w:p>
          <w:p w14:paraId="0B6BBF65" w14:textId="34FE7E4D" w:rsidR="000E0A4D" w:rsidRPr="007D425D" w:rsidRDefault="003F4020" w:rsidP="007D425D">
            <w:pPr>
              <w:spacing w:after="0"/>
              <w:jc w:val="left"/>
              <w:rPr>
                <w:rFonts w:ascii="Calibri" w:eastAsia="Calibri" w:hAnsi="Calibri" w:cs="Arial"/>
                <w:sz w:val="16"/>
                <w:szCs w:val="16"/>
                <w:lang w:val="en-US"/>
              </w:rPr>
            </w:pPr>
            <w:r w:rsidRPr="007D425D">
              <w:rPr>
                <w:rFonts w:ascii="Calibri" w:eastAsia="Calibri" w:hAnsi="Calibri" w:cs="Arial"/>
                <w:sz w:val="16"/>
                <w:szCs w:val="16"/>
                <w:lang w:val="en-US"/>
              </w:rPr>
              <w:t xml:space="preserve">1.8 To what extent  do UN agency project documents reflect UNDAF? </w:t>
            </w:r>
          </w:p>
          <w:p w14:paraId="3F9A40BC" w14:textId="77777777" w:rsidR="000E0A4D" w:rsidRPr="007D425D" w:rsidRDefault="000E0A4D" w:rsidP="007D425D">
            <w:pPr>
              <w:spacing w:after="0"/>
              <w:jc w:val="left"/>
              <w:rPr>
                <w:rFonts w:ascii="Calibri" w:eastAsia="Calibri" w:hAnsi="Calibri" w:cs="Arial"/>
                <w:sz w:val="16"/>
                <w:szCs w:val="16"/>
                <w:lang w:val="en-US"/>
              </w:rPr>
            </w:pPr>
          </w:p>
          <w:p w14:paraId="1BB24B3C" w14:textId="77777777" w:rsidR="000E0A4D" w:rsidRPr="007D425D" w:rsidRDefault="000E0A4D" w:rsidP="007D425D">
            <w:pPr>
              <w:spacing w:after="0"/>
              <w:jc w:val="left"/>
              <w:rPr>
                <w:rFonts w:ascii="Calibri" w:eastAsia="Calibri" w:hAnsi="Calibri" w:cs="Arial"/>
                <w:sz w:val="16"/>
                <w:szCs w:val="16"/>
                <w:lang w:val="en-US"/>
              </w:rPr>
            </w:pPr>
            <w:r w:rsidRPr="007D425D">
              <w:rPr>
                <w:rFonts w:ascii="Calibri" w:eastAsia="Calibri" w:hAnsi="Calibri" w:cs="Arial"/>
                <w:sz w:val="16"/>
                <w:szCs w:val="16"/>
                <w:lang w:val="en-US"/>
              </w:rPr>
              <w:t>2.1 To what extent has UNCT adopted participatory</w:t>
            </w:r>
          </w:p>
          <w:p w14:paraId="21FCF598" w14:textId="77777777" w:rsidR="000E0A4D" w:rsidRPr="007D425D" w:rsidRDefault="000E0A4D" w:rsidP="007D425D">
            <w:pPr>
              <w:spacing w:after="0"/>
              <w:jc w:val="left"/>
              <w:rPr>
                <w:rFonts w:ascii="Calibri" w:eastAsia="Calibri" w:hAnsi="Calibri" w:cs="Arial"/>
                <w:sz w:val="16"/>
                <w:szCs w:val="16"/>
                <w:lang w:val="en-US"/>
              </w:rPr>
            </w:pPr>
            <w:r w:rsidRPr="007D425D">
              <w:rPr>
                <w:rFonts w:ascii="Calibri" w:eastAsia="Calibri" w:hAnsi="Calibri" w:cs="Arial"/>
                <w:sz w:val="16"/>
                <w:szCs w:val="16"/>
                <w:lang w:val="en-US"/>
              </w:rPr>
              <w:t>approaches in planning and delivery of the support and what has been feasible in the country context?</w:t>
            </w:r>
          </w:p>
          <w:p w14:paraId="006695EC" w14:textId="77777777" w:rsidR="000E0A4D" w:rsidRPr="007D425D" w:rsidRDefault="000E0A4D" w:rsidP="007D425D">
            <w:pPr>
              <w:spacing w:after="0"/>
              <w:jc w:val="left"/>
              <w:rPr>
                <w:rFonts w:ascii="Calibri" w:eastAsia="Calibri" w:hAnsi="Calibri" w:cs="Arial"/>
                <w:sz w:val="16"/>
                <w:szCs w:val="16"/>
                <w:lang w:val="en-US"/>
              </w:rPr>
            </w:pPr>
          </w:p>
          <w:p w14:paraId="7A924012" w14:textId="77777777" w:rsidR="000E0A4D" w:rsidRPr="007D425D" w:rsidRDefault="000E0A4D" w:rsidP="007D425D">
            <w:pPr>
              <w:spacing w:after="0"/>
              <w:jc w:val="left"/>
              <w:rPr>
                <w:rFonts w:ascii="Calibri" w:eastAsia="Calibri" w:hAnsi="Calibri" w:cs="Arial"/>
                <w:sz w:val="16"/>
                <w:szCs w:val="16"/>
                <w:lang w:val="en-US"/>
              </w:rPr>
            </w:pPr>
            <w:r w:rsidRPr="007D425D">
              <w:rPr>
                <w:rFonts w:ascii="Calibri" w:eastAsia="Calibri" w:hAnsi="Calibri" w:cs="Arial"/>
                <w:sz w:val="16"/>
                <w:szCs w:val="16"/>
                <w:lang w:val="en-US"/>
              </w:rPr>
              <w:t>2.2 Is the approach to CD adequate to build and sustain governance capacity in the targeted institutions and focal areas? Is it innovative and state of the art?</w:t>
            </w:r>
          </w:p>
          <w:p w14:paraId="57B0DB5D" w14:textId="77777777" w:rsidR="000E0A4D" w:rsidRPr="007D425D" w:rsidRDefault="000E0A4D" w:rsidP="007D425D">
            <w:pPr>
              <w:spacing w:after="0"/>
              <w:jc w:val="left"/>
              <w:rPr>
                <w:rFonts w:ascii="Calibri" w:eastAsia="Calibri" w:hAnsi="Calibri" w:cs="Arial"/>
                <w:sz w:val="16"/>
                <w:szCs w:val="16"/>
                <w:lang w:val="en-US"/>
              </w:rPr>
            </w:pPr>
          </w:p>
          <w:p w14:paraId="36DC6B82" w14:textId="77777777" w:rsidR="000E0A4D" w:rsidRPr="007D425D" w:rsidRDefault="000E0A4D" w:rsidP="007D425D">
            <w:pPr>
              <w:spacing w:after="0"/>
              <w:jc w:val="left"/>
              <w:rPr>
                <w:rFonts w:ascii="Calibri" w:eastAsia="Calibri" w:hAnsi="Calibri" w:cs="Arial"/>
                <w:sz w:val="16"/>
                <w:szCs w:val="16"/>
                <w:lang w:val="en-US"/>
              </w:rPr>
            </w:pPr>
            <w:r w:rsidRPr="007D425D">
              <w:rPr>
                <w:rFonts w:ascii="Calibri" w:eastAsia="Calibri" w:hAnsi="Calibri" w:cs="Arial"/>
                <w:sz w:val="16"/>
                <w:szCs w:val="16"/>
                <w:lang w:val="en-US"/>
              </w:rPr>
              <w:t>2.3 Are the resources allocated sufficient to achieve outcome 4.1? Was the level of financial resources mobilized jointly and by individual UN Agencies sufficient for successful implementation of the outcome vis-a-vis the planned resource envelope, including integrating RBA and gender mainstreaming?</w:t>
            </w:r>
          </w:p>
          <w:p w14:paraId="41152335" w14:textId="77777777" w:rsidR="000E0A4D" w:rsidRPr="007D425D" w:rsidRDefault="000E0A4D" w:rsidP="007D425D">
            <w:pPr>
              <w:spacing w:after="0"/>
              <w:jc w:val="left"/>
              <w:rPr>
                <w:rFonts w:ascii="Calibri" w:eastAsia="Calibri" w:hAnsi="Calibri" w:cs="Arial"/>
                <w:sz w:val="16"/>
                <w:szCs w:val="16"/>
                <w:lang w:val="en-US"/>
              </w:rPr>
            </w:pPr>
          </w:p>
          <w:p w14:paraId="62F47EF2" w14:textId="22402B03" w:rsidR="000E0A4D" w:rsidRPr="007D425D" w:rsidRDefault="000E0A4D" w:rsidP="007D425D">
            <w:pPr>
              <w:spacing w:after="0"/>
              <w:jc w:val="left"/>
              <w:rPr>
                <w:rFonts w:ascii="Calibri" w:eastAsia="Calibri" w:hAnsi="Calibri" w:cs="Arial"/>
                <w:sz w:val="16"/>
                <w:szCs w:val="16"/>
                <w:lang w:val="en-US"/>
              </w:rPr>
            </w:pPr>
            <w:r w:rsidRPr="007D425D">
              <w:rPr>
                <w:rFonts w:ascii="Calibri" w:eastAsia="Calibri" w:hAnsi="Calibri" w:cs="Arial"/>
                <w:sz w:val="16"/>
                <w:szCs w:val="16"/>
                <w:lang w:val="en-US"/>
              </w:rPr>
              <w:t>2.4 Is the support rendered coherent and focused? Is there a balance between targets, project designs and the resource envelope (TA, funding, time)</w:t>
            </w:r>
            <w:r w:rsidR="003F4020" w:rsidRPr="007D425D">
              <w:rPr>
                <w:rFonts w:ascii="Calibri" w:eastAsia="Calibri" w:hAnsi="Calibri" w:cs="Arial"/>
                <w:sz w:val="16"/>
                <w:szCs w:val="16"/>
                <w:lang w:val="en-US"/>
              </w:rPr>
              <w:t>?</w:t>
            </w:r>
          </w:p>
          <w:p w14:paraId="58B6E9D2" w14:textId="77777777" w:rsidR="000E0A4D" w:rsidRPr="007D425D" w:rsidRDefault="000E0A4D" w:rsidP="007D425D">
            <w:pPr>
              <w:spacing w:after="0"/>
              <w:jc w:val="left"/>
              <w:rPr>
                <w:rFonts w:ascii="Calibri" w:eastAsia="Calibri" w:hAnsi="Calibri" w:cs="Arial"/>
                <w:sz w:val="16"/>
                <w:szCs w:val="16"/>
                <w:lang w:val="en-US"/>
              </w:rPr>
            </w:pPr>
          </w:p>
          <w:p w14:paraId="7C350A4E" w14:textId="77777777" w:rsidR="000E0A4D" w:rsidRPr="007D425D" w:rsidRDefault="000E0A4D" w:rsidP="007D425D">
            <w:pPr>
              <w:spacing w:after="0"/>
              <w:jc w:val="left"/>
              <w:rPr>
                <w:rFonts w:ascii="Calibri" w:eastAsia="Calibri" w:hAnsi="Calibri" w:cs="Arial"/>
                <w:sz w:val="16"/>
                <w:szCs w:val="16"/>
                <w:lang w:val="en-US"/>
              </w:rPr>
            </w:pPr>
            <w:r w:rsidRPr="007D425D">
              <w:rPr>
                <w:rFonts w:ascii="Calibri" w:eastAsia="Calibri" w:hAnsi="Calibri" w:cs="Arial"/>
                <w:sz w:val="16"/>
                <w:szCs w:val="16"/>
                <w:lang w:val="en-US"/>
              </w:rPr>
              <w:lastRenderedPageBreak/>
              <w:t>2.5 It there an appropriate balance between support to demand and supply side of governance, support to upstream and downstream interventions?</w:t>
            </w:r>
          </w:p>
          <w:p w14:paraId="19D95D8E" w14:textId="77777777" w:rsidR="000E0A4D" w:rsidRPr="007D425D" w:rsidRDefault="000E0A4D" w:rsidP="007D425D">
            <w:pPr>
              <w:spacing w:after="0"/>
              <w:jc w:val="left"/>
              <w:rPr>
                <w:rFonts w:ascii="Calibri" w:eastAsia="Calibri" w:hAnsi="Calibri" w:cs="Arial"/>
                <w:sz w:val="16"/>
                <w:szCs w:val="16"/>
                <w:lang w:val="en-US"/>
              </w:rPr>
            </w:pPr>
          </w:p>
          <w:p w14:paraId="42E6D6F2" w14:textId="77777777" w:rsidR="000E0A4D" w:rsidRPr="007D425D" w:rsidRDefault="000E0A4D" w:rsidP="007D425D">
            <w:pPr>
              <w:spacing w:after="0"/>
              <w:jc w:val="left"/>
              <w:rPr>
                <w:rFonts w:ascii="Calibri" w:eastAsia="Calibri" w:hAnsi="Calibri" w:cs="Arial"/>
                <w:sz w:val="16"/>
                <w:szCs w:val="16"/>
                <w:lang w:val="en-US"/>
              </w:rPr>
            </w:pPr>
            <w:r w:rsidRPr="007D425D">
              <w:rPr>
                <w:rFonts w:ascii="Calibri" w:eastAsia="Calibri" w:hAnsi="Calibri" w:cs="Arial"/>
                <w:sz w:val="16"/>
                <w:szCs w:val="16"/>
                <w:lang w:val="en-US"/>
              </w:rPr>
              <w:t>3.1 Which reform areas or reform strategies can be attributed to UN influence?</w:t>
            </w:r>
          </w:p>
        </w:tc>
        <w:tc>
          <w:tcPr>
            <w:tcW w:w="836" w:type="pct"/>
          </w:tcPr>
          <w:p w14:paraId="2CD0CAE5" w14:textId="77777777" w:rsidR="000E0A4D" w:rsidRPr="007D425D" w:rsidRDefault="000E0A4D" w:rsidP="007D425D">
            <w:pPr>
              <w:spacing w:after="0"/>
              <w:rPr>
                <w:rFonts w:ascii="Calibri" w:eastAsia="Calibri" w:hAnsi="Calibri"/>
                <w:sz w:val="16"/>
                <w:szCs w:val="20"/>
                <w:lang w:val="en-US"/>
              </w:rPr>
            </w:pPr>
            <w:r w:rsidRPr="007D425D">
              <w:rPr>
                <w:rFonts w:ascii="Calibri" w:eastAsia="Calibri" w:hAnsi="Calibri"/>
                <w:sz w:val="16"/>
                <w:szCs w:val="20"/>
                <w:lang w:val="en-US"/>
              </w:rPr>
              <w:lastRenderedPageBreak/>
              <w:t>UNDAF document and action plans</w:t>
            </w:r>
          </w:p>
          <w:p w14:paraId="610489E2" w14:textId="77777777" w:rsidR="000E0A4D" w:rsidRPr="007D425D" w:rsidRDefault="000E0A4D" w:rsidP="007D425D">
            <w:pPr>
              <w:spacing w:after="0"/>
              <w:rPr>
                <w:rFonts w:ascii="Calibri" w:eastAsia="Calibri" w:hAnsi="Calibri"/>
                <w:sz w:val="16"/>
                <w:szCs w:val="20"/>
                <w:lang w:val="en-US"/>
              </w:rPr>
            </w:pPr>
          </w:p>
          <w:p w14:paraId="062A8303" w14:textId="77777777" w:rsidR="000E0A4D" w:rsidRPr="007D425D" w:rsidRDefault="000E0A4D" w:rsidP="007D425D">
            <w:pPr>
              <w:spacing w:after="0"/>
              <w:rPr>
                <w:rFonts w:ascii="Calibri" w:eastAsia="Calibri" w:hAnsi="Calibri"/>
                <w:sz w:val="16"/>
                <w:szCs w:val="20"/>
                <w:lang w:val="en-US"/>
              </w:rPr>
            </w:pPr>
            <w:r w:rsidRPr="007D425D">
              <w:rPr>
                <w:rFonts w:ascii="Calibri" w:eastAsia="Calibri" w:hAnsi="Calibri"/>
                <w:sz w:val="16"/>
                <w:szCs w:val="20"/>
                <w:lang w:val="en-US"/>
              </w:rPr>
              <w:t xml:space="preserve">UNDP, UNICEF, UNPFA country programmes </w:t>
            </w:r>
          </w:p>
          <w:p w14:paraId="27F0D0C0" w14:textId="77777777" w:rsidR="000E0A4D" w:rsidRPr="007D425D" w:rsidRDefault="000E0A4D" w:rsidP="007D425D">
            <w:pPr>
              <w:spacing w:after="0"/>
              <w:rPr>
                <w:rFonts w:ascii="Calibri" w:eastAsia="Calibri" w:hAnsi="Calibri"/>
                <w:sz w:val="16"/>
                <w:szCs w:val="20"/>
                <w:lang w:val="en-US"/>
              </w:rPr>
            </w:pPr>
          </w:p>
          <w:p w14:paraId="5C85143D" w14:textId="77777777" w:rsidR="000E0A4D" w:rsidRPr="007D425D" w:rsidRDefault="000E0A4D" w:rsidP="007D425D">
            <w:pPr>
              <w:spacing w:after="0"/>
              <w:rPr>
                <w:rFonts w:ascii="Calibri" w:eastAsia="Calibri" w:hAnsi="Calibri"/>
                <w:sz w:val="16"/>
                <w:szCs w:val="20"/>
                <w:lang w:val="en-US"/>
              </w:rPr>
            </w:pPr>
            <w:r w:rsidRPr="007D425D">
              <w:rPr>
                <w:rFonts w:ascii="Calibri" w:eastAsia="Calibri" w:hAnsi="Calibri"/>
                <w:sz w:val="16"/>
                <w:szCs w:val="20"/>
                <w:lang w:val="en-US"/>
              </w:rPr>
              <w:t>Support project documents</w:t>
            </w:r>
          </w:p>
          <w:p w14:paraId="786654BA" w14:textId="77777777" w:rsidR="000E0A4D" w:rsidRPr="007D425D" w:rsidRDefault="000E0A4D" w:rsidP="007D425D">
            <w:pPr>
              <w:spacing w:after="0"/>
              <w:rPr>
                <w:rFonts w:ascii="Calibri" w:eastAsia="Calibri" w:hAnsi="Calibri"/>
                <w:sz w:val="16"/>
                <w:szCs w:val="20"/>
                <w:lang w:val="en-US"/>
              </w:rPr>
            </w:pPr>
          </w:p>
          <w:p w14:paraId="08CD6B58" w14:textId="77777777" w:rsidR="000E0A4D" w:rsidRPr="007D425D" w:rsidRDefault="000E0A4D" w:rsidP="007D425D">
            <w:pPr>
              <w:spacing w:after="0"/>
              <w:rPr>
                <w:rFonts w:ascii="Calibri" w:eastAsia="Calibri" w:hAnsi="Calibri"/>
                <w:sz w:val="16"/>
                <w:szCs w:val="20"/>
                <w:lang w:val="en-US"/>
              </w:rPr>
            </w:pPr>
            <w:r w:rsidRPr="007D425D">
              <w:rPr>
                <w:rFonts w:ascii="Calibri" w:eastAsia="Calibri" w:hAnsi="Calibri"/>
                <w:sz w:val="16"/>
                <w:szCs w:val="20"/>
                <w:lang w:val="en-US"/>
              </w:rPr>
              <w:t>Annual progress reports and work plans</w:t>
            </w:r>
          </w:p>
          <w:p w14:paraId="4B9BC78A" w14:textId="77777777" w:rsidR="000E0A4D" w:rsidRPr="007D425D" w:rsidRDefault="000E0A4D" w:rsidP="007D425D">
            <w:pPr>
              <w:spacing w:after="0"/>
              <w:rPr>
                <w:rFonts w:ascii="Calibri" w:eastAsia="Calibri" w:hAnsi="Calibri"/>
                <w:sz w:val="16"/>
                <w:szCs w:val="20"/>
                <w:lang w:val="en-US"/>
              </w:rPr>
            </w:pPr>
          </w:p>
          <w:p w14:paraId="3242D84B" w14:textId="77777777" w:rsidR="000E0A4D" w:rsidRPr="007D425D" w:rsidRDefault="000E0A4D" w:rsidP="007D425D">
            <w:pPr>
              <w:spacing w:after="0"/>
              <w:rPr>
                <w:rFonts w:ascii="Calibri" w:eastAsia="Calibri" w:hAnsi="Calibri"/>
                <w:sz w:val="16"/>
                <w:szCs w:val="20"/>
                <w:lang w:val="en-US"/>
              </w:rPr>
            </w:pPr>
            <w:r w:rsidRPr="007D425D">
              <w:rPr>
                <w:rFonts w:ascii="Calibri" w:eastAsia="Calibri" w:hAnsi="Calibri"/>
                <w:sz w:val="16"/>
                <w:szCs w:val="20"/>
                <w:lang w:val="en-US"/>
              </w:rPr>
              <w:t>MTE of UNDAF, Outcome 4.2, 4.3</w:t>
            </w:r>
          </w:p>
          <w:p w14:paraId="497082F2" w14:textId="77777777" w:rsidR="000E0A4D" w:rsidRPr="007D425D" w:rsidRDefault="000E0A4D" w:rsidP="007D425D">
            <w:pPr>
              <w:spacing w:after="0"/>
              <w:rPr>
                <w:rFonts w:ascii="Calibri" w:eastAsia="Calibri" w:hAnsi="Calibri"/>
                <w:sz w:val="16"/>
                <w:szCs w:val="20"/>
                <w:lang w:val="en-US"/>
              </w:rPr>
            </w:pPr>
          </w:p>
          <w:p w14:paraId="7C5C659D" w14:textId="77777777" w:rsidR="000E0A4D" w:rsidRPr="007D425D" w:rsidRDefault="000E0A4D" w:rsidP="007D425D">
            <w:pPr>
              <w:spacing w:after="0"/>
              <w:rPr>
                <w:rFonts w:ascii="Calibri" w:eastAsia="Calibri" w:hAnsi="Calibri"/>
                <w:sz w:val="16"/>
                <w:szCs w:val="20"/>
                <w:lang w:val="en-US"/>
              </w:rPr>
            </w:pPr>
            <w:r w:rsidRPr="007D425D">
              <w:rPr>
                <w:rFonts w:ascii="Calibri" w:eastAsia="Calibri" w:hAnsi="Calibri"/>
                <w:sz w:val="16"/>
                <w:szCs w:val="20"/>
                <w:lang w:val="en-US"/>
              </w:rPr>
              <w:t>Government’s national</w:t>
            </w:r>
          </w:p>
          <w:p w14:paraId="7FB320DB" w14:textId="77777777" w:rsidR="000E0A4D" w:rsidRPr="007D425D" w:rsidRDefault="000E0A4D" w:rsidP="007D425D">
            <w:pPr>
              <w:spacing w:after="0"/>
              <w:rPr>
                <w:rFonts w:ascii="Calibri" w:eastAsia="Calibri" w:hAnsi="Calibri"/>
                <w:sz w:val="16"/>
                <w:szCs w:val="20"/>
                <w:lang w:val="en-US"/>
              </w:rPr>
            </w:pPr>
            <w:r w:rsidRPr="007D425D">
              <w:rPr>
                <w:rFonts w:ascii="Calibri" w:eastAsia="Calibri" w:hAnsi="Calibri"/>
                <w:sz w:val="16"/>
                <w:szCs w:val="20"/>
                <w:lang w:val="en-US"/>
              </w:rPr>
              <w:t>planning documents</w:t>
            </w:r>
          </w:p>
          <w:p w14:paraId="16007642" w14:textId="77777777" w:rsidR="000E0A4D" w:rsidRPr="007D425D" w:rsidRDefault="000E0A4D" w:rsidP="007D425D">
            <w:pPr>
              <w:spacing w:after="0"/>
              <w:rPr>
                <w:rFonts w:ascii="Calibri" w:eastAsia="Calibri" w:hAnsi="Calibri"/>
                <w:sz w:val="16"/>
                <w:szCs w:val="20"/>
                <w:lang w:val="en-US"/>
              </w:rPr>
            </w:pPr>
          </w:p>
          <w:p w14:paraId="2AC58FD4" w14:textId="77777777" w:rsidR="000E0A4D" w:rsidRPr="007D425D" w:rsidRDefault="000E0A4D" w:rsidP="007D425D">
            <w:pPr>
              <w:spacing w:after="0"/>
              <w:rPr>
                <w:rFonts w:ascii="Calibri" w:eastAsia="Calibri" w:hAnsi="Calibri"/>
                <w:sz w:val="16"/>
                <w:szCs w:val="20"/>
                <w:lang w:val="en-US"/>
              </w:rPr>
            </w:pPr>
            <w:r w:rsidRPr="007D425D">
              <w:rPr>
                <w:rFonts w:ascii="Calibri" w:eastAsia="Calibri" w:hAnsi="Calibri"/>
                <w:sz w:val="16"/>
                <w:szCs w:val="20"/>
                <w:lang w:val="en-US"/>
              </w:rPr>
              <w:t>MDG progress reports</w:t>
            </w:r>
          </w:p>
          <w:p w14:paraId="782B8749" w14:textId="77777777" w:rsidR="000E0A4D" w:rsidRPr="007D425D" w:rsidRDefault="000E0A4D" w:rsidP="007D425D">
            <w:pPr>
              <w:spacing w:after="0"/>
              <w:rPr>
                <w:rFonts w:ascii="Calibri" w:eastAsia="Calibri" w:hAnsi="Calibri"/>
                <w:sz w:val="16"/>
                <w:szCs w:val="20"/>
                <w:lang w:val="en-US"/>
              </w:rPr>
            </w:pPr>
          </w:p>
          <w:p w14:paraId="38F20277" w14:textId="77777777" w:rsidR="000E0A4D" w:rsidRPr="007D425D" w:rsidRDefault="000E0A4D" w:rsidP="007D425D">
            <w:pPr>
              <w:spacing w:after="0"/>
              <w:rPr>
                <w:rFonts w:ascii="Calibri" w:eastAsia="Calibri" w:hAnsi="Calibri"/>
                <w:sz w:val="16"/>
                <w:szCs w:val="20"/>
                <w:lang w:val="en-US"/>
              </w:rPr>
            </w:pPr>
            <w:r w:rsidRPr="007D425D">
              <w:rPr>
                <w:rFonts w:ascii="Calibri" w:eastAsia="Calibri" w:hAnsi="Calibri"/>
                <w:sz w:val="16"/>
                <w:szCs w:val="20"/>
                <w:lang w:val="en-US"/>
              </w:rPr>
              <w:t>Government partners</w:t>
            </w:r>
          </w:p>
          <w:p w14:paraId="37556E51" w14:textId="77777777" w:rsidR="000E0A4D" w:rsidRPr="007D425D" w:rsidRDefault="000E0A4D" w:rsidP="007D425D">
            <w:pPr>
              <w:spacing w:after="0"/>
              <w:rPr>
                <w:rFonts w:ascii="Calibri" w:eastAsia="Calibri" w:hAnsi="Calibri"/>
                <w:sz w:val="16"/>
                <w:szCs w:val="20"/>
                <w:lang w:val="en-US"/>
              </w:rPr>
            </w:pPr>
            <w:r w:rsidRPr="007D425D">
              <w:rPr>
                <w:rFonts w:ascii="Calibri" w:eastAsia="Calibri" w:hAnsi="Calibri"/>
                <w:sz w:val="16"/>
                <w:szCs w:val="20"/>
                <w:lang w:val="en-US"/>
              </w:rPr>
              <w:t>progress reports</w:t>
            </w:r>
          </w:p>
          <w:p w14:paraId="6375E028" w14:textId="77777777" w:rsidR="000E0A4D" w:rsidRPr="007D425D" w:rsidRDefault="000E0A4D" w:rsidP="007D425D">
            <w:pPr>
              <w:spacing w:after="0"/>
              <w:rPr>
                <w:rFonts w:ascii="Calibri" w:eastAsia="Calibri" w:hAnsi="Calibri"/>
                <w:sz w:val="16"/>
                <w:szCs w:val="20"/>
                <w:lang w:val="en-US"/>
              </w:rPr>
            </w:pPr>
          </w:p>
          <w:p w14:paraId="3C254A5B" w14:textId="77777777" w:rsidR="000E0A4D" w:rsidRPr="007D425D" w:rsidRDefault="000E0A4D" w:rsidP="007D425D">
            <w:pPr>
              <w:spacing w:after="0"/>
              <w:rPr>
                <w:rFonts w:ascii="Calibri" w:eastAsia="Calibri" w:hAnsi="Calibri"/>
                <w:sz w:val="20"/>
                <w:szCs w:val="20"/>
                <w:lang w:val="en-US"/>
              </w:rPr>
            </w:pPr>
            <w:r w:rsidRPr="007D425D">
              <w:rPr>
                <w:rFonts w:ascii="Calibri" w:eastAsia="Calibri" w:hAnsi="Calibri"/>
                <w:sz w:val="16"/>
                <w:szCs w:val="20"/>
                <w:lang w:val="en-US"/>
              </w:rPr>
              <w:t>Stakeholder Interviews</w:t>
            </w:r>
          </w:p>
        </w:tc>
        <w:tc>
          <w:tcPr>
            <w:tcW w:w="779" w:type="pct"/>
          </w:tcPr>
          <w:p w14:paraId="7DA24724" w14:textId="77777777" w:rsidR="000E0A4D" w:rsidRPr="007D425D" w:rsidRDefault="000E0A4D" w:rsidP="007D425D">
            <w:pPr>
              <w:spacing w:after="0"/>
              <w:rPr>
                <w:rFonts w:ascii="Calibri" w:eastAsia="Calibri" w:hAnsi="Calibri" w:cs="Arial"/>
                <w:sz w:val="16"/>
                <w:szCs w:val="16"/>
                <w:lang w:val="en-US"/>
              </w:rPr>
            </w:pPr>
            <w:r w:rsidRPr="007D425D">
              <w:rPr>
                <w:rFonts w:ascii="Calibri" w:eastAsia="Calibri" w:hAnsi="Calibri" w:cs="Arial"/>
                <w:sz w:val="16"/>
                <w:szCs w:val="16"/>
                <w:lang w:val="en-US"/>
              </w:rPr>
              <w:t>Desk reviews of secondary</w:t>
            </w:r>
          </w:p>
          <w:p w14:paraId="55903839" w14:textId="77777777" w:rsidR="000E0A4D" w:rsidRPr="007D425D" w:rsidRDefault="000E0A4D" w:rsidP="007D425D">
            <w:pPr>
              <w:spacing w:after="0"/>
              <w:rPr>
                <w:rFonts w:ascii="Calibri" w:eastAsia="Calibri" w:hAnsi="Calibri" w:cs="Arial"/>
                <w:sz w:val="16"/>
                <w:szCs w:val="16"/>
                <w:lang w:val="en-US"/>
              </w:rPr>
            </w:pPr>
            <w:r w:rsidRPr="007D425D">
              <w:rPr>
                <w:rFonts w:ascii="Calibri" w:eastAsia="Calibri" w:hAnsi="Calibri" w:cs="Arial"/>
                <w:sz w:val="16"/>
                <w:szCs w:val="16"/>
                <w:lang w:val="en-US"/>
              </w:rPr>
              <w:t>data</w:t>
            </w:r>
          </w:p>
          <w:p w14:paraId="18C9BE32" w14:textId="77777777" w:rsidR="000E0A4D" w:rsidRPr="007D425D" w:rsidRDefault="000E0A4D" w:rsidP="007D425D">
            <w:pPr>
              <w:spacing w:after="0"/>
              <w:rPr>
                <w:rFonts w:ascii="Calibri" w:eastAsia="Calibri" w:hAnsi="Calibri" w:cs="Arial"/>
                <w:sz w:val="16"/>
                <w:szCs w:val="16"/>
                <w:lang w:val="en-US"/>
              </w:rPr>
            </w:pPr>
          </w:p>
          <w:p w14:paraId="0E9255B0" w14:textId="77777777" w:rsidR="000E0A4D" w:rsidRPr="007D425D" w:rsidRDefault="000E0A4D" w:rsidP="007D425D">
            <w:pPr>
              <w:spacing w:after="0"/>
              <w:rPr>
                <w:rFonts w:ascii="Calibri" w:eastAsia="Calibri" w:hAnsi="Calibri" w:cs="Arial"/>
                <w:sz w:val="16"/>
                <w:szCs w:val="16"/>
                <w:lang w:val="en-US"/>
              </w:rPr>
            </w:pPr>
            <w:r w:rsidRPr="007D425D">
              <w:rPr>
                <w:rFonts w:ascii="Calibri" w:eastAsia="Calibri" w:hAnsi="Calibri" w:cs="Arial"/>
                <w:sz w:val="16"/>
                <w:szCs w:val="16"/>
                <w:lang w:val="en-US"/>
              </w:rPr>
              <w:t>Interviews with IPs, see Annex 6</w:t>
            </w:r>
          </w:p>
          <w:p w14:paraId="1EEE0C65" w14:textId="77777777" w:rsidR="000E0A4D" w:rsidRPr="007D425D" w:rsidRDefault="000E0A4D" w:rsidP="007D425D">
            <w:pPr>
              <w:spacing w:after="0"/>
              <w:rPr>
                <w:rFonts w:ascii="Calibri" w:eastAsia="Calibri" w:hAnsi="Calibri" w:cs="Arial"/>
                <w:sz w:val="16"/>
                <w:szCs w:val="16"/>
                <w:lang w:val="en-US"/>
              </w:rPr>
            </w:pPr>
          </w:p>
          <w:p w14:paraId="2D5E2ECC" w14:textId="77777777" w:rsidR="000E0A4D" w:rsidRPr="007D425D" w:rsidRDefault="000E0A4D" w:rsidP="007D425D">
            <w:pPr>
              <w:spacing w:after="0"/>
              <w:rPr>
                <w:rFonts w:ascii="Calibri" w:eastAsia="Calibri" w:hAnsi="Calibri"/>
                <w:sz w:val="16"/>
                <w:szCs w:val="16"/>
                <w:lang w:val="en-US"/>
              </w:rPr>
            </w:pPr>
            <w:r w:rsidRPr="007D425D">
              <w:rPr>
                <w:rFonts w:ascii="Calibri" w:eastAsia="Calibri" w:hAnsi="Calibri" w:cs="Arial"/>
                <w:sz w:val="16"/>
                <w:szCs w:val="16"/>
                <w:lang w:val="en-US"/>
              </w:rPr>
              <w:t xml:space="preserve">Interviews with other DGSWG members, </w:t>
            </w:r>
            <w:r w:rsidRPr="007D425D">
              <w:rPr>
                <w:rFonts w:ascii="Calibri" w:eastAsia="Calibri" w:hAnsi="Calibri"/>
                <w:sz w:val="16"/>
                <w:szCs w:val="16"/>
                <w:lang w:val="en-US"/>
              </w:rPr>
              <w:t>civil society partners and MALGA</w:t>
            </w:r>
          </w:p>
          <w:p w14:paraId="1136131E" w14:textId="77777777" w:rsidR="000E0A4D" w:rsidRPr="007D425D" w:rsidRDefault="000E0A4D" w:rsidP="007D425D">
            <w:pPr>
              <w:spacing w:after="0"/>
              <w:rPr>
                <w:rFonts w:ascii="Calibri" w:eastAsia="Calibri" w:hAnsi="Calibri"/>
                <w:sz w:val="16"/>
                <w:szCs w:val="16"/>
                <w:lang w:val="en-US"/>
              </w:rPr>
            </w:pPr>
          </w:p>
          <w:p w14:paraId="6288128E" w14:textId="77777777" w:rsidR="000E0A4D" w:rsidRPr="007D425D" w:rsidRDefault="000E0A4D" w:rsidP="007D425D">
            <w:pPr>
              <w:spacing w:after="0"/>
              <w:rPr>
                <w:rFonts w:ascii="Calibri" w:eastAsia="Calibri" w:hAnsi="Calibri" w:cs="Arial"/>
                <w:sz w:val="16"/>
                <w:szCs w:val="16"/>
                <w:lang w:val="en-US"/>
              </w:rPr>
            </w:pPr>
            <w:r w:rsidRPr="007D425D">
              <w:rPr>
                <w:rFonts w:ascii="Calibri" w:eastAsia="Calibri" w:hAnsi="Calibri"/>
                <w:sz w:val="16"/>
                <w:szCs w:val="16"/>
                <w:lang w:val="en-US"/>
              </w:rPr>
              <w:t xml:space="preserve">Interviews with </w:t>
            </w:r>
            <w:r w:rsidRPr="007D425D">
              <w:rPr>
                <w:rFonts w:ascii="Calibri" w:eastAsia="Calibri" w:hAnsi="Calibri" w:cs="Arial"/>
                <w:sz w:val="16"/>
                <w:szCs w:val="16"/>
                <w:lang w:val="en-US"/>
              </w:rPr>
              <w:t>development partners (EU, WB, AfDB, USAID, JICA, DfID, RNE, GIZ)</w:t>
            </w:r>
          </w:p>
          <w:p w14:paraId="193CB551" w14:textId="77777777" w:rsidR="000E0A4D" w:rsidRPr="007D425D" w:rsidRDefault="000E0A4D" w:rsidP="007D425D">
            <w:pPr>
              <w:spacing w:after="0"/>
              <w:rPr>
                <w:rFonts w:ascii="Calibri" w:eastAsia="Calibri" w:hAnsi="Calibri" w:cs="Arial"/>
                <w:sz w:val="16"/>
                <w:szCs w:val="16"/>
                <w:lang w:val="en-US"/>
              </w:rPr>
            </w:pPr>
          </w:p>
          <w:p w14:paraId="4904B533" w14:textId="77777777" w:rsidR="000E0A4D" w:rsidRPr="007D425D" w:rsidRDefault="000E0A4D" w:rsidP="007D425D">
            <w:pPr>
              <w:spacing w:after="0"/>
              <w:rPr>
                <w:rFonts w:ascii="Calibri" w:eastAsia="Calibri" w:hAnsi="Calibri" w:cs="Arial"/>
                <w:sz w:val="16"/>
                <w:szCs w:val="16"/>
                <w:lang w:val="en-US"/>
              </w:rPr>
            </w:pPr>
            <w:r w:rsidRPr="007D425D">
              <w:rPr>
                <w:rFonts w:ascii="Calibri" w:eastAsia="Calibri" w:hAnsi="Calibri" w:cs="Arial"/>
                <w:sz w:val="16"/>
                <w:szCs w:val="16"/>
                <w:lang w:val="en-US"/>
              </w:rPr>
              <w:t>Interviews with UNCT: UNDP, UNICEF, UNFPA, (and UNOHCHR)</w:t>
            </w:r>
          </w:p>
          <w:p w14:paraId="54A83806" w14:textId="77777777" w:rsidR="000E0A4D" w:rsidRPr="007D425D" w:rsidRDefault="000E0A4D" w:rsidP="007D425D">
            <w:pPr>
              <w:spacing w:after="0"/>
              <w:rPr>
                <w:rFonts w:ascii="Calibri" w:eastAsia="Calibri" w:hAnsi="Calibri" w:cs="Arial"/>
                <w:sz w:val="16"/>
                <w:szCs w:val="16"/>
                <w:lang w:val="en-US"/>
              </w:rPr>
            </w:pPr>
          </w:p>
          <w:p w14:paraId="547A177E" w14:textId="77777777" w:rsidR="000E0A4D" w:rsidRPr="007D425D" w:rsidRDefault="000E0A4D" w:rsidP="007D425D">
            <w:pPr>
              <w:spacing w:after="0"/>
              <w:rPr>
                <w:rFonts w:ascii="Calibri" w:eastAsia="Calibri" w:hAnsi="Calibri" w:cs="Arial"/>
                <w:sz w:val="16"/>
                <w:szCs w:val="16"/>
                <w:lang w:val="en-US"/>
              </w:rPr>
            </w:pPr>
            <w:r w:rsidRPr="007D425D">
              <w:rPr>
                <w:rFonts w:ascii="Calibri" w:eastAsia="Calibri" w:hAnsi="Calibri" w:cs="Arial"/>
                <w:sz w:val="16"/>
                <w:szCs w:val="16"/>
                <w:lang w:val="en-US"/>
              </w:rPr>
              <w:t>Field visits to selected</w:t>
            </w:r>
          </w:p>
          <w:p w14:paraId="6AE42A64" w14:textId="77777777" w:rsidR="000E0A4D" w:rsidRPr="007D425D" w:rsidRDefault="000E0A4D" w:rsidP="007D425D">
            <w:pPr>
              <w:spacing w:after="0"/>
              <w:rPr>
                <w:rFonts w:ascii="Calibri" w:eastAsia="Calibri" w:hAnsi="Calibri" w:cs="Arial"/>
                <w:sz w:val="16"/>
                <w:szCs w:val="16"/>
                <w:lang w:val="en-US"/>
              </w:rPr>
            </w:pPr>
            <w:r w:rsidRPr="007D425D">
              <w:rPr>
                <w:rFonts w:ascii="Calibri" w:eastAsia="Calibri" w:hAnsi="Calibri" w:cs="Arial"/>
                <w:sz w:val="16"/>
                <w:szCs w:val="16"/>
                <w:lang w:val="en-US"/>
              </w:rPr>
              <w:t>Projects/districts</w:t>
            </w:r>
          </w:p>
        </w:tc>
      </w:tr>
    </w:tbl>
    <w:p w14:paraId="505C6A6D" w14:textId="77777777" w:rsidR="000E0A4D" w:rsidRPr="00CD56B9" w:rsidRDefault="000E0A4D" w:rsidP="000E0A4D">
      <w:pPr>
        <w:spacing w:after="200" w:line="276" w:lineRule="auto"/>
        <w:jc w:val="left"/>
        <w:rPr>
          <w:rFonts w:ascii="Calibri" w:eastAsia="Calibri" w:hAnsi="Calibri"/>
          <w:lang w:val="en-US"/>
        </w:rPr>
        <w:sectPr w:rsidR="000E0A4D" w:rsidRPr="00CD56B9" w:rsidSect="00C36AA0">
          <w:pgSz w:w="15840" w:h="12240" w:orient="landscape"/>
          <w:pgMar w:top="720" w:right="720" w:bottom="720" w:left="720" w:header="708" w:footer="708" w:gutter="0"/>
          <w:cols w:space="708"/>
          <w:docGrid w:linePitch="360"/>
        </w:sectPr>
      </w:pPr>
    </w:p>
    <w:tbl>
      <w:tblPr>
        <w:tblpPr w:leftFromText="141" w:rightFromText="141" w:vertAnchor="page" w:horzAnchor="margin" w:tblpY="166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3"/>
        <w:gridCol w:w="4579"/>
        <w:gridCol w:w="4579"/>
        <w:gridCol w:w="1969"/>
        <w:gridCol w:w="1960"/>
      </w:tblGrid>
      <w:tr w:rsidR="009D7BFA" w:rsidRPr="007D425D" w14:paraId="101CF01A" w14:textId="77777777" w:rsidTr="007D425D">
        <w:trPr>
          <w:trHeight w:val="557"/>
        </w:trPr>
        <w:tc>
          <w:tcPr>
            <w:tcW w:w="453" w:type="pct"/>
            <w:shd w:val="clear" w:color="auto" w:fill="E7E6E6"/>
          </w:tcPr>
          <w:p w14:paraId="046BC9F1" w14:textId="77777777" w:rsidR="000E0A4D" w:rsidRPr="007D425D" w:rsidRDefault="000E0A4D" w:rsidP="007D425D">
            <w:pPr>
              <w:autoSpaceDE w:val="0"/>
              <w:autoSpaceDN w:val="0"/>
              <w:adjustRightInd w:val="0"/>
              <w:spacing w:after="0"/>
              <w:jc w:val="left"/>
              <w:rPr>
                <w:rFonts w:ascii="Calibri" w:eastAsia="Calibri" w:hAnsi="Calibri" w:cs="Arial"/>
                <w:b/>
                <w:sz w:val="16"/>
                <w:szCs w:val="16"/>
                <w:lang w:val="en-US"/>
              </w:rPr>
            </w:pPr>
            <w:r w:rsidRPr="007D425D">
              <w:rPr>
                <w:rFonts w:ascii="Calibri" w:eastAsia="Calibri" w:hAnsi="Calibri" w:cs="Arial"/>
                <w:b/>
                <w:bCs/>
                <w:sz w:val="16"/>
                <w:szCs w:val="16"/>
              </w:rPr>
              <w:lastRenderedPageBreak/>
              <w:t>Criterion</w:t>
            </w:r>
          </w:p>
        </w:tc>
        <w:tc>
          <w:tcPr>
            <w:tcW w:w="1591" w:type="pct"/>
            <w:shd w:val="clear" w:color="auto" w:fill="E7E6E6"/>
          </w:tcPr>
          <w:p w14:paraId="362EDD12" w14:textId="77777777" w:rsidR="000E0A4D" w:rsidRPr="007D425D" w:rsidRDefault="000E0A4D" w:rsidP="007D425D">
            <w:pPr>
              <w:spacing w:after="0"/>
              <w:rPr>
                <w:rFonts w:ascii="Calibri" w:eastAsia="Calibri" w:hAnsi="Calibri"/>
                <w:b/>
                <w:noProof/>
                <w:sz w:val="16"/>
                <w:szCs w:val="16"/>
                <w:lang w:val="en-US" w:eastAsia="zh-CN"/>
              </w:rPr>
            </w:pPr>
            <w:r w:rsidRPr="007D425D">
              <w:rPr>
                <w:rFonts w:ascii="Calibri" w:eastAsia="Calibri" w:hAnsi="Calibri"/>
                <w:b/>
                <w:noProof/>
                <w:sz w:val="16"/>
                <w:szCs w:val="16"/>
                <w:lang w:val="en-US" w:eastAsia="zh-CN"/>
              </w:rPr>
              <w:t>Evaluation questions</w:t>
            </w:r>
          </w:p>
        </w:tc>
        <w:tc>
          <w:tcPr>
            <w:tcW w:w="1591" w:type="pct"/>
            <w:shd w:val="clear" w:color="auto" w:fill="E7E6E6"/>
          </w:tcPr>
          <w:p w14:paraId="3EE3D00F" w14:textId="77777777" w:rsidR="000E0A4D" w:rsidRPr="007D425D" w:rsidRDefault="000E0A4D" w:rsidP="007D425D">
            <w:pPr>
              <w:spacing w:after="0"/>
              <w:jc w:val="left"/>
              <w:rPr>
                <w:rFonts w:ascii="Calibri" w:eastAsia="Calibri" w:hAnsi="Calibri" w:cs="Arial"/>
                <w:b/>
                <w:sz w:val="16"/>
                <w:szCs w:val="16"/>
                <w:lang w:val="en-US"/>
              </w:rPr>
            </w:pPr>
            <w:r w:rsidRPr="007D425D">
              <w:rPr>
                <w:rFonts w:ascii="Calibri" w:eastAsia="Calibri" w:hAnsi="Calibri" w:cs="Arial"/>
                <w:b/>
                <w:sz w:val="16"/>
                <w:szCs w:val="16"/>
                <w:lang w:val="en-US"/>
              </w:rPr>
              <w:t xml:space="preserve">Sub questions </w:t>
            </w:r>
          </w:p>
        </w:tc>
        <w:tc>
          <w:tcPr>
            <w:tcW w:w="684" w:type="pct"/>
            <w:shd w:val="clear" w:color="auto" w:fill="E7E6E6"/>
          </w:tcPr>
          <w:p w14:paraId="44B1A518" w14:textId="77777777" w:rsidR="000E0A4D" w:rsidRPr="007D425D" w:rsidRDefault="000E0A4D" w:rsidP="007D425D">
            <w:pPr>
              <w:spacing w:after="0"/>
              <w:jc w:val="left"/>
              <w:rPr>
                <w:rFonts w:ascii="Calibri" w:eastAsia="Calibri" w:hAnsi="Calibri" w:cs="Arial"/>
                <w:b/>
                <w:sz w:val="16"/>
                <w:szCs w:val="16"/>
                <w:lang w:val="en-US"/>
              </w:rPr>
            </w:pPr>
            <w:r w:rsidRPr="007D425D">
              <w:rPr>
                <w:rFonts w:ascii="Calibri" w:eastAsia="Calibri" w:hAnsi="Calibri" w:cs="Arial"/>
                <w:b/>
                <w:sz w:val="16"/>
                <w:szCs w:val="16"/>
                <w:lang w:val="en-US"/>
              </w:rPr>
              <w:t>Data sources</w:t>
            </w:r>
          </w:p>
        </w:tc>
        <w:tc>
          <w:tcPr>
            <w:tcW w:w="681" w:type="pct"/>
            <w:shd w:val="clear" w:color="auto" w:fill="E7E6E6"/>
          </w:tcPr>
          <w:p w14:paraId="6E1754CB" w14:textId="77777777" w:rsidR="000E0A4D" w:rsidRPr="007D425D" w:rsidRDefault="000E0A4D" w:rsidP="007D425D">
            <w:pPr>
              <w:spacing w:after="0"/>
              <w:jc w:val="left"/>
              <w:rPr>
                <w:rFonts w:ascii="Calibri" w:eastAsia="Calibri" w:hAnsi="Calibri" w:cs="Arial"/>
                <w:b/>
                <w:sz w:val="16"/>
                <w:szCs w:val="16"/>
                <w:lang w:val="en-US"/>
              </w:rPr>
            </w:pPr>
            <w:r w:rsidRPr="007D425D">
              <w:rPr>
                <w:rFonts w:ascii="Calibri" w:eastAsia="Calibri" w:hAnsi="Calibri" w:cs="Arial"/>
                <w:b/>
                <w:sz w:val="16"/>
                <w:szCs w:val="16"/>
                <w:lang w:val="en-US"/>
              </w:rPr>
              <w:t>Data collection methods</w:t>
            </w:r>
          </w:p>
        </w:tc>
      </w:tr>
      <w:tr w:rsidR="009D7BFA" w:rsidRPr="00F72B0D" w14:paraId="28635E37" w14:textId="77777777" w:rsidTr="007D425D">
        <w:tc>
          <w:tcPr>
            <w:tcW w:w="453" w:type="pct"/>
          </w:tcPr>
          <w:p w14:paraId="4133CEC4" w14:textId="77777777" w:rsidR="000E0A4D" w:rsidRPr="007D425D" w:rsidRDefault="000E0A4D" w:rsidP="007D425D">
            <w:pPr>
              <w:spacing w:after="0"/>
              <w:jc w:val="left"/>
              <w:rPr>
                <w:rFonts w:ascii="Calibri" w:eastAsia="Calibri" w:hAnsi="Calibri" w:cs="Arial"/>
                <w:b/>
                <w:sz w:val="16"/>
                <w:szCs w:val="16"/>
                <w:lang w:val="en-US"/>
              </w:rPr>
            </w:pPr>
            <w:r w:rsidRPr="007D425D">
              <w:rPr>
                <w:rFonts w:ascii="Calibri" w:eastAsia="Calibri" w:hAnsi="Calibri" w:cs="Arial"/>
                <w:b/>
                <w:sz w:val="16"/>
                <w:szCs w:val="16"/>
                <w:lang w:val="en-US"/>
              </w:rPr>
              <w:t xml:space="preserve">Effectiveness  </w:t>
            </w:r>
          </w:p>
        </w:tc>
        <w:tc>
          <w:tcPr>
            <w:tcW w:w="1591" w:type="pct"/>
          </w:tcPr>
          <w:p w14:paraId="7B900D51" w14:textId="77777777" w:rsidR="000E0A4D" w:rsidRPr="007D425D" w:rsidRDefault="000E0A4D" w:rsidP="007D425D">
            <w:pPr>
              <w:spacing w:after="0"/>
              <w:jc w:val="left"/>
              <w:rPr>
                <w:rFonts w:ascii="Calibri" w:eastAsia="Calibri" w:hAnsi="Calibri" w:cs="Arial"/>
                <w:sz w:val="16"/>
                <w:szCs w:val="16"/>
                <w:lang w:val="en-US"/>
              </w:rPr>
            </w:pPr>
            <w:r w:rsidRPr="007D425D">
              <w:rPr>
                <w:rFonts w:ascii="Calibri" w:eastAsia="Calibri" w:hAnsi="Calibri" w:cs="Arial"/>
                <w:sz w:val="16"/>
                <w:szCs w:val="16"/>
                <w:lang w:val="en-US"/>
              </w:rPr>
              <w:t>1. What evidence is there that the UNCT collectively and as individual UN agency contributed towards improved national government capacities, including institutional strengthening?</w:t>
            </w:r>
          </w:p>
          <w:p w14:paraId="605BCDA4" w14:textId="77777777" w:rsidR="000E0A4D" w:rsidRPr="007D425D" w:rsidRDefault="000E0A4D" w:rsidP="007D425D">
            <w:pPr>
              <w:spacing w:after="0"/>
              <w:jc w:val="left"/>
              <w:rPr>
                <w:rFonts w:ascii="Calibri" w:eastAsia="Calibri" w:hAnsi="Calibri" w:cs="Arial"/>
                <w:sz w:val="16"/>
                <w:szCs w:val="16"/>
                <w:lang w:val="en-US"/>
              </w:rPr>
            </w:pPr>
          </w:p>
          <w:p w14:paraId="3CECF81A" w14:textId="77777777" w:rsidR="000E0A4D" w:rsidRPr="007D425D" w:rsidRDefault="000E0A4D" w:rsidP="007D425D">
            <w:pPr>
              <w:spacing w:after="0"/>
              <w:jc w:val="left"/>
              <w:rPr>
                <w:rFonts w:ascii="Calibri" w:eastAsia="Calibri" w:hAnsi="Calibri" w:cs="Arial"/>
                <w:sz w:val="16"/>
                <w:szCs w:val="16"/>
                <w:lang w:val="en-US"/>
              </w:rPr>
            </w:pPr>
            <w:r w:rsidRPr="007D425D">
              <w:rPr>
                <w:rFonts w:ascii="Calibri" w:eastAsia="Calibri" w:hAnsi="Calibri" w:cs="Arial"/>
                <w:sz w:val="16"/>
                <w:szCs w:val="16"/>
                <w:lang w:val="en-US"/>
              </w:rPr>
              <w:t>2. Has the UNCT and individual UN agencies worked effectively with other international and national development partners to improve democratic governance in Malawi?</w:t>
            </w:r>
          </w:p>
          <w:p w14:paraId="69F6CA05" w14:textId="77777777" w:rsidR="000E0A4D" w:rsidRPr="007D425D" w:rsidRDefault="000E0A4D" w:rsidP="007D425D">
            <w:pPr>
              <w:spacing w:after="0"/>
              <w:jc w:val="left"/>
              <w:rPr>
                <w:rFonts w:ascii="Calibri" w:eastAsia="Calibri" w:hAnsi="Calibri" w:cs="Arial"/>
                <w:sz w:val="16"/>
                <w:szCs w:val="16"/>
                <w:lang w:val="en-US"/>
              </w:rPr>
            </w:pPr>
          </w:p>
          <w:p w14:paraId="3BB11415" w14:textId="77777777" w:rsidR="000E0A4D" w:rsidRPr="007D425D" w:rsidRDefault="000E0A4D" w:rsidP="007D425D">
            <w:pPr>
              <w:spacing w:after="0"/>
              <w:jc w:val="left"/>
              <w:rPr>
                <w:rFonts w:ascii="Calibri" w:eastAsia="Calibri" w:hAnsi="Calibri" w:cs="Arial"/>
                <w:sz w:val="16"/>
                <w:szCs w:val="16"/>
                <w:lang w:val="en-US"/>
              </w:rPr>
            </w:pPr>
            <w:r w:rsidRPr="007D425D">
              <w:rPr>
                <w:rFonts w:ascii="Calibri" w:eastAsia="Calibri" w:hAnsi="Calibri" w:cs="Arial"/>
                <w:sz w:val="16"/>
                <w:szCs w:val="16"/>
                <w:lang w:val="en-US"/>
              </w:rPr>
              <w:t xml:space="preserve">3. Has the UNCT collectively, and participating individual UN agencies utilised innovative techniques and best practices in its programming? </w:t>
            </w:r>
          </w:p>
          <w:p w14:paraId="135C438C" w14:textId="77777777" w:rsidR="000E0A4D" w:rsidRPr="007D425D" w:rsidRDefault="000E0A4D" w:rsidP="007D425D">
            <w:pPr>
              <w:spacing w:after="0"/>
              <w:jc w:val="left"/>
              <w:rPr>
                <w:rFonts w:ascii="Calibri" w:eastAsia="Calibri" w:hAnsi="Calibri" w:cs="Arial"/>
                <w:sz w:val="16"/>
                <w:szCs w:val="16"/>
                <w:lang w:val="en-US"/>
              </w:rPr>
            </w:pPr>
          </w:p>
          <w:p w14:paraId="55980423" w14:textId="77777777" w:rsidR="000E0A4D" w:rsidRPr="007D425D" w:rsidRDefault="000E0A4D" w:rsidP="007D425D">
            <w:pPr>
              <w:spacing w:after="0"/>
              <w:jc w:val="left"/>
              <w:rPr>
                <w:rFonts w:ascii="Calibri" w:eastAsia="Calibri" w:hAnsi="Calibri" w:cs="Arial"/>
                <w:sz w:val="16"/>
                <w:szCs w:val="16"/>
                <w:lang w:val="en-US"/>
              </w:rPr>
            </w:pPr>
            <w:r w:rsidRPr="007D425D">
              <w:rPr>
                <w:rFonts w:ascii="Calibri" w:eastAsia="Calibri" w:hAnsi="Calibri" w:cs="Arial"/>
                <w:sz w:val="16"/>
                <w:szCs w:val="16"/>
                <w:lang w:val="en-US"/>
              </w:rPr>
              <w:t>4. Is the UNCT collectively, and other participating UN agencies perceived by stakeholders as strong advocates for improving democratic governance in Malawi?</w:t>
            </w:r>
          </w:p>
          <w:p w14:paraId="43E387FC" w14:textId="77777777" w:rsidR="000E0A4D" w:rsidRPr="007D425D" w:rsidRDefault="000E0A4D" w:rsidP="007D425D">
            <w:pPr>
              <w:spacing w:after="0"/>
              <w:jc w:val="left"/>
              <w:rPr>
                <w:rFonts w:ascii="Calibri" w:eastAsia="Calibri" w:hAnsi="Calibri" w:cs="Arial"/>
                <w:sz w:val="16"/>
                <w:szCs w:val="16"/>
                <w:lang w:val="en-US"/>
              </w:rPr>
            </w:pPr>
          </w:p>
          <w:p w14:paraId="0AE49D26" w14:textId="77777777" w:rsidR="000E0A4D" w:rsidRPr="007D425D" w:rsidRDefault="000E0A4D" w:rsidP="007D425D">
            <w:pPr>
              <w:spacing w:after="0"/>
              <w:jc w:val="left"/>
              <w:rPr>
                <w:rFonts w:ascii="Calibri" w:eastAsia="Calibri" w:hAnsi="Calibri" w:cs="Arial"/>
                <w:sz w:val="16"/>
                <w:szCs w:val="16"/>
                <w:lang w:val="en-US"/>
              </w:rPr>
            </w:pPr>
            <w:r w:rsidRPr="007D425D">
              <w:rPr>
                <w:rFonts w:ascii="Calibri" w:eastAsia="Calibri" w:hAnsi="Calibri" w:cs="Arial"/>
                <w:sz w:val="16"/>
                <w:szCs w:val="16"/>
                <w:lang w:val="en-US"/>
              </w:rPr>
              <w:t>5 What contributing factors and impediments or enhance UNCT’s collective, and individual participating UN agencies’ performance in this area?</w:t>
            </w:r>
          </w:p>
          <w:p w14:paraId="7F6D8308" w14:textId="77777777" w:rsidR="000E0A4D" w:rsidRPr="007D425D" w:rsidRDefault="000E0A4D" w:rsidP="007D425D">
            <w:pPr>
              <w:spacing w:after="0"/>
              <w:jc w:val="left"/>
              <w:rPr>
                <w:rFonts w:ascii="Calibri" w:eastAsia="Calibri" w:hAnsi="Calibri" w:cs="Arial"/>
                <w:sz w:val="16"/>
                <w:szCs w:val="16"/>
                <w:lang w:val="en-US"/>
              </w:rPr>
            </w:pPr>
          </w:p>
        </w:tc>
        <w:tc>
          <w:tcPr>
            <w:tcW w:w="1591" w:type="pct"/>
          </w:tcPr>
          <w:p w14:paraId="2748CE02" w14:textId="77777777" w:rsidR="000E0A4D" w:rsidRPr="007D425D" w:rsidRDefault="000E0A4D" w:rsidP="007D425D">
            <w:pPr>
              <w:spacing w:after="0"/>
              <w:jc w:val="left"/>
              <w:rPr>
                <w:rFonts w:ascii="Calibri" w:eastAsia="Calibri" w:hAnsi="Calibri" w:cs="Arial"/>
                <w:sz w:val="16"/>
                <w:szCs w:val="16"/>
                <w:lang w:val="en-US"/>
              </w:rPr>
            </w:pPr>
            <w:r w:rsidRPr="007D425D">
              <w:rPr>
                <w:rFonts w:ascii="Calibri" w:eastAsia="Calibri" w:hAnsi="Calibri" w:cs="Arial"/>
                <w:sz w:val="16"/>
                <w:szCs w:val="16"/>
                <w:lang w:val="en-US"/>
              </w:rPr>
              <w:t>1.1 Assess the contribution made by the UNCT, collectively, and by participating UN agencies, individually, to promote good democratic governance as envisaged under outcome 4.1 of the UNDAF; including cross-cutting issues of human rights and gender equality.</w:t>
            </w:r>
          </w:p>
          <w:p w14:paraId="2F13DF32" w14:textId="77777777" w:rsidR="000E0A4D" w:rsidRPr="007D425D" w:rsidRDefault="000E0A4D" w:rsidP="007D425D">
            <w:pPr>
              <w:spacing w:after="0"/>
              <w:jc w:val="left"/>
              <w:rPr>
                <w:rFonts w:ascii="Calibri" w:eastAsia="Calibri" w:hAnsi="Calibri" w:cs="Arial"/>
                <w:sz w:val="16"/>
                <w:szCs w:val="16"/>
                <w:lang w:val="en-US"/>
              </w:rPr>
            </w:pPr>
          </w:p>
          <w:p w14:paraId="28664B0C" w14:textId="77777777" w:rsidR="000E0A4D" w:rsidRPr="007D425D" w:rsidRDefault="000E0A4D" w:rsidP="007D425D">
            <w:pPr>
              <w:spacing w:after="0"/>
              <w:jc w:val="left"/>
              <w:rPr>
                <w:rFonts w:ascii="Calibri" w:eastAsia="Calibri" w:hAnsi="Calibri" w:cs="Arial"/>
                <w:sz w:val="16"/>
                <w:szCs w:val="16"/>
                <w:lang w:val="en-US"/>
              </w:rPr>
            </w:pPr>
            <w:r w:rsidRPr="007D425D">
              <w:rPr>
                <w:rFonts w:ascii="Calibri" w:eastAsia="Calibri" w:hAnsi="Calibri" w:cs="Arial"/>
                <w:sz w:val="16"/>
                <w:szCs w:val="16"/>
                <w:lang w:val="en-US"/>
              </w:rPr>
              <w:t xml:space="preserve">1.2 Has the support at the national level been effective in helping improve democratic governance at all levels in Malawi?  </w:t>
            </w:r>
          </w:p>
          <w:p w14:paraId="7759C294" w14:textId="77777777" w:rsidR="000E0A4D" w:rsidRPr="007D425D" w:rsidRDefault="000E0A4D" w:rsidP="007D425D">
            <w:pPr>
              <w:spacing w:after="0"/>
              <w:jc w:val="left"/>
              <w:rPr>
                <w:rFonts w:ascii="Calibri" w:eastAsia="Calibri" w:hAnsi="Calibri" w:cs="Arial"/>
                <w:sz w:val="16"/>
                <w:szCs w:val="16"/>
                <w:lang w:val="en-US"/>
              </w:rPr>
            </w:pPr>
          </w:p>
          <w:p w14:paraId="498AA2F3" w14:textId="77777777" w:rsidR="000E0A4D" w:rsidRPr="007D425D" w:rsidRDefault="000E0A4D" w:rsidP="007D425D">
            <w:pPr>
              <w:spacing w:after="0"/>
              <w:jc w:val="left"/>
              <w:rPr>
                <w:rFonts w:ascii="Calibri" w:eastAsia="Calibri" w:hAnsi="Calibri" w:cs="Arial"/>
                <w:sz w:val="16"/>
                <w:szCs w:val="16"/>
                <w:lang w:val="en-US"/>
              </w:rPr>
            </w:pPr>
            <w:r w:rsidRPr="007D425D">
              <w:rPr>
                <w:rFonts w:ascii="Calibri" w:eastAsia="Calibri" w:hAnsi="Calibri" w:cs="Arial"/>
                <w:sz w:val="16"/>
                <w:szCs w:val="16"/>
                <w:lang w:val="en-US"/>
              </w:rPr>
              <w:t>1.3 Did the support contribute towards the stated outcome or contributed to changes and processes that move towards the outcome? Did it complement additional DP support?</w:t>
            </w:r>
          </w:p>
          <w:p w14:paraId="669A0F6E" w14:textId="77777777" w:rsidR="000E0A4D" w:rsidRPr="007D425D" w:rsidRDefault="000E0A4D" w:rsidP="007D425D">
            <w:pPr>
              <w:spacing w:after="0"/>
              <w:jc w:val="left"/>
              <w:rPr>
                <w:rFonts w:ascii="Calibri" w:eastAsia="Calibri" w:hAnsi="Calibri"/>
                <w:sz w:val="16"/>
                <w:szCs w:val="16"/>
                <w:lang w:val="en-US"/>
              </w:rPr>
            </w:pPr>
            <w:r w:rsidRPr="007D425D">
              <w:rPr>
                <w:rFonts w:ascii="Calibri" w:eastAsia="Calibri" w:hAnsi="Calibri" w:cs="Arial"/>
                <w:sz w:val="16"/>
                <w:szCs w:val="16"/>
                <w:lang w:val="en-US"/>
              </w:rPr>
              <w:t>2.1 How effective has the UNCT collectively and individual participating UN agencies been in partnering with civil society and the private sector to promote democratic governance in Malawi?</w:t>
            </w:r>
          </w:p>
          <w:p w14:paraId="3F4ECFEB" w14:textId="77777777" w:rsidR="000E0A4D" w:rsidRPr="007D425D" w:rsidRDefault="000E0A4D" w:rsidP="007D425D">
            <w:pPr>
              <w:spacing w:after="0"/>
              <w:jc w:val="left"/>
              <w:rPr>
                <w:rFonts w:ascii="Calibri" w:eastAsia="Calibri" w:hAnsi="Calibri" w:cs="Arial"/>
                <w:sz w:val="16"/>
                <w:szCs w:val="16"/>
                <w:lang w:val="en-US"/>
              </w:rPr>
            </w:pPr>
          </w:p>
          <w:p w14:paraId="4D8B45DC" w14:textId="77777777" w:rsidR="000E0A4D" w:rsidRPr="007D425D" w:rsidRDefault="000E0A4D" w:rsidP="007D425D">
            <w:pPr>
              <w:spacing w:after="0"/>
              <w:jc w:val="left"/>
              <w:rPr>
                <w:rFonts w:ascii="Calibri" w:eastAsia="Calibri" w:hAnsi="Calibri" w:cs="Arial"/>
                <w:sz w:val="16"/>
                <w:szCs w:val="16"/>
                <w:lang w:val="en-US"/>
              </w:rPr>
            </w:pPr>
            <w:r w:rsidRPr="007D425D">
              <w:rPr>
                <w:rFonts w:ascii="Calibri" w:eastAsia="Calibri" w:hAnsi="Calibri" w:cs="Arial"/>
                <w:sz w:val="16"/>
                <w:szCs w:val="16"/>
                <w:lang w:val="en-US"/>
              </w:rPr>
              <w:t>1.4 What outcome and outputs does the support intend to achieve and what outputs have been achieved?</w:t>
            </w:r>
          </w:p>
          <w:p w14:paraId="7303DA71" w14:textId="77777777" w:rsidR="000E0A4D" w:rsidRPr="007D425D" w:rsidRDefault="000E0A4D" w:rsidP="007D425D">
            <w:pPr>
              <w:spacing w:after="0"/>
              <w:jc w:val="left"/>
              <w:rPr>
                <w:rFonts w:ascii="Calibri" w:eastAsia="Calibri" w:hAnsi="Calibri" w:cs="Arial"/>
                <w:sz w:val="16"/>
                <w:szCs w:val="16"/>
                <w:lang w:val="en-US"/>
              </w:rPr>
            </w:pPr>
          </w:p>
          <w:p w14:paraId="75E012DD" w14:textId="77777777" w:rsidR="000E0A4D" w:rsidRPr="007D425D" w:rsidRDefault="000E0A4D" w:rsidP="007D425D">
            <w:pPr>
              <w:spacing w:after="0"/>
              <w:jc w:val="left"/>
              <w:rPr>
                <w:rFonts w:ascii="Calibri" w:eastAsia="Calibri" w:hAnsi="Calibri" w:cs="Arial"/>
                <w:sz w:val="16"/>
                <w:szCs w:val="16"/>
                <w:lang w:val="en-US"/>
              </w:rPr>
            </w:pPr>
            <w:r w:rsidRPr="007D425D">
              <w:rPr>
                <w:rFonts w:ascii="Calibri" w:eastAsia="Calibri" w:hAnsi="Calibri" w:cs="Arial"/>
                <w:sz w:val="16"/>
                <w:szCs w:val="16"/>
                <w:lang w:val="en-US"/>
              </w:rPr>
              <w:t>1.5 What changes can be observed as a result of these outputs?</w:t>
            </w:r>
          </w:p>
          <w:p w14:paraId="3040A531" w14:textId="77777777" w:rsidR="000E0A4D" w:rsidRPr="007D425D" w:rsidRDefault="000E0A4D" w:rsidP="007D425D">
            <w:pPr>
              <w:spacing w:after="0"/>
              <w:jc w:val="left"/>
              <w:rPr>
                <w:rFonts w:ascii="Calibri" w:eastAsia="Calibri" w:hAnsi="Calibri" w:cs="Arial"/>
                <w:sz w:val="16"/>
                <w:szCs w:val="16"/>
                <w:lang w:val="en-US"/>
              </w:rPr>
            </w:pPr>
          </w:p>
          <w:p w14:paraId="3B0E1AD9" w14:textId="77777777" w:rsidR="000E0A4D" w:rsidRPr="007D425D" w:rsidRDefault="000E0A4D" w:rsidP="007D425D">
            <w:pPr>
              <w:spacing w:after="0"/>
              <w:jc w:val="left"/>
              <w:rPr>
                <w:rFonts w:ascii="Calibri" w:eastAsia="Calibri" w:hAnsi="Calibri" w:cs="Arial"/>
                <w:sz w:val="16"/>
                <w:szCs w:val="16"/>
                <w:lang w:val="en-US"/>
              </w:rPr>
            </w:pPr>
            <w:r w:rsidRPr="007D425D">
              <w:rPr>
                <w:rFonts w:ascii="Calibri" w:eastAsia="Calibri" w:hAnsi="Calibri" w:cs="Arial"/>
                <w:sz w:val="16"/>
                <w:szCs w:val="16"/>
                <w:lang w:val="en-US"/>
              </w:rPr>
              <w:t>1.6 How does the UNCT measure its progress towards expected results/outcomes in a dynamic context?</w:t>
            </w:r>
          </w:p>
          <w:p w14:paraId="2728CCB4" w14:textId="77777777" w:rsidR="000E0A4D" w:rsidRPr="007D425D" w:rsidRDefault="000E0A4D" w:rsidP="007D425D">
            <w:pPr>
              <w:spacing w:after="0"/>
              <w:jc w:val="left"/>
              <w:rPr>
                <w:rFonts w:ascii="Calibri" w:eastAsia="Calibri" w:hAnsi="Calibri" w:cs="Arial"/>
                <w:sz w:val="16"/>
                <w:szCs w:val="16"/>
                <w:lang w:val="en-US"/>
              </w:rPr>
            </w:pPr>
          </w:p>
          <w:p w14:paraId="6341CF02" w14:textId="12BEE02B" w:rsidR="000E0A4D" w:rsidRPr="007D425D" w:rsidRDefault="000E0A4D" w:rsidP="007D425D">
            <w:pPr>
              <w:spacing w:after="0"/>
              <w:jc w:val="left"/>
              <w:rPr>
                <w:rFonts w:ascii="Calibri" w:eastAsia="Calibri" w:hAnsi="Calibri" w:cs="Arial"/>
                <w:sz w:val="16"/>
                <w:szCs w:val="16"/>
                <w:lang w:val="en-US"/>
              </w:rPr>
            </w:pPr>
            <w:r w:rsidRPr="007D425D">
              <w:rPr>
                <w:rFonts w:ascii="Calibri" w:eastAsia="Calibri" w:hAnsi="Calibri" w:cs="Arial"/>
                <w:sz w:val="16"/>
                <w:szCs w:val="16"/>
                <w:lang w:val="en-US"/>
              </w:rPr>
              <w:t xml:space="preserve">1.7 How </w:t>
            </w:r>
            <w:r w:rsidR="003F4020" w:rsidRPr="007D425D">
              <w:rPr>
                <w:rFonts w:ascii="Calibri" w:eastAsia="Calibri" w:hAnsi="Calibri" w:cs="Arial"/>
                <w:sz w:val="16"/>
                <w:szCs w:val="16"/>
                <w:lang w:val="en-US"/>
              </w:rPr>
              <w:t>have</w:t>
            </w:r>
            <w:r w:rsidRPr="007D425D">
              <w:rPr>
                <w:rFonts w:ascii="Calibri" w:eastAsia="Calibri" w:hAnsi="Calibri" w:cs="Arial"/>
                <w:sz w:val="16"/>
                <w:szCs w:val="16"/>
                <w:lang w:val="en-US"/>
              </w:rPr>
              <w:t xml:space="preserve"> strategic values and comparative advantages of each of the participating UN agencies contributed to the outcome?</w:t>
            </w:r>
          </w:p>
          <w:p w14:paraId="6EAF73B7" w14:textId="77777777" w:rsidR="000E0A4D" w:rsidRPr="007D425D" w:rsidRDefault="000E0A4D" w:rsidP="007D425D">
            <w:pPr>
              <w:spacing w:after="0"/>
              <w:jc w:val="left"/>
              <w:rPr>
                <w:rFonts w:ascii="Calibri" w:eastAsia="Calibri" w:hAnsi="Calibri" w:cs="Arial"/>
                <w:sz w:val="16"/>
                <w:szCs w:val="16"/>
                <w:lang w:val="en-US"/>
              </w:rPr>
            </w:pPr>
          </w:p>
          <w:p w14:paraId="5BF71436" w14:textId="77777777" w:rsidR="000E0A4D" w:rsidRPr="007D425D" w:rsidRDefault="000E0A4D" w:rsidP="007D425D">
            <w:pPr>
              <w:spacing w:after="0"/>
              <w:jc w:val="left"/>
              <w:rPr>
                <w:rFonts w:ascii="Calibri" w:eastAsia="Calibri" w:hAnsi="Calibri" w:cs="Arial"/>
                <w:sz w:val="16"/>
                <w:szCs w:val="16"/>
                <w:lang w:val="en-US"/>
              </w:rPr>
            </w:pPr>
            <w:r w:rsidRPr="007D425D">
              <w:rPr>
                <w:rFonts w:ascii="Calibri" w:eastAsia="Calibri" w:hAnsi="Calibri" w:cs="Arial"/>
                <w:sz w:val="16"/>
                <w:szCs w:val="16"/>
                <w:lang w:val="en-US"/>
              </w:rPr>
              <w:t>1.8 What were the unintended results of UNDAF related initiatives and how did they affect development in DG?</w:t>
            </w:r>
          </w:p>
          <w:p w14:paraId="30CF48A4" w14:textId="77777777" w:rsidR="000E0A4D" w:rsidRPr="007D425D" w:rsidRDefault="000E0A4D" w:rsidP="007D425D">
            <w:pPr>
              <w:spacing w:after="0"/>
              <w:jc w:val="left"/>
              <w:rPr>
                <w:rFonts w:ascii="Calibri" w:eastAsia="Calibri" w:hAnsi="Calibri"/>
                <w:sz w:val="16"/>
                <w:szCs w:val="16"/>
                <w:lang w:val="en-US"/>
              </w:rPr>
            </w:pPr>
          </w:p>
          <w:p w14:paraId="1B227A12" w14:textId="77777777" w:rsidR="000E0A4D" w:rsidRPr="007D425D" w:rsidRDefault="000E0A4D" w:rsidP="007D425D">
            <w:pPr>
              <w:spacing w:after="0"/>
              <w:jc w:val="left"/>
              <w:rPr>
                <w:rFonts w:ascii="Calibri" w:eastAsia="Calibri" w:hAnsi="Calibri" w:cs="Arial"/>
                <w:sz w:val="16"/>
                <w:szCs w:val="16"/>
                <w:lang w:val="en-US"/>
              </w:rPr>
            </w:pPr>
            <w:r w:rsidRPr="007D425D">
              <w:rPr>
                <w:rFonts w:ascii="Calibri" w:eastAsia="Calibri" w:hAnsi="Calibri"/>
                <w:sz w:val="16"/>
                <w:szCs w:val="16"/>
                <w:lang w:val="en-US"/>
              </w:rPr>
              <w:t xml:space="preserve">2.2 Have </w:t>
            </w:r>
            <w:r w:rsidRPr="007D425D">
              <w:rPr>
                <w:rFonts w:ascii="Calibri" w:eastAsia="Calibri" w:hAnsi="Calibri" w:cs="Arial"/>
                <w:sz w:val="16"/>
                <w:szCs w:val="16"/>
                <w:lang w:val="en-US"/>
              </w:rPr>
              <w:t xml:space="preserve">UN agency partnerships strategies been adequate for the achievement of the outcome? </w:t>
            </w:r>
          </w:p>
          <w:p w14:paraId="14B1CAC0" w14:textId="77777777" w:rsidR="000E0A4D" w:rsidRPr="007D425D" w:rsidRDefault="000E0A4D" w:rsidP="007D425D">
            <w:pPr>
              <w:spacing w:after="0"/>
              <w:jc w:val="left"/>
              <w:rPr>
                <w:rFonts w:ascii="Calibri" w:eastAsia="Calibri" w:hAnsi="Calibri" w:cs="Arial"/>
                <w:sz w:val="16"/>
                <w:szCs w:val="16"/>
                <w:lang w:val="en-US"/>
              </w:rPr>
            </w:pPr>
          </w:p>
          <w:p w14:paraId="03BBE2CC" w14:textId="77777777" w:rsidR="000E0A4D" w:rsidRPr="007D425D" w:rsidRDefault="000E0A4D" w:rsidP="007D425D">
            <w:pPr>
              <w:spacing w:after="0"/>
              <w:jc w:val="left"/>
              <w:rPr>
                <w:rFonts w:ascii="Calibri" w:eastAsia="Calibri" w:hAnsi="Calibri" w:cs="Arial"/>
                <w:sz w:val="16"/>
                <w:szCs w:val="16"/>
                <w:lang w:val="en-US"/>
              </w:rPr>
            </w:pPr>
            <w:r w:rsidRPr="007D425D">
              <w:rPr>
                <w:rFonts w:ascii="Calibri" w:eastAsia="Calibri" w:hAnsi="Calibri" w:cs="Arial"/>
                <w:sz w:val="16"/>
                <w:szCs w:val="16"/>
                <w:lang w:val="en-US"/>
              </w:rPr>
              <w:t xml:space="preserve">2.3 How well did the UNCT use its partnerships (with civil society, private sector, local government, parliament, national human rights institutions, gender equality advocates, international development partners) to improve performance? </w:t>
            </w:r>
          </w:p>
          <w:p w14:paraId="59F864AE" w14:textId="77777777" w:rsidR="000E0A4D" w:rsidRPr="007D425D" w:rsidRDefault="000E0A4D" w:rsidP="007D425D">
            <w:pPr>
              <w:spacing w:after="0"/>
              <w:jc w:val="left"/>
              <w:rPr>
                <w:rFonts w:ascii="Calibri" w:eastAsia="Calibri" w:hAnsi="Calibri" w:cs="Arial"/>
                <w:sz w:val="16"/>
                <w:szCs w:val="16"/>
                <w:lang w:val="en-US"/>
              </w:rPr>
            </w:pPr>
          </w:p>
          <w:p w14:paraId="293B465F" w14:textId="77777777" w:rsidR="000E0A4D" w:rsidRPr="007D425D" w:rsidRDefault="000E0A4D" w:rsidP="007D425D">
            <w:pPr>
              <w:spacing w:after="0"/>
              <w:jc w:val="left"/>
              <w:rPr>
                <w:rFonts w:ascii="Calibri" w:eastAsia="Calibri" w:hAnsi="Calibri" w:cs="Arial"/>
                <w:sz w:val="16"/>
                <w:szCs w:val="16"/>
                <w:lang w:val="en-US"/>
              </w:rPr>
            </w:pPr>
            <w:r w:rsidRPr="007D425D">
              <w:rPr>
                <w:rFonts w:ascii="Calibri" w:eastAsia="Calibri" w:hAnsi="Calibri" w:cs="Arial"/>
                <w:sz w:val="16"/>
                <w:szCs w:val="16"/>
                <w:lang w:val="en-US"/>
              </w:rPr>
              <w:t>2.4 Do CSO partnerships balance between service provision and advocacy roles of CSOs?</w:t>
            </w:r>
          </w:p>
          <w:p w14:paraId="62077836" w14:textId="77777777" w:rsidR="000E0A4D" w:rsidRPr="007D425D" w:rsidRDefault="000E0A4D" w:rsidP="007D425D">
            <w:pPr>
              <w:spacing w:after="0"/>
              <w:jc w:val="left"/>
              <w:rPr>
                <w:rFonts w:ascii="Calibri" w:eastAsia="Calibri" w:hAnsi="Calibri" w:cs="Arial"/>
                <w:sz w:val="16"/>
                <w:szCs w:val="16"/>
                <w:lang w:val="en-US"/>
              </w:rPr>
            </w:pPr>
          </w:p>
          <w:p w14:paraId="539B9751" w14:textId="77777777" w:rsidR="000E0A4D" w:rsidRPr="007D425D" w:rsidRDefault="000E0A4D" w:rsidP="007D425D">
            <w:pPr>
              <w:spacing w:after="0"/>
              <w:jc w:val="left"/>
              <w:rPr>
                <w:rFonts w:ascii="Calibri" w:eastAsia="Calibri" w:hAnsi="Calibri" w:cs="Arial"/>
                <w:sz w:val="16"/>
                <w:szCs w:val="16"/>
                <w:lang w:val="en-US"/>
              </w:rPr>
            </w:pPr>
            <w:r w:rsidRPr="007D425D">
              <w:rPr>
                <w:rFonts w:ascii="Calibri" w:eastAsia="Calibri" w:hAnsi="Calibri" w:cs="Arial"/>
                <w:sz w:val="16"/>
                <w:szCs w:val="16"/>
                <w:lang w:val="en-US"/>
              </w:rPr>
              <w:t>3.1 Is there concrete evidence that the support has succeeded in applying innovative measures and value addition to the sector</w:t>
            </w:r>
          </w:p>
          <w:p w14:paraId="1308E741" w14:textId="77777777" w:rsidR="000E0A4D" w:rsidRPr="007D425D" w:rsidRDefault="000E0A4D" w:rsidP="007D425D">
            <w:pPr>
              <w:spacing w:after="0"/>
              <w:jc w:val="left"/>
              <w:rPr>
                <w:rFonts w:ascii="Calibri" w:eastAsia="Calibri" w:hAnsi="Calibri" w:cs="Arial"/>
                <w:sz w:val="16"/>
                <w:szCs w:val="16"/>
                <w:lang w:val="en-US"/>
              </w:rPr>
            </w:pPr>
          </w:p>
          <w:p w14:paraId="579C6082" w14:textId="77777777" w:rsidR="000E0A4D" w:rsidRPr="007D425D" w:rsidRDefault="000E0A4D" w:rsidP="007D425D">
            <w:pPr>
              <w:spacing w:after="0"/>
              <w:jc w:val="left"/>
              <w:rPr>
                <w:rFonts w:ascii="Calibri" w:eastAsia="Calibri" w:hAnsi="Calibri" w:cs="Arial"/>
                <w:sz w:val="16"/>
                <w:szCs w:val="16"/>
                <w:lang w:val="en-US"/>
              </w:rPr>
            </w:pPr>
            <w:r w:rsidRPr="007D425D">
              <w:rPr>
                <w:rFonts w:ascii="Calibri" w:eastAsia="Calibri" w:hAnsi="Calibri" w:cs="Arial"/>
                <w:sz w:val="16"/>
                <w:szCs w:val="16"/>
                <w:lang w:val="en-US"/>
              </w:rPr>
              <w:lastRenderedPageBreak/>
              <w:t>4.1 Which examples of evidence on advocacy for DG can be identified?</w:t>
            </w:r>
          </w:p>
          <w:p w14:paraId="252F4866" w14:textId="77777777" w:rsidR="000E0A4D" w:rsidRPr="007D425D" w:rsidRDefault="000E0A4D" w:rsidP="007D425D">
            <w:pPr>
              <w:spacing w:after="0"/>
              <w:jc w:val="left"/>
              <w:rPr>
                <w:rFonts w:ascii="Calibri" w:eastAsia="Calibri" w:hAnsi="Calibri" w:cs="Arial"/>
                <w:sz w:val="16"/>
                <w:szCs w:val="16"/>
                <w:lang w:val="en-US"/>
              </w:rPr>
            </w:pPr>
            <w:r w:rsidRPr="007D425D">
              <w:rPr>
                <w:rFonts w:ascii="Calibri" w:eastAsia="Calibri" w:hAnsi="Calibri" w:cs="Arial"/>
                <w:sz w:val="16"/>
                <w:szCs w:val="16"/>
                <w:lang w:val="en-US"/>
              </w:rPr>
              <w:t>5.1 Which factors has facilitated and/or hindered the progress in achieving the outcome by the UNCT collectively and the participating UN agencies, individually, both in terms of the external factors and internal linked to portfolio management interventions including: weakness in design, oversight, human resource skills and resources</w:t>
            </w:r>
          </w:p>
          <w:p w14:paraId="21F93D7C" w14:textId="77777777" w:rsidR="000E0A4D" w:rsidRPr="007D425D" w:rsidRDefault="000E0A4D" w:rsidP="007D425D">
            <w:pPr>
              <w:spacing w:after="0"/>
              <w:jc w:val="left"/>
              <w:rPr>
                <w:rFonts w:ascii="Calibri" w:eastAsia="Calibri" w:hAnsi="Calibri" w:cs="Arial"/>
                <w:sz w:val="16"/>
                <w:szCs w:val="16"/>
                <w:lang w:val="en-US"/>
              </w:rPr>
            </w:pPr>
          </w:p>
          <w:p w14:paraId="71B87C03" w14:textId="77777777" w:rsidR="000E0A4D" w:rsidRPr="007D425D" w:rsidRDefault="000E0A4D" w:rsidP="007D425D">
            <w:pPr>
              <w:spacing w:after="0"/>
              <w:jc w:val="left"/>
              <w:rPr>
                <w:rFonts w:ascii="Calibri" w:eastAsia="Calibri" w:hAnsi="Calibri" w:cs="Arial"/>
                <w:sz w:val="16"/>
                <w:szCs w:val="16"/>
                <w:lang w:val="en-US"/>
              </w:rPr>
            </w:pPr>
            <w:r w:rsidRPr="007D425D">
              <w:rPr>
                <w:rFonts w:ascii="Calibri" w:eastAsia="Calibri" w:hAnsi="Calibri" w:cs="Arial"/>
                <w:sz w:val="16"/>
                <w:szCs w:val="16"/>
                <w:lang w:val="en-US"/>
              </w:rPr>
              <w:t>5.2 In addition to UNCT initiatives, what other factors may have affected the results?</w:t>
            </w:r>
          </w:p>
        </w:tc>
        <w:tc>
          <w:tcPr>
            <w:tcW w:w="684" w:type="pct"/>
          </w:tcPr>
          <w:p w14:paraId="4D7A613F" w14:textId="77777777" w:rsidR="000E0A4D" w:rsidRPr="007D425D" w:rsidRDefault="000E0A4D" w:rsidP="007D425D">
            <w:pPr>
              <w:spacing w:after="0"/>
              <w:jc w:val="left"/>
              <w:rPr>
                <w:rFonts w:ascii="Calibri" w:eastAsia="Calibri" w:hAnsi="Calibri" w:cs="Arial"/>
                <w:sz w:val="16"/>
                <w:szCs w:val="16"/>
                <w:lang w:val="en-US"/>
              </w:rPr>
            </w:pPr>
            <w:r w:rsidRPr="007D425D">
              <w:rPr>
                <w:rFonts w:ascii="Calibri" w:eastAsia="Calibri" w:hAnsi="Calibri" w:cs="Arial"/>
                <w:sz w:val="16"/>
                <w:szCs w:val="16"/>
                <w:lang w:val="en-US"/>
              </w:rPr>
              <w:lastRenderedPageBreak/>
              <w:t>UNDAF Programme documents</w:t>
            </w:r>
          </w:p>
          <w:p w14:paraId="6AF185ED" w14:textId="77777777" w:rsidR="000E0A4D" w:rsidRPr="007D425D" w:rsidRDefault="000E0A4D" w:rsidP="007D425D">
            <w:pPr>
              <w:spacing w:after="0"/>
              <w:jc w:val="left"/>
              <w:rPr>
                <w:rFonts w:ascii="Calibri" w:eastAsia="Calibri" w:hAnsi="Calibri" w:cs="Arial"/>
                <w:sz w:val="16"/>
                <w:szCs w:val="16"/>
                <w:lang w:val="en-US"/>
              </w:rPr>
            </w:pPr>
            <w:r w:rsidRPr="007D425D">
              <w:rPr>
                <w:rFonts w:ascii="Calibri" w:eastAsia="Calibri" w:hAnsi="Calibri" w:cs="Arial"/>
                <w:sz w:val="16"/>
                <w:szCs w:val="16"/>
                <w:lang w:val="en-US"/>
              </w:rPr>
              <w:t>- Annual Work Plans</w:t>
            </w:r>
          </w:p>
          <w:p w14:paraId="4EABBF58" w14:textId="77777777" w:rsidR="000E0A4D" w:rsidRPr="007D425D" w:rsidRDefault="000E0A4D" w:rsidP="007D425D">
            <w:pPr>
              <w:spacing w:after="0"/>
              <w:jc w:val="left"/>
              <w:rPr>
                <w:rFonts w:ascii="Calibri" w:eastAsia="Calibri" w:hAnsi="Calibri" w:cs="Arial"/>
                <w:sz w:val="16"/>
                <w:szCs w:val="16"/>
                <w:lang w:val="en-US"/>
              </w:rPr>
            </w:pPr>
            <w:r w:rsidRPr="007D425D">
              <w:rPr>
                <w:rFonts w:ascii="Calibri" w:eastAsia="Calibri" w:hAnsi="Calibri" w:cs="Arial"/>
                <w:sz w:val="16"/>
                <w:szCs w:val="16"/>
                <w:lang w:val="en-US"/>
              </w:rPr>
              <w:t>- progress reports</w:t>
            </w:r>
          </w:p>
          <w:p w14:paraId="2DD882B0" w14:textId="77777777" w:rsidR="000E0A4D" w:rsidRPr="007D425D" w:rsidRDefault="000E0A4D" w:rsidP="007D425D">
            <w:pPr>
              <w:spacing w:after="0"/>
              <w:jc w:val="left"/>
              <w:rPr>
                <w:rFonts w:ascii="Calibri" w:eastAsia="Calibri" w:hAnsi="Calibri" w:cs="Arial"/>
                <w:sz w:val="16"/>
                <w:szCs w:val="16"/>
                <w:lang w:val="en-US"/>
              </w:rPr>
            </w:pPr>
            <w:r w:rsidRPr="007D425D">
              <w:rPr>
                <w:rFonts w:ascii="Calibri" w:eastAsia="Calibri" w:hAnsi="Calibri" w:cs="Arial"/>
                <w:sz w:val="16"/>
                <w:szCs w:val="16"/>
                <w:lang w:val="en-US"/>
              </w:rPr>
              <w:t>- Evaluation reports</w:t>
            </w:r>
          </w:p>
          <w:p w14:paraId="661A6D1B" w14:textId="77777777" w:rsidR="000E0A4D" w:rsidRPr="007D425D" w:rsidRDefault="000E0A4D" w:rsidP="007D425D">
            <w:pPr>
              <w:spacing w:after="0"/>
              <w:jc w:val="left"/>
              <w:rPr>
                <w:rFonts w:ascii="Calibri" w:eastAsia="Calibri" w:hAnsi="Calibri" w:cs="Arial"/>
                <w:sz w:val="16"/>
                <w:szCs w:val="16"/>
                <w:lang w:val="en-US"/>
              </w:rPr>
            </w:pPr>
          </w:p>
          <w:p w14:paraId="1ED8967A" w14:textId="77777777" w:rsidR="000E0A4D" w:rsidRPr="007D425D" w:rsidRDefault="000E0A4D" w:rsidP="007D425D">
            <w:pPr>
              <w:spacing w:after="0"/>
              <w:jc w:val="left"/>
              <w:rPr>
                <w:rFonts w:ascii="Calibri" w:eastAsia="Calibri" w:hAnsi="Calibri" w:cs="Arial"/>
                <w:sz w:val="16"/>
                <w:szCs w:val="16"/>
                <w:lang w:val="en-US"/>
              </w:rPr>
            </w:pPr>
          </w:p>
          <w:p w14:paraId="76118ED9" w14:textId="77777777" w:rsidR="000E0A4D" w:rsidRPr="007D425D" w:rsidRDefault="000E0A4D" w:rsidP="007D425D">
            <w:pPr>
              <w:spacing w:after="0"/>
              <w:jc w:val="left"/>
              <w:rPr>
                <w:rFonts w:ascii="Calibri" w:eastAsia="Calibri" w:hAnsi="Calibri" w:cs="Arial"/>
                <w:sz w:val="16"/>
                <w:szCs w:val="16"/>
                <w:lang w:val="en-US"/>
              </w:rPr>
            </w:pPr>
            <w:r w:rsidRPr="007D425D">
              <w:rPr>
                <w:rFonts w:ascii="Calibri" w:eastAsia="Calibri" w:hAnsi="Calibri" w:cs="Arial"/>
                <w:sz w:val="16"/>
                <w:szCs w:val="16"/>
                <w:lang w:val="en-US"/>
              </w:rPr>
              <w:t xml:space="preserve">PSDs, progress reports </w:t>
            </w:r>
          </w:p>
          <w:p w14:paraId="1AA21471" w14:textId="77777777" w:rsidR="000E0A4D" w:rsidRPr="007D425D" w:rsidRDefault="000E0A4D" w:rsidP="007D425D">
            <w:pPr>
              <w:spacing w:after="0"/>
              <w:jc w:val="left"/>
              <w:rPr>
                <w:rFonts w:ascii="Calibri" w:eastAsia="Calibri" w:hAnsi="Calibri" w:cs="Arial"/>
                <w:sz w:val="16"/>
                <w:szCs w:val="16"/>
                <w:lang w:val="en-US"/>
              </w:rPr>
            </w:pPr>
          </w:p>
          <w:p w14:paraId="56F70565" w14:textId="77777777" w:rsidR="000E0A4D" w:rsidRPr="007D425D" w:rsidRDefault="000E0A4D" w:rsidP="007D425D">
            <w:pPr>
              <w:spacing w:after="0"/>
              <w:jc w:val="left"/>
              <w:rPr>
                <w:rFonts w:ascii="Calibri" w:eastAsia="Calibri" w:hAnsi="Calibri" w:cs="Arial"/>
                <w:sz w:val="16"/>
                <w:szCs w:val="16"/>
                <w:lang w:val="en-US"/>
              </w:rPr>
            </w:pPr>
            <w:r w:rsidRPr="007D425D">
              <w:rPr>
                <w:rFonts w:ascii="Calibri" w:eastAsia="Calibri" w:hAnsi="Calibri" w:cs="Arial"/>
                <w:sz w:val="16"/>
                <w:szCs w:val="16"/>
                <w:lang w:val="en-US"/>
              </w:rPr>
              <w:t>Interviews with UN agency staff, development partners, Government partners, Beneficiaries</w:t>
            </w:r>
          </w:p>
          <w:p w14:paraId="5D96E56E" w14:textId="77777777" w:rsidR="000E0A4D" w:rsidRPr="007D425D" w:rsidRDefault="000E0A4D" w:rsidP="007D425D">
            <w:pPr>
              <w:spacing w:after="0"/>
              <w:jc w:val="left"/>
              <w:rPr>
                <w:rFonts w:ascii="Calibri" w:eastAsia="Calibri" w:hAnsi="Calibri" w:cs="Arial"/>
                <w:sz w:val="16"/>
                <w:szCs w:val="16"/>
                <w:lang w:val="en-US"/>
              </w:rPr>
            </w:pPr>
          </w:p>
        </w:tc>
        <w:tc>
          <w:tcPr>
            <w:tcW w:w="681" w:type="pct"/>
          </w:tcPr>
          <w:p w14:paraId="00ECA2D4" w14:textId="77777777" w:rsidR="000E0A4D" w:rsidRPr="007D425D" w:rsidRDefault="000E0A4D" w:rsidP="007D425D">
            <w:pPr>
              <w:spacing w:after="0"/>
              <w:rPr>
                <w:rFonts w:ascii="Calibri" w:eastAsia="Calibri" w:hAnsi="Calibri" w:cs="Arial"/>
                <w:sz w:val="16"/>
                <w:szCs w:val="16"/>
                <w:lang w:val="en-US"/>
              </w:rPr>
            </w:pPr>
            <w:r w:rsidRPr="007D425D">
              <w:rPr>
                <w:rFonts w:ascii="Calibri" w:eastAsia="Calibri" w:hAnsi="Calibri" w:cs="Arial"/>
                <w:sz w:val="16"/>
                <w:szCs w:val="16"/>
                <w:lang w:val="en-US"/>
              </w:rPr>
              <w:t>Desk reviews of secondary data</w:t>
            </w:r>
          </w:p>
          <w:p w14:paraId="112F47C8" w14:textId="77777777" w:rsidR="000E0A4D" w:rsidRPr="007D425D" w:rsidRDefault="000E0A4D" w:rsidP="007D425D">
            <w:pPr>
              <w:spacing w:after="0"/>
              <w:rPr>
                <w:rFonts w:ascii="Calibri" w:eastAsia="Calibri" w:hAnsi="Calibri" w:cs="Arial"/>
                <w:sz w:val="16"/>
                <w:szCs w:val="16"/>
                <w:lang w:val="en-US"/>
              </w:rPr>
            </w:pPr>
          </w:p>
          <w:p w14:paraId="5DE16FF0" w14:textId="77777777" w:rsidR="000E0A4D" w:rsidRPr="007D425D" w:rsidRDefault="000E0A4D" w:rsidP="007D425D">
            <w:pPr>
              <w:spacing w:after="0"/>
              <w:rPr>
                <w:rFonts w:ascii="Calibri" w:eastAsia="Calibri" w:hAnsi="Calibri" w:cs="Arial"/>
                <w:sz w:val="16"/>
                <w:szCs w:val="16"/>
                <w:lang w:val="en-US"/>
              </w:rPr>
            </w:pPr>
            <w:r w:rsidRPr="007D425D">
              <w:rPr>
                <w:rFonts w:ascii="Calibri" w:eastAsia="Calibri" w:hAnsi="Calibri" w:cs="Arial"/>
                <w:sz w:val="16"/>
                <w:szCs w:val="16"/>
                <w:lang w:val="en-US"/>
              </w:rPr>
              <w:t>Interviews with government partners, development partners,</w:t>
            </w:r>
          </w:p>
          <w:p w14:paraId="2C903CF1" w14:textId="77777777" w:rsidR="000E0A4D" w:rsidRPr="007D425D" w:rsidRDefault="000E0A4D" w:rsidP="007D425D">
            <w:pPr>
              <w:spacing w:after="0"/>
              <w:rPr>
                <w:rFonts w:ascii="Calibri" w:eastAsia="Calibri" w:hAnsi="Calibri" w:cs="Arial"/>
                <w:sz w:val="16"/>
                <w:szCs w:val="16"/>
                <w:lang w:val="en-US"/>
              </w:rPr>
            </w:pPr>
            <w:r w:rsidRPr="007D425D">
              <w:rPr>
                <w:rFonts w:ascii="Calibri" w:eastAsia="Calibri" w:hAnsi="Calibri" w:cs="Arial"/>
                <w:sz w:val="16"/>
                <w:szCs w:val="16"/>
                <w:lang w:val="en-US"/>
              </w:rPr>
              <w:t>UNDP staff, civil society partners, associations, and federations</w:t>
            </w:r>
          </w:p>
          <w:p w14:paraId="347EB72D" w14:textId="77777777" w:rsidR="000E0A4D" w:rsidRPr="007D425D" w:rsidRDefault="000E0A4D" w:rsidP="007D425D">
            <w:pPr>
              <w:spacing w:after="0"/>
              <w:rPr>
                <w:rFonts w:ascii="Calibri" w:eastAsia="Calibri" w:hAnsi="Calibri" w:cs="Arial"/>
                <w:sz w:val="16"/>
                <w:szCs w:val="16"/>
                <w:lang w:val="en-US"/>
              </w:rPr>
            </w:pPr>
          </w:p>
          <w:p w14:paraId="7C461A14" w14:textId="77777777" w:rsidR="000E0A4D" w:rsidRPr="007D425D" w:rsidRDefault="000E0A4D" w:rsidP="007D425D">
            <w:pPr>
              <w:spacing w:after="0"/>
              <w:rPr>
                <w:rFonts w:ascii="Calibri" w:eastAsia="Calibri" w:hAnsi="Calibri" w:cs="Arial"/>
                <w:sz w:val="16"/>
                <w:szCs w:val="16"/>
                <w:lang w:val="en-US"/>
              </w:rPr>
            </w:pPr>
            <w:r w:rsidRPr="007D425D">
              <w:rPr>
                <w:rFonts w:ascii="Calibri" w:eastAsia="Calibri" w:hAnsi="Calibri" w:cs="Arial"/>
                <w:sz w:val="16"/>
                <w:szCs w:val="16"/>
                <w:lang w:val="en-US"/>
              </w:rPr>
              <w:t>Field visits to selected districts</w:t>
            </w:r>
          </w:p>
        </w:tc>
      </w:tr>
    </w:tbl>
    <w:p w14:paraId="07221BA8" w14:textId="77777777" w:rsidR="000E0A4D" w:rsidRPr="00CD56B9" w:rsidRDefault="000E0A4D" w:rsidP="000E0A4D">
      <w:pPr>
        <w:spacing w:after="200" w:line="276" w:lineRule="auto"/>
        <w:jc w:val="left"/>
        <w:rPr>
          <w:rFonts w:ascii="Calibri" w:eastAsia="Calibri" w:hAnsi="Calibri"/>
          <w:lang w:val="en-US"/>
        </w:rPr>
        <w:sectPr w:rsidR="000E0A4D" w:rsidRPr="00CD56B9" w:rsidSect="00C36AA0">
          <w:pgSz w:w="15840" w:h="12240" w:orient="landscape"/>
          <w:pgMar w:top="720" w:right="720" w:bottom="720" w:left="720" w:header="708" w:footer="708" w:gutter="0"/>
          <w:cols w:space="708"/>
          <w:docGrid w:linePitch="360"/>
        </w:sectPr>
      </w:pPr>
    </w:p>
    <w:tbl>
      <w:tblPr>
        <w:tblpPr w:leftFromText="141" w:rightFromText="141" w:vertAnchor="page" w:horzAnchor="margin" w:tblpY="27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
        <w:gridCol w:w="5241"/>
        <w:gridCol w:w="4350"/>
        <w:gridCol w:w="1746"/>
        <w:gridCol w:w="1375"/>
      </w:tblGrid>
      <w:tr w:rsidR="009D7BFA" w:rsidRPr="007D425D" w14:paraId="69896B52" w14:textId="77777777" w:rsidTr="00805BB4">
        <w:trPr>
          <w:trHeight w:val="557"/>
          <w:tblHeader/>
        </w:trPr>
        <w:tc>
          <w:tcPr>
            <w:tcW w:w="0" w:type="auto"/>
            <w:shd w:val="clear" w:color="auto" w:fill="E7E6E6"/>
          </w:tcPr>
          <w:p w14:paraId="428BADEF" w14:textId="77777777" w:rsidR="000E0A4D" w:rsidRPr="007D425D" w:rsidRDefault="000E0A4D" w:rsidP="007D425D">
            <w:pPr>
              <w:autoSpaceDE w:val="0"/>
              <w:autoSpaceDN w:val="0"/>
              <w:adjustRightInd w:val="0"/>
              <w:spacing w:after="0"/>
              <w:jc w:val="left"/>
              <w:rPr>
                <w:rFonts w:ascii="Calibri" w:eastAsia="Calibri" w:hAnsi="Calibri" w:cs="Arial"/>
                <w:b/>
                <w:sz w:val="16"/>
                <w:szCs w:val="16"/>
                <w:lang w:val="en-US"/>
              </w:rPr>
            </w:pPr>
            <w:r w:rsidRPr="007D425D">
              <w:rPr>
                <w:rFonts w:ascii="Calibri" w:eastAsia="Calibri" w:hAnsi="Calibri" w:cs="Arial"/>
                <w:b/>
                <w:bCs/>
                <w:sz w:val="16"/>
                <w:szCs w:val="16"/>
              </w:rPr>
              <w:lastRenderedPageBreak/>
              <w:t>Criterion</w:t>
            </w:r>
          </w:p>
        </w:tc>
        <w:tc>
          <w:tcPr>
            <w:tcW w:w="5241" w:type="dxa"/>
            <w:shd w:val="clear" w:color="auto" w:fill="E7E6E6"/>
          </w:tcPr>
          <w:p w14:paraId="039C829E" w14:textId="77777777" w:rsidR="000E0A4D" w:rsidRPr="007D425D" w:rsidRDefault="000E0A4D" w:rsidP="007D425D">
            <w:pPr>
              <w:spacing w:after="0"/>
              <w:rPr>
                <w:rFonts w:ascii="Calibri" w:eastAsia="Calibri" w:hAnsi="Calibri"/>
                <w:b/>
                <w:noProof/>
                <w:sz w:val="16"/>
                <w:szCs w:val="16"/>
                <w:lang w:val="en-US" w:eastAsia="zh-CN"/>
              </w:rPr>
            </w:pPr>
            <w:r w:rsidRPr="007D425D">
              <w:rPr>
                <w:rFonts w:ascii="Calibri" w:eastAsia="Calibri" w:hAnsi="Calibri"/>
                <w:b/>
                <w:noProof/>
                <w:sz w:val="16"/>
                <w:szCs w:val="16"/>
                <w:lang w:val="en-US" w:eastAsia="zh-CN"/>
              </w:rPr>
              <w:t>Evaluation questions</w:t>
            </w:r>
          </w:p>
        </w:tc>
        <w:tc>
          <w:tcPr>
            <w:tcW w:w="4350" w:type="dxa"/>
            <w:shd w:val="clear" w:color="auto" w:fill="E7E6E6"/>
          </w:tcPr>
          <w:p w14:paraId="264BA43E" w14:textId="77777777" w:rsidR="000E0A4D" w:rsidRPr="007D425D" w:rsidRDefault="000E0A4D" w:rsidP="007D425D">
            <w:pPr>
              <w:spacing w:after="0"/>
              <w:jc w:val="left"/>
              <w:rPr>
                <w:rFonts w:ascii="Calibri" w:eastAsia="Calibri" w:hAnsi="Calibri" w:cs="Arial"/>
                <w:b/>
                <w:sz w:val="16"/>
                <w:szCs w:val="16"/>
                <w:lang w:val="en-US"/>
              </w:rPr>
            </w:pPr>
            <w:r w:rsidRPr="007D425D">
              <w:rPr>
                <w:rFonts w:ascii="Calibri" w:eastAsia="Calibri" w:hAnsi="Calibri" w:cs="Arial"/>
                <w:b/>
                <w:sz w:val="16"/>
                <w:szCs w:val="16"/>
                <w:lang w:val="en-US"/>
              </w:rPr>
              <w:t xml:space="preserve">Sub questions </w:t>
            </w:r>
          </w:p>
        </w:tc>
        <w:tc>
          <w:tcPr>
            <w:tcW w:w="0" w:type="auto"/>
            <w:shd w:val="clear" w:color="auto" w:fill="E7E6E6"/>
          </w:tcPr>
          <w:p w14:paraId="3EE8A4E2" w14:textId="77777777" w:rsidR="000E0A4D" w:rsidRPr="007D425D" w:rsidRDefault="000E0A4D" w:rsidP="007D425D">
            <w:pPr>
              <w:spacing w:after="0"/>
              <w:jc w:val="left"/>
              <w:rPr>
                <w:rFonts w:ascii="Calibri" w:eastAsia="Calibri" w:hAnsi="Calibri" w:cs="Arial"/>
                <w:b/>
                <w:sz w:val="16"/>
                <w:szCs w:val="16"/>
                <w:lang w:val="en-US"/>
              </w:rPr>
            </w:pPr>
            <w:r w:rsidRPr="007D425D">
              <w:rPr>
                <w:rFonts w:ascii="Calibri" w:eastAsia="Calibri" w:hAnsi="Calibri" w:cs="Arial"/>
                <w:b/>
                <w:sz w:val="16"/>
                <w:szCs w:val="16"/>
                <w:lang w:val="en-US"/>
              </w:rPr>
              <w:t>Data sources</w:t>
            </w:r>
          </w:p>
        </w:tc>
        <w:tc>
          <w:tcPr>
            <w:tcW w:w="0" w:type="auto"/>
            <w:shd w:val="clear" w:color="auto" w:fill="E7E6E6"/>
          </w:tcPr>
          <w:p w14:paraId="7E0A3B14" w14:textId="77777777" w:rsidR="000E0A4D" w:rsidRPr="007D425D" w:rsidRDefault="000E0A4D" w:rsidP="007D425D">
            <w:pPr>
              <w:spacing w:after="0"/>
              <w:jc w:val="left"/>
              <w:rPr>
                <w:rFonts w:ascii="Calibri" w:eastAsia="Calibri" w:hAnsi="Calibri" w:cs="Arial"/>
                <w:b/>
                <w:sz w:val="16"/>
                <w:szCs w:val="16"/>
                <w:lang w:val="en-US"/>
              </w:rPr>
            </w:pPr>
            <w:r w:rsidRPr="007D425D">
              <w:rPr>
                <w:rFonts w:ascii="Calibri" w:eastAsia="Calibri" w:hAnsi="Calibri" w:cs="Arial"/>
                <w:b/>
                <w:sz w:val="16"/>
                <w:szCs w:val="16"/>
                <w:lang w:val="en-US"/>
              </w:rPr>
              <w:t>Data collection methods</w:t>
            </w:r>
          </w:p>
        </w:tc>
      </w:tr>
      <w:tr w:rsidR="009D7BFA" w:rsidRPr="00F72B0D" w14:paraId="1817DFE0" w14:textId="77777777" w:rsidTr="00805BB4">
        <w:trPr>
          <w:tblHeader/>
        </w:trPr>
        <w:tc>
          <w:tcPr>
            <w:tcW w:w="0" w:type="auto"/>
          </w:tcPr>
          <w:p w14:paraId="57E708C5" w14:textId="77777777" w:rsidR="000E0A4D" w:rsidRPr="007D425D" w:rsidRDefault="000E0A4D" w:rsidP="007D425D">
            <w:pPr>
              <w:spacing w:after="0"/>
              <w:jc w:val="left"/>
              <w:rPr>
                <w:rFonts w:ascii="Calibri" w:eastAsia="Calibri" w:hAnsi="Calibri" w:cs="Arial"/>
                <w:b/>
                <w:sz w:val="16"/>
                <w:szCs w:val="16"/>
                <w:lang w:val="en-US"/>
              </w:rPr>
            </w:pPr>
            <w:r w:rsidRPr="007D425D">
              <w:rPr>
                <w:rFonts w:ascii="Calibri" w:eastAsia="Calibri" w:hAnsi="Calibri" w:cs="Arial"/>
                <w:b/>
                <w:sz w:val="16"/>
                <w:szCs w:val="16"/>
                <w:lang w:val="en-US"/>
              </w:rPr>
              <w:t xml:space="preserve">Efficiency  </w:t>
            </w:r>
          </w:p>
        </w:tc>
        <w:tc>
          <w:tcPr>
            <w:tcW w:w="5241" w:type="dxa"/>
          </w:tcPr>
          <w:p w14:paraId="5548618E" w14:textId="77777777" w:rsidR="000E0A4D" w:rsidRPr="007D425D" w:rsidRDefault="000E0A4D" w:rsidP="007D425D">
            <w:pPr>
              <w:spacing w:after="0"/>
              <w:rPr>
                <w:rFonts w:ascii="Calibri" w:eastAsia="Calibri" w:hAnsi="Calibri"/>
                <w:sz w:val="16"/>
                <w:szCs w:val="16"/>
                <w:lang w:val="en-US"/>
              </w:rPr>
            </w:pPr>
            <w:r w:rsidRPr="007D425D">
              <w:rPr>
                <w:rFonts w:ascii="Calibri" w:eastAsia="Calibri" w:hAnsi="Calibri"/>
                <w:sz w:val="16"/>
                <w:szCs w:val="16"/>
                <w:lang w:val="en-US"/>
              </w:rPr>
              <w:t>1. Have participating UN agency strategies and execution of the outcome been efficient and cost effective?</w:t>
            </w:r>
          </w:p>
          <w:p w14:paraId="54D36551" w14:textId="77777777" w:rsidR="000E0A4D" w:rsidRPr="007D425D" w:rsidRDefault="000E0A4D" w:rsidP="007D425D">
            <w:pPr>
              <w:spacing w:after="0"/>
              <w:rPr>
                <w:rFonts w:ascii="Calibri" w:eastAsia="Calibri" w:hAnsi="Calibri"/>
                <w:sz w:val="16"/>
                <w:szCs w:val="16"/>
                <w:lang w:val="en-US"/>
              </w:rPr>
            </w:pPr>
          </w:p>
          <w:p w14:paraId="4CE2C15F" w14:textId="77777777" w:rsidR="000E0A4D" w:rsidRPr="007D425D" w:rsidRDefault="000E0A4D" w:rsidP="007D425D">
            <w:pPr>
              <w:spacing w:after="0"/>
              <w:rPr>
                <w:rFonts w:ascii="Calibri" w:eastAsia="Calibri" w:hAnsi="Calibri"/>
                <w:sz w:val="16"/>
                <w:szCs w:val="16"/>
                <w:lang w:val="en-US"/>
              </w:rPr>
            </w:pPr>
            <w:r w:rsidRPr="007D425D">
              <w:rPr>
                <w:rFonts w:ascii="Calibri" w:eastAsia="Calibri" w:hAnsi="Calibri"/>
                <w:sz w:val="16"/>
                <w:szCs w:val="16"/>
                <w:lang w:val="en-US"/>
              </w:rPr>
              <w:t>2. Are the monitoring and evaluation systems that UNCT collectively and individual participating UN agencies have in place helping to ensure that programmes are managed efficiently and effectively?</w:t>
            </w:r>
          </w:p>
          <w:p w14:paraId="32213766" w14:textId="77777777" w:rsidR="000E0A4D" w:rsidRPr="007D425D" w:rsidRDefault="000E0A4D" w:rsidP="007D425D">
            <w:pPr>
              <w:spacing w:after="0"/>
              <w:rPr>
                <w:rFonts w:ascii="Calibri" w:eastAsia="Calibri" w:hAnsi="Calibri"/>
                <w:sz w:val="16"/>
                <w:szCs w:val="16"/>
                <w:lang w:val="en-US"/>
              </w:rPr>
            </w:pPr>
          </w:p>
          <w:p w14:paraId="3F570E62" w14:textId="77777777" w:rsidR="000E0A4D" w:rsidRPr="007D425D" w:rsidRDefault="000E0A4D" w:rsidP="007D425D">
            <w:pPr>
              <w:spacing w:after="0"/>
              <w:rPr>
                <w:rFonts w:ascii="Calibri" w:eastAsia="Calibri" w:hAnsi="Calibri"/>
                <w:sz w:val="16"/>
                <w:szCs w:val="16"/>
                <w:lang w:val="en-US"/>
              </w:rPr>
            </w:pPr>
            <w:r w:rsidRPr="007D425D">
              <w:rPr>
                <w:rFonts w:ascii="Calibri" w:eastAsia="Calibri" w:hAnsi="Calibri"/>
                <w:sz w:val="16"/>
                <w:szCs w:val="16"/>
                <w:lang w:val="en-US"/>
              </w:rPr>
              <w:t>3. Did the UN coordination reduce transaction costs and increase the efficiency of implementation of the programmes relating to the outcome? To what extent did the programme create actual synergies among agencies and involve concerted efforts to optimize results and avoid duplication?</w:t>
            </w:r>
          </w:p>
          <w:p w14:paraId="09CFA6A3" w14:textId="77777777" w:rsidR="000E0A4D" w:rsidRPr="007D425D" w:rsidRDefault="000E0A4D" w:rsidP="007D425D">
            <w:pPr>
              <w:spacing w:after="0"/>
              <w:rPr>
                <w:rFonts w:ascii="Calibri" w:eastAsia="Calibri" w:hAnsi="Calibri"/>
                <w:sz w:val="16"/>
                <w:szCs w:val="16"/>
                <w:lang w:val="en-US"/>
              </w:rPr>
            </w:pPr>
          </w:p>
        </w:tc>
        <w:tc>
          <w:tcPr>
            <w:tcW w:w="4350" w:type="dxa"/>
          </w:tcPr>
          <w:p w14:paraId="7E38774E" w14:textId="77777777" w:rsidR="000E0A4D" w:rsidRPr="007D425D" w:rsidRDefault="000E0A4D" w:rsidP="007D425D">
            <w:pPr>
              <w:spacing w:after="0"/>
              <w:jc w:val="left"/>
              <w:rPr>
                <w:rFonts w:ascii="Calibri" w:eastAsia="Calibri" w:hAnsi="Calibri" w:cs="Arial"/>
                <w:sz w:val="16"/>
                <w:szCs w:val="16"/>
                <w:lang w:val="en-US"/>
              </w:rPr>
            </w:pPr>
            <w:r w:rsidRPr="007D425D">
              <w:rPr>
                <w:rFonts w:ascii="Calibri" w:eastAsia="Calibri" w:hAnsi="Calibri" w:cs="Arial"/>
                <w:sz w:val="16"/>
                <w:szCs w:val="16"/>
                <w:lang w:val="en-US"/>
              </w:rPr>
              <w:t>1.1 Has the support been implemented within deadline </w:t>
            </w:r>
          </w:p>
          <w:p w14:paraId="5745DF19" w14:textId="77777777" w:rsidR="000E0A4D" w:rsidRPr="007D425D" w:rsidRDefault="000E0A4D" w:rsidP="007D425D">
            <w:pPr>
              <w:spacing w:after="0"/>
              <w:jc w:val="left"/>
              <w:rPr>
                <w:rFonts w:ascii="Calibri" w:eastAsia="Calibri" w:hAnsi="Calibri" w:cs="Arial"/>
                <w:sz w:val="16"/>
                <w:szCs w:val="16"/>
                <w:lang w:val="en-US"/>
              </w:rPr>
            </w:pPr>
            <w:r w:rsidRPr="007D425D">
              <w:rPr>
                <w:rFonts w:ascii="Calibri" w:eastAsia="Calibri" w:hAnsi="Calibri" w:cs="Arial"/>
                <w:sz w:val="16"/>
                <w:szCs w:val="16"/>
                <w:lang w:val="en-US"/>
              </w:rPr>
              <w:t>and cost estimates?</w:t>
            </w:r>
          </w:p>
          <w:p w14:paraId="2E8CB459" w14:textId="77777777" w:rsidR="000E0A4D" w:rsidRPr="007D425D" w:rsidRDefault="000E0A4D" w:rsidP="007D425D">
            <w:pPr>
              <w:spacing w:after="0"/>
              <w:jc w:val="left"/>
              <w:rPr>
                <w:rFonts w:ascii="Calibri" w:eastAsia="Calibri" w:hAnsi="Calibri" w:cs="Arial"/>
                <w:sz w:val="16"/>
                <w:szCs w:val="16"/>
                <w:lang w:val="en-US"/>
              </w:rPr>
            </w:pPr>
          </w:p>
          <w:p w14:paraId="66EF943E" w14:textId="77777777" w:rsidR="000E0A4D" w:rsidRPr="007D425D" w:rsidRDefault="000E0A4D" w:rsidP="007D425D">
            <w:pPr>
              <w:spacing w:after="0"/>
              <w:rPr>
                <w:rFonts w:ascii="Calibri" w:eastAsia="Calibri" w:hAnsi="Calibri"/>
                <w:sz w:val="16"/>
                <w:szCs w:val="16"/>
                <w:lang w:val="en-US"/>
              </w:rPr>
            </w:pPr>
            <w:r w:rsidRPr="007D425D">
              <w:rPr>
                <w:rFonts w:ascii="Calibri" w:eastAsia="Calibri" w:hAnsi="Calibri"/>
                <w:sz w:val="16"/>
                <w:szCs w:val="16"/>
                <w:lang w:val="en-US"/>
              </w:rPr>
              <w:t>1.2 Has there been an economical use of financial and human resources?</w:t>
            </w:r>
          </w:p>
          <w:p w14:paraId="10170D88" w14:textId="77777777" w:rsidR="000E0A4D" w:rsidRPr="007D425D" w:rsidRDefault="000E0A4D" w:rsidP="007D425D">
            <w:pPr>
              <w:spacing w:after="0"/>
              <w:rPr>
                <w:rFonts w:ascii="Calibri" w:eastAsia="Calibri" w:hAnsi="Calibri"/>
                <w:sz w:val="16"/>
                <w:szCs w:val="16"/>
                <w:lang w:val="en-US"/>
              </w:rPr>
            </w:pPr>
          </w:p>
          <w:p w14:paraId="5F6EC94F" w14:textId="77777777" w:rsidR="000E0A4D" w:rsidRPr="007D425D" w:rsidRDefault="000E0A4D" w:rsidP="007D425D">
            <w:pPr>
              <w:spacing w:after="0"/>
              <w:jc w:val="left"/>
              <w:rPr>
                <w:rFonts w:ascii="Calibri" w:eastAsia="Calibri" w:hAnsi="Calibri" w:cs="Arial"/>
                <w:sz w:val="16"/>
                <w:szCs w:val="16"/>
                <w:lang w:val="en-US"/>
              </w:rPr>
            </w:pPr>
            <w:r w:rsidRPr="007D425D">
              <w:rPr>
                <w:rFonts w:ascii="Calibri" w:eastAsia="Calibri" w:hAnsi="Calibri" w:cs="Arial"/>
                <w:sz w:val="16"/>
                <w:szCs w:val="16"/>
                <w:lang w:val="en-US"/>
              </w:rPr>
              <w:t>1.3 Are resources concentrated on the most important initiatives or are they scattered/spread  thinly across initiatives</w:t>
            </w:r>
          </w:p>
          <w:p w14:paraId="382DD0AA" w14:textId="77777777" w:rsidR="000E0A4D" w:rsidRPr="007D425D" w:rsidRDefault="000E0A4D" w:rsidP="007D425D">
            <w:pPr>
              <w:spacing w:after="0"/>
              <w:jc w:val="left"/>
              <w:rPr>
                <w:rFonts w:ascii="Calibri" w:eastAsia="Calibri" w:hAnsi="Calibri"/>
                <w:sz w:val="16"/>
                <w:szCs w:val="16"/>
                <w:lang w:val="en-US"/>
              </w:rPr>
            </w:pPr>
          </w:p>
          <w:p w14:paraId="50AAD1FD" w14:textId="77777777" w:rsidR="000E0A4D" w:rsidRPr="007D425D" w:rsidRDefault="000E0A4D" w:rsidP="007D425D">
            <w:pPr>
              <w:spacing w:after="0"/>
              <w:jc w:val="left"/>
              <w:rPr>
                <w:rFonts w:ascii="Calibri" w:eastAsia="Calibri" w:hAnsi="Calibri"/>
                <w:sz w:val="16"/>
                <w:szCs w:val="16"/>
                <w:lang w:val="en-US"/>
              </w:rPr>
            </w:pPr>
            <w:r w:rsidRPr="007D425D">
              <w:rPr>
                <w:rFonts w:ascii="Calibri" w:eastAsia="Calibri" w:hAnsi="Calibri"/>
                <w:sz w:val="16"/>
                <w:szCs w:val="16"/>
                <w:lang w:val="en-US"/>
              </w:rPr>
              <w:t xml:space="preserve">1.4 What impact did cashgate and tripartite elections </w:t>
            </w:r>
          </w:p>
          <w:p w14:paraId="4446B4A5" w14:textId="77777777" w:rsidR="000E0A4D" w:rsidRPr="007D425D" w:rsidRDefault="000E0A4D" w:rsidP="007D425D">
            <w:pPr>
              <w:spacing w:after="0"/>
              <w:jc w:val="left"/>
              <w:rPr>
                <w:rFonts w:ascii="Calibri" w:eastAsia="Calibri" w:hAnsi="Calibri"/>
                <w:sz w:val="16"/>
                <w:szCs w:val="16"/>
                <w:lang w:val="en-US"/>
              </w:rPr>
            </w:pPr>
            <w:r w:rsidRPr="007D425D">
              <w:rPr>
                <w:rFonts w:ascii="Calibri" w:eastAsia="Calibri" w:hAnsi="Calibri"/>
                <w:sz w:val="16"/>
                <w:szCs w:val="16"/>
                <w:lang w:val="en-US"/>
              </w:rPr>
              <w:t>had on delivery timelines?</w:t>
            </w:r>
          </w:p>
          <w:p w14:paraId="678D00B2" w14:textId="77777777" w:rsidR="000E0A4D" w:rsidRPr="007D425D" w:rsidRDefault="000E0A4D" w:rsidP="007D425D">
            <w:pPr>
              <w:spacing w:after="0"/>
              <w:rPr>
                <w:rFonts w:ascii="Calibri" w:eastAsia="Calibri" w:hAnsi="Calibri"/>
                <w:sz w:val="16"/>
                <w:szCs w:val="16"/>
                <w:lang w:val="en-US"/>
              </w:rPr>
            </w:pPr>
          </w:p>
          <w:p w14:paraId="276095F1" w14:textId="77777777" w:rsidR="000E0A4D" w:rsidRPr="007D425D" w:rsidRDefault="000E0A4D" w:rsidP="007D425D">
            <w:pPr>
              <w:spacing w:after="0"/>
              <w:jc w:val="left"/>
              <w:rPr>
                <w:rFonts w:ascii="Calibri" w:eastAsia="Calibri" w:hAnsi="Calibri" w:cs="Arial"/>
                <w:sz w:val="16"/>
                <w:szCs w:val="16"/>
                <w:lang w:val="en-US"/>
              </w:rPr>
            </w:pPr>
            <w:r w:rsidRPr="007D425D">
              <w:rPr>
                <w:rFonts w:ascii="Calibri" w:eastAsia="Calibri" w:hAnsi="Calibri"/>
                <w:sz w:val="16"/>
                <w:szCs w:val="16"/>
                <w:lang w:val="en-US"/>
              </w:rPr>
              <w:t>2.1 Has management and oversight systems been adequate and did UNDP and its partners taken prompt actions to solve implementation issues?</w:t>
            </w:r>
          </w:p>
          <w:p w14:paraId="3F64F9E5" w14:textId="77777777" w:rsidR="000E0A4D" w:rsidRPr="007D425D" w:rsidRDefault="000E0A4D" w:rsidP="007D425D">
            <w:pPr>
              <w:spacing w:after="0"/>
              <w:jc w:val="left"/>
              <w:rPr>
                <w:rFonts w:ascii="Calibri" w:eastAsia="Calibri" w:hAnsi="Calibri" w:cs="Arial"/>
                <w:sz w:val="16"/>
                <w:szCs w:val="16"/>
                <w:lang w:val="en-US"/>
              </w:rPr>
            </w:pPr>
          </w:p>
          <w:p w14:paraId="1FD39AA3" w14:textId="77777777" w:rsidR="000E0A4D" w:rsidRPr="007D425D" w:rsidRDefault="000E0A4D" w:rsidP="007D425D">
            <w:pPr>
              <w:spacing w:after="0"/>
              <w:jc w:val="left"/>
              <w:rPr>
                <w:rFonts w:ascii="Calibri" w:eastAsia="Calibri" w:hAnsi="Calibri" w:cs="Arial"/>
                <w:sz w:val="16"/>
                <w:szCs w:val="16"/>
                <w:lang w:val="en-US"/>
              </w:rPr>
            </w:pPr>
            <w:r w:rsidRPr="007D425D">
              <w:rPr>
                <w:rFonts w:ascii="Calibri" w:eastAsia="Calibri" w:hAnsi="Calibri" w:cs="Arial"/>
                <w:sz w:val="16"/>
                <w:szCs w:val="16"/>
                <w:lang w:val="en-US"/>
              </w:rPr>
              <w:t>2.2 Has response to inadequate resource mobilization or funds allocations been appropriate?</w:t>
            </w:r>
          </w:p>
          <w:p w14:paraId="13E02DE4" w14:textId="77777777" w:rsidR="000E0A4D" w:rsidRPr="007D425D" w:rsidRDefault="000E0A4D" w:rsidP="007D425D">
            <w:pPr>
              <w:spacing w:after="0"/>
              <w:jc w:val="left"/>
              <w:rPr>
                <w:rFonts w:ascii="Calibri" w:eastAsia="Calibri" w:hAnsi="Calibri" w:cs="Arial"/>
                <w:sz w:val="16"/>
                <w:szCs w:val="16"/>
                <w:lang w:val="en-US"/>
              </w:rPr>
            </w:pPr>
          </w:p>
          <w:p w14:paraId="1A4D5308" w14:textId="77777777" w:rsidR="000E0A4D" w:rsidRPr="007D425D" w:rsidRDefault="000E0A4D" w:rsidP="007D425D">
            <w:pPr>
              <w:spacing w:after="0"/>
              <w:jc w:val="left"/>
              <w:rPr>
                <w:rFonts w:ascii="Calibri" w:eastAsia="Calibri" w:hAnsi="Calibri" w:cs="Arial"/>
                <w:sz w:val="16"/>
                <w:szCs w:val="16"/>
                <w:lang w:val="en-US"/>
              </w:rPr>
            </w:pPr>
            <w:r w:rsidRPr="007D425D">
              <w:rPr>
                <w:rFonts w:ascii="Calibri" w:eastAsia="Calibri" w:hAnsi="Calibri" w:cs="Arial"/>
                <w:sz w:val="16"/>
                <w:szCs w:val="16"/>
                <w:lang w:val="en-US"/>
              </w:rPr>
              <w:t>2.3 Has there been over-expenditure or under-expenditure in the projects?</w:t>
            </w:r>
          </w:p>
          <w:p w14:paraId="23770D29" w14:textId="77777777" w:rsidR="000E0A4D" w:rsidRPr="007D425D" w:rsidRDefault="000E0A4D" w:rsidP="007D425D">
            <w:pPr>
              <w:spacing w:after="0"/>
              <w:jc w:val="left"/>
              <w:rPr>
                <w:rFonts w:ascii="Calibri" w:eastAsia="Calibri" w:hAnsi="Calibri"/>
                <w:sz w:val="16"/>
                <w:szCs w:val="16"/>
                <w:lang w:val="en-US"/>
              </w:rPr>
            </w:pPr>
          </w:p>
          <w:p w14:paraId="29409AAA" w14:textId="77777777" w:rsidR="000E0A4D" w:rsidRPr="007D425D" w:rsidRDefault="000E0A4D" w:rsidP="007D425D">
            <w:pPr>
              <w:spacing w:after="0"/>
              <w:jc w:val="left"/>
              <w:rPr>
                <w:rFonts w:ascii="Calibri" w:eastAsia="Calibri" w:hAnsi="Calibri"/>
                <w:sz w:val="16"/>
                <w:szCs w:val="16"/>
                <w:lang w:val="en-US"/>
              </w:rPr>
            </w:pPr>
            <w:r w:rsidRPr="007D425D">
              <w:rPr>
                <w:rFonts w:ascii="Calibri" w:eastAsia="Calibri" w:hAnsi="Calibri"/>
                <w:sz w:val="16"/>
                <w:szCs w:val="16"/>
                <w:lang w:val="en-US"/>
              </w:rPr>
              <w:t>2.4 Has RTM had an impact on programme oversight</w:t>
            </w:r>
          </w:p>
          <w:p w14:paraId="2E7A2B26" w14:textId="77777777" w:rsidR="000E0A4D" w:rsidRPr="007D425D" w:rsidRDefault="000E0A4D" w:rsidP="007D425D">
            <w:pPr>
              <w:spacing w:after="0"/>
              <w:jc w:val="left"/>
              <w:rPr>
                <w:rFonts w:ascii="Calibri" w:eastAsia="Calibri" w:hAnsi="Calibri" w:cs="Arial"/>
                <w:sz w:val="16"/>
                <w:szCs w:val="16"/>
                <w:lang w:val="en-US"/>
              </w:rPr>
            </w:pPr>
          </w:p>
          <w:p w14:paraId="1FD61DE8" w14:textId="3FAA8F70" w:rsidR="000E0A4D" w:rsidRPr="007D425D" w:rsidRDefault="000E0A4D" w:rsidP="007D425D">
            <w:pPr>
              <w:spacing w:after="0"/>
              <w:jc w:val="left"/>
              <w:rPr>
                <w:rFonts w:ascii="Calibri" w:eastAsia="Calibri" w:hAnsi="Calibri" w:cs="Arial"/>
                <w:sz w:val="16"/>
                <w:szCs w:val="16"/>
                <w:lang w:val="en-US"/>
              </w:rPr>
            </w:pPr>
            <w:r w:rsidRPr="007D425D">
              <w:rPr>
                <w:rFonts w:ascii="Calibri" w:eastAsia="Calibri" w:hAnsi="Calibri" w:cs="Arial"/>
                <w:sz w:val="16"/>
                <w:szCs w:val="16"/>
                <w:lang w:val="en-US"/>
              </w:rPr>
              <w:t>3.1 To what extent did the change in UNCT outcome management structures promote or challenge outcome 4.1 delivery</w:t>
            </w:r>
            <w:r w:rsidR="003F4020" w:rsidRPr="007D425D">
              <w:rPr>
                <w:rFonts w:ascii="Calibri" w:eastAsia="Calibri" w:hAnsi="Calibri" w:cs="Arial"/>
                <w:sz w:val="16"/>
                <w:szCs w:val="16"/>
                <w:lang w:val="en-US"/>
              </w:rPr>
              <w:t>?</w:t>
            </w:r>
            <w:r w:rsidRPr="007D425D">
              <w:rPr>
                <w:rFonts w:ascii="Calibri" w:eastAsia="Calibri" w:hAnsi="Calibri" w:cs="Arial"/>
                <w:sz w:val="16"/>
                <w:szCs w:val="16"/>
                <w:lang w:val="en-US"/>
              </w:rPr>
              <w:t xml:space="preserve"> </w:t>
            </w:r>
          </w:p>
          <w:p w14:paraId="74462399" w14:textId="77777777" w:rsidR="000E0A4D" w:rsidRPr="007D425D" w:rsidRDefault="000E0A4D" w:rsidP="007D425D">
            <w:pPr>
              <w:spacing w:after="0"/>
              <w:jc w:val="left"/>
              <w:rPr>
                <w:rFonts w:ascii="Calibri" w:eastAsia="Calibri" w:hAnsi="Calibri" w:cs="Arial"/>
                <w:sz w:val="16"/>
                <w:szCs w:val="16"/>
                <w:lang w:val="en-US"/>
              </w:rPr>
            </w:pPr>
          </w:p>
          <w:p w14:paraId="41D08803" w14:textId="77777777" w:rsidR="000E0A4D" w:rsidRPr="007D425D" w:rsidRDefault="000E0A4D" w:rsidP="007D425D">
            <w:pPr>
              <w:spacing w:after="0"/>
              <w:jc w:val="left"/>
              <w:rPr>
                <w:rFonts w:ascii="Calibri" w:eastAsia="Calibri" w:hAnsi="Calibri"/>
                <w:sz w:val="16"/>
                <w:szCs w:val="16"/>
                <w:lang w:val="en-US"/>
              </w:rPr>
            </w:pPr>
            <w:r w:rsidRPr="007D425D">
              <w:rPr>
                <w:rFonts w:ascii="Calibri" w:eastAsia="Calibri" w:hAnsi="Calibri"/>
                <w:sz w:val="16"/>
                <w:szCs w:val="16"/>
                <w:lang w:val="en-US"/>
              </w:rPr>
              <w:t>3.2 To which extent has joint programming been implemented in outcome 4.1 support.</w:t>
            </w:r>
          </w:p>
          <w:p w14:paraId="77FEB66D" w14:textId="77777777" w:rsidR="000E0A4D" w:rsidRPr="007D425D" w:rsidRDefault="000E0A4D" w:rsidP="007D425D">
            <w:pPr>
              <w:spacing w:after="0"/>
              <w:jc w:val="left"/>
              <w:rPr>
                <w:rFonts w:ascii="Calibri" w:eastAsia="Calibri" w:hAnsi="Calibri" w:cs="Arial"/>
                <w:sz w:val="16"/>
                <w:szCs w:val="16"/>
                <w:lang w:val="en-US"/>
              </w:rPr>
            </w:pPr>
          </w:p>
          <w:p w14:paraId="01A95D8D" w14:textId="77777777" w:rsidR="000E0A4D" w:rsidRPr="007D425D" w:rsidRDefault="000E0A4D" w:rsidP="007D425D">
            <w:pPr>
              <w:spacing w:after="0"/>
              <w:jc w:val="left"/>
              <w:rPr>
                <w:rFonts w:ascii="Calibri" w:eastAsia="Calibri" w:hAnsi="Calibri" w:cs="Arial"/>
                <w:sz w:val="16"/>
                <w:szCs w:val="16"/>
                <w:lang w:val="en-US"/>
              </w:rPr>
            </w:pPr>
            <w:r w:rsidRPr="007D425D">
              <w:rPr>
                <w:rFonts w:ascii="Calibri" w:eastAsia="Calibri" w:hAnsi="Calibri" w:cs="Arial"/>
                <w:sz w:val="16"/>
                <w:szCs w:val="16"/>
                <w:lang w:val="en-US"/>
              </w:rPr>
              <w:t>3.3 Evidence of overlaps and synergies between projects, silo approaches along agency lines?</w:t>
            </w:r>
          </w:p>
          <w:p w14:paraId="597697B4" w14:textId="77777777" w:rsidR="000E0A4D" w:rsidRPr="007D425D" w:rsidRDefault="000E0A4D" w:rsidP="007D425D">
            <w:pPr>
              <w:spacing w:after="0"/>
              <w:jc w:val="left"/>
              <w:rPr>
                <w:rFonts w:ascii="Calibri" w:eastAsia="Calibri" w:hAnsi="Calibri" w:cs="Arial"/>
                <w:sz w:val="16"/>
                <w:szCs w:val="16"/>
                <w:lang w:val="en-US"/>
              </w:rPr>
            </w:pPr>
          </w:p>
          <w:p w14:paraId="35A6B80C" w14:textId="0D4D8FE9" w:rsidR="000E0A4D" w:rsidRPr="007D425D" w:rsidRDefault="003F4020" w:rsidP="007D425D">
            <w:pPr>
              <w:spacing w:after="0"/>
              <w:jc w:val="left"/>
              <w:rPr>
                <w:rFonts w:ascii="Calibri" w:eastAsia="Calibri" w:hAnsi="Calibri" w:cs="Arial"/>
                <w:sz w:val="16"/>
                <w:szCs w:val="16"/>
                <w:lang w:val="en-US"/>
              </w:rPr>
            </w:pPr>
            <w:r w:rsidRPr="007D425D">
              <w:rPr>
                <w:rFonts w:ascii="Calibri" w:eastAsia="Calibri" w:hAnsi="Calibri" w:cs="Arial"/>
                <w:sz w:val="16"/>
                <w:szCs w:val="16"/>
                <w:lang w:val="en-US"/>
              </w:rPr>
              <w:t xml:space="preserve">3.4 To what level </w:t>
            </w:r>
            <w:r>
              <w:rPr>
                <w:rFonts w:ascii="Calibri" w:eastAsia="Calibri" w:hAnsi="Calibri" w:cs="Arial"/>
                <w:sz w:val="16"/>
                <w:szCs w:val="16"/>
                <w:lang w:val="en-US"/>
              </w:rPr>
              <w:t xml:space="preserve">are </w:t>
            </w:r>
            <w:r w:rsidRPr="007D425D">
              <w:rPr>
                <w:rFonts w:ascii="Calibri" w:eastAsia="Calibri" w:hAnsi="Calibri" w:cs="Arial"/>
                <w:sz w:val="16"/>
                <w:szCs w:val="16"/>
                <w:lang w:val="en-US"/>
              </w:rPr>
              <w:t xml:space="preserve"> SWAp and DP synergies and complementarities exploited?</w:t>
            </w:r>
          </w:p>
          <w:p w14:paraId="57EF79A0" w14:textId="77777777" w:rsidR="000E0A4D" w:rsidRPr="007D425D" w:rsidRDefault="000E0A4D" w:rsidP="007D425D">
            <w:pPr>
              <w:spacing w:after="0"/>
              <w:jc w:val="left"/>
              <w:rPr>
                <w:rFonts w:ascii="Calibri" w:eastAsia="Calibri" w:hAnsi="Calibri" w:cs="Arial"/>
                <w:sz w:val="16"/>
                <w:szCs w:val="16"/>
                <w:lang w:val="en-US"/>
              </w:rPr>
            </w:pPr>
          </w:p>
        </w:tc>
        <w:tc>
          <w:tcPr>
            <w:tcW w:w="0" w:type="auto"/>
          </w:tcPr>
          <w:p w14:paraId="1919E417" w14:textId="77777777" w:rsidR="000E0A4D" w:rsidRPr="007D425D" w:rsidRDefault="000E0A4D" w:rsidP="007D425D">
            <w:pPr>
              <w:spacing w:after="0"/>
              <w:jc w:val="left"/>
              <w:rPr>
                <w:rFonts w:ascii="Calibri" w:eastAsia="Calibri" w:hAnsi="Calibri" w:cs="Arial"/>
                <w:sz w:val="16"/>
                <w:szCs w:val="16"/>
                <w:lang w:val="en-US"/>
              </w:rPr>
            </w:pPr>
            <w:r w:rsidRPr="007D425D">
              <w:rPr>
                <w:rFonts w:ascii="Calibri" w:eastAsia="Calibri" w:hAnsi="Calibri" w:cs="Arial"/>
                <w:sz w:val="16"/>
                <w:szCs w:val="16"/>
                <w:lang w:val="en-US"/>
              </w:rPr>
              <w:t>Programme documents</w:t>
            </w:r>
          </w:p>
          <w:p w14:paraId="11500E97" w14:textId="77777777" w:rsidR="000E0A4D" w:rsidRPr="007D425D" w:rsidRDefault="000E0A4D" w:rsidP="007D425D">
            <w:pPr>
              <w:spacing w:after="0"/>
              <w:jc w:val="left"/>
              <w:rPr>
                <w:rFonts w:ascii="Calibri" w:eastAsia="Calibri" w:hAnsi="Calibri" w:cs="Arial"/>
                <w:sz w:val="16"/>
                <w:szCs w:val="16"/>
                <w:lang w:val="en-US"/>
              </w:rPr>
            </w:pPr>
            <w:r w:rsidRPr="007D425D">
              <w:rPr>
                <w:rFonts w:ascii="Calibri" w:eastAsia="Calibri" w:hAnsi="Calibri" w:cs="Arial"/>
                <w:sz w:val="16"/>
                <w:szCs w:val="16"/>
                <w:lang w:val="en-US"/>
              </w:rPr>
              <w:t>Annual Work Plans</w:t>
            </w:r>
          </w:p>
          <w:p w14:paraId="474C6E3A" w14:textId="77777777" w:rsidR="000E0A4D" w:rsidRPr="007D425D" w:rsidRDefault="000E0A4D" w:rsidP="007D425D">
            <w:pPr>
              <w:spacing w:after="0"/>
              <w:jc w:val="left"/>
              <w:rPr>
                <w:rFonts w:ascii="Calibri" w:eastAsia="Calibri" w:hAnsi="Calibri" w:cs="Arial"/>
                <w:sz w:val="16"/>
                <w:szCs w:val="16"/>
                <w:lang w:val="en-US"/>
              </w:rPr>
            </w:pPr>
            <w:r w:rsidRPr="007D425D">
              <w:rPr>
                <w:rFonts w:ascii="Calibri" w:eastAsia="Calibri" w:hAnsi="Calibri" w:cs="Arial"/>
                <w:sz w:val="16"/>
                <w:szCs w:val="16"/>
                <w:lang w:val="en-US"/>
              </w:rPr>
              <w:t>Evaluation reports</w:t>
            </w:r>
          </w:p>
          <w:p w14:paraId="5A2D89D3" w14:textId="77777777" w:rsidR="000E0A4D" w:rsidRPr="007D425D" w:rsidRDefault="000E0A4D" w:rsidP="007D425D">
            <w:pPr>
              <w:spacing w:after="0"/>
              <w:jc w:val="left"/>
              <w:rPr>
                <w:rFonts w:ascii="Calibri" w:eastAsia="Calibri" w:hAnsi="Calibri" w:cs="Arial"/>
                <w:sz w:val="16"/>
                <w:szCs w:val="16"/>
                <w:lang w:val="en-US"/>
              </w:rPr>
            </w:pPr>
            <w:r w:rsidRPr="007D425D">
              <w:rPr>
                <w:rFonts w:ascii="Calibri" w:eastAsia="Calibri" w:hAnsi="Calibri" w:cs="Arial"/>
                <w:sz w:val="16"/>
                <w:szCs w:val="16"/>
                <w:lang w:val="en-US"/>
              </w:rPr>
              <w:t>ATLAS reports</w:t>
            </w:r>
          </w:p>
          <w:p w14:paraId="200D4CEE" w14:textId="77777777" w:rsidR="000E0A4D" w:rsidRPr="007D425D" w:rsidRDefault="000E0A4D" w:rsidP="007D425D">
            <w:pPr>
              <w:spacing w:after="0"/>
              <w:jc w:val="left"/>
              <w:rPr>
                <w:rFonts w:ascii="Calibri" w:eastAsia="Calibri" w:hAnsi="Calibri" w:cs="Arial"/>
                <w:sz w:val="16"/>
                <w:szCs w:val="16"/>
                <w:lang w:val="en-US"/>
              </w:rPr>
            </w:pPr>
            <w:r w:rsidRPr="007D425D">
              <w:rPr>
                <w:rFonts w:ascii="Calibri" w:eastAsia="Calibri" w:hAnsi="Calibri" w:cs="Arial"/>
                <w:sz w:val="16"/>
                <w:szCs w:val="16"/>
                <w:lang w:val="en-US"/>
              </w:rPr>
              <w:t>Government partners</w:t>
            </w:r>
          </w:p>
          <w:p w14:paraId="394D01CE" w14:textId="77777777" w:rsidR="000E0A4D" w:rsidRPr="007D425D" w:rsidRDefault="000E0A4D" w:rsidP="007D425D">
            <w:pPr>
              <w:spacing w:after="0"/>
              <w:jc w:val="left"/>
              <w:rPr>
                <w:rFonts w:ascii="Calibri" w:eastAsia="Calibri" w:hAnsi="Calibri" w:cs="Arial"/>
                <w:sz w:val="16"/>
                <w:szCs w:val="16"/>
                <w:lang w:val="en-US"/>
              </w:rPr>
            </w:pPr>
            <w:r w:rsidRPr="007D425D">
              <w:rPr>
                <w:rFonts w:ascii="Calibri" w:eastAsia="Calibri" w:hAnsi="Calibri" w:cs="Arial"/>
                <w:sz w:val="16"/>
                <w:szCs w:val="16"/>
                <w:lang w:val="en-US"/>
              </w:rPr>
              <w:t>Development partners</w:t>
            </w:r>
          </w:p>
          <w:p w14:paraId="5A4B1047" w14:textId="77777777" w:rsidR="000E0A4D" w:rsidRPr="007D425D" w:rsidRDefault="000E0A4D" w:rsidP="007D425D">
            <w:pPr>
              <w:spacing w:after="0"/>
              <w:jc w:val="left"/>
              <w:rPr>
                <w:rFonts w:ascii="Calibri" w:eastAsia="Calibri" w:hAnsi="Calibri"/>
                <w:sz w:val="16"/>
                <w:szCs w:val="16"/>
                <w:lang w:val="en-US"/>
              </w:rPr>
            </w:pPr>
            <w:r w:rsidRPr="007D425D">
              <w:rPr>
                <w:rFonts w:ascii="Calibri" w:eastAsia="Calibri" w:hAnsi="Calibri"/>
                <w:sz w:val="16"/>
                <w:szCs w:val="16"/>
                <w:lang w:val="en-US"/>
              </w:rPr>
              <w:t>UN  agency staff </w:t>
            </w:r>
          </w:p>
          <w:p w14:paraId="0CBC68D6" w14:textId="77777777" w:rsidR="000E0A4D" w:rsidRPr="007D425D" w:rsidRDefault="000E0A4D" w:rsidP="007D425D">
            <w:pPr>
              <w:spacing w:after="0"/>
              <w:jc w:val="left"/>
              <w:rPr>
                <w:rFonts w:ascii="Calibri" w:eastAsia="Calibri" w:hAnsi="Calibri"/>
                <w:sz w:val="16"/>
                <w:szCs w:val="16"/>
                <w:lang w:val="en-US"/>
              </w:rPr>
            </w:pPr>
            <w:r w:rsidRPr="007D425D">
              <w:rPr>
                <w:rFonts w:ascii="Calibri" w:eastAsia="Calibri" w:hAnsi="Calibri"/>
                <w:sz w:val="16"/>
                <w:szCs w:val="16"/>
                <w:lang w:val="en-US"/>
              </w:rPr>
              <w:t>DPs</w:t>
            </w:r>
          </w:p>
        </w:tc>
        <w:tc>
          <w:tcPr>
            <w:tcW w:w="0" w:type="auto"/>
          </w:tcPr>
          <w:p w14:paraId="330E8294" w14:textId="77777777" w:rsidR="000E0A4D" w:rsidRPr="007D425D" w:rsidRDefault="000E0A4D" w:rsidP="007D425D">
            <w:pPr>
              <w:spacing w:after="0"/>
              <w:rPr>
                <w:rFonts w:ascii="Calibri" w:eastAsia="Calibri" w:hAnsi="Calibri" w:cs="Arial"/>
                <w:sz w:val="16"/>
                <w:szCs w:val="16"/>
                <w:lang w:val="en-US"/>
              </w:rPr>
            </w:pPr>
            <w:r w:rsidRPr="007D425D">
              <w:rPr>
                <w:rFonts w:ascii="Calibri" w:eastAsia="Calibri" w:hAnsi="Calibri" w:cs="Arial"/>
                <w:sz w:val="16"/>
                <w:szCs w:val="16"/>
                <w:lang w:val="en-US"/>
              </w:rPr>
              <w:t>Desk reviews of</w:t>
            </w:r>
          </w:p>
          <w:p w14:paraId="4EB44161" w14:textId="77777777" w:rsidR="000E0A4D" w:rsidRPr="007D425D" w:rsidRDefault="000E0A4D" w:rsidP="007D425D">
            <w:pPr>
              <w:spacing w:after="0"/>
              <w:rPr>
                <w:rFonts w:ascii="Calibri" w:eastAsia="Calibri" w:hAnsi="Calibri" w:cs="Arial"/>
                <w:sz w:val="16"/>
                <w:szCs w:val="16"/>
                <w:lang w:val="en-US"/>
              </w:rPr>
            </w:pPr>
            <w:r w:rsidRPr="007D425D">
              <w:rPr>
                <w:rFonts w:ascii="Calibri" w:eastAsia="Calibri" w:hAnsi="Calibri" w:cs="Arial"/>
                <w:sz w:val="16"/>
                <w:szCs w:val="16"/>
                <w:lang w:val="en-US"/>
              </w:rPr>
              <w:t>secondary data</w:t>
            </w:r>
          </w:p>
          <w:p w14:paraId="743D095E" w14:textId="77777777" w:rsidR="000E0A4D" w:rsidRPr="007D425D" w:rsidRDefault="000E0A4D" w:rsidP="007D425D">
            <w:pPr>
              <w:spacing w:after="0"/>
              <w:rPr>
                <w:rFonts w:ascii="Calibri" w:eastAsia="Calibri" w:hAnsi="Calibri" w:cs="Arial"/>
                <w:sz w:val="16"/>
                <w:szCs w:val="16"/>
                <w:lang w:val="en-US"/>
              </w:rPr>
            </w:pPr>
          </w:p>
          <w:p w14:paraId="649D40E6" w14:textId="77777777" w:rsidR="000E0A4D" w:rsidRPr="007D425D" w:rsidRDefault="000E0A4D" w:rsidP="007D425D">
            <w:pPr>
              <w:spacing w:after="0"/>
              <w:rPr>
                <w:rFonts w:ascii="Calibri" w:eastAsia="Calibri" w:hAnsi="Calibri" w:cs="Arial"/>
                <w:sz w:val="16"/>
                <w:szCs w:val="16"/>
                <w:lang w:val="en-US"/>
              </w:rPr>
            </w:pPr>
            <w:r w:rsidRPr="007D425D">
              <w:rPr>
                <w:rFonts w:ascii="Calibri" w:eastAsia="Calibri" w:hAnsi="Calibri" w:cs="Arial"/>
                <w:sz w:val="16"/>
                <w:szCs w:val="16"/>
                <w:lang w:val="en-US"/>
              </w:rPr>
              <w:t>Interviews with</w:t>
            </w:r>
          </w:p>
          <w:p w14:paraId="7FCFAB2A" w14:textId="77777777" w:rsidR="000E0A4D" w:rsidRPr="007D425D" w:rsidRDefault="000E0A4D" w:rsidP="007D425D">
            <w:pPr>
              <w:spacing w:after="0"/>
              <w:rPr>
                <w:rFonts w:ascii="Calibri" w:eastAsia="Calibri" w:hAnsi="Calibri" w:cs="Arial"/>
                <w:sz w:val="16"/>
                <w:szCs w:val="16"/>
                <w:lang w:val="en-US"/>
              </w:rPr>
            </w:pPr>
            <w:r w:rsidRPr="007D425D">
              <w:rPr>
                <w:rFonts w:ascii="Calibri" w:eastAsia="Calibri" w:hAnsi="Calibri" w:cs="Arial"/>
                <w:sz w:val="16"/>
                <w:szCs w:val="16"/>
                <w:lang w:val="en-US"/>
              </w:rPr>
              <w:t>government</w:t>
            </w:r>
          </w:p>
          <w:p w14:paraId="5CE674E0" w14:textId="77777777" w:rsidR="000E0A4D" w:rsidRPr="007D425D" w:rsidRDefault="000E0A4D" w:rsidP="007D425D">
            <w:pPr>
              <w:spacing w:after="0"/>
              <w:rPr>
                <w:rFonts w:ascii="Calibri" w:eastAsia="Calibri" w:hAnsi="Calibri" w:cs="Arial"/>
                <w:sz w:val="16"/>
                <w:szCs w:val="16"/>
                <w:lang w:val="en-US"/>
              </w:rPr>
            </w:pPr>
            <w:r w:rsidRPr="007D425D">
              <w:rPr>
                <w:rFonts w:ascii="Calibri" w:eastAsia="Calibri" w:hAnsi="Calibri" w:cs="Arial"/>
                <w:sz w:val="16"/>
                <w:szCs w:val="16"/>
                <w:lang w:val="en-US"/>
              </w:rPr>
              <w:t>partners and</w:t>
            </w:r>
          </w:p>
          <w:p w14:paraId="101E90B7" w14:textId="77777777" w:rsidR="000E0A4D" w:rsidRPr="007D425D" w:rsidRDefault="000E0A4D" w:rsidP="007D425D">
            <w:pPr>
              <w:spacing w:after="0"/>
              <w:rPr>
                <w:rFonts w:ascii="Calibri" w:eastAsia="Calibri" w:hAnsi="Calibri" w:cs="Arial"/>
                <w:sz w:val="16"/>
                <w:szCs w:val="16"/>
                <w:lang w:val="en-US"/>
              </w:rPr>
            </w:pPr>
            <w:r w:rsidRPr="007D425D">
              <w:rPr>
                <w:rFonts w:ascii="Calibri" w:eastAsia="Calibri" w:hAnsi="Calibri" w:cs="Arial"/>
                <w:sz w:val="16"/>
                <w:szCs w:val="16"/>
                <w:lang w:val="en-US"/>
              </w:rPr>
              <w:t>development</w:t>
            </w:r>
          </w:p>
          <w:p w14:paraId="7FA28010" w14:textId="77777777" w:rsidR="000E0A4D" w:rsidRPr="007D425D" w:rsidRDefault="000E0A4D" w:rsidP="007D425D">
            <w:pPr>
              <w:spacing w:after="0"/>
              <w:rPr>
                <w:rFonts w:ascii="Calibri" w:eastAsia="Calibri" w:hAnsi="Calibri" w:cs="Arial"/>
                <w:sz w:val="16"/>
                <w:szCs w:val="16"/>
                <w:lang w:val="en-US"/>
              </w:rPr>
            </w:pPr>
            <w:r w:rsidRPr="007D425D">
              <w:rPr>
                <w:rFonts w:ascii="Calibri" w:eastAsia="Calibri" w:hAnsi="Calibri" w:cs="Arial"/>
                <w:sz w:val="16"/>
                <w:szCs w:val="16"/>
                <w:lang w:val="en-US"/>
              </w:rPr>
              <w:t>partners</w:t>
            </w:r>
          </w:p>
        </w:tc>
      </w:tr>
    </w:tbl>
    <w:p w14:paraId="66F443CD" w14:textId="77777777" w:rsidR="000E0A4D" w:rsidRPr="00CD56B9" w:rsidRDefault="000E0A4D" w:rsidP="000E0A4D">
      <w:pPr>
        <w:spacing w:after="200" w:line="276" w:lineRule="auto"/>
        <w:jc w:val="left"/>
        <w:rPr>
          <w:rFonts w:ascii="Calibri" w:eastAsia="Calibri" w:hAnsi="Calibri"/>
          <w:lang w:val="en-US"/>
        </w:rPr>
        <w:sectPr w:rsidR="000E0A4D" w:rsidRPr="00CD56B9" w:rsidSect="00B679D4">
          <w:pgSz w:w="15840" w:h="12240" w:orient="landscape"/>
          <w:pgMar w:top="1701" w:right="1134" w:bottom="1701" w:left="1134" w:header="708" w:footer="708" w:gutter="0"/>
          <w:cols w:space="708"/>
          <w:docGrid w:linePitch="360"/>
        </w:sectPr>
      </w:pPr>
    </w:p>
    <w:p w14:paraId="43DA0EDA" w14:textId="77777777" w:rsidR="000E0A4D" w:rsidRPr="00CD56B9" w:rsidRDefault="000E0A4D" w:rsidP="000E0A4D">
      <w:pPr>
        <w:spacing w:after="200" w:line="276" w:lineRule="auto"/>
        <w:jc w:val="left"/>
        <w:rPr>
          <w:rFonts w:ascii="Calibri" w:eastAsia="Calibri" w:hAnsi="Calibri"/>
          <w:lang w:val="en-US"/>
        </w:rPr>
      </w:pPr>
    </w:p>
    <w:tbl>
      <w:tblPr>
        <w:tblpPr w:leftFromText="141" w:rightFromText="141" w:vertAnchor="page" w:horzAnchor="margin" w:tblpXSpec="center" w:tblpY="202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4323"/>
        <w:gridCol w:w="4324"/>
        <w:gridCol w:w="2055"/>
        <w:gridCol w:w="2056"/>
      </w:tblGrid>
      <w:tr w:rsidR="009D7BFA" w:rsidRPr="007D425D" w14:paraId="1E1E4856" w14:textId="77777777" w:rsidTr="007D425D">
        <w:trPr>
          <w:trHeight w:val="557"/>
          <w:tblHeader/>
        </w:trPr>
        <w:tc>
          <w:tcPr>
            <w:tcW w:w="1384" w:type="dxa"/>
            <w:shd w:val="clear" w:color="auto" w:fill="E7E6E6"/>
          </w:tcPr>
          <w:p w14:paraId="1F7892F2" w14:textId="77777777" w:rsidR="000E0A4D" w:rsidRPr="007D425D" w:rsidRDefault="000E0A4D" w:rsidP="007D425D">
            <w:pPr>
              <w:autoSpaceDE w:val="0"/>
              <w:autoSpaceDN w:val="0"/>
              <w:adjustRightInd w:val="0"/>
              <w:spacing w:after="0"/>
              <w:jc w:val="left"/>
              <w:rPr>
                <w:rFonts w:ascii="Calibri" w:eastAsia="Calibri" w:hAnsi="Calibri" w:cs="Arial"/>
                <w:b/>
                <w:sz w:val="16"/>
                <w:szCs w:val="16"/>
                <w:lang w:val="en-US"/>
              </w:rPr>
            </w:pPr>
            <w:r w:rsidRPr="007D425D">
              <w:rPr>
                <w:rFonts w:ascii="Calibri" w:eastAsia="Calibri" w:hAnsi="Calibri" w:cs="Arial"/>
                <w:b/>
                <w:bCs/>
                <w:sz w:val="16"/>
                <w:szCs w:val="16"/>
              </w:rPr>
              <w:t>Criterion</w:t>
            </w:r>
          </w:p>
        </w:tc>
        <w:tc>
          <w:tcPr>
            <w:tcW w:w="4323" w:type="dxa"/>
            <w:shd w:val="clear" w:color="auto" w:fill="E7E6E6"/>
          </w:tcPr>
          <w:p w14:paraId="6FAA07E8" w14:textId="77777777" w:rsidR="000E0A4D" w:rsidRPr="007D425D" w:rsidRDefault="000E0A4D" w:rsidP="007D425D">
            <w:pPr>
              <w:spacing w:after="0"/>
              <w:rPr>
                <w:rFonts w:ascii="Calibri" w:eastAsia="Calibri" w:hAnsi="Calibri" w:cs="Arial"/>
                <w:b/>
                <w:noProof/>
                <w:sz w:val="16"/>
                <w:szCs w:val="16"/>
                <w:lang w:val="en-US" w:eastAsia="zh-CN"/>
              </w:rPr>
            </w:pPr>
            <w:r w:rsidRPr="007D425D">
              <w:rPr>
                <w:rFonts w:ascii="Calibri" w:eastAsia="Calibri" w:hAnsi="Calibri" w:cs="Arial"/>
                <w:b/>
                <w:noProof/>
                <w:sz w:val="16"/>
                <w:szCs w:val="16"/>
                <w:lang w:val="en-US" w:eastAsia="zh-CN"/>
              </w:rPr>
              <w:t>Evaluation questions</w:t>
            </w:r>
          </w:p>
        </w:tc>
        <w:tc>
          <w:tcPr>
            <w:tcW w:w="4324" w:type="dxa"/>
            <w:shd w:val="clear" w:color="auto" w:fill="E7E6E6"/>
          </w:tcPr>
          <w:p w14:paraId="68FE3FBF" w14:textId="77777777" w:rsidR="000E0A4D" w:rsidRPr="007D425D" w:rsidRDefault="000E0A4D" w:rsidP="007D425D">
            <w:pPr>
              <w:spacing w:after="0"/>
              <w:jc w:val="left"/>
              <w:rPr>
                <w:rFonts w:ascii="Calibri" w:eastAsia="Calibri" w:hAnsi="Calibri" w:cs="Arial"/>
                <w:b/>
                <w:sz w:val="16"/>
                <w:szCs w:val="16"/>
                <w:lang w:val="en-US"/>
              </w:rPr>
            </w:pPr>
            <w:r w:rsidRPr="007D425D">
              <w:rPr>
                <w:rFonts w:ascii="Calibri" w:eastAsia="Calibri" w:hAnsi="Calibri" w:cs="Arial"/>
                <w:b/>
                <w:sz w:val="16"/>
                <w:szCs w:val="16"/>
                <w:lang w:val="en-US"/>
              </w:rPr>
              <w:t xml:space="preserve">Sub questions </w:t>
            </w:r>
          </w:p>
        </w:tc>
        <w:tc>
          <w:tcPr>
            <w:tcW w:w="2055" w:type="dxa"/>
            <w:shd w:val="clear" w:color="auto" w:fill="E7E6E6"/>
          </w:tcPr>
          <w:p w14:paraId="7CE074F3" w14:textId="77777777" w:rsidR="000E0A4D" w:rsidRPr="007D425D" w:rsidRDefault="000E0A4D" w:rsidP="007D425D">
            <w:pPr>
              <w:spacing w:after="0"/>
              <w:jc w:val="left"/>
              <w:rPr>
                <w:rFonts w:ascii="Calibri" w:eastAsia="Calibri" w:hAnsi="Calibri" w:cs="Arial"/>
                <w:b/>
                <w:sz w:val="16"/>
                <w:szCs w:val="16"/>
                <w:lang w:val="en-US"/>
              </w:rPr>
            </w:pPr>
            <w:r w:rsidRPr="007D425D">
              <w:rPr>
                <w:rFonts w:ascii="Calibri" w:eastAsia="Calibri" w:hAnsi="Calibri" w:cs="Arial"/>
                <w:b/>
                <w:sz w:val="16"/>
                <w:szCs w:val="16"/>
                <w:lang w:val="en-US"/>
              </w:rPr>
              <w:t>Data sources</w:t>
            </w:r>
          </w:p>
        </w:tc>
        <w:tc>
          <w:tcPr>
            <w:tcW w:w="2056" w:type="dxa"/>
            <w:shd w:val="clear" w:color="auto" w:fill="E7E6E6"/>
          </w:tcPr>
          <w:p w14:paraId="49F38410" w14:textId="77777777" w:rsidR="000E0A4D" w:rsidRPr="007D425D" w:rsidRDefault="000E0A4D" w:rsidP="007D425D">
            <w:pPr>
              <w:spacing w:after="0"/>
              <w:jc w:val="left"/>
              <w:rPr>
                <w:rFonts w:ascii="Calibri" w:eastAsia="Calibri" w:hAnsi="Calibri" w:cs="Arial"/>
                <w:b/>
                <w:sz w:val="16"/>
                <w:szCs w:val="16"/>
                <w:lang w:val="en-US"/>
              </w:rPr>
            </w:pPr>
            <w:r w:rsidRPr="007D425D">
              <w:rPr>
                <w:rFonts w:ascii="Calibri" w:eastAsia="Calibri" w:hAnsi="Calibri" w:cs="Arial"/>
                <w:b/>
                <w:sz w:val="16"/>
                <w:szCs w:val="16"/>
                <w:lang w:val="en-US"/>
              </w:rPr>
              <w:t>Data collection methods</w:t>
            </w:r>
          </w:p>
        </w:tc>
      </w:tr>
      <w:tr w:rsidR="009D7BFA" w:rsidRPr="00F72B0D" w14:paraId="5216370D" w14:textId="77777777" w:rsidTr="007D425D">
        <w:trPr>
          <w:tblHeader/>
        </w:trPr>
        <w:tc>
          <w:tcPr>
            <w:tcW w:w="1384" w:type="dxa"/>
          </w:tcPr>
          <w:p w14:paraId="0AC9BBA6" w14:textId="77777777" w:rsidR="000E0A4D" w:rsidRPr="007D425D" w:rsidRDefault="000E0A4D" w:rsidP="007D425D">
            <w:pPr>
              <w:spacing w:after="0"/>
              <w:jc w:val="left"/>
              <w:rPr>
                <w:rFonts w:ascii="Calibri" w:eastAsia="Calibri" w:hAnsi="Calibri" w:cs="Arial"/>
                <w:b/>
                <w:sz w:val="16"/>
                <w:szCs w:val="16"/>
                <w:lang w:val="en-US"/>
              </w:rPr>
            </w:pPr>
            <w:r w:rsidRPr="007D425D">
              <w:rPr>
                <w:rFonts w:ascii="Calibri" w:eastAsia="Calibri" w:hAnsi="Calibri" w:cs="Arial"/>
                <w:b/>
                <w:sz w:val="16"/>
                <w:szCs w:val="16"/>
                <w:lang w:val="en-US"/>
              </w:rPr>
              <w:t xml:space="preserve">Sustainability  </w:t>
            </w:r>
          </w:p>
        </w:tc>
        <w:tc>
          <w:tcPr>
            <w:tcW w:w="4323" w:type="dxa"/>
          </w:tcPr>
          <w:p w14:paraId="78308FD1" w14:textId="77777777" w:rsidR="000E0A4D" w:rsidRPr="007D425D" w:rsidRDefault="000E0A4D" w:rsidP="007D425D">
            <w:pPr>
              <w:spacing w:after="0"/>
              <w:jc w:val="left"/>
              <w:rPr>
                <w:rFonts w:ascii="Calibri" w:eastAsia="Calibri" w:hAnsi="Calibri" w:cs="Arial"/>
                <w:sz w:val="16"/>
                <w:szCs w:val="16"/>
                <w:lang w:val="en-ZW"/>
              </w:rPr>
            </w:pPr>
            <w:r w:rsidRPr="007D425D">
              <w:rPr>
                <w:rFonts w:ascii="Calibri" w:eastAsia="Calibri" w:hAnsi="Calibri" w:cs="Arial"/>
                <w:sz w:val="16"/>
                <w:szCs w:val="16"/>
                <w:lang w:val="en-ZW"/>
              </w:rPr>
              <w:t xml:space="preserve">1. What is the likelihood that the interventions are sustainable and what could be done to strengthen sustainability of outcomes? </w:t>
            </w:r>
          </w:p>
          <w:p w14:paraId="7A0A2DD2" w14:textId="77777777" w:rsidR="000E0A4D" w:rsidRPr="007D425D" w:rsidRDefault="000E0A4D" w:rsidP="007D425D">
            <w:pPr>
              <w:spacing w:after="0"/>
              <w:jc w:val="left"/>
              <w:rPr>
                <w:rFonts w:ascii="Calibri" w:eastAsia="Calibri" w:hAnsi="Calibri" w:cs="Arial"/>
                <w:sz w:val="16"/>
                <w:szCs w:val="16"/>
                <w:lang w:val="en-ZW"/>
              </w:rPr>
            </w:pPr>
          </w:p>
          <w:p w14:paraId="738CDCE1" w14:textId="77777777" w:rsidR="000E0A4D" w:rsidRPr="007D425D" w:rsidRDefault="000E0A4D" w:rsidP="007D425D">
            <w:pPr>
              <w:spacing w:after="0"/>
              <w:jc w:val="left"/>
              <w:rPr>
                <w:rFonts w:ascii="Calibri" w:eastAsia="Calibri" w:hAnsi="Calibri" w:cs="Arial"/>
                <w:sz w:val="16"/>
                <w:szCs w:val="16"/>
                <w:lang w:val="en-ZW"/>
              </w:rPr>
            </w:pPr>
            <w:r w:rsidRPr="007D425D">
              <w:rPr>
                <w:rFonts w:ascii="Calibri" w:eastAsia="Calibri" w:hAnsi="Calibri" w:cs="Arial"/>
                <w:sz w:val="16"/>
                <w:szCs w:val="16"/>
                <w:lang w:val="en-ZW"/>
              </w:rPr>
              <w:t>2. What mechanisms have been set in place by UNCT and participating UN agencies of Malawi to sustain improvements made through these interventions?</w:t>
            </w:r>
          </w:p>
          <w:p w14:paraId="7E028CDC" w14:textId="77777777" w:rsidR="000E0A4D" w:rsidRPr="007D425D" w:rsidRDefault="000E0A4D" w:rsidP="007D425D">
            <w:pPr>
              <w:spacing w:after="0"/>
              <w:jc w:val="left"/>
              <w:rPr>
                <w:rFonts w:ascii="Calibri" w:eastAsia="Calibri" w:hAnsi="Calibri" w:cs="Arial"/>
                <w:sz w:val="16"/>
                <w:szCs w:val="16"/>
                <w:lang w:val="en-ZW"/>
              </w:rPr>
            </w:pPr>
          </w:p>
          <w:p w14:paraId="42E2CE21" w14:textId="77777777" w:rsidR="000E0A4D" w:rsidRPr="007D425D" w:rsidRDefault="000E0A4D" w:rsidP="007D425D">
            <w:pPr>
              <w:spacing w:after="0"/>
              <w:jc w:val="left"/>
              <w:rPr>
                <w:rFonts w:ascii="Calibri" w:eastAsia="Calibri" w:hAnsi="Calibri" w:cs="Arial"/>
                <w:sz w:val="16"/>
                <w:szCs w:val="16"/>
                <w:lang w:val="en-ZW"/>
              </w:rPr>
            </w:pPr>
            <w:r w:rsidRPr="007D425D">
              <w:rPr>
                <w:rFonts w:ascii="Calibri" w:eastAsia="Calibri" w:hAnsi="Calibri" w:cs="Arial"/>
                <w:sz w:val="16"/>
                <w:szCs w:val="16"/>
                <w:lang w:val="en-ZW"/>
              </w:rPr>
              <w:t>3. How should this portfolio be enhanced to support central authorities, local communities and civil society in improving DG/service delivery over the long term?</w:t>
            </w:r>
          </w:p>
          <w:p w14:paraId="120AABB9" w14:textId="77777777" w:rsidR="000E0A4D" w:rsidRPr="007D425D" w:rsidRDefault="000E0A4D" w:rsidP="007D425D">
            <w:pPr>
              <w:spacing w:after="0"/>
              <w:jc w:val="left"/>
              <w:rPr>
                <w:rFonts w:ascii="Calibri" w:eastAsia="Calibri" w:hAnsi="Calibri" w:cs="Arial"/>
                <w:sz w:val="16"/>
                <w:szCs w:val="16"/>
                <w:lang w:val="en-ZW"/>
              </w:rPr>
            </w:pPr>
          </w:p>
          <w:p w14:paraId="3E6A829E" w14:textId="77777777" w:rsidR="000E0A4D" w:rsidRPr="007D425D" w:rsidRDefault="000E0A4D" w:rsidP="007D425D">
            <w:pPr>
              <w:spacing w:after="0"/>
              <w:jc w:val="left"/>
              <w:rPr>
                <w:rFonts w:ascii="Calibri" w:eastAsia="Calibri" w:hAnsi="Calibri" w:cs="Arial"/>
                <w:sz w:val="16"/>
                <w:szCs w:val="16"/>
                <w:lang w:val="en-ZW"/>
              </w:rPr>
            </w:pPr>
            <w:r w:rsidRPr="007D425D">
              <w:rPr>
                <w:rFonts w:ascii="Calibri" w:eastAsia="Calibri" w:hAnsi="Calibri" w:cs="Arial"/>
                <w:sz w:val="16"/>
                <w:szCs w:val="16"/>
                <w:lang w:val="en-ZW"/>
              </w:rPr>
              <w:t xml:space="preserve">4. What changes should be made in the current set of partnerships and strategies in order to promote long-term sustainability? </w:t>
            </w:r>
          </w:p>
          <w:p w14:paraId="1721B9E6" w14:textId="77777777" w:rsidR="000E0A4D" w:rsidRPr="007D425D" w:rsidRDefault="000E0A4D" w:rsidP="007D425D">
            <w:pPr>
              <w:spacing w:after="0"/>
              <w:jc w:val="left"/>
              <w:rPr>
                <w:rFonts w:ascii="Calibri" w:eastAsia="Calibri" w:hAnsi="Calibri" w:cs="Arial"/>
                <w:sz w:val="16"/>
                <w:szCs w:val="16"/>
                <w:lang w:val="en-ZW"/>
              </w:rPr>
            </w:pPr>
          </w:p>
          <w:p w14:paraId="03E55F83" w14:textId="77777777" w:rsidR="000E0A4D" w:rsidRPr="007D425D" w:rsidRDefault="000E0A4D" w:rsidP="007D425D">
            <w:pPr>
              <w:spacing w:after="0"/>
              <w:jc w:val="left"/>
              <w:rPr>
                <w:rFonts w:ascii="Calibri" w:eastAsia="Calibri" w:hAnsi="Calibri" w:cs="Arial"/>
                <w:sz w:val="16"/>
                <w:szCs w:val="16"/>
                <w:lang w:val="en-ZW"/>
              </w:rPr>
            </w:pPr>
            <w:r w:rsidRPr="007D425D">
              <w:rPr>
                <w:rFonts w:ascii="Calibri" w:eastAsia="Calibri" w:hAnsi="Calibri" w:cs="Arial"/>
                <w:sz w:val="16"/>
                <w:szCs w:val="16"/>
                <w:lang w:val="en-ZW"/>
              </w:rPr>
              <w:t>5. Is the UNCT and individuals agency resource mobilization strategy in the area of democratic governance appropriate and likely to be effective in achieving this outcome?</w:t>
            </w:r>
          </w:p>
          <w:p w14:paraId="118DC57D" w14:textId="77777777" w:rsidR="000E0A4D" w:rsidRPr="007D425D" w:rsidRDefault="000E0A4D" w:rsidP="007D425D">
            <w:pPr>
              <w:spacing w:after="0"/>
              <w:jc w:val="left"/>
              <w:rPr>
                <w:rFonts w:ascii="Calibri" w:eastAsia="Calibri" w:hAnsi="Calibri" w:cs="Arial"/>
                <w:sz w:val="16"/>
                <w:szCs w:val="16"/>
                <w:lang w:val="en-ZW"/>
              </w:rPr>
            </w:pPr>
          </w:p>
          <w:p w14:paraId="06DDF5ED" w14:textId="77777777" w:rsidR="000E0A4D" w:rsidRPr="007D425D" w:rsidRDefault="000E0A4D" w:rsidP="007D425D">
            <w:pPr>
              <w:spacing w:after="0"/>
              <w:jc w:val="left"/>
              <w:rPr>
                <w:rFonts w:ascii="Calibri" w:eastAsia="Calibri" w:hAnsi="Calibri" w:cs="Arial"/>
                <w:sz w:val="16"/>
                <w:szCs w:val="16"/>
                <w:lang w:val="en-US"/>
              </w:rPr>
            </w:pPr>
            <w:r w:rsidRPr="007D425D">
              <w:rPr>
                <w:rFonts w:ascii="Calibri" w:eastAsia="Calibri" w:hAnsi="Calibri" w:cs="Arial"/>
                <w:sz w:val="16"/>
                <w:szCs w:val="16"/>
                <w:lang w:val="en-ZW"/>
              </w:rPr>
              <w:t>6. Are UNCT’s management structures and working methods appropriate and likely to be effective in achieving this outcome</w:t>
            </w:r>
          </w:p>
        </w:tc>
        <w:tc>
          <w:tcPr>
            <w:tcW w:w="4324" w:type="dxa"/>
          </w:tcPr>
          <w:p w14:paraId="0C302A57" w14:textId="77777777" w:rsidR="000E0A4D" w:rsidRPr="007D425D" w:rsidRDefault="000E0A4D" w:rsidP="007D425D">
            <w:pPr>
              <w:spacing w:after="0"/>
              <w:jc w:val="left"/>
              <w:rPr>
                <w:rFonts w:ascii="Calibri" w:eastAsia="Calibri" w:hAnsi="Calibri" w:cs="Arial"/>
                <w:sz w:val="16"/>
                <w:szCs w:val="16"/>
                <w:lang w:val="en-US"/>
              </w:rPr>
            </w:pPr>
            <w:r w:rsidRPr="007D425D">
              <w:rPr>
                <w:rFonts w:ascii="Calibri" w:eastAsia="Calibri" w:hAnsi="Calibri" w:cs="Arial"/>
                <w:sz w:val="16"/>
                <w:szCs w:val="16"/>
                <w:lang w:val="en-US"/>
              </w:rPr>
              <w:t>1.1 Is institutional absorption capacity correctly addressed?</w:t>
            </w:r>
          </w:p>
          <w:p w14:paraId="2ED509A6" w14:textId="77777777" w:rsidR="000E0A4D" w:rsidRPr="007D425D" w:rsidRDefault="000E0A4D" w:rsidP="007D425D">
            <w:pPr>
              <w:spacing w:after="0"/>
              <w:jc w:val="left"/>
              <w:rPr>
                <w:rFonts w:ascii="Calibri" w:eastAsia="Calibri" w:hAnsi="Calibri" w:cs="Arial"/>
                <w:sz w:val="16"/>
                <w:szCs w:val="16"/>
                <w:lang w:val="en-US"/>
              </w:rPr>
            </w:pPr>
          </w:p>
          <w:p w14:paraId="3DDFE811" w14:textId="77777777" w:rsidR="000E0A4D" w:rsidRPr="007D425D" w:rsidRDefault="000E0A4D" w:rsidP="007D425D">
            <w:pPr>
              <w:spacing w:after="0"/>
              <w:jc w:val="left"/>
              <w:rPr>
                <w:rFonts w:ascii="Calibri" w:eastAsia="Calibri" w:hAnsi="Calibri" w:cs="Arial"/>
                <w:sz w:val="16"/>
                <w:szCs w:val="16"/>
                <w:lang w:val="en-US"/>
              </w:rPr>
            </w:pPr>
            <w:r w:rsidRPr="007D425D">
              <w:rPr>
                <w:rFonts w:ascii="Calibri" w:eastAsia="Calibri" w:hAnsi="Calibri" w:cs="Arial"/>
                <w:sz w:val="16"/>
                <w:szCs w:val="16"/>
                <w:lang w:val="en-US"/>
              </w:rPr>
              <w:t>1.2 Evidence of unanticipated sustainability threats emerging during implementation? What corrective </w:t>
            </w:r>
          </w:p>
          <w:p w14:paraId="51D6A7F2" w14:textId="77777777" w:rsidR="000E0A4D" w:rsidRPr="007D425D" w:rsidRDefault="000E0A4D" w:rsidP="007D425D">
            <w:pPr>
              <w:spacing w:after="0"/>
              <w:jc w:val="left"/>
              <w:rPr>
                <w:rFonts w:ascii="Calibri" w:eastAsia="Calibri" w:hAnsi="Calibri" w:cs="Arial"/>
                <w:sz w:val="16"/>
                <w:szCs w:val="16"/>
                <w:lang w:val="en-US"/>
              </w:rPr>
            </w:pPr>
            <w:r w:rsidRPr="007D425D">
              <w:rPr>
                <w:rFonts w:ascii="Calibri" w:eastAsia="Calibri" w:hAnsi="Calibri" w:cs="Arial"/>
                <w:sz w:val="16"/>
                <w:szCs w:val="16"/>
                <w:lang w:val="en-US"/>
              </w:rPr>
              <w:t>measures were adopted?</w:t>
            </w:r>
          </w:p>
          <w:p w14:paraId="32F5CB9A" w14:textId="77777777" w:rsidR="000E0A4D" w:rsidRPr="007D425D" w:rsidRDefault="000E0A4D" w:rsidP="007D425D">
            <w:pPr>
              <w:spacing w:after="0"/>
              <w:rPr>
                <w:rFonts w:ascii="Calibri" w:eastAsia="Calibri" w:hAnsi="Calibri" w:cs="Arial"/>
                <w:sz w:val="16"/>
                <w:szCs w:val="16"/>
                <w:lang w:val="en-US"/>
              </w:rPr>
            </w:pPr>
          </w:p>
          <w:p w14:paraId="1A90A0E0" w14:textId="77777777" w:rsidR="000E0A4D" w:rsidRPr="007D425D" w:rsidRDefault="000E0A4D" w:rsidP="007D425D">
            <w:pPr>
              <w:spacing w:after="0"/>
              <w:rPr>
                <w:rFonts w:ascii="Calibri" w:eastAsia="Calibri" w:hAnsi="Calibri" w:cs="Arial"/>
                <w:sz w:val="16"/>
                <w:szCs w:val="16"/>
                <w:lang w:val="en-US"/>
              </w:rPr>
            </w:pPr>
            <w:r w:rsidRPr="007D425D">
              <w:rPr>
                <w:rFonts w:ascii="Calibri" w:eastAsia="Calibri" w:hAnsi="Calibri" w:cs="Arial"/>
                <w:sz w:val="16"/>
                <w:szCs w:val="16"/>
                <w:lang w:val="en-US"/>
              </w:rPr>
              <w:t>2.1 Were initiatives designed to have sustainable results given the identifiable risks?</w:t>
            </w:r>
          </w:p>
          <w:p w14:paraId="39786141" w14:textId="77777777" w:rsidR="000E0A4D" w:rsidRPr="007D425D" w:rsidRDefault="000E0A4D" w:rsidP="007D425D">
            <w:pPr>
              <w:spacing w:after="0"/>
              <w:rPr>
                <w:rFonts w:ascii="Calibri" w:eastAsia="Calibri" w:hAnsi="Calibri" w:cs="Arial"/>
                <w:sz w:val="16"/>
                <w:szCs w:val="16"/>
                <w:lang w:val="en-US"/>
              </w:rPr>
            </w:pPr>
          </w:p>
          <w:p w14:paraId="5A37D713" w14:textId="77777777" w:rsidR="000E0A4D" w:rsidRPr="007D425D" w:rsidRDefault="000E0A4D" w:rsidP="007D425D">
            <w:pPr>
              <w:spacing w:after="0"/>
              <w:rPr>
                <w:rFonts w:ascii="Calibri" w:eastAsia="Calibri" w:hAnsi="Calibri" w:cs="Arial"/>
                <w:sz w:val="16"/>
                <w:szCs w:val="16"/>
                <w:lang w:val="en-US"/>
              </w:rPr>
            </w:pPr>
            <w:r w:rsidRPr="007D425D">
              <w:rPr>
                <w:rFonts w:ascii="Calibri" w:eastAsia="Calibri" w:hAnsi="Calibri" w:cs="Arial"/>
                <w:sz w:val="16"/>
                <w:szCs w:val="16"/>
                <w:lang w:val="en-US"/>
              </w:rPr>
              <w:t>2.2 Did they include exit strategies?</w:t>
            </w:r>
          </w:p>
          <w:p w14:paraId="2B42D34A" w14:textId="77777777" w:rsidR="000E0A4D" w:rsidRPr="007D425D" w:rsidRDefault="000E0A4D" w:rsidP="007D425D">
            <w:pPr>
              <w:spacing w:after="0"/>
              <w:rPr>
                <w:rFonts w:ascii="Calibri" w:eastAsia="Calibri" w:hAnsi="Calibri" w:cs="Arial"/>
                <w:sz w:val="16"/>
                <w:szCs w:val="16"/>
                <w:lang w:val="en-US"/>
              </w:rPr>
            </w:pPr>
          </w:p>
          <w:p w14:paraId="3DB07A20" w14:textId="77777777" w:rsidR="000E0A4D" w:rsidRPr="007D425D" w:rsidRDefault="000E0A4D" w:rsidP="007D425D">
            <w:pPr>
              <w:spacing w:after="0"/>
              <w:rPr>
                <w:rFonts w:ascii="Calibri" w:eastAsia="Calibri" w:hAnsi="Calibri" w:cs="Arial"/>
                <w:sz w:val="16"/>
                <w:szCs w:val="16"/>
                <w:lang w:val="en-US"/>
              </w:rPr>
            </w:pPr>
            <w:r w:rsidRPr="007D425D">
              <w:rPr>
                <w:rFonts w:ascii="Calibri" w:eastAsia="Calibri" w:hAnsi="Calibri" w:cs="Arial"/>
                <w:sz w:val="16"/>
                <w:szCs w:val="16"/>
                <w:lang w:val="en-US"/>
              </w:rPr>
              <w:t>3.1 How can strategic DG support be more coherent and improve synergies between NPA, decentralization, service delivery, accountability</w:t>
            </w:r>
          </w:p>
          <w:p w14:paraId="3649F8F7" w14:textId="77777777" w:rsidR="000E0A4D" w:rsidRPr="007D425D" w:rsidRDefault="000E0A4D" w:rsidP="007D425D">
            <w:pPr>
              <w:spacing w:after="0"/>
              <w:jc w:val="left"/>
              <w:rPr>
                <w:rFonts w:ascii="Calibri" w:eastAsia="Calibri" w:hAnsi="Calibri" w:cs="Arial"/>
                <w:sz w:val="16"/>
                <w:szCs w:val="16"/>
                <w:lang w:val="en-US"/>
              </w:rPr>
            </w:pPr>
          </w:p>
          <w:p w14:paraId="4EE0DF51" w14:textId="77777777" w:rsidR="000E0A4D" w:rsidRPr="007D425D" w:rsidRDefault="000E0A4D" w:rsidP="007D425D">
            <w:pPr>
              <w:spacing w:after="0"/>
              <w:jc w:val="left"/>
              <w:rPr>
                <w:rFonts w:ascii="Calibri" w:eastAsia="Calibri" w:hAnsi="Calibri" w:cs="Arial"/>
                <w:sz w:val="16"/>
                <w:szCs w:val="16"/>
                <w:lang w:val="en-US"/>
              </w:rPr>
            </w:pPr>
            <w:r w:rsidRPr="007D425D">
              <w:rPr>
                <w:rFonts w:ascii="Calibri" w:eastAsia="Calibri" w:hAnsi="Calibri" w:cs="Arial"/>
                <w:sz w:val="16"/>
                <w:szCs w:val="16"/>
                <w:lang w:val="en-US"/>
              </w:rPr>
              <w:t>5.1 Which additional resources can be tapped into? (SSC, TrC, CSR, vertical trust funds etc)</w:t>
            </w:r>
          </w:p>
          <w:p w14:paraId="23E3FA1F" w14:textId="77777777" w:rsidR="000E0A4D" w:rsidRPr="007D425D" w:rsidRDefault="000E0A4D" w:rsidP="007D425D">
            <w:pPr>
              <w:spacing w:after="0"/>
              <w:jc w:val="left"/>
              <w:rPr>
                <w:rFonts w:ascii="Calibri" w:eastAsia="Calibri" w:hAnsi="Calibri" w:cs="Arial"/>
                <w:sz w:val="16"/>
                <w:szCs w:val="16"/>
                <w:lang w:val="en-US"/>
              </w:rPr>
            </w:pPr>
          </w:p>
          <w:p w14:paraId="7BFF4CFA" w14:textId="77777777" w:rsidR="000E0A4D" w:rsidRPr="007D425D" w:rsidRDefault="000E0A4D" w:rsidP="007D425D">
            <w:pPr>
              <w:spacing w:after="0"/>
              <w:jc w:val="left"/>
              <w:rPr>
                <w:rFonts w:ascii="Calibri" w:eastAsia="Calibri" w:hAnsi="Calibri" w:cs="Arial"/>
                <w:sz w:val="16"/>
                <w:szCs w:val="16"/>
                <w:lang w:val="en-US"/>
              </w:rPr>
            </w:pPr>
            <w:r w:rsidRPr="007D425D">
              <w:rPr>
                <w:rFonts w:ascii="Calibri" w:eastAsia="Calibri" w:hAnsi="Calibri" w:cs="Arial"/>
                <w:sz w:val="16"/>
                <w:szCs w:val="16"/>
                <w:lang w:val="en-US"/>
              </w:rPr>
              <w:t>6.1How has UNCT approached upscaling of successful pilot initiatives and catalytic projects? </w:t>
            </w:r>
          </w:p>
          <w:p w14:paraId="0C390B3C" w14:textId="77777777" w:rsidR="000E0A4D" w:rsidRPr="007D425D" w:rsidRDefault="000E0A4D" w:rsidP="007D425D">
            <w:pPr>
              <w:spacing w:after="0"/>
              <w:jc w:val="left"/>
              <w:rPr>
                <w:rFonts w:ascii="Calibri" w:eastAsia="Calibri" w:hAnsi="Calibri" w:cs="Arial"/>
                <w:sz w:val="16"/>
                <w:szCs w:val="16"/>
                <w:lang w:val="en-US"/>
              </w:rPr>
            </w:pPr>
          </w:p>
          <w:p w14:paraId="0370AC61" w14:textId="77777777" w:rsidR="000E0A4D" w:rsidRPr="007D425D" w:rsidRDefault="000E0A4D" w:rsidP="007D425D">
            <w:pPr>
              <w:spacing w:after="0"/>
              <w:jc w:val="left"/>
              <w:rPr>
                <w:rFonts w:ascii="Calibri" w:eastAsia="Calibri" w:hAnsi="Calibri" w:cs="Arial"/>
                <w:sz w:val="16"/>
                <w:szCs w:val="16"/>
                <w:lang w:val="en-US"/>
              </w:rPr>
            </w:pPr>
            <w:r w:rsidRPr="007D425D">
              <w:rPr>
                <w:rFonts w:ascii="Calibri" w:eastAsia="Calibri" w:hAnsi="Calibri" w:cs="Arial"/>
                <w:sz w:val="16"/>
                <w:szCs w:val="16"/>
                <w:lang w:val="en-US"/>
              </w:rPr>
              <w:t>6.2 Are they sufficiently documented?</w:t>
            </w:r>
          </w:p>
          <w:p w14:paraId="1491C5D4" w14:textId="77777777" w:rsidR="000E0A4D" w:rsidRPr="007D425D" w:rsidRDefault="000E0A4D" w:rsidP="007D425D">
            <w:pPr>
              <w:spacing w:after="0"/>
              <w:jc w:val="left"/>
              <w:rPr>
                <w:rFonts w:ascii="Calibri" w:eastAsia="Calibri" w:hAnsi="Calibri" w:cs="Arial"/>
                <w:sz w:val="16"/>
                <w:szCs w:val="16"/>
                <w:lang w:val="en-US"/>
              </w:rPr>
            </w:pPr>
          </w:p>
          <w:p w14:paraId="375F1F85" w14:textId="77777777" w:rsidR="000E0A4D" w:rsidRPr="007D425D" w:rsidRDefault="000E0A4D" w:rsidP="007D425D">
            <w:pPr>
              <w:spacing w:after="0"/>
              <w:jc w:val="left"/>
              <w:rPr>
                <w:rFonts w:ascii="Calibri" w:eastAsia="Calibri" w:hAnsi="Calibri" w:cs="Arial"/>
                <w:sz w:val="16"/>
                <w:szCs w:val="16"/>
                <w:lang w:val="en-US"/>
              </w:rPr>
            </w:pPr>
            <w:r w:rsidRPr="007D425D">
              <w:rPr>
                <w:rFonts w:ascii="Calibri" w:eastAsia="Calibri" w:hAnsi="Calibri" w:cs="Arial"/>
                <w:sz w:val="16"/>
                <w:szCs w:val="16"/>
                <w:lang w:val="en-US"/>
              </w:rPr>
              <w:t>6.3 Has the government taken on these initiatives? </w:t>
            </w:r>
          </w:p>
          <w:p w14:paraId="5749126C" w14:textId="77777777" w:rsidR="000E0A4D" w:rsidRPr="007D425D" w:rsidRDefault="000E0A4D" w:rsidP="007D425D">
            <w:pPr>
              <w:spacing w:after="0"/>
              <w:jc w:val="left"/>
              <w:rPr>
                <w:rFonts w:ascii="Calibri" w:eastAsia="Calibri" w:hAnsi="Calibri" w:cs="Arial"/>
                <w:sz w:val="16"/>
                <w:szCs w:val="16"/>
                <w:lang w:val="en-US"/>
              </w:rPr>
            </w:pPr>
          </w:p>
          <w:p w14:paraId="2954A2A9" w14:textId="77777777" w:rsidR="000E0A4D" w:rsidRPr="007D425D" w:rsidRDefault="000E0A4D" w:rsidP="007D425D">
            <w:pPr>
              <w:spacing w:after="0"/>
              <w:jc w:val="left"/>
              <w:rPr>
                <w:rFonts w:ascii="Calibri" w:eastAsia="Calibri" w:hAnsi="Calibri" w:cs="Arial"/>
                <w:sz w:val="16"/>
                <w:szCs w:val="16"/>
                <w:lang w:val="en-US"/>
              </w:rPr>
            </w:pPr>
            <w:r w:rsidRPr="007D425D">
              <w:rPr>
                <w:rFonts w:ascii="Calibri" w:eastAsia="Calibri" w:hAnsi="Calibri" w:cs="Arial"/>
                <w:sz w:val="16"/>
                <w:szCs w:val="16"/>
                <w:lang w:val="en-US"/>
              </w:rPr>
              <w:t>6.4 Have DPs stepped in to scale up initiatives?</w:t>
            </w:r>
          </w:p>
          <w:p w14:paraId="2EF0F6AD" w14:textId="77777777" w:rsidR="000E0A4D" w:rsidRPr="007D425D" w:rsidRDefault="000E0A4D" w:rsidP="007D425D">
            <w:pPr>
              <w:spacing w:after="0"/>
              <w:jc w:val="left"/>
              <w:rPr>
                <w:rFonts w:ascii="Calibri" w:eastAsia="Calibri" w:hAnsi="Calibri" w:cs="Arial"/>
                <w:sz w:val="16"/>
                <w:szCs w:val="16"/>
                <w:lang w:val="en-US"/>
              </w:rPr>
            </w:pPr>
          </w:p>
          <w:p w14:paraId="6D34170C" w14:textId="77777777" w:rsidR="000E0A4D" w:rsidRPr="007D425D" w:rsidRDefault="000E0A4D" w:rsidP="007D425D">
            <w:pPr>
              <w:spacing w:after="0"/>
              <w:jc w:val="left"/>
              <w:rPr>
                <w:rFonts w:ascii="Calibri" w:eastAsia="Calibri" w:hAnsi="Calibri" w:cs="Arial"/>
                <w:sz w:val="16"/>
                <w:szCs w:val="16"/>
                <w:lang w:val="en-US"/>
              </w:rPr>
            </w:pPr>
            <w:r w:rsidRPr="007D425D">
              <w:rPr>
                <w:rFonts w:ascii="Calibri" w:eastAsia="Calibri" w:hAnsi="Calibri" w:cs="Arial"/>
                <w:sz w:val="16"/>
                <w:szCs w:val="16"/>
                <w:lang w:val="en-US"/>
              </w:rPr>
              <w:t>6.5 Did the realignment and restructuring of clusters improve collective programme management?</w:t>
            </w:r>
          </w:p>
          <w:p w14:paraId="02651D27" w14:textId="77777777" w:rsidR="000E0A4D" w:rsidRPr="007D425D" w:rsidRDefault="000E0A4D" w:rsidP="007D425D">
            <w:pPr>
              <w:spacing w:after="0"/>
              <w:jc w:val="left"/>
              <w:rPr>
                <w:rFonts w:ascii="Calibri" w:eastAsia="Calibri" w:hAnsi="Calibri" w:cs="Arial"/>
                <w:sz w:val="16"/>
                <w:szCs w:val="16"/>
                <w:lang w:val="en-US"/>
              </w:rPr>
            </w:pPr>
          </w:p>
          <w:p w14:paraId="7C1C02F5" w14:textId="77777777" w:rsidR="000E0A4D" w:rsidRPr="007D425D" w:rsidRDefault="000E0A4D" w:rsidP="007D425D">
            <w:pPr>
              <w:spacing w:after="0"/>
              <w:jc w:val="left"/>
              <w:rPr>
                <w:rFonts w:ascii="Calibri" w:eastAsia="Calibri" w:hAnsi="Calibri" w:cs="Arial"/>
                <w:sz w:val="16"/>
                <w:szCs w:val="16"/>
                <w:lang w:val="en-US"/>
              </w:rPr>
            </w:pPr>
          </w:p>
        </w:tc>
        <w:tc>
          <w:tcPr>
            <w:tcW w:w="2055" w:type="dxa"/>
          </w:tcPr>
          <w:p w14:paraId="59AA6E23" w14:textId="77777777" w:rsidR="000E0A4D" w:rsidRPr="007D425D" w:rsidRDefault="000E0A4D" w:rsidP="007D425D">
            <w:pPr>
              <w:spacing w:after="0"/>
              <w:rPr>
                <w:rFonts w:ascii="Calibri" w:eastAsia="Calibri" w:hAnsi="Calibri" w:cs="Arial"/>
                <w:sz w:val="16"/>
                <w:szCs w:val="16"/>
                <w:lang w:val="en-US"/>
              </w:rPr>
            </w:pPr>
            <w:r w:rsidRPr="007D425D">
              <w:rPr>
                <w:rFonts w:ascii="Calibri" w:eastAsia="Calibri" w:hAnsi="Calibri" w:cs="Arial"/>
                <w:sz w:val="16"/>
                <w:szCs w:val="16"/>
                <w:lang w:val="en-US"/>
              </w:rPr>
              <w:t>Programme documents</w:t>
            </w:r>
          </w:p>
          <w:p w14:paraId="7A500C4E" w14:textId="77777777" w:rsidR="000E0A4D" w:rsidRPr="007D425D" w:rsidRDefault="000E0A4D" w:rsidP="007D425D">
            <w:pPr>
              <w:spacing w:after="0"/>
              <w:rPr>
                <w:rFonts w:ascii="Calibri" w:eastAsia="Calibri" w:hAnsi="Calibri" w:cs="Arial"/>
                <w:sz w:val="16"/>
                <w:szCs w:val="16"/>
                <w:lang w:val="en-US"/>
              </w:rPr>
            </w:pPr>
          </w:p>
          <w:p w14:paraId="6BF4F323" w14:textId="77777777" w:rsidR="000E0A4D" w:rsidRPr="007D425D" w:rsidRDefault="000E0A4D" w:rsidP="007D425D">
            <w:pPr>
              <w:spacing w:after="0"/>
              <w:rPr>
                <w:rFonts w:ascii="Calibri" w:eastAsia="Calibri" w:hAnsi="Calibri" w:cs="Arial"/>
                <w:sz w:val="16"/>
                <w:szCs w:val="16"/>
                <w:lang w:val="en-US"/>
              </w:rPr>
            </w:pPr>
            <w:r w:rsidRPr="007D425D">
              <w:rPr>
                <w:rFonts w:ascii="Calibri" w:eastAsia="Calibri" w:hAnsi="Calibri" w:cs="Arial"/>
                <w:sz w:val="16"/>
                <w:szCs w:val="16"/>
                <w:lang w:val="en-US"/>
              </w:rPr>
              <w:t>Annual Work Plans</w:t>
            </w:r>
          </w:p>
          <w:p w14:paraId="2F2067A6" w14:textId="77777777" w:rsidR="000E0A4D" w:rsidRPr="007D425D" w:rsidRDefault="000E0A4D" w:rsidP="007D425D">
            <w:pPr>
              <w:spacing w:after="0"/>
              <w:rPr>
                <w:rFonts w:ascii="Calibri" w:eastAsia="Calibri" w:hAnsi="Calibri" w:cs="Arial"/>
                <w:sz w:val="16"/>
                <w:szCs w:val="16"/>
                <w:lang w:val="en-US"/>
              </w:rPr>
            </w:pPr>
          </w:p>
          <w:p w14:paraId="09350E5F" w14:textId="77777777" w:rsidR="000E0A4D" w:rsidRPr="007D425D" w:rsidRDefault="000E0A4D" w:rsidP="007D425D">
            <w:pPr>
              <w:spacing w:after="0"/>
              <w:rPr>
                <w:rFonts w:ascii="Calibri" w:eastAsia="Calibri" w:hAnsi="Calibri" w:cs="Arial"/>
                <w:sz w:val="16"/>
                <w:szCs w:val="16"/>
                <w:lang w:val="en-US"/>
              </w:rPr>
            </w:pPr>
            <w:r w:rsidRPr="007D425D">
              <w:rPr>
                <w:rFonts w:ascii="Calibri" w:eastAsia="Calibri" w:hAnsi="Calibri" w:cs="Arial"/>
                <w:sz w:val="16"/>
                <w:szCs w:val="16"/>
                <w:lang w:val="en-US"/>
              </w:rPr>
              <w:t>Evaluation reports</w:t>
            </w:r>
          </w:p>
          <w:p w14:paraId="5374F56D" w14:textId="77777777" w:rsidR="000E0A4D" w:rsidRPr="007D425D" w:rsidRDefault="000E0A4D" w:rsidP="007D425D">
            <w:pPr>
              <w:spacing w:after="0"/>
              <w:rPr>
                <w:rFonts w:ascii="Calibri" w:eastAsia="Calibri" w:hAnsi="Calibri" w:cs="Arial"/>
                <w:sz w:val="16"/>
                <w:szCs w:val="16"/>
                <w:lang w:val="en-US"/>
              </w:rPr>
            </w:pPr>
          </w:p>
          <w:p w14:paraId="48F8492A" w14:textId="77777777" w:rsidR="000E0A4D" w:rsidRPr="007D425D" w:rsidRDefault="000E0A4D" w:rsidP="007D425D">
            <w:pPr>
              <w:spacing w:after="0"/>
              <w:rPr>
                <w:rFonts w:ascii="Calibri" w:eastAsia="Calibri" w:hAnsi="Calibri" w:cs="Arial"/>
                <w:sz w:val="16"/>
                <w:szCs w:val="16"/>
                <w:lang w:val="en-US"/>
              </w:rPr>
            </w:pPr>
            <w:r w:rsidRPr="007D425D">
              <w:rPr>
                <w:rFonts w:ascii="Calibri" w:eastAsia="Calibri" w:hAnsi="Calibri" w:cs="Arial"/>
                <w:sz w:val="16"/>
                <w:szCs w:val="16"/>
                <w:lang w:val="en-US"/>
              </w:rPr>
              <w:t>Progress reports</w:t>
            </w:r>
          </w:p>
          <w:p w14:paraId="781B9FAE" w14:textId="77777777" w:rsidR="000E0A4D" w:rsidRPr="007D425D" w:rsidRDefault="000E0A4D" w:rsidP="007D425D">
            <w:pPr>
              <w:spacing w:after="0"/>
              <w:rPr>
                <w:rFonts w:ascii="Calibri" w:eastAsia="Calibri" w:hAnsi="Calibri" w:cs="Arial"/>
                <w:sz w:val="16"/>
                <w:szCs w:val="16"/>
                <w:lang w:val="en-US"/>
              </w:rPr>
            </w:pPr>
          </w:p>
          <w:p w14:paraId="56C9C4BB" w14:textId="77777777" w:rsidR="000E0A4D" w:rsidRPr="007D425D" w:rsidRDefault="000E0A4D" w:rsidP="007D425D">
            <w:pPr>
              <w:spacing w:after="0"/>
              <w:rPr>
                <w:rFonts w:ascii="Calibri" w:eastAsia="Calibri" w:hAnsi="Calibri" w:cs="Arial"/>
                <w:sz w:val="16"/>
                <w:szCs w:val="16"/>
                <w:lang w:val="en-US"/>
              </w:rPr>
            </w:pPr>
            <w:r w:rsidRPr="007D425D">
              <w:rPr>
                <w:rFonts w:ascii="Calibri" w:eastAsia="Calibri" w:hAnsi="Calibri" w:cs="Arial"/>
                <w:sz w:val="16"/>
                <w:szCs w:val="16"/>
                <w:lang w:val="en-US"/>
              </w:rPr>
              <w:t>Stakeholder interviews</w:t>
            </w:r>
          </w:p>
        </w:tc>
        <w:tc>
          <w:tcPr>
            <w:tcW w:w="2056" w:type="dxa"/>
          </w:tcPr>
          <w:p w14:paraId="158D10C7" w14:textId="77777777" w:rsidR="000E0A4D" w:rsidRPr="007D425D" w:rsidRDefault="000E0A4D" w:rsidP="007D425D">
            <w:pPr>
              <w:spacing w:after="0"/>
              <w:rPr>
                <w:rFonts w:ascii="Calibri" w:eastAsia="Calibri" w:hAnsi="Calibri" w:cs="Arial"/>
                <w:sz w:val="16"/>
                <w:szCs w:val="16"/>
                <w:lang w:val="en-US"/>
              </w:rPr>
            </w:pPr>
            <w:r w:rsidRPr="007D425D">
              <w:rPr>
                <w:rFonts w:ascii="Calibri" w:eastAsia="Calibri" w:hAnsi="Calibri" w:cs="Arial"/>
                <w:sz w:val="16"/>
                <w:szCs w:val="16"/>
                <w:lang w:val="en-US"/>
              </w:rPr>
              <w:t>Desk reviews of</w:t>
            </w:r>
          </w:p>
          <w:p w14:paraId="5FC969C6" w14:textId="77777777" w:rsidR="000E0A4D" w:rsidRPr="007D425D" w:rsidRDefault="000E0A4D" w:rsidP="007D425D">
            <w:pPr>
              <w:spacing w:after="0"/>
              <w:rPr>
                <w:rFonts w:ascii="Calibri" w:eastAsia="Calibri" w:hAnsi="Calibri" w:cs="Arial"/>
                <w:sz w:val="16"/>
                <w:szCs w:val="16"/>
                <w:lang w:val="en-US"/>
              </w:rPr>
            </w:pPr>
            <w:r w:rsidRPr="007D425D">
              <w:rPr>
                <w:rFonts w:ascii="Calibri" w:eastAsia="Calibri" w:hAnsi="Calibri" w:cs="Arial"/>
                <w:sz w:val="16"/>
                <w:szCs w:val="16"/>
                <w:lang w:val="en-US"/>
              </w:rPr>
              <w:t xml:space="preserve">secondary data </w:t>
            </w:r>
          </w:p>
          <w:p w14:paraId="4CEBB5B5" w14:textId="77777777" w:rsidR="000E0A4D" w:rsidRPr="007D425D" w:rsidRDefault="000E0A4D" w:rsidP="007D425D">
            <w:pPr>
              <w:spacing w:after="0"/>
              <w:rPr>
                <w:rFonts w:ascii="Calibri" w:eastAsia="Calibri" w:hAnsi="Calibri" w:cs="Arial"/>
                <w:sz w:val="16"/>
                <w:szCs w:val="16"/>
                <w:lang w:val="en-US"/>
              </w:rPr>
            </w:pPr>
          </w:p>
          <w:p w14:paraId="09A6C65C" w14:textId="77777777" w:rsidR="000E0A4D" w:rsidRPr="007D425D" w:rsidRDefault="000E0A4D" w:rsidP="007D425D">
            <w:pPr>
              <w:spacing w:after="0"/>
              <w:rPr>
                <w:rFonts w:ascii="Calibri" w:eastAsia="Calibri" w:hAnsi="Calibri" w:cs="Arial"/>
                <w:sz w:val="16"/>
                <w:szCs w:val="16"/>
                <w:lang w:val="en-US"/>
              </w:rPr>
            </w:pPr>
            <w:r w:rsidRPr="007D425D">
              <w:rPr>
                <w:rFonts w:ascii="Calibri" w:eastAsia="Calibri" w:hAnsi="Calibri" w:cs="Arial"/>
                <w:sz w:val="16"/>
                <w:szCs w:val="16"/>
                <w:lang w:val="en-US"/>
              </w:rPr>
              <w:t>Interviews with UN</w:t>
            </w:r>
          </w:p>
          <w:p w14:paraId="5E147696" w14:textId="77777777" w:rsidR="000E0A4D" w:rsidRPr="007D425D" w:rsidRDefault="000E0A4D" w:rsidP="007D425D">
            <w:pPr>
              <w:spacing w:after="0"/>
              <w:rPr>
                <w:rFonts w:ascii="Calibri" w:eastAsia="Calibri" w:hAnsi="Calibri" w:cs="Arial"/>
                <w:sz w:val="16"/>
                <w:szCs w:val="16"/>
                <w:lang w:val="en-US"/>
              </w:rPr>
            </w:pPr>
            <w:r w:rsidRPr="007D425D">
              <w:rPr>
                <w:rFonts w:ascii="Calibri" w:eastAsia="Calibri" w:hAnsi="Calibri" w:cs="Arial"/>
                <w:sz w:val="16"/>
                <w:szCs w:val="16"/>
                <w:lang w:val="en-US"/>
              </w:rPr>
              <w:t>programme staff, IPs, other stakeholders, DPs</w:t>
            </w:r>
          </w:p>
        </w:tc>
      </w:tr>
    </w:tbl>
    <w:p w14:paraId="394AD067" w14:textId="77777777" w:rsidR="000E0A4D" w:rsidRPr="00CD56B9" w:rsidRDefault="000E0A4D" w:rsidP="000E0A4D">
      <w:pPr>
        <w:spacing w:after="200" w:line="276" w:lineRule="auto"/>
        <w:jc w:val="left"/>
        <w:rPr>
          <w:rFonts w:ascii="Calibri" w:eastAsia="Calibri" w:hAnsi="Calibri"/>
          <w:lang w:val="en-US"/>
        </w:rPr>
      </w:pPr>
    </w:p>
    <w:p w14:paraId="0629E1BA" w14:textId="77777777" w:rsidR="000E0A4D" w:rsidRPr="00CD56B9" w:rsidRDefault="000E0A4D" w:rsidP="000E0A4D">
      <w:pPr>
        <w:rPr>
          <w:lang w:val="en-US"/>
        </w:rPr>
      </w:pPr>
    </w:p>
    <w:p w14:paraId="0FC55C0A" w14:textId="77777777" w:rsidR="000E0A4D" w:rsidRDefault="000E0A4D" w:rsidP="000E0A4D">
      <w:pPr>
        <w:spacing w:after="200" w:line="276" w:lineRule="auto"/>
        <w:jc w:val="left"/>
        <w:rPr>
          <w:rFonts w:ascii="Calibri" w:eastAsia="Calibri" w:hAnsi="Calibri"/>
          <w:lang w:val="en-US"/>
        </w:rPr>
      </w:pPr>
    </w:p>
    <w:p w14:paraId="21689957" w14:textId="77777777" w:rsidR="000E0A4D" w:rsidRDefault="000E0A4D" w:rsidP="000E0A4D">
      <w:pPr>
        <w:spacing w:after="200" w:line="276" w:lineRule="auto"/>
        <w:jc w:val="left"/>
        <w:rPr>
          <w:rFonts w:ascii="Calibri" w:eastAsia="Calibri" w:hAnsi="Calibri"/>
          <w:lang w:val="en-US"/>
        </w:rPr>
      </w:pPr>
    </w:p>
    <w:p w14:paraId="44CF70CD" w14:textId="77777777" w:rsidR="000E0A4D" w:rsidRDefault="000E0A4D" w:rsidP="000E0A4D">
      <w:pPr>
        <w:spacing w:after="200" w:line="276" w:lineRule="auto"/>
        <w:jc w:val="left"/>
        <w:rPr>
          <w:rFonts w:ascii="Calibri" w:eastAsia="Calibri" w:hAnsi="Calibri"/>
          <w:lang w:val="en-US"/>
        </w:rPr>
      </w:pPr>
    </w:p>
    <w:tbl>
      <w:tblPr>
        <w:tblpPr w:leftFromText="141" w:rightFromText="141" w:vertAnchor="page" w:horzAnchor="margin" w:tblpXSpec="center" w:tblpY="2282"/>
        <w:tblW w:w="458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7"/>
        <w:gridCol w:w="4071"/>
        <w:gridCol w:w="4071"/>
        <w:gridCol w:w="2178"/>
        <w:gridCol w:w="2178"/>
      </w:tblGrid>
      <w:tr w:rsidR="009D7BFA" w:rsidRPr="007D425D" w14:paraId="56E7DB9F" w14:textId="77777777" w:rsidTr="007D425D">
        <w:trPr>
          <w:trHeight w:val="557"/>
          <w:tblHeader/>
        </w:trPr>
        <w:tc>
          <w:tcPr>
            <w:tcW w:w="352" w:type="pct"/>
            <w:shd w:val="clear" w:color="auto" w:fill="E7E6E6"/>
          </w:tcPr>
          <w:p w14:paraId="65274C46" w14:textId="77777777" w:rsidR="000E0A4D" w:rsidRPr="007D425D" w:rsidRDefault="000E0A4D" w:rsidP="007D425D">
            <w:pPr>
              <w:autoSpaceDE w:val="0"/>
              <w:autoSpaceDN w:val="0"/>
              <w:adjustRightInd w:val="0"/>
              <w:spacing w:after="0"/>
              <w:jc w:val="center"/>
              <w:rPr>
                <w:rFonts w:ascii="Calibri" w:eastAsia="Calibri" w:hAnsi="Calibri" w:cs="Arial"/>
                <w:b/>
                <w:sz w:val="16"/>
                <w:szCs w:val="16"/>
                <w:lang w:val="en-US"/>
              </w:rPr>
            </w:pPr>
            <w:r w:rsidRPr="007D425D">
              <w:rPr>
                <w:rFonts w:ascii="Calibri" w:eastAsia="Calibri" w:hAnsi="Calibri" w:cs="Arial"/>
                <w:b/>
                <w:bCs/>
                <w:sz w:val="16"/>
                <w:szCs w:val="16"/>
              </w:rPr>
              <w:t>Criterion</w:t>
            </w:r>
          </w:p>
        </w:tc>
        <w:tc>
          <w:tcPr>
            <w:tcW w:w="1514" w:type="pct"/>
            <w:shd w:val="clear" w:color="auto" w:fill="E7E6E6"/>
          </w:tcPr>
          <w:p w14:paraId="2FA61789" w14:textId="77777777" w:rsidR="000E0A4D" w:rsidRPr="007D425D" w:rsidRDefault="000E0A4D" w:rsidP="007D425D">
            <w:pPr>
              <w:spacing w:after="0"/>
              <w:rPr>
                <w:rFonts w:ascii="Calibri" w:eastAsia="Calibri" w:hAnsi="Calibri"/>
                <w:b/>
                <w:noProof/>
                <w:sz w:val="16"/>
                <w:szCs w:val="16"/>
                <w:lang w:val="en-US" w:eastAsia="zh-CN"/>
              </w:rPr>
            </w:pPr>
            <w:r w:rsidRPr="007D425D">
              <w:rPr>
                <w:rFonts w:ascii="Calibri" w:eastAsia="Calibri" w:hAnsi="Calibri"/>
                <w:b/>
                <w:noProof/>
                <w:sz w:val="16"/>
                <w:szCs w:val="16"/>
                <w:lang w:val="en-US" w:eastAsia="zh-CN"/>
              </w:rPr>
              <w:t>Evaluation questions</w:t>
            </w:r>
          </w:p>
        </w:tc>
        <w:tc>
          <w:tcPr>
            <w:tcW w:w="1514" w:type="pct"/>
            <w:shd w:val="clear" w:color="auto" w:fill="E7E6E6"/>
          </w:tcPr>
          <w:p w14:paraId="11E1B126" w14:textId="77777777" w:rsidR="000E0A4D" w:rsidRPr="007D425D" w:rsidRDefault="000E0A4D" w:rsidP="007D425D">
            <w:pPr>
              <w:spacing w:after="0"/>
              <w:jc w:val="left"/>
              <w:rPr>
                <w:rFonts w:ascii="Calibri" w:eastAsia="Calibri" w:hAnsi="Calibri" w:cs="Arial"/>
                <w:b/>
                <w:sz w:val="16"/>
                <w:szCs w:val="16"/>
                <w:lang w:val="en-US"/>
              </w:rPr>
            </w:pPr>
            <w:r w:rsidRPr="007D425D">
              <w:rPr>
                <w:rFonts w:ascii="Calibri" w:eastAsia="Calibri" w:hAnsi="Calibri" w:cs="Arial"/>
                <w:b/>
                <w:sz w:val="16"/>
                <w:szCs w:val="16"/>
                <w:lang w:val="en-US"/>
              </w:rPr>
              <w:t xml:space="preserve">Sub questions </w:t>
            </w:r>
          </w:p>
        </w:tc>
        <w:tc>
          <w:tcPr>
            <w:tcW w:w="810" w:type="pct"/>
            <w:shd w:val="clear" w:color="auto" w:fill="E7E6E6"/>
          </w:tcPr>
          <w:p w14:paraId="1A55B222" w14:textId="77777777" w:rsidR="000E0A4D" w:rsidRPr="007D425D" w:rsidRDefault="000E0A4D" w:rsidP="007D425D">
            <w:pPr>
              <w:spacing w:after="0"/>
              <w:jc w:val="left"/>
              <w:rPr>
                <w:rFonts w:ascii="Calibri" w:eastAsia="Calibri" w:hAnsi="Calibri" w:cs="Arial"/>
                <w:b/>
                <w:sz w:val="16"/>
                <w:szCs w:val="16"/>
                <w:lang w:val="en-US"/>
              </w:rPr>
            </w:pPr>
            <w:r w:rsidRPr="007D425D">
              <w:rPr>
                <w:rFonts w:ascii="Calibri" w:eastAsia="Calibri" w:hAnsi="Calibri" w:cs="Arial"/>
                <w:b/>
                <w:sz w:val="16"/>
                <w:szCs w:val="16"/>
                <w:lang w:val="en-US"/>
              </w:rPr>
              <w:t>Data sources</w:t>
            </w:r>
          </w:p>
        </w:tc>
        <w:tc>
          <w:tcPr>
            <w:tcW w:w="810" w:type="pct"/>
            <w:shd w:val="clear" w:color="auto" w:fill="E7E6E6"/>
          </w:tcPr>
          <w:p w14:paraId="649F8616" w14:textId="77777777" w:rsidR="000E0A4D" w:rsidRPr="007D425D" w:rsidRDefault="000E0A4D" w:rsidP="007D425D">
            <w:pPr>
              <w:spacing w:after="0"/>
              <w:jc w:val="left"/>
              <w:rPr>
                <w:rFonts w:ascii="Calibri" w:eastAsia="Calibri" w:hAnsi="Calibri" w:cs="Arial"/>
                <w:b/>
                <w:sz w:val="16"/>
                <w:szCs w:val="16"/>
                <w:lang w:val="en-US"/>
              </w:rPr>
            </w:pPr>
            <w:r w:rsidRPr="007D425D">
              <w:rPr>
                <w:rFonts w:ascii="Calibri" w:eastAsia="Calibri" w:hAnsi="Calibri" w:cs="Arial"/>
                <w:b/>
                <w:sz w:val="16"/>
                <w:szCs w:val="16"/>
                <w:lang w:val="en-US"/>
              </w:rPr>
              <w:t>Data collection methods</w:t>
            </w:r>
          </w:p>
        </w:tc>
      </w:tr>
      <w:tr w:rsidR="009D7BFA" w:rsidRPr="00F72B0D" w14:paraId="3CE9500C" w14:textId="77777777" w:rsidTr="007D425D">
        <w:trPr>
          <w:tblHeader/>
        </w:trPr>
        <w:tc>
          <w:tcPr>
            <w:tcW w:w="352" w:type="pct"/>
          </w:tcPr>
          <w:p w14:paraId="17E1569B" w14:textId="77777777" w:rsidR="000E0A4D" w:rsidRPr="007D425D" w:rsidRDefault="000E0A4D" w:rsidP="007D425D">
            <w:pPr>
              <w:spacing w:after="0"/>
              <w:jc w:val="left"/>
              <w:rPr>
                <w:rFonts w:ascii="Calibri" w:eastAsia="Calibri" w:hAnsi="Calibri" w:cs="Arial"/>
                <w:b/>
                <w:sz w:val="16"/>
                <w:szCs w:val="16"/>
                <w:lang w:val="en-US"/>
              </w:rPr>
            </w:pPr>
            <w:r w:rsidRPr="007D425D">
              <w:rPr>
                <w:rFonts w:ascii="Calibri" w:eastAsia="Calibri" w:hAnsi="Calibri" w:cs="Arial"/>
                <w:b/>
                <w:sz w:val="16"/>
                <w:szCs w:val="16"/>
                <w:lang w:val="en-US"/>
              </w:rPr>
              <w:t xml:space="preserve">Impact </w:t>
            </w:r>
          </w:p>
        </w:tc>
        <w:tc>
          <w:tcPr>
            <w:tcW w:w="1514" w:type="pct"/>
          </w:tcPr>
          <w:p w14:paraId="3AC424BE" w14:textId="77777777" w:rsidR="000E0A4D" w:rsidRPr="007D425D" w:rsidRDefault="000E0A4D" w:rsidP="007D425D">
            <w:pPr>
              <w:spacing w:after="0"/>
              <w:rPr>
                <w:rFonts w:ascii="Calibri" w:eastAsia="Calibri" w:hAnsi="Calibri"/>
                <w:sz w:val="16"/>
                <w:szCs w:val="16"/>
                <w:lang w:val="en-US"/>
              </w:rPr>
            </w:pPr>
            <w:r w:rsidRPr="007D425D">
              <w:rPr>
                <w:rFonts w:ascii="Calibri" w:eastAsia="Calibri" w:hAnsi="Calibri"/>
                <w:sz w:val="16"/>
                <w:szCs w:val="16"/>
                <w:lang w:val="en-US"/>
              </w:rPr>
              <w:t xml:space="preserve">1.What lasting impact has did the support had on democratic governance in Malawi </w:t>
            </w:r>
          </w:p>
        </w:tc>
        <w:tc>
          <w:tcPr>
            <w:tcW w:w="1514" w:type="pct"/>
          </w:tcPr>
          <w:p w14:paraId="11C25BDA" w14:textId="77777777" w:rsidR="000E0A4D" w:rsidRPr="007D425D" w:rsidRDefault="000E0A4D" w:rsidP="007D425D">
            <w:pPr>
              <w:spacing w:after="0"/>
              <w:jc w:val="left"/>
              <w:rPr>
                <w:rFonts w:ascii="Calibri" w:eastAsia="Calibri" w:hAnsi="Calibri" w:cs="Arial"/>
                <w:sz w:val="16"/>
                <w:szCs w:val="16"/>
                <w:lang w:val="en-US"/>
              </w:rPr>
            </w:pPr>
            <w:r w:rsidRPr="007D425D">
              <w:rPr>
                <w:rFonts w:ascii="Calibri" w:eastAsia="Calibri" w:hAnsi="Calibri" w:cs="Arial"/>
                <w:sz w:val="16"/>
                <w:szCs w:val="16"/>
                <w:lang w:val="en-US"/>
              </w:rPr>
              <w:t xml:space="preserve">1.1 What changes have occurred, attributable to UN support? </w:t>
            </w:r>
          </w:p>
          <w:p w14:paraId="684A70F7" w14:textId="77777777" w:rsidR="000E0A4D" w:rsidRPr="007D425D" w:rsidRDefault="000E0A4D" w:rsidP="007D425D">
            <w:pPr>
              <w:spacing w:after="0"/>
              <w:jc w:val="left"/>
              <w:rPr>
                <w:rFonts w:ascii="Calibri" w:eastAsia="Calibri" w:hAnsi="Calibri" w:cs="Arial"/>
                <w:sz w:val="16"/>
                <w:szCs w:val="16"/>
                <w:lang w:val="en-US"/>
              </w:rPr>
            </w:pPr>
          </w:p>
          <w:p w14:paraId="0ADCAB78" w14:textId="77777777" w:rsidR="000E0A4D" w:rsidRPr="007D425D" w:rsidRDefault="000E0A4D" w:rsidP="007D425D">
            <w:pPr>
              <w:spacing w:after="0"/>
              <w:jc w:val="left"/>
              <w:rPr>
                <w:rFonts w:ascii="Calibri" w:eastAsia="Calibri" w:hAnsi="Calibri" w:cs="Arial"/>
                <w:sz w:val="16"/>
                <w:szCs w:val="16"/>
                <w:lang w:val="en-US"/>
              </w:rPr>
            </w:pPr>
            <w:r w:rsidRPr="007D425D">
              <w:rPr>
                <w:rFonts w:ascii="Calibri" w:eastAsia="Calibri" w:hAnsi="Calibri" w:cs="Arial"/>
                <w:sz w:val="16"/>
                <w:szCs w:val="16"/>
                <w:lang w:val="en-US"/>
              </w:rPr>
              <w:t>1.2 What changes that were planned or expected did not occur, and why?</w:t>
            </w:r>
          </w:p>
          <w:p w14:paraId="4EAAD81C" w14:textId="77777777" w:rsidR="000E0A4D" w:rsidRPr="007D425D" w:rsidRDefault="000E0A4D" w:rsidP="007D425D">
            <w:pPr>
              <w:spacing w:after="0"/>
              <w:jc w:val="left"/>
              <w:rPr>
                <w:rFonts w:ascii="Calibri" w:eastAsia="Calibri" w:hAnsi="Calibri" w:cs="Arial"/>
                <w:sz w:val="16"/>
                <w:szCs w:val="16"/>
                <w:lang w:val="en-US"/>
              </w:rPr>
            </w:pPr>
          </w:p>
          <w:p w14:paraId="0B3188E3" w14:textId="77777777" w:rsidR="000E0A4D" w:rsidRPr="007D425D" w:rsidRDefault="000E0A4D" w:rsidP="007D425D">
            <w:pPr>
              <w:spacing w:after="0"/>
              <w:jc w:val="left"/>
              <w:rPr>
                <w:rFonts w:ascii="Calibri" w:eastAsia="Calibri" w:hAnsi="Calibri" w:cs="Arial"/>
                <w:sz w:val="16"/>
                <w:szCs w:val="16"/>
                <w:lang w:val="en-US"/>
              </w:rPr>
            </w:pPr>
            <w:r w:rsidRPr="007D425D">
              <w:rPr>
                <w:rFonts w:ascii="Calibri" w:eastAsia="Calibri" w:hAnsi="Calibri" w:cs="Arial"/>
                <w:sz w:val="16"/>
                <w:szCs w:val="16"/>
                <w:lang w:val="en-US"/>
              </w:rPr>
              <w:t>1.3 Any realignment of support or changes in approach, which could improve the relevance and design of the next UNDAF vis-à-vis democratic governance?</w:t>
            </w:r>
          </w:p>
        </w:tc>
        <w:tc>
          <w:tcPr>
            <w:tcW w:w="810" w:type="pct"/>
          </w:tcPr>
          <w:p w14:paraId="065D105C" w14:textId="77777777" w:rsidR="000E0A4D" w:rsidRPr="007D425D" w:rsidRDefault="000E0A4D" w:rsidP="007D425D">
            <w:pPr>
              <w:spacing w:after="0"/>
              <w:jc w:val="left"/>
              <w:rPr>
                <w:rFonts w:ascii="Calibri" w:eastAsia="Calibri" w:hAnsi="Calibri" w:cs="Arial"/>
                <w:sz w:val="16"/>
                <w:szCs w:val="16"/>
                <w:lang w:val="en-US"/>
              </w:rPr>
            </w:pPr>
            <w:r w:rsidRPr="007D425D">
              <w:rPr>
                <w:rFonts w:ascii="Calibri" w:eastAsia="Calibri" w:hAnsi="Calibri" w:cs="Arial"/>
                <w:sz w:val="16"/>
                <w:szCs w:val="16"/>
                <w:lang w:val="en-US"/>
              </w:rPr>
              <w:t>Programme documents</w:t>
            </w:r>
          </w:p>
          <w:p w14:paraId="3B494D1F" w14:textId="77777777" w:rsidR="000E0A4D" w:rsidRPr="007D425D" w:rsidRDefault="000E0A4D" w:rsidP="007D425D">
            <w:pPr>
              <w:spacing w:after="0"/>
              <w:jc w:val="left"/>
              <w:rPr>
                <w:rFonts w:ascii="Calibri" w:eastAsia="Calibri" w:hAnsi="Calibri" w:cs="Arial"/>
                <w:sz w:val="16"/>
                <w:szCs w:val="16"/>
                <w:lang w:val="en-US"/>
              </w:rPr>
            </w:pPr>
          </w:p>
          <w:p w14:paraId="062084D8" w14:textId="77777777" w:rsidR="000E0A4D" w:rsidRPr="007D425D" w:rsidRDefault="000E0A4D" w:rsidP="007D425D">
            <w:pPr>
              <w:spacing w:after="0"/>
              <w:jc w:val="left"/>
              <w:rPr>
                <w:rFonts w:ascii="Calibri" w:eastAsia="Calibri" w:hAnsi="Calibri" w:cs="Arial"/>
                <w:sz w:val="16"/>
                <w:szCs w:val="16"/>
                <w:lang w:val="en-US"/>
              </w:rPr>
            </w:pPr>
            <w:r w:rsidRPr="007D425D">
              <w:rPr>
                <w:rFonts w:ascii="Calibri" w:eastAsia="Calibri" w:hAnsi="Calibri" w:cs="Arial"/>
                <w:sz w:val="16"/>
                <w:szCs w:val="16"/>
                <w:lang w:val="en-US"/>
              </w:rPr>
              <w:t>Annual Work Plans</w:t>
            </w:r>
          </w:p>
          <w:p w14:paraId="2894F922" w14:textId="77777777" w:rsidR="000E0A4D" w:rsidRPr="007D425D" w:rsidRDefault="000E0A4D" w:rsidP="007D425D">
            <w:pPr>
              <w:spacing w:after="0"/>
              <w:jc w:val="left"/>
              <w:rPr>
                <w:rFonts w:ascii="Calibri" w:eastAsia="Calibri" w:hAnsi="Calibri" w:cs="Arial"/>
                <w:sz w:val="16"/>
                <w:szCs w:val="16"/>
                <w:lang w:val="en-US"/>
              </w:rPr>
            </w:pPr>
          </w:p>
          <w:p w14:paraId="76265CB3" w14:textId="77777777" w:rsidR="000E0A4D" w:rsidRPr="007D425D" w:rsidRDefault="000E0A4D" w:rsidP="007D425D">
            <w:pPr>
              <w:spacing w:after="0"/>
              <w:jc w:val="left"/>
              <w:rPr>
                <w:rFonts w:ascii="Calibri" w:eastAsia="Calibri" w:hAnsi="Calibri" w:cs="Arial"/>
                <w:sz w:val="16"/>
                <w:szCs w:val="16"/>
                <w:lang w:val="en-US"/>
              </w:rPr>
            </w:pPr>
            <w:r w:rsidRPr="007D425D">
              <w:rPr>
                <w:rFonts w:ascii="Calibri" w:eastAsia="Calibri" w:hAnsi="Calibri" w:cs="Arial"/>
                <w:sz w:val="16"/>
                <w:szCs w:val="16"/>
                <w:lang w:val="en-US"/>
              </w:rPr>
              <w:t>Evaluation reports,</w:t>
            </w:r>
          </w:p>
          <w:p w14:paraId="38BF2694" w14:textId="77777777" w:rsidR="000E0A4D" w:rsidRPr="007D425D" w:rsidRDefault="000E0A4D" w:rsidP="007D425D">
            <w:pPr>
              <w:spacing w:after="0"/>
              <w:jc w:val="left"/>
              <w:rPr>
                <w:rFonts w:ascii="Calibri" w:eastAsia="Calibri" w:hAnsi="Calibri" w:cs="Arial"/>
                <w:sz w:val="16"/>
                <w:szCs w:val="16"/>
                <w:lang w:val="en-US"/>
              </w:rPr>
            </w:pPr>
          </w:p>
          <w:p w14:paraId="1837D6CE" w14:textId="77777777" w:rsidR="000E0A4D" w:rsidRPr="007D425D" w:rsidRDefault="000E0A4D" w:rsidP="007D425D">
            <w:pPr>
              <w:spacing w:after="0"/>
              <w:jc w:val="left"/>
              <w:rPr>
                <w:rFonts w:ascii="Calibri" w:eastAsia="Calibri" w:hAnsi="Calibri" w:cs="Arial"/>
                <w:sz w:val="16"/>
                <w:szCs w:val="16"/>
                <w:lang w:val="en-US"/>
              </w:rPr>
            </w:pPr>
            <w:r w:rsidRPr="007D425D">
              <w:rPr>
                <w:rFonts w:ascii="Calibri" w:eastAsia="Calibri" w:hAnsi="Calibri" w:cs="Arial"/>
                <w:sz w:val="16"/>
                <w:szCs w:val="16"/>
                <w:lang w:val="en-US"/>
              </w:rPr>
              <w:t>Evidence-based documentation of innovation pilots and best practices,</w:t>
            </w:r>
          </w:p>
          <w:p w14:paraId="31386AEA" w14:textId="77777777" w:rsidR="000E0A4D" w:rsidRPr="007D425D" w:rsidRDefault="000E0A4D" w:rsidP="007D425D">
            <w:pPr>
              <w:spacing w:after="0"/>
              <w:jc w:val="left"/>
              <w:rPr>
                <w:rFonts w:ascii="Calibri" w:eastAsia="Calibri" w:hAnsi="Calibri" w:cs="Arial"/>
                <w:sz w:val="16"/>
                <w:szCs w:val="16"/>
                <w:lang w:val="en-US"/>
              </w:rPr>
            </w:pPr>
          </w:p>
          <w:p w14:paraId="5C6A50D2" w14:textId="77777777" w:rsidR="000E0A4D" w:rsidRPr="007D425D" w:rsidRDefault="000E0A4D" w:rsidP="007D425D">
            <w:pPr>
              <w:spacing w:after="0"/>
              <w:jc w:val="left"/>
              <w:rPr>
                <w:rFonts w:ascii="Calibri" w:eastAsia="Calibri" w:hAnsi="Calibri" w:cs="Arial"/>
                <w:sz w:val="16"/>
                <w:szCs w:val="16"/>
                <w:lang w:val="en-US"/>
              </w:rPr>
            </w:pPr>
            <w:r w:rsidRPr="007D425D">
              <w:rPr>
                <w:rFonts w:ascii="Calibri" w:eastAsia="Calibri" w:hAnsi="Calibri" w:cs="Arial"/>
                <w:sz w:val="16"/>
                <w:szCs w:val="16"/>
                <w:lang w:val="en-US"/>
              </w:rPr>
              <w:t>Government partners</w:t>
            </w:r>
          </w:p>
          <w:p w14:paraId="75AB82DE" w14:textId="77777777" w:rsidR="000E0A4D" w:rsidRPr="007D425D" w:rsidRDefault="000E0A4D" w:rsidP="007D425D">
            <w:pPr>
              <w:spacing w:after="0"/>
              <w:jc w:val="left"/>
              <w:rPr>
                <w:rFonts w:ascii="Calibri" w:eastAsia="Calibri" w:hAnsi="Calibri" w:cs="Arial"/>
                <w:sz w:val="16"/>
                <w:szCs w:val="16"/>
                <w:lang w:val="en-US"/>
              </w:rPr>
            </w:pPr>
          </w:p>
          <w:p w14:paraId="4FC88525" w14:textId="77777777" w:rsidR="000E0A4D" w:rsidRPr="007D425D" w:rsidRDefault="000E0A4D" w:rsidP="007D425D">
            <w:pPr>
              <w:spacing w:after="0"/>
              <w:jc w:val="left"/>
              <w:rPr>
                <w:rFonts w:ascii="Calibri" w:eastAsia="Calibri" w:hAnsi="Calibri" w:cs="Arial"/>
                <w:sz w:val="16"/>
                <w:szCs w:val="16"/>
                <w:lang w:val="en-US"/>
              </w:rPr>
            </w:pPr>
            <w:r w:rsidRPr="007D425D">
              <w:rPr>
                <w:rFonts w:ascii="Calibri" w:eastAsia="Calibri" w:hAnsi="Calibri" w:cs="Arial"/>
                <w:sz w:val="16"/>
                <w:szCs w:val="16"/>
                <w:lang w:val="en-US"/>
              </w:rPr>
              <w:t>Development partners</w:t>
            </w:r>
          </w:p>
          <w:p w14:paraId="5AA8B814" w14:textId="77777777" w:rsidR="000E0A4D" w:rsidRPr="007D425D" w:rsidRDefault="000E0A4D" w:rsidP="007D425D">
            <w:pPr>
              <w:spacing w:after="0"/>
              <w:jc w:val="left"/>
              <w:rPr>
                <w:rFonts w:ascii="Calibri" w:eastAsia="Calibri" w:hAnsi="Calibri"/>
                <w:sz w:val="16"/>
                <w:szCs w:val="16"/>
                <w:lang w:val="en-US"/>
              </w:rPr>
            </w:pPr>
          </w:p>
          <w:p w14:paraId="15AAB6BA" w14:textId="77777777" w:rsidR="000E0A4D" w:rsidRPr="007D425D" w:rsidRDefault="000E0A4D" w:rsidP="007D425D">
            <w:pPr>
              <w:spacing w:after="0"/>
              <w:jc w:val="left"/>
              <w:rPr>
                <w:rFonts w:ascii="Calibri" w:eastAsia="Calibri" w:hAnsi="Calibri"/>
                <w:sz w:val="16"/>
                <w:szCs w:val="16"/>
                <w:lang w:val="en-US"/>
              </w:rPr>
            </w:pPr>
            <w:r w:rsidRPr="007D425D">
              <w:rPr>
                <w:rFonts w:ascii="Calibri" w:eastAsia="Calibri" w:hAnsi="Calibri"/>
                <w:sz w:val="16"/>
                <w:szCs w:val="16"/>
                <w:lang w:val="en-US"/>
              </w:rPr>
              <w:t>UN  agency staff </w:t>
            </w:r>
          </w:p>
          <w:p w14:paraId="5130C0C8" w14:textId="77777777" w:rsidR="000E0A4D" w:rsidRPr="007D425D" w:rsidRDefault="000E0A4D" w:rsidP="007D425D">
            <w:pPr>
              <w:spacing w:after="0"/>
              <w:jc w:val="left"/>
              <w:rPr>
                <w:rFonts w:ascii="Calibri" w:eastAsia="Calibri" w:hAnsi="Calibri"/>
                <w:sz w:val="16"/>
                <w:szCs w:val="16"/>
                <w:lang w:val="en-US"/>
              </w:rPr>
            </w:pPr>
          </w:p>
          <w:p w14:paraId="56608FDF" w14:textId="77777777" w:rsidR="000E0A4D" w:rsidRPr="007D425D" w:rsidRDefault="000E0A4D" w:rsidP="007D425D">
            <w:pPr>
              <w:spacing w:after="0"/>
              <w:jc w:val="left"/>
              <w:rPr>
                <w:rFonts w:ascii="Calibri" w:eastAsia="Calibri" w:hAnsi="Calibri"/>
                <w:sz w:val="16"/>
                <w:szCs w:val="16"/>
                <w:lang w:val="en-US"/>
              </w:rPr>
            </w:pPr>
            <w:r w:rsidRPr="007D425D">
              <w:rPr>
                <w:rFonts w:ascii="Calibri" w:eastAsia="Calibri" w:hAnsi="Calibri"/>
                <w:sz w:val="16"/>
                <w:szCs w:val="16"/>
                <w:lang w:val="en-US"/>
              </w:rPr>
              <w:t>DPs</w:t>
            </w:r>
          </w:p>
        </w:tc>
        <w:tc>
          <w:tcPr>
            <w:tcW w:w="810" w:type="pct"/>
          </w:tcPr>
          <w:p w14:paraId="517C4856" w14:textId="77777777" w:rsidR="000E0A4D" w:rsidRPr="007D425D" w:rsidRDefault="000E0A4D" w:rsidP="007D425D">
            <w:pPr>
              <w:spacing w:after="0"/>
              <w:rPr>
                <w:rFonts w:ascii="Calibri" w:eastAsia="Calibri" w:hAnsi="Calibri" w:cs="Arial"/>
                <w:sz w:val="16"/>
                <w:szCs w:val="16"/>
                <w:lang w:val="en-US"/>
              </w:rPr>
            </w:pPr>
            <w:r w:rsidRPr="007D425D">
              <w:rPr>
                <w:rFonts w:ascii="Calibri" w:eastAsia="Calibri" w:hAnsi="Calibri" w:cs="Arial"/>
                <w:sz w:val="16"/>
                <w:szCs w:val="16"/>
                <w:lang w:val="en-US"/>
              </w:rPr>
              <w:t>Desk reviews of</w:t>
            </w:r>
          </w:p>
          <w:p w14:paraId="27EFDB6B" w14:textId="77777777" w:rsidR="000E0A4D" w:rsidRPr="007D425D" w:rsidRDefault="000E0A4D" w:rsidP="007D425D">
            <w:pPr>
              <w:spacing w:after="0"/>
              <w:rPr>
                <w:rFonts w:ascii="Calibri" w:eastAsia="Calibri" w:hAnsi="Calibri" w:cs="Arial"/>
                <w:sz w:val="16"/>
                <w:szCs w:val="16"/>
                <w:lang w:val="en-US"/>
              </w:rPr>
            </w:pPr>
            <w:r w:rsidRPr="007D425D">
              <w:rPr>
                <w:rFonts w:ascii="Calibri" w:eastAsia="Calibri" w:hAnsi="Calibri" w:cs="Arial"/>
                <w:sz w:val="16"/>
                <w:szCs w:val="16"/>
                <w:lang w:val="en-US"/>
              </w:rPr>
              <w:t>secondary data</w:t>
            </w:r>
          </w:p>
          <w:p w14:paraId="37C158FC" w14:textId="77777777" w:rsidR="000E0A4D" w:rsidRPr="007D425D" w:rsidRDefault="000E0A4D" w:rsidP="007D425D">
            <w:pPr>
              <w:spacing w:after="0"/>
              <w:rPr>
                <w:rFonts w:ascii="Calibri" w:eastAsia="Calibri" w:hAnsi="Calibri" w:cs="Arial"/>
                <w:sz w:val="16"/>
                <w:szCs w:val="16"/>
                <w:lang w:val="en-US"/>
              </w:rPr>
            </w:pPr>
          </w:p>
          <w:p w14:paraId="0F7F8F78" w14:textId="77777777" w:rsidR="000E0A4D" w:rsidRPr="007D425D" w:rsidRDefault="000E0A4D" w:rsidP="007D425D">
            <w:pPr>
              <w:spacing w:after="0"/>
              <w:rPr>
                <w:rFonts w:ascii="Calibri" w:eastAsia="Calibri" w:hAnsi="Calibri" w:cs="Arial"/>
                <w:sz w:val="16"/>
                <w:szCs w:val="16"/>
                <w:lang w:val="en-US"/>
              </w:rPr>
            </w:pPr>
            <w:r w:rsidRPr="007D425D">
              <w:rPr>
                <w:rFonts w:ascii="Calibri" w:eastAsia="Calibri" w:hAnsi="Calibri" w:cs="Arial"/>
                <w:sz w:val="16"/>
                <w:szCs w:val="16"/>
                <w:lang w:val="en-US"/>
              </w:rPr>
              <w:t>Interviews with</w:t>
            </w:r>
          </w:p>
          <w:p w14:paraId="2BAFB2DB" w14:textId="77777777" w:rsidR="000E0A4D" w:rsidRPr="007D425D" w:rsidRDefault="000E0A4D" w:rsidP="007D425D">
            <w:pPr>
              <w:spacing w:after="0"/>
              <w:rPr>
                <w:rFonts w:ascii="Calibri" w:eastAsia="Calibri" w:hAnsi="Calibri" w:cs="Arial"/>
                <w:sz w:val="16"/>
                <w:szCs w:val="16"/>
                <w:lang w:val="en-US"/>
              </w:rPr>
            </w:pPr>
            <w:r w:rsidRPr="007D425D">
              <w:rPr>
                <w:rFonts w:ascii="Calibri" w:eastAsia="Calibri" w:hAnsi="Calibri" w:cs="Arial"/>
                <w:sz w:val="16"/>
                <w:szCs w:val="16"/>
                <w:lang w:val="en-US"/>
              </w:rPr>
              <w:t>government</w:t>
            </w:r>
          </w:p>
          <w:p w14:paraId="0E6D413F" w14:textId="77777777" w:rsidR="000E0A4D" w:rsidRPr="007D425D" w:rsidRDefault="000E0A4D" w:rsidP="007D425D">
            <w:pPr>
              <w:spacing w:after="0"/>
              <w:rPr>
                <w:rFonts w:ascii="Calibri" w:eastAsia="Calibri" w:hAnsi="Calibri" w:cs="Arial"/>
                <w:sz w:val="16"/>
                <w:szCs w:val="16"/>
                <w:lang w:val="en-US"/>
              </w:rPr>
            </w:pPr>
            <w:r w:rsidRPr="007D425D">
              <w:rPr>
                <w:rFonts w:ascii="Calibri" w:eastAsia="Calibri" w:hAnsi="Calibri" w:cs="Arial"/>
                <w:sz w:val="16"/>
                <w:szCs w:val="16"/>
                <w:lang w:val="en-US"/>
              </w:rPr>
              <w:t>partners and</w:t>
            </w:r>
          </w:p>
          <w:p w14:paraId="106CBE85" w14:textId="77777777" w:rsidR="000E0A4D" w:rsidRPr="007D425D" w:rsidRDefault="000E0A4D" w:rsidP="007D425D">
            <w:pPr>
              <w:spacing w:after="0"/>
              <w:rPr>
                <w:rFonts w:ascii="Calibri" w:eastAsia="Calibri" w:hAnsi="Calibri" w:cs="Arial"/>
                <w:sz w:val="16"/>
                <w:szCs w:val="16"/>
                <w:lang w:val="en-US"/>
              </w:rPr>
            </w:pPr>
            <w:r w:rsidRPr="007D425D">
              <w:rPr>
                <w:rFonts w:ascii="Calibri" w:eastAsia="Calibri" w:hAnsi="Calibri" w:cs="Arial"/>
                <w:sz w:val="16"/>
                <w:szCs w:val="16"/>
                <w:lang w:val="en-US"/>
              </w:rPr>
              <w:t>development</w:t>
            </w:r>
          </w:p>
          <w:p w14:paraId="36D5A35F" w14:textId="77777777" w:rsidR="000E0A4D" w:rsidRPr="007D425D" w:rsidRDefault="000E0A4D" w:rsidP="007D425D">
            <w:pPr>
              <w:spacing w:after="0"/>
              <w:rPr>
                <w:rFonts w:ascii="Calibri" w:eastAsia="Calibri" w:hAnsi="Calibri" w:cs="Arial"/>
                <w:sz w:val="16"/>
                <w:szCs w:val="16"/>
                <w:lang w:val="en-US"/>
              </w:rPr>
            </w:pPr>
            <w:r w:rsidRPr="007D425D">
              <w:rPr>
                <w:rFonts w:ascii="Calibri" w:eastAsia="Calibri" w:hAnsi="Calibri" w:cs="Arial"/>
                <w:sz w:val="16"/>
                <w:szCs w:val="16"/>
                <w:lang w:val="en-US"/>
              </w:rPr>
              <w:t>partners</w:t>
            </w:r>
          </w:p>
        </w:tc>
      </w:tr>
    </w:tbl>
    <w:p w14:paraId="5DB0C2B6" w14:textId="77777777" w:rsidR="000E0A4D" w:rsidRDefault="000E0A4D" w:rsidP="000E0A4D">
      <w:pPr>
        <w:spacing w:after="200" w:line="276" w:lineRule="auto"/>
        <w:jc w:val="left"/>
        <w:rPr>
          <w:rFonts w:ascii="Calibri" w:eastAsia="Calibri" w:hAnsi="Calibri"/>
          <w:lang w:val="en-US"/>
        </w:rPr>
      </w:pPr>
    </w:p>
    <w:p w14:paraId="612A9E9A" w14:textId="77777777" w:rsidR="000E0A4D" w:rsidRDefault="000E0A4D" w:rsidP="000E0A4D">
      <w:pPr>
        <w:spacing w:after="200" w:line="276" w:lineRule="auto"/>
        <w:jc w:val="left"/>
        <w:rPr>
          <w:rFonts w:ascii="Calibri" w:eastAsia="Calibri" w:hAnsi="Calibri"/>
          <w:lang w:val="en-US"/>
        </w:rPr>
      </w:pPr>
    </w:p>
    <w:p w14:paraId="3B1355A8" w14:textId="77777777" w:rsidR="000E0A4D" w:rsidRDefault="000E0A4D" w:rsidP="000E0A4D">
      <w:pPr>
        <w:spacing w:after="200" w:line="276" w:lineRule="auto"/>
        <w:jc w:val="left"/>
        <w:rPr>
          <w:rFonts w:ascii="Calibri" w:eastAsia="Calibri" w:hAnsi="Calibri"/>
          <w:lang w:val="en-US"/>
        </w:rPr>
      </w:pPr>
    </w:p>
    <w:p w14:paraId="6FC9F475" w14:textId="77777777" w:rsidR="000E0A4D" w:rsidRDefault="000E0A4D" w:rsidP="000E0A4D">
      <w:pPr>
        <w:spacing w:after="200" w:line="276" w:lineRule="auto"/>
        <w:jc w:val="left"/>
        <w:rPr>
          <w:rFonts w:ascii="Calibri" w:eastAsia="Calibri" w:hAnsi="Calibri"/>
          <w:lang w:val="en-US"/>
        </w:rPr>
        <w:sectPr w:rsidR="000E0A4D" w:rsidSect="00B679D4">
          <w:pgSz w:w="16838" w:h="11906" w:orient="landscape"/>
          <w:pgMar w:top="1440" w:right="1080" w:bottom="1440" w:left="1080" w:header="708" w:footer="708" w:gutter="0"/>
          <w:cols w:space="708"/>
          <w:docGrid w:linePitch="360"/>
        </w:sectPr>
      </w:pPr>
    </w:p>
    <w:p w14:paraId="31B411F5" w14:textId="77777777" w:rsidR="00683F4A" w:rsidRDefault="00E94579" w:rsidP="00683F4A">
      <w:pPr>
        <w:pStyle w:val="Overskrift1"/>
        <w:ind w:hanging="709"/>
        <w:rPr>
          <w:rFonts w:eastAsia="Calibri"/>
          <w:lang w:val="en-US"/>
        </w:rPr>
      </w:pPr>
      <w:bookmarkStart w:id="54" w:name="_Toc439245606"/>
      <w:r w:rsidRPr="00CD56B9">
        <w:rPr>
          <w:rFonts w:eastAsia="Calibri"/>
          <w:lang w:val="en-US"/>
        </w:rPr>
        <w:lastRenderedPageBreak/>
        <w:t xml:space="preserve">Annex </w:t>
      </w:r>
      <w:r w:rsidR="000D7686" w:rsidRPr="00CD56B9">
        <w:rPr>
          <w:rFonts w:eastAsia="Calibri"/>
          <w:lang w:val="en-US"/>
        </w:rPr>
        <w:t>6</w:t>
      </w:r>
      <w:r w:rsidRPr="00CD56B9">
        <w:rPr>
          <w:rFonts w:eastAsia="Calibri"/>
          <w:lang w:val="en-US"/>
        </w:rPr>
        <w:t>.</w:t>
      </w:r>
      <w:r w:rsidR="000E0A4D" w:rsidRPr="00CD56B9">
        <w:rPr>
          <w:rFonts w:eastAsia="Calibri"/>
          <w:lang w:val="en-US"/>
        </w:rPr>
        <w:t xml:space="preserve"> </w:t>
      </w:r>
      <w:r w:rsidR="00F5392A">
        <w:rPr>
          <w:rFonts w:eastAsia="Calibri"/>
          <w:lang w:val="en-US"/>
        </w:rPr>
        <w:t xml:space="preserve">UNDAF Outcome 4.1 - </w:t>
      </w:r>
      <w:r w:rsidR="00683F4A" w:rsidRPr="00683F4A">
        <w:rPr>
          <w:rFonts w:eastAsia="Calibri"/>
          <w:lang w:val="en-US"/>
        </w:rPr>
        <w:t>Action Plan 2012-2016</w:t>
      </w:r>
      <w:bookmarkEnd w:id="54"/>
    </w:p>
    <w:p w14:paraId="6421BBBE" w14:textId="77777777" w:rsidR="00683F4A" w:rsidRDefault="00683F4A" w:rsidP="00683F4A">
      <w:pPr>
        <w:rPr>
          <w:lang w:val="en-US"/>
        </w:rPr>
      </w:pPr>
    </w:p>
    <w:tbl>
      <w:tblPr>
        <w:tblW w:w="14792" w:type="dxa"/>
        <w:jc w:val="center"/>
        <w:tblLook w:val="04A0" w:firstRow="1" w:lastRow="0" w:firstColumn="1" w:lastColumn="0" w:noHBand="0" w:noVBand="1"/>
      </w:tblPr>
      <w:tblGrid>
        <w:gridCol w:w="1529"/>
        <w:gridCol w:w="1191"/>
        <w:gridCol w:w="2003"/>
        <w:gridCol w:w="1265"/>
        <w:gridCol w:w="2217"/>
        <w:gridCol w:w="1201"/>
        <w:gridCol w:w="1146"/>
        <w:gridCol w:w="1037"/>
        <w:gridCol w:w="1037"/>
        <w:gridCol w:w="1037"/>
        <w:gridCol w:w="1129"/>
      </w:tblGrid>
      <w:tr w:rsidR="00683F4A" w:rsidRPr="00F72B0D" w14:paraId="29EF7E88" w14:textId="77777777" w:rsidTr="009657E1">
        <w:trPr>
          <w:trHeight w:val="168"/>
          <w:jc w:val="center"/>
        </w:trPr>
        <w:tc>
          <w:tcPr>
            <w:tcW w:w="14792" w:type="dxa"/>
            <w:gridSpan w:val="11"/>
            <w:tcBorders>
              <w:top w:val="single" w:sz="4" w:space="0" w:color="auto"/>
              <w:left w:val="single" w:sz="8" w:space="0" w:color="auto"/>
              <w:bottom w:val="single" w:sz="4" w:space="0" w:color="auto"/>
              <w:right w:val="single" w:sz="8" w:space="0" w:color="000000"/>
            </w:tcBorders>
            <w:shd w:val="clear" w:color="000000" w:fill="969696"/>
            <w:hideMark/>
          </w:tcPr>
          <w:p w14:paraId="7D2C5CC2" w14:textId="77777777" w:rsidR="00683F4A" w:rsidRPr="00CD56B9" w:rsidRDefault="00683F4A" w:rsidP="009657E1">
            <w:pPr>
              <w:spacing w:after="0"/>
              <w:jc w:val="left"/>
              <w:rPr>
                <w:rFonts w:ascii="Arial Narrow" w:eastAsia="Times New Roman" w:hAnsi="Arial Narrow"/>
                <w:b/>
                <w:bCs/>
                <w:sz w:val="36"/>
                <w:szCs w:val="20"/>
                <w:lang w:val="en-US" w:eastAsia="en-GB"/>
              </w:rPr>
            </w:pPr>
            <w:r w:rsidRPr="00CD56B9">
              <w:rPr>
                <w:rFonts w:ascii="Arial Narrow" w:eastAsia="Times New Roman" w:hAnsi="Arial Narrow"/>
                <w:b/>
                <w:bCs/>
                <w:sz w:val="36"/>
                <w:szCs w:val="20"/>
                <w:lang w:val="en-US" w:eastAsia="en-GB"/>
              </w:rPr>
              <w:t>UNDAF Priority Area 4: Good Governance and Human Rights</w:t>
            </w:r>
          </w:p>
        </w:tc>
      </w:tr>
      <w:tr w:rsidR="00683F4A" w:rsidRPr="007D425D" w14:paraId="5DE5CC7B" w14:textId="77777777" w:rsidTr="009657E1">
        <w:trPr>
          <w:trHeight w:val="168"/>
          <w:jc w:val="center"/>
        </w:trPr>
        <w:tc>
          <w:tcPr>
            <w:tcW w:w="1529" w:type="dxa"/>
            <w:vMerge w:val="restart"/>
            <w:tcBorders>
              <w:top w:val="nil"/>
              <w:left w:val="single" w:sz="8" w:space="0" w:color="auto"/>
              <w:bottom w:val="single" w:sz="4" w:space="0" w:color="000000"/>
              <w:right w:val="single" w:sz="4" w:space="0" w:color="auto"/>
            </w:tcBorders>
            <w:shd w:val="clear" w:color="auto" w:fill="FBD4B4"/>
            <w:hideMark/>
          </w:tcPr>
          <w:p w14:paraId="63D5EB37" w14:textId="77777777" w:rsidR="00683F4A" w:rsidRPr="00CD56B9" w:rsidRDefault="00683F4A" w:rsidP="009657E1">
            <w:pPr>
              <w:spacing w:after="0"/>
              <w:jc w:val="center"/>
              <w:rPr>
                <w:rFonts w:ascii="Arial Narrow" w:eastAsia="Times New Roman" w:hAnsi="Arial Narrow"/>
                <w:color w:val="000000"/>
                <w:sz w:val="20"/>
                <w:szCs w:val="20"/>
                <w:lang w:val="en-US" w:eastAsia="en-GB"/>
              </w:rPr>
            </w:pPr>
            <w:r w:rsidRPr="00CD56B9">
              <w:rPr>
                <w:rFonts w:ascii="Arial Narrow" w:eastAsia="Times New Roman" w:hAnsi="Arial Narrow"/>
                <w:color w:val="000000"/>
                <w:sz w:val="20"/>
                <w:szCs w:val="20"/>
                <w:lang w:val="en-US" w:eastAsia="en-GB"/>
              </w:rPr>
              <w:t> </w:t>
            </w:r>
          </w:p>
        </w:tc>
        <w:tc>
          <w:tcPr>
            <w:tcW w:w="1191" w:type="dxa"/>
            <w:vMerge w:val="restart"/>
            <w:tcBorders>
              <w:top w:val="nil"/>
              <w:left w:val="single" w:sz="4" w:space="0" w:color="auto"/>
              <w:bottom w:val="single" w:sz="4" w:space="0" w:color="000000"/>
              <w:right w:val="single" w:sz="4" w:space="0" w:color="auto"/>
            </w:tcBorders>
            <w:shd w:val="clear" w:color="auto" w:fill="FBD4B4"/>
            <w:hideMark/>
          </w:tcPr>
          <w:p w14:paraId="20AD8595" w14:textId="77777777" w:rsidR="00683F4A" w:rsidRPr="003B552F" w:rsidRDefault="00683F4A" w:rsidP="009657E1">
            <w:pPr>
              <w:spacing w:after="0"/>
              <w:jc w:val="center"/>
              <w:rPr>
                <w:rFonts w:ascii="Arial Narrow" w:eastAsia="Times New Roman" w:hAnsi="Arial Narrow"/>
                <w:b/>
                <w:bCs/>
                <w:sz w:val="20"/>
                <w:szCs w:val="20"/>
                <w:lang w:eastAsia="en-GB"/>
              </w:rPr>
            </w:pPr>
            <w:r w:rsidRPr="003B552F">
              <w:rPr>
                <w:rFonts w:ascii="Arial Narrow" w:eastAsia="Times New Roman" w:hAnsi="Arial Narrow"/>
                <w:b/>
                <w:bCs/>
                <w:sz w:val="20"/>
                <w:szCs w:val="20"/>
                <w:lang w:eastAsia="en-GB"/>
              </w:rPr>
              <w:t>UN Agency</w:t>
            </w:r>
          </w:p>
        </w:tc>
        <w:tc>
          <w:tcPr>
            <w:tcW w:w="2003" w:type="dxa"/>
            <w:vMerge w:val="restart"/>
            <w:tcBorders>
              <w:top w:val="nil"/>
              <w:left w:val="single" w:sz="4" w:space="0" w:color="auto"/>
              <w:bottom w:val="single" w:sz="4" w:space="0" w:color="000000"/>
              <w:right w:val="single" w:sz="4" w:space="0" w:color="auto"/>
            </w:tcBorders>
            <w:shd w:val="clear" w:color="auto" w:fill="FBD4B4"/>
            <w:hideMark/>
          </w:tcPr>
          <w:p w14:paraId="3BEA6E7C" w14:textId="77777777" w:rsidR="00683F4A" w:rsidRPr="003B552F" w:rsidRDefault="00683F4A" w:rsidP="009657E1">
            <w:pPr>
              <w:spacing w:after="0"/>
              <w:jc w:val="center"/>
              <w:rPr>
                <w:rFonts w:ascii="Arial Narrow" w:eastAsia="Times New Roman" w:hAnsi="Arial Narrow"/>
                <w:b/>
                <w:bCs/>
                <w:sz w:val="20"/>
                <w:szCs w:val="20"/>
                <w:lang w:eastAsia="en-GB"/>
              </w:rPr>
            </w:pPr>
            <w:r w:rsidRPr="003B552F">
              <w:rPr>
                <w:rFonts w:ascii="Arial Narrow" w:eastAsia="Times New Roman" w:hAnsi="Arial Narrow"/>
                <w:b/>
                <w:bCs/>
                <w:sz w:val="20"/>
                <w:szCs w:val="20"/>
                <w:lang w:eastAsia="en-GB"/>
              </w:rPr>
              <w:t>Indicators, Baseline and Targets</w:t>
            </w:r>
          </w:p>
        </w:tc>
        <w:tc>
          <w:tcPr>
            <w:tcW w:w="1265" w:type="dxa"/>
            <w:vMerge w:val="restart"/>
            <w:tcBorders>
              <w:top w:val="nil"/>
              <w:left w:val="single" w:sz="4" w:space="0" w:color="auto"/>
              <w:bottom w:val="single" w:sz="4" w:space="0" w:color="000000"/>
              <w:right w:val="single" w:sz="4" w:space="0" w:color="auto"/>
            </w:tcBorders>
            <w:shd w:val="clear" w:color="auto" w:fill="FBD4B4"/>
            <w:hideMark/>
          </w:tcPr>
          <w:p w14:paraId="2B9D5E38" w14:textId="77777777" w:rsidR="00683F4A" w:rsidRPr="003B552F" w:rsidRDefault="00683F4A" w:rsidP="009657E1">
            <w:pPr>
              <w:spacing w:after="0"/>
              <w:jc w:val="center"/>
              <w:rPr>
                <w:rFonts w:ascii="Arial Narrow" w:eastAsia="Times New Roman" w:hAnsi="Arial Narrow"/>
                <w:b/>
                <w:bCs/>
                <w:sz w:val="20"/>
                <w:szCs w:val="20"/>
                <w:lang w:eastAsia="en-GB"/>
              </w:rPr>
            </w:pPr>
            <w:r w:rsidRPr="003B552F">
              <w:rPr>
                <w:rFonts w:ascii="Arial Narrow" w:eastAsia="Times New Roman" w:hAnsi="Arial Narrow"/>
                <w:b/>
                <w:bCs/>
                <w:sz w:val="20"/>
                <w:szCs w:val="20"/>
                <w:lang w:eastAsia="en-GB"/>
              </w:rPr>
              <w:t>Means of Verification</w:t>
            </w:r>
          </w:p>
        </w:tc>
        <w:tc>
          <w:tcPr>
            <w:tcW w:w="2217" w:type="dxa"/>
            <w:vMerge w:val="restart"/>
            <w:tcBorders>
              <w:top w:val="nil"/>
              <w:left w:val="single" w:sz="4" w:space="0" w:color="auto"/>
              <w:bottom w:val="single" w:sz="4" w:space="0" w:color="000000"/>
              <w:right w:val="single" w:sz="4" w:space="0" w:color="auto"/>
            </w:tcBorders>
            <w:shd w:val="clear" w:color="auto" w:fill="FBD4B4"/>
            <w:hideMark/>
          </w:tcPr>
          <w:p w14:paraId="4F3455A5" w14:textId="77777777" w:rsidR="00683F4A" w:rsidRPr="003B552F" w:rsidRDefault="00683F4A" w:rsidP="009657E1">
            <w:pPr>
              <w:spacing w:after="0"/>
              <w:jc w:val="center"/>
              <w:rPr>
                <w:rFonts w:ascii="Arial Narrow" w:eastAsia="Times New Roman" w:hAnsi="Arial Narrow"/>
                <w:b/>
                <w:bCs/>
                <w:sz w:val="20"/>
                <w:szCs w:val="20"/>
                <w:lang w:eastAsia="en-GB"/>
              </w:rPr>
            </w:pPr>
            <w:r w:rsidRPr="003B552F">
              <w:rPr>
                <w:rFonts w:ascii="Arial Narrow" w:eastAsia="Times New Roman" w:hAnsi="Arial Narrow"/>
                <w:b/>
                <w:bCs/>
                <w:sz w:val="20"/>
                <w:szCs w:val="20"/>
                <w:lang w:eastAsia="en-GB"/>
              </w:rPr>
              <w:t>Risk and assumptions</w:t>
            </w:r>
          </w:p>
        </w:tc>
        <w:tc>
          <w:tcPr>
            <w:tcW w:w="1201" w:type="dxa"/>
            <w:vMerge w:val="restart"/>
            <w:tcBorders>
              <w:top w:val="nil"/>
              <w:left w:val="single" w:sz="4" w:space="0" w:color="auto"/>
              <w:bottom w:val="single" w:sz="4" w:space="0" w:color="000000"/>
              <w:right w:val="single" w:sz="4" w:space="0" w:color="auto"/>
            </w:tcBorders>
            <w:shd w:val="clear" w:color="auto" w:fill="FBD4B4"/>
            <w:hideMark/>
          </w:tcPr>
          <w:p w14:paraId="25C689D6" w14:textId="77777777" w:rsidR="00683F4A" w:rsidRPr="003B552F" w:rsidRDefault="00683F4A" w:rsidP="009657E1">
            <w:pPr>
              <w:spacing w:after="0"/>
              <w:jc w:val="center"/>
              <w:rPr>
                <w:rFonts w:ascii="Arial Narrow" w:eastAsia="Times New Roman" w:hAnsi="Arial Narrow"/>
                <w:b/>
                <w:bCs/>
                <w:sz w:val="20"/>
                <w:szCs w:val="20"/>
                <w:lang w:eastAsia="en-GB"/>
              </w:rPr>
            </w:pPr>
            <w:r w:rsidRPr="003B552F">
              <w:rPr>
                <w:rFonts w:ascii="Arial Narrow" w:eastAsia="Times New Roman" w:hAnsi="Arial Narrow"/>
                <w:b/>
                <w:bCs/>
                <w:sz w:val="20"/>
                <w:szCs w:val="20"/>
                <w:lang w:eastAsia="en-GB"/>
              </w:rPr>
              <w:t>Key Partners</w:t>
            </w:r>
          </w:p>
        </w:tc>
        <w:tc>
          <w:tcPr>
            <w:tcW w:w="1146" w:type="dxa"/>
            <w:tcBorders>
              <w:top w:val="nil"/>
              <w:left w:val="nil"/>
              <w:bottom w:val="nil"/>
              <w:right w:val="single" w:sz="4" w:space="0" w:color="auto"/>
            </w:tcBorders>
            <w:shd w:val="clear" w:color="auto" w:fill="FBD4B4"/>
            <w:hideMark/>
          </w:tcPr>
          <w:p w14:paraId="4CA2A9FD" w14:textId="77777777" w:rsidR="00683F4A" w:rsidRPr="003B552F" w:rsidRDefault="00683F4A" w:rsidP="009657E1">
            <w:pPr>
              <w:spacing w:after="0"/>
              <w:jc w:val="center"/>
              <w:rPr>
                <w:rFonts w:ascii="Arial Narrow" w:eastAsia="Times New Roman" w:hAnsi="Arial Narrow"/>
                <w:b/>
                <w:bCs/>
                <w:sz w:val="20"/>
                <w:szCs w:val="20"/>
                <w:lang w:eastAsia="en-GB"/>
              </w:rPr>
            </w:pPr>
            <w:r w:rsidRPr="003B552F">
              <w:rPr>
                <w:rFonts w:ascii="Arial Narrow" w:eastAsia="Times New Roman" w:hAnsi="Arial Narrow"/>
                <w:b/>
                <w:bCs/>
                <w:sz w:val="20"/>
                <w:szCs w:val="20"/>
                <w:lang w:eastAsia="en-GB"/>
              </w:rPr>
              <w:t> </w:t>
            </w:r>
          </w:p>
        </w:tc>
        <w:tc>
          <w:tcPr>
            <w:tcW w:w="4240" w:type="dxa"/>
            <w:gridSpan w:val="4"/>
            <w:tcBorders>
              <w:top w:val="single" w:sz="4" w:space="0" w:color="auto"/>
              <w:left w:val="nil"/>
              <w:bottom w:val="single" w:sz="4" w:space="0" w:color="auto"/>
              <w:right w:val="single" w:sz="8" w:space="0" w:color="000000"/>
            </w:tcBorders>
            <w:shd w:val="clear" w:color="auto" w:fill="FBD4B4"/>
            <w:hideMark/>
          </w:tcPr>
          <w:p w14:paraId="1760212F" w14:textId="77777777" w:rsidR="00683F4A" w:rsidRPr="003B552F" w:rsidRDefault="00683F4A" w:rsidP="009657E1">
            <w:pPr>
              <w:spacing w:after="0"/>
              <w:jc w:val="center"/>
              <w:rPr>
                <w:rFonts w:ascii="Arial Narrow" w:eastAsia="Times New Roman" w:hAnsi="Arial Narrow"/>
                <w:b/>
                <w:bCs/>
                <w:sz w:val="20"/>
                <w:szCs w:val="20"/>
                <w:lang w:eastAsia="en-GB"/>
              </w:rPr>
            </w:pPr>
            <w:r w:rsidRPr="003B552F">
              <w:rPr>
                <w:rFonts w:ascii="Arial Narrow" w:eastAsia="Times New Roman" w:hAnsi="Arial Narrow"/>
                <w:b/>
                <w:bCs/>
                <w:sz w:val="20"/>
                <w:szCs w:val="20"/>
                <w:lang w:eastAsia="en-GB"/>
              </w:rPr>
              <w:t xml:space="preserve"> Indicative Resources (USD) </w:t>
            </w:r>
          </w:p>
        </w:tc>
      </w:tr>
      <w:tr w:rsidR="00683F4A" w:rsidRPr="007D425D" w14:paraId="1B7AFBA7" w14:textId="77777777" w:rsidTr="009657E1">
        <w:trPr>
          <w:trHeight w:val="356"/>
          <w:jc w:val="center"/>
        </w:trPr>
        <w:tc>
          <w:tcPr>
            <w:tcW w:w="1529" w:type="dxa"/>
            <w:vMerge/>
            <w:tcBorders>
              <w:top w:val="nil"/>
              <w:left w:val="single" w:sz="8" w:space="0" w:color="auto"/>
              <w:bottom w:val="single" w:sz="4" w:space="0" w:color="000000"/>
              <w:right w:val="single" w:sz="4" w:space="0" w:color="auto"/>
            </w:tcBorders>
            <w:shd w:val="clear" w:color="auto" w:fill="FBD4B4"/>
            <w:vAlign w:val="center"/>
            <w:hideMark/>
          </w:tcPr>
          <w:p w14:paraId="53E284AA" w14:textId="77777777" w:rsidR="00683F4A" w:rsidRPr="003B552F" w:rsidRDefault="00683F4A" w:rsidP="009657E1">
            <w:pPr>
              <w:spacing w:after="0"/>
              <w:jc w:val="left"/>
              <w:rPr>
                <w:rFonts w:ascii="Arial Narrow" w:eastAsia="Times New Roman" w:hAnsi="Arial Narrow"/>
                <w:sz w:val="20"/>
                <w:szCs w:val="20"/>
                <w:lang w:eastAsia="en-GB"/>
              </w:rPr>
            </w:pPr>
          </w:p>
        </w:tc>
        <w:tc>
          <w:tcPr>
            <w:tcW w:w="1191" w:type="dxa"/>
            <w:vMerge/>
            <w:tcBorders>
              <w:top w:val="nil"/>
              <w:left w:val="single" w:sz="4" w:space="0" w:color="auto"/>
              <w:bottom w:val="single" w:sz="4" w:space="0" w:color="000000"/>
              <w:right w:val="single" w:sz="4" w:space="0" w:color="auto"/>
            </w:tcBorders>
            <w:vAlign w:val="center"/>
            <w:hideMark/>
          </w:tcPr>
          <w:p w14:paraId="340862DF" w14:textId="77777777" w:rsidR="00683F4A" w:rsidRPr="003B552F" w:rsidRDefault="00683F4A" w:rsidP="009657E1">
            <w:pPr>
              <w:spacing w:after="0"/>
              <w:jc w:val="left"/>
              <w:rPr>
                <w:rFonts w:ascii="Arial Narrow" w:eastAsia="Times New Roman" w:hAnsi="Arial Narrow"/>
                <w:b/>
                <w:bCs/>
                <w:sz w:val="20"/>
                <w:szCs w:val="20"/>
                <w:lang w:eastAsia="en-GB"/>
              </w:rPr>
            </w:pPr>
          </w:p>
        </w:tc>
        <w:tc>
          <w:tcPr>
            <w:tcW w:w="2003" w:type="dxa"/>
            <w:vMerge/>
            <w:tcBorders>
              <w:top w:val="nil"/>
              <w:left w:val="single" w:sz="4" w:space="0" w:color="auto"/>
              <w:bottom w:val="single" w:sz="4" w:space="0" w:color="000000"/>
              <w:right w:val="single" w:sz="4" w:space="0" w:color="auto"/>
            </w:tcBorders>
            <w:vAlign w:val="center"/>
            <w:hideMark/>
          </w:tcPr>
          <w:p w14:paraId="40C5DB2E" w14:textId="77777777" w:rsidR="00683F4A" w:rsidRPr="003B552F" w:rsidRDefault="00683F4A" w:rsidP="009657E1">
            <w:pPr>
              <w:spacing w:after="0"/>
              <w:jc w:val="left"/>
              <w:rPr>
                <w:rFonts w:ascii="Arial Narrow" w:eastAsia="Times New Roman" w:hAnsi="Arial Narrow"/>
                <w:b/>
                <w:bCs/>
                <w:sz w:val="20"/>
                <w:szCs w:val="20"/>
                <w:lang w:eastAsia="en-GB"/>
              </w:rPr>
            </w:pPr>
          </w:p>
        </w:tc>
        <w:tc>
          <w:tcPr>
            <w:tcW w:w="1265" w:type="dxa"/>
            <w:vMerge/>
            <w:tcBorders>
              <w:top w:val="nil"/>
              <w:left w:val="single" w:sz="4" w:space="0" w:color="auto"/>
              <w:bottom w:val="single" w:sz="4" w:space="0" w:color="000000"/>
              <w:right w:val="single" w:sz="4" w:space="0" w:color="auto"/>
            </w:tcBorders>
            <w:vAlign w:val="center"/>
            <w:hideMark/>
          </w:tcPr>
          <w:p w14:paraId="01764935" w14:textId="77777777" w:rsidR="00683F4A" w:rsidRPr="003B552F" w:rsidRDefault="00683F4A" w:rsidP="009657E1">
            <w:pPr>
              <w:spacing w:after="0"/>
              <w:jc w:val="left"/>
              <w:rPr>
                <w:rFonts w:ascii="Arial Narrow" w:eastAsia="Times New Roman" w:hAnsi="Arial Narrow"/>
                <w:b/>
                <w:bCs/>
                <w:sz w:val="20"/>
                <w:szCs w:val="20"/>
                <w:lang w:eastAsia="en-GB"/>
              </w:rPr>
            </w:pPr>
          </w:p>
        </w:tc>
        <w:tc>
          <w:tcPr>
            <w:tcW w:w="2217" w:type="dxa"/>
            <w:vMerge/>
            <w:tcBorders>
              <w:top w:val="nil"/>
              <w:left w:val="single" w:sz="4" w:space="0" w:color="auto"/>
              <w:bottom w:val="single" w:sz="4" w:space="0" w:color="000000"/>
              <w:right w:val="single" w:sz="4" w:space="0" w:color="auto"/>
            </w:tcBorders>
            <w:vAlign w:val="center"/>
            <w:hideMark/>
          </w:tcPr>
          <w:p w14:paraId="31E33366" w14:textId="77777777" w:rsidR="00683F4A" w:rsidRPr="003B552F" w:rsidRDefault="00683F4A" w:rsidP="009657E1">
            <w:pPr>
              <w:spacing w:after="0"/>
              <w:jc w:val="left"/>
              <w:rPr>
                <w:rFonts w:ascii="Arial Narrow" w:eastAsia="Times New Roman" w:hAnsi="Arial Narrow"/>
                <w:b/>
                <w:bCs/>
                <w:sz w:val="20"/>
                <w:szCs w:val="20"/>
                <w:lang w:eastAsia="en-GB"/>
              </w:rPr>
            </w:pPr>
          </w:p>
        </w:tc>
        <w:tc>
          <w:tcPr>
            <w:tcW w:w="1201" w:type="dxa"/>
            <w:vMerge/>
            <w:tcBorders>
              <w:top w:val="nil"/>
              <w:left w:val="single" w:sz="4" w:space="0" w:color="auto"/>
              <w:bottom w:val="single" w:sz="4" w:space="0" w:color="000000"/>
              <w:right w:val="single" w:sz="4" w:space="0" w:color="auto"/>
            </w:tcBorders>
            <w:vAlign w:val="center"/>
            <w:hideMark/>
          </w:tcPr>
          <w:p w14:paraId="74378BEC" w14:textId="77777777" w:rsidR="00683F4A" w:rsidRPr="003B552F" w:rsidRDefault="00683F4A" w:rsidP="009657E1">
            <w:pPr>
              <w:spacing w:after="0"/>
              <w:jc w:val="left"/>
              <w:rPr>
                <w:rFonts w:ascii="Arial Narrow" w:eastAsia="Times New Roman" w:hAnsi="Arial Narrow"/>
                <w:b/>
                <w:bCs/>
                <w:sz w:val="20"/>
                <w:szCs w:val="20"/>
                <w:lang w:eastAsia="en-GB"/>
              </w:rPr>
            </w:pPr>
          </w:p>
        </w:tc>
        <w:tc>
          <w:tcPr>
            <w:tcW w:w="1146" w:type="dxa"/>
            <w:tcBorders>
              <w:top w:val="single" w:sz="4" w:space="0" w:color="auto"/>
              <w:left w:val="nil"/>
              <w:bottom w:val="single" w:sz="4" w:space="0" w:color="auto"/>
              <w:right w:val="single" w:sz="4" w:space="0" w:color="auto"/>
            </w:tcBorders>
            <w:shd w:val="clear" w:color="auto" w:fill="FBD4B4"/>
            <w:hideMark/>
          </w:tcPr>
          <w:p w14:paraId="11FFC719" w14:textId="77777777" w:rsidR="00683F4A" w:rsidRPr="003B552F" w:rsidRDefault="00683F4A" w:rsidP="009657E1">
            <w:pPr>
              <w:spacing w:after="0"/>
              <w:jc w:val="center"/>
              <w:rPr>
                <w:rFonts w:ascii="Arial Narrow" w:eastAsia="Times New Roman" w:hAnsi="Arial Narrow"/>
                <w:b/>
                <w:bCs/>
                <w:sz w:val="20"/>
                <w:szCs w:val="20"/>
                <w:lang w:eastAsia="en-GB"/>
              </w:rPr>
            </w:pPr>
            <w:r w:rsidRPr="003B552F">
              <w:rPr>
                <w:rFonts w:ascii="Arial Narrow" w:eastAsia="Times New Roman" w:hAnsi="Arial Narrow"/>
                <w:b/>
                <w:bCs/>
                <w:sz w:val="20"/>
                <w:szCs w:val="20"/>
                <w:lang w:eastAsia="en-GB"/>
              </w:rPr>
              <w:t>Agency</w:t>
            </w:r>
          </w:p>
        </w:tc>
        <w:tc>
          <w:tcPr>
            <w:tcW w:w="1037" w:type="dxa"/>
            <w:tcBorders>
              <w:top w:val="nil"/>
              <w:left w:val="nil"/>
              <w:bottom w:val="nil"/>
              <w:right w:val="single" w:sz="4" w:space="0" w:color="auto"/>
            </w:tcBorders>
            <w:shd w:val="clear" w:color="auto" w:fill="FBD4B4"/>
            <w:hideMark/>
          </w:tcPr>
          <w:p w14:paraId="1C85CA99" w14:textId="77777777" w:rsidR="00683F4A" w:rsidRPr="003B552F" w:rsidRDefault="00683F4A" w:rsidP="009657E1">
            <w:pPr>
              <w:spacing w:after="0"/>
              <w:jc w:val="center"/>
              <w:rPr>
                <w:rFonts w:ascii="Arial Narrow" w:eastAsia="Times New Roman" w:hAnsi="Arial Narrow"/>
                <w:b/>
                <w:bCs/>
                <w:sz w:val="20"/>
                <w:szCs w:val="20"/>
                <w:lang w:eastAsia="en-GB"/>
              </w:rPr>
            </w:pPr>
            <w:r w:rsidRPr="003B552F">
              <w:rPr>
                <w:rFonts w:ascii="Arial Narrow" w:eastAsia="Times New Roman" w:hAnsi="Arial Narrow"/>
                <w:b/>
                <w:bCs/>
                <w:sz w:val="20"/>
                <w:szCs w:val="20"/>
                <w:lang w:eastAsia="en-GB"/>
              </w:rPr>
              <w:t xml:space="preserve"> Core </w:t>
            </w:r>
          </w:p>
        </w:tc>
        <w:tc>
          <w:tcPr>
            <w:tcW w:w="1037" w:type="dxa"/>
            <w:tcBorders>
              <w:top w:val="nil"/>
              <w:left w:val="nil"/>
              <w:bottom w:val="nil"/>
              <w:right w:val="single" w:sz="4" w:space="0" w:color="auto"/>
            </w:tcBorders>
            <w:shd w:val="clear" w:color="auto" w:fill="FBD4B4"/>
            <w:hideMark/>
          </w:tcPr>
          <w:p w14:paraId="53BA121E" w14:textId="77777777" w:rsidR="00683F4A" w:rsidRPr="003B552F" w:rsidRDefault="00683F4A" w:rsidP="009657E1">
            <w:pPr>
              <w:spacing w:after="0"/>
              <w:jc w:val="center"/>
              <w:rPr>
                <w:rFonts w:ascii="Arial Narrow" w:eastAsia="Times New Roman" w:hAnsi="Arial Narrow"/>
                <w:b/>
                <w:bCs/>
                <w:sz w:val="20"/>
                <w:szCs w:val="20"/>
                <w:lang w:eastAsia="en-GB"/>
              </w:rPr>
            </w:pPr>
            <w:r w:rsidRPr="003B552F">
              <w:rPr>
                <w:rFonts w:ascii="Arial Narrow" w:eastAsia="Times New Roman" w:hAnsi="Arial Narrow"/>
                <w:b/>
                <w:bCs/>
                <w:sz w:val="20"/>
                <w:szCs w:val="20"/>
                <w:lang w:eastAsia="en-GB"/>
              </w:rPr>
              <w:t xml:space="preserve"> Non-Core </w:t>
            </w:r>
          </w:p>
        </w:tc>
        <w:tc>
          <w:tcPr>
            <w:tcW w:w="1037" w:type="dxa"/>
            <w:tcBorders>
              <w:top w:val="nil"/>
              <w:left w:val="nil"/>
              <w:bottom w:val="nil"/>
              <w:right w:val="single" w:sz="4" w:space="0" w:color="auto"/>
            </w:tcBorders>
            <w:shd w:val="clear" w:color="auto" w:fill="FBD4B4"/>
            <w:hideMark/>
          </w:tcPr>
          <w:p w14:paraId="2455EE21" w14:textId="77777777" w:rsidR="00683F4A" w:rsidRPr="003B552F" w:rsidRDefault="00683F4A" w:rsidP="009657E1">
            <w:pPr>
              <w:spacing w:after="0"/>
              <w:jc w:val="center"/>
              <w:rPr>
                <w:rFonts w:ascii="Arial Narrow" w:eastAsia="Times New Roman" w:hAnsi="Arial Narrow"/>
                <w:b/>
                <w:bCs/>
                <w:sz w:val="20"/>
                <w:szCs w:val="20"/>
                <w:lang w:eastAsia="en-GB"/>
              </w:rPr>
            </w:pPr>
            <w:r w:rsidRPr="003B552F">
              <w:rPr>
                <w:rFonts w:ascii="Arial Narrow" w:eastAsia="Times New Roman" w:hAnsi="Arial Narrow"/>
                <w:b/>
                <w:bCs/>
                <w:sz w:val="20"/>
                <w:szCs w:val="20"/>
                <w:lang w:eastAsia="en-GB"/>
              </w:rPr>
              <w:t xml:space="preserve"> Gap </w:t>
            </w:r>
          </w:p>
        </w:tc>
        <w:tc>
          <w:tcPr>
            <w:tcW w:w="1129" w:type="dxa"/>
            <w:tcBorders>
              <w:top w:val="nil"/>
              <w:left w:val="nil"/>
              <w:bottom w:val="nil"/>
              <w:right w:val="single" w:sz="8" w:space="0" w:color="auto"/>
            </w:tcBorders>
            <w:shd w:val="clear" w:color="auto" w:fill="FBD4B4"/>
            <w:hideMark/>
          </w:tcPr>
          <w:p w14:paraId="0F9D2AAE" w14:textId="77777777" w:rsidR="00683F4A" w:rsidRPr="003B552F" w:rsidRDefault="00683F4A" w:rsidP="009657E1">
            <w:pPr>
              <w:spacing w:after="0"/>
              <w:jc w:val="center"/>
              <w:rPr>
                <w:rFonts w:ascii="Arial Narrow" w:eastAsia="Times New Roman" w:hAnsi="Arial Narrow"/>
                <w:b/>
                <w:bCs/>
                <w:sz w:val="20"/>
                <w:szCs w:val="20"/>
                <w:lang w:eastAsia="en-GB"/>
              </w:rPr>
            </w:pPr>
            <w:r w:rsidRPr="003B552F">
              <w:rPr>
                <w:rFonts w:ascii="Arial Narrow" w:eastAsia="Times New Roman" w:hAnsi="Arial Narrow"/>
                <w:b/>
                <w:bCs/>
                <w:sz w:val="20"/>
                <w:szCs w:val="20"/>
                <w:lang w:eastAsia="en-GB"/>
              </w:rPr>
              <w:t xml:space="preserve"> Total </w:t>
            </w:r>
          </w:p>
        </w:tc>
      </w:tr>
      <w:tr w:rsidR="00683F4A" w:rsidRPr="007D425D" w14:paraId="1CB56DF2" w14:textId="77777777" w:rsidTr="009657E1">
        <w:trPr>
          <w:trHeight w:val="663"/>
          <w:jc w:val="center"/>
        </w:trPr>
        <w:tc>
          <w:tcPr>
            <w:tcW w:w="1529" w:type="dxa"/>
            <w:vMerge w:val="restart"/>
            <w:tcBorders>
              <w:top w:val="nil"/>
              <w:left w:val="single" w:sz="8" w:space="0" w:color="auto"/>
              <w:bottom w:val="single" w:sz="4" w:space="0" w:color="auto"/>
              <w:right w:val="single" w:sz="4" w:space="0" w:color="auto"/>
            </w:tcBorders>
            <w:shd w:val="clear" w:color="000000" w:fill="CCFFFF"/>
            <w:hideMark/>
          </w:tcPr>
          <w:p w14:paraId="5814F01C" w14:textId="77777777" w:rsidR="00683F4A" w:rsidRPr="00CD56B9" w:rsidRDefault="00683F4A" w:rsidP="009657E1">
            <w:pPr>
              <w:spacing w:after="0"/>
              <w:jc w:val="left"/>
              <w:rPr>
                <w:rFonts w:ascii="Arial Narrow" w:eastAsia="Times New Roman" w:hAnsi="Arial Narrow"/>
                <w:b/>
                <w:bCs/>
                <w:sz w:val="20"/>
                <w:szCs w:val="20"/>
                <w:lang w:val="en-US" w:eastAsia="en-GB"/>
              </w:rPr>
            </w:pPr>
            <w:r w:rsidRPr="00CD56B9">
              <w:rPr>
                <w:rFonts w:ascii="Arial Narrow" w:eastAsia="Times New Roman" w:hAnsi="Arial Narrow"/>
                <w:b/>
                <w:bCs/>
                <w:sz w:val="20"/>
                <w:szCs w:val="20"/>
                <w:lang w:val="en-US" w:eastAsia="en-GB"/>
              </w:rPr>
              <w:t>Outcome 4.1</w:t>
            </w:r>
            <w:r w:rsidRPr="00CD56B9">
              <w:rPr>
                <w:rFonts w:ascii="Arial Narrow" w:eastAsia="Times New Roman" w:hAnsi="Arial Narrow"/>
                <w:b/>
                <w:bCs/>
                <w:i/>
                <w:iCs/>
                <w:color w:val="000000"/>
                <w:sz w:val="20"/>
                <w:szCs w:val="20"/>
                <w:lang w:val="en-US" w:eastAsia="en-GB"/>
              </w:rPr>
              <w:t xml:space="preserve"> </w:t>
            </w:r>
            <w:r w:rsidRPr="00CD56B9">
              <w:rPr>
                <w:rFonts w:ascii="Arial Narrow" w:eastAsia="Times New Roman" w:hAnsi="Arial Narrow"/>
                <w:b/>
                <w:bCs/>
                <w:color w:val="000000"/>
                <w:sz w:val="20"/>
                <w:szCs w:val="20"/>
                <w:lang w:val="en-US" w:eastAsia="en-GB"/>
              </w:rPr>
              <w:t>National institutions foster democratic governance and human rights to promote transparency, accountability, participation and access to justice for all especially women and children by 2016.</w:t>
            </w:r>
          </w:p>
        </w:tc>
        <w:tc>
          <w:tcPr>
            <w:tcW w:w="1191" w:type="dxa"/>
            <w:vMerge w:val="restart"/>
            <w:tcBorders>
              <w:top w:val="nil"/>
              <w:left w:val="single" w:sz="4" w:space="0" w:color="auto"/>
              <w:bottom w:val="single" w:sz="4" w:space="0" w:color="auto"/>
              <w:right w:val="single" w:sz="4" w:space="0" w:color="auto"/>
            </w:tcBorders>
            <w:shd w:val="clear" w:color="000000" w:fill="CCFFFF"/>
            <w:hideMark/>
          </w:tcPr>
          <w:p w14:paraId="364C5616" w14:textId="77777777" w:rsidR="00683F4A" w:rsidRPr="003B552F" w:rsidRDefault="00683F4A" w:rsidP="009657E1">
            <w:pPr>
              <w:spacing w:after="0"/>
              <w:jc w:val="left"/>
              <w:rPr>
                <w:rFonts w:ascii="Arial Narrow" w:eastAsia="Times New Roman" w:hAnsi="Arial Narrow"/>
                <w:sz w:val="20"/>
                <w:szCs w:val="20"/>
                <w:lang w:eastAsia="en-GB"/>
              </w:rPr>
            </w:pPr>
            <w:r w:rsidRPr="003B552F">
              <w:rPr>
                <w:rFonts w:ascii="Arial Narrow" w:eastAsia="Times New Roman" w:hAnsi="Arial Narrow"/>
                <w:sz w:val="20"/>
                <w:szCs w:val="20"/>
                <w:lang w:eastAsia="en-GB"/>
              </w:rPr>
              <w:t>UNCDF,</w:t>
            </w:r>
            <w:r w:rsidRPr="003B552F">
              <w:rPr>
                <w:rFonts w:ascii="Arial Narrow" w:eastAsia="Times New Roman" w:hAnsi="Arial Narrow"/>
                <w:b/>
                <w:bCs/>
                <w:sz w:val="20"/>
                <w:szCs w:val="20"/>
                <w:lang w:eastAsia="en-GB"/>
              </w:rPr>
              <w:t xml:space="preserve"> UNDP</w:t>
            </w:r>
            <w:r w:rsidRPr="003B552F">
              <w:rPr>
                <w:rFonts w:ascii="Arial Narrow" w:eastAsia="Times New Roman" w:hAnsi="Arial Narrow"/>
                <w:sz w:val="20"/>
                <w:szCs w:val="20"/>
                <w:lang w:eastAsia="en-GB"/>
              </w:rPr>
              <w:t>, UNICEF</w:t>
            </w:r>
          </w:p>
        </w:tc>
        <w:tc>
          <w:tcPr>
            <w:tcW w:w="2003" w:type="dxa"/>
            <w:tcBorders>
              <w:top w:val="nil"/>
              <w:left w:val="nil"/>
              <w:bottom w:val="single" w:sz="4" w:space="0" w:color="auto"/>
              <w:right w:val="single" w:sz="4" w:space="0" w:color="auto"/>
            </w:tcBorders>
            <w:shd w:val="clear" w:color="000000" w:fill="CCFFFF"/>
            <w:hideMark/>
          </w:tcPr>
          <w:p w14:paraId="298F63C2" w14:textId="77777777" w:rsidR="00683F4A" w:rsidRPr="00CD56B9" w:rsidRDefault="00683F4A" w:rsidP="009657E1">
            <w:pPr>
              <w:spacing w:after="0"/>
              <w:jc w:val="left"/>
              <w:rPr>
                <w:rFonts w:ascii="Arial Narrow" w:eastAsia="Times New Roman" w:hAnsi="Arial Narrow"/>
                <w:sz w:val="20"/>
                <w:szCs w:val="20"/>
                <w:lang w:val="en-US" w:eastAsia="en-GB"/>
              </w:rPr>
            </w:pPr>
            <w:r w:rsidRPr="00CD56B9">
              <w:rPr>
                <w:rFonts w:ascii="Arial Narrow" w:eastAsia="Times New Roman" w:hAnsi="Arial Narrow"/>
                <w:sz w:val="20"/>
                <w:szCs w:val="20"/>
                <w:lang w:val="en-US" w:eastAsia="en-GB"/>
              </w:rPr>
              <w:t xml:space="preserve">Proportion of the public holding duty bearers accountable (2010:  40%, Dec 2016: 65%)                                                                                                                                                                                                                                                                                                                                                                                                                                           </w:t>
            </w:r>
          </w:p>
        </w:tc>
        <w:tc>
          <w:tcPr>
            <w:tcW w:w="1265" w:type="dxa"/>
            <w:tcBorders>
              <w:top w:val="nil"/>
              <w:left w:val="nil"/>
              <w:bottom w:val="single" w:sz="4" w:space="0" w:color="auto"/>
              <w:right w:val="single" w:sz="4" w:space="0" w:color="auto"/>
            </w:tcBorders>
            <w:shd w:val="clear" w:color="000000" w:fill="CCFFFF"/>
            <w:hideMark/>
          </w:tcPr>
          <w:p w14:paraId="7CF2D42D" w14:textId="77777777" w:rsidR="00683F4A" w:rsidRPr="003B552F" w:rsidRDefault="00683F4A" w:rsidP="009657E1">
            <w:pPr>
              <w:spacing w:after="0"/>
              <w:jc w:val="left"/>
              <w:rPr>
                <w:rFonts w:ascii="Arial Narrow" w:eastAsia="Times New Roman" w:hAnsi="Arial Narrow"/>
                <w:sz w:val="20"/>
                <w:szCs w:val="20"/>
                <w:lang w:eastAsia="en-GB"/>
              </w:rPr>
            </w:pPr>
            <w:r w:rsidRPr="003B552F">
              <w:rPr>
                <w:rFonts w:ascii="Arial Narrow" w:eastAsia="Times New Roman" w:hAnsi="Arial Narrow"/>
                <w:sz w:val="20"/>
                <w:szCs w:val="20"/>
                <w:lang w:eastAsia="en-GB"/>
              </w:rPr>
              <w:t>DCP Baseline, NICE Report</w:t>
            </w:r>
          </w:p>
        </w:tc>
        <w:tc>
          <w:tcPr>
            <w:tcW w:w="2217" w:type="dxa"/>
            <w:vMerge w:val="restart"/>
            <w:tcBorders>
              <w:top w:val="nil"/>
              <w:left w:val="single" w:sz="4" w:space="0" w:color="auto"/>
              <w:bottom w:val="single" w:sz="4" w:space="0" w:color="000000"/>
              <w:right w:val="single" w:sz="4" w:space="0" w:color="auto"/>
            </w:tcBorders>
            <w:shd w:val="clear" w:color="000000" w:fill="CCFFFF"/>
            <w:hideMark/>
          </w:tcPr>
          <w:p w14:paraId="0AC2C63A" w14:textId="77777777" w:rsidR="00683F4A" w:rsidRPr="00CD56B9" w:rsidRDefault="00683F4A" w:rsidP="009657E1">
            <w:pPr>
              <w:spacing w:after="0"/>
              <w:jc w:val="left"/>
              <w:rPr>
                <w:rFonts w:ascii="Arial Narrow" w:eastAsia="Times New Roman" w:hAnsi="Arial Narrow"/>
                <w:sz w:val="20"/>
                <w:szCs w:val="20"/>
                <w:lang w:val="en-US" w:eastAsia="en-GB"/>
              </w:rPr>
            </w:pPr>
            <w:r w:rsidRPr="00CD56B9">
              <w:rPr>
                <w:rFonts w:ascii="Arial Narrow" w:eastAsia="Times New Roman" w:hAnsi="Arial Narrow"/>
                <w:b/>
                <w:bCs/>
                <w:sz w:val="20"/>
                <w:szCs w:val="20"/>
                <w:lang w:val="en-US" w:eastAsia="en-GB"/>
              </w:rPr>
              <w:t>Assumptions:</w:t>
            </w:r>
            <w:r w:rsidRPr="00CD56B9">
              <w:rPr>
                <w:rFonts w:ascii="Arial Narrow" w:eastAsia="Times New Roman" w:hAnsi="Arial Narrow"/>
                <w:sz w:val="20"/>
                <w:szCs w:val="20"/>
                <w:lang w:val="en-US" w:eastAsia="en-GB"/>
              </w:rPr>
              <w:t xml:space="preserve"> Resource availability; donor partner support; separation of powers; capacity of the coordinating institutions;  Adherence to constitutionalism; Resource availability; Good donor/government working relationships; Political will; government willingness to devolve authority to the lower levels; strong coordination structures at national and District levels</w:t>
            </w:r>
          </w:p>
        </w:tc>
        <w:tc>
          <w:tcPr>
            <w:tcW w:w="1201" w:type="dxa"/>
            <w:vMerge w:val="restart"/>
            <w:tcBorders>
              <w:top w:val="nil"/>
              <w:left w:val="single" w:sz="4" w:space="0" w:color="auto"/>
              <w:bottom w:val="single" w:sz="4" w:space="0" w:color="000000"/>
              <w:right w:val="single" w:sz="4" w:space="0" w:color="auto"/>
            </w:tcBorders>
            <w:shd w:val="clear" w:color="000000" w:fill="CCFFFF"/>
            <w:hideMark/>
          </w:tcPr>
          <w:p w14:paraId="6D3B468E" w14:textId="77777777" w:rsidR="00683F4A" w:rsidRPr="00CD56B9" w:rsidRDefault="00683F4A" w:rsidP="009657E1">
            <w:pPr>
              <w:spacing w:after="0"/>
              <w:jc w:val="left"/>
              <w:rPr>
                <w:rFonts w:ascii="Arial Narrow" w:eastAsia="Times New Roman" w:hAnsi="Arial Narrow"/>
                <w:sz w:val="20"/>
                <w:szCs w:val="20"/>
                <w:lang w:val="en-US" w:eastAsia="en-GB"/>
              </w:rPr>
            </w:pPr>
            <w:r w:rsidRPr="00CD56B9">
              <w:rPr>
                <w:rFonts w:ascii="Arial Narrow" w:eastAsia="Times New Roman" w:hAnsi="Arial Narrow"/>
                <w:sz w:val="20"/>
                <w:szCs w:val="20"/>
                <w:lang w:val="en-US" w:eastAsia="en-GB"/>
              </w:rPr>
              <w:t>OPC, MEC, Parliaments, ACB, Human Rights Commission, MOJ, Ombudsman, CMD, DCP, NSA, MoLG, Media Council, Academia, MODPC, Malawi Prisons, Law Commission, Judiciary, MoGCCD, DCP, NSA, MoLG, Malawi Police, MoDP, NLGFC, MALGA, MoLGRD, District Councils, MoH, Media Council</w:t>
            </w:r>
          </w:p>
        </w:tc>
        <w:tc>
          <w:tcPr>
            <w:tcW w:w="1146" w:type="dxa"/>
            <w:tcBorders>
              <w:top w:val="nil"/>
              <w:left w:val="nil"/>
              <w:bottom w:val="nil"/>
              <w:right w:val="single" w:sz="4" w:space="0" w:color="auto"/>
            </w:tcBorders>
            <w:shd w:val="clear" w:color="000000" w:fill="CCFFFF"/>
            <w:hideMark/>
          </w:tcPr>
          <w:p w14:paraId="160EAB3A" w14:textId="77777777" w:rsidR="00683F4A" w:rsidRPr="00CD56B9" w:rsidRDefault="00683F4A" w:rsidP="009657E1">
            <w:pPr>
              <w:spacing w:after="0"/>
              <w:jc w:val="left"/>
              <w:rPr>
                <w:rFonts w:ascii="Arial Narrow" w:eastAsia="Times New Roman" w:hAnsi="Arial Narrow"/>
                <w:sz w:val="20"/>
                <w:szCs w:val="20"/>
                <w:lang w:val="en-US" w:eastAsia="en-GB"/>
              </w:rPr>
            </w:pPr>
            <w:r w:rsidRPr="00CD56B9">
              <w:rPr>
                <w:rFonts w:ascii="Arial Narrow" w:eastAsia="Times New Roman" w:hAnsi="Arial Narrow"/>
                <w:sz w:val="20"/>
                <w:szCs w:val="20"/>
                <w:lang w:val="en-US" w:eastAsia="en-GB"/>
              </w:rPr>
              <w:t> </w:t>
            </w:r>
          </w:p>
        </w:tc>
        <w:tc>
          <w:tcPr>
            <w:tcW w:w="1037" w:type="dxa"/>
            <w:vMerge w:val="restart"/>
            <w:tcBorders>
              <w:top w:val="single" w:sz="4" w:space="0" w:color="auto"/>
              <w:left w:val="single" w:sz="4" w:space="0" w:color="auto"/>
              <w:bottom w:val="single" w:sz="4" w:space="0" w:color="000000"/>
              <w:right w:val="single" w:sz="4" w:space="0" w:color="auto"/>
            </w:tcBorders>
            <w:shd w:val="clear" w:color="000000" w:fill="CCFFFF"/>
            <w:noWrap/>
            <w:hideMark/>
          </w:tcPr>
          <w:p w14:paraId="4BCB8A70" w14:textId="77777777" w:rsidR="00683F4A" w:rsidRPr="003B552F" w:rsidRDefault="00683F4A" w:rsidP="009657E1">
            <w:pPr>
              <w:spacing w:after="0"/>
              <w:jc w:val="right"/>
              <w:rPr>
                <w:rFonts w:ascii="Arial Narrow" w:eastAsia="Times New Roman" w:hAnsi="Arial Narrow"/>
                <w:b/>
                <w:bCs/>
                <w:sz w:val="20"/>
                <w:szCs w:val="20"/>
                <w:lang w:eastAsia="en-GB"/>
              </w:rPr>
            </w:pPr>
            <w:r w:rsidRPr="00CD56B9">
              <w:rPr>
                <w:rFonts w:ascii="Arial Narrow" w:eastAsia="Times New Roman" w:hAnsi="Arial Narrow"/>
                <w:b/>
                <w:bCs/>
                <w:sz w:val="20"/>
                <w:szCs w:val="20"/>
                <w:lang w:val="en-US" w:eastAsia="en-GB"/>
              </w:rPr>
              <w:t xml:space="preserve">      </w:t>
            </w:r>
            <w:r w:rsidRPr="003B552F">
              <w:rPr>
                <w:rFonts w:ascii="Arial Narrow" w:eastAsia="Times New Roman" w:hAnsi="Arial Narrow"/>
                <w:b/>
                <w:bCs/>
                <w:sz w:val="20"/>
                <w:szCs w:val="20"/>
                <w:lang w:eastAsia="en-GB"/>
              </w:rPr>
              <w:t xml:space="preserve">12,200,000 </w:t>
            </w:r>
          </w:p>
        </w:tc>
        <w:tc>
          <w:tcPr>
            <w:tcW w:w="1037" w:type="dxa"/>
            <w:vMerge w:val="restart"/>
            <w:tcBorders>
              <w:top w:val="single" w:sz="4" w:space="0" w:color="auto"/>
              <w:left w:val="single" w:sz="4" w:space="0" w:color="auto"/>
              <w:bottom w:val="single" w:sz="4" w:space="0" w:color="000000"/>
              <w:right w:val="single" w:sz="4" w:space="0" w:color="auto"/>
            </w:tcBorders>
            <w:shd w:val="clear" w:color="000000" w:fill="CCFFFF"/>
            <w:noWrap/>
            <w:hideMark/>
          </w:tcPr>
          <w:p w14:paraId="5A8AD7A2" w14:textId="77777777" w:rsidR="00683F4A" w:rsidRPr="003B552F" w:rsidRDefault="00683F4A" w:rsidP="009657E1">
            <w:pPr>
              <w:spacing w:after="0"/>
              <w:jc w:val="right"/>
              <w:rPr>
                <w:rFonts w:ascii="Arial Narrow" w:eastAsia="Times New Roman" w:hAnsi="Arial Narrow"/>
                <w:b/>
                <w:bCs/>
                <w:sz w:val="20"/>
                <w:szCs w:val="20"/>
                <w:lang w:eastAsia="en-GB"/>
              </w:rPr>
            </w:pPr>
            <w:r w:rsidRPr="003B552F">
              <w:rPr>
                <w:rFonts w:ascii="Arial Narrow" w:eastAsia="Times New Roman" w:hAnsi="Arial Narrow"/>
                <w:b/>
                <w:bCs/>
                <w:sz w:val="20"/>
                <w:szCs w:val="20"/>
                <w:lang w:eastAsia="en-GB"/>
              </w:rPr>
              <w:t xml:space="preserve">       18,300,000 </w:t>
            </w:r>
          </w:p>
        </w:tc>
        <w:tc>
          <w:tcPr>
            <w:tcW w:w="1037" w:type="dxa"/>
            <w:vMerge w:val="restart"/>
            <w:tcBorders>
              <w:top w:val="single" w:sz="4" w:space="0" w:color="auto"/>
              <w:left w:val="single" w:sz="4" w:space="0" w:color="auto"/>
              <w:bottom w:val="single" w:sz="4" w:space="0" w:color="000000"/>
              <w:right w:val="single" w:sz="4" w:space="0" w:color="auto"/>
            </w:tcBorders>
            <w:shd w:val="clear" w:color="000000" w:fill="CCFFFF"/>
            <w:noWrap/>
            <w:hideMark/>
          </w:tcPr>
          <w:p w14:paraId="1B7F3FBD" w14:textId="77777777" w:rsidR="00683F4A" w:rsidRPr="003B552F" w:rsidRDefault="00683F4A" w:rsidP="009657E1">
            <w:pPr>
              <w:spacing w:after="0"/>
              <w:jc w:val="right"/>
              <w:rPr>
                <w:rFonts w:ascii="Arial Narrow" w:eastAsia="Times New Roman" w:hAnsi="Arial Narrow"/>
                <w:b/>
                <w:bCs/>
                <w:sz w:val="20"/>
                <w:szCs w:val="20"/>
                <w:lang w:eastAsia="en-GB"/>
              </w:rPr>
            </w:pPr>
            <w:r w:rsidRPr="003B552F">
              <w:rPr>
                <w:rFonts w:ascii="Arial Narrow" w:eastAsia="Times New Roman" w:hAnsi="Arial Narrow"/>
                <w:b/>
                <w:bCs/>
                <w:sz w:val="20"/>
                <w:szCs w:val="20"/>
                <w:lang w:eastAsia="en-GB"/>
              </w:rPr>
              <w:t xml:space="preserve">      18,060,000 </w:t>
            </w:r>
          </w:p>
        </w:tc>
        <w:tc>
          <w:tcPr>
            <w:tcW w:w="1129" w:type="dxa"/>
            <w:vMerge w:val="restart"/>
            <w:tcBorders>
              <w:top w:val="single" w:sz="4" w:space="0" w:color="auto"/>
              <w:left w:val="single" w:sz="4" w:space="0" w:color="auto"/>
              <w:bottom w:val="single" w:sz="4" w:space="0" w:color="000000"/>
              <w:right w:val="single" w:sz="8" w:space="0" w:color="auto"/>
            </w:tcBorders>
            <w:shd w:val="clear" w:color="000000" w:fill="CCFFFF"/>
            <w:noWrap/>
            <w:hideMark/>
          </w:tcPr>
          <w:p w14:paraId="7BBCFFFC" w14:textId="77777777" w:rsidR="00683F4A" w:rsidRPr="003B552F" w:rsidRDefault="00683F4A" w:rsidP="009657E1">
            <w:pPr>
              <w:spacing w:after="0"/>
              <w:jc w:val="right"/>
              <w:rPr>
                <w:rFonts w:ascii="Arial Narrow" w:eastAsia="Times New Roman" w:hAnsi="Arial Narrow"/>
                <w:b/>
                <w:bCs/>
                <w:sz w:val="20"/>
                <w:szCs w:val="20"/>
                <w:lang w:eastAsia="en-GB"/>
              </w:rPr>
            </w:pPr>
            <w:r w:rsidRPr="003B552F">
              <w:rPr>
                <w:rFonts w:ascii="Arial Narrow" w:eastAsia="Times New Roman" w:hAnsi="Arial Narrow"/>
                <w:b/>
                <w:bCs/>
                <w:sz w:val="20"/>
                <w:szCs w:val="20"/>
                <w:lang w:eastAsia="en-GB"/>
              </w:rPr>
              <w:t xml:space="preserve">        48,560,000 </w:t>
            </w:r>
          </w:p>
        </w:tc>
      </w:tr>
      <w:tr w:rsidR="00683F4A" w:rsidRPr="00F72B0D" w14:paraId="4348A967" w14:textId="77777777" w:rsidTr="009657E1">
        <w:trPr>
          <w:trHeight w:val="911"/>
          <w:jc w:val="center"/>
        </w:trPr>
        <w:tc>
          <w:tcPr>
            <w:tcW w:w="1529" w:type="dxa"/>
            <w:vMerge/>
            <w:tcBorders>
              <w:top w:val="nil"/>
              <w:left w:val="single" w:sz="8" w:space="0" w:color="auto"/>
              <w:bottom w:val="single" w:sz="4" w:space="0" w:color="auto"/>
              <w:right w:val="single" w:sz="4" w:space="0" w:color="auto"/>
            </w:tcBorders>
            <w:vAlign w:val="center"/>
            <w:hideMark/>
          </w:tcPr>
          <w:p w14:paraId="77479914" w14:textId="77777777" w:rsidR="00683F4A" w:rsidRPr="003B552F" w:rsidRDefault="00683F4A" w:rsidP="009657E1">
            <w:pPr>
              <w:spacing w:after="0"/>
              <w:jc w:val="left"/>
              <w:rPr>
                <w:rFonts w:ascii="Arial Narrow" w:eastAsia="Times New Roman" w:hAnsi="Arial Narrow"/>
                <w:b/>
                <w:bCs/>
                <w:sz w:val="20"/>
                <w:szCs w:val="20"/>
                <w:lang w:eastAsia="en-GB"/>
              </w:rPr>
            </w:pPr>
          </w:p>
        </w:tc>
        <w:tc>
          <w:tcPr>
            <w:tcW w:w="1191" w:type="dxa"/>
            <w:vMerge/>
            <w:tcBorders>
              <w:top w:val="nil"/>
              <w:left w:val="single" w:sz="4" w:space="0" w:color="auto"/>
              <w:bottom w:val="single" w:sz="4" w:space="0" w:color="auto"/>
              <w:right w:val="single" w:sz="4" w:space="0" w:color="auto"/>
            </w:tcBorders>
            <w:vAlign w:val="center"/>
            <w:hideMark/>
          </w:tcPr>
          <w:p w14:paraId="10C88F00" w14:textId="77777777" w:rsidR="00683F4A" w:rsidRPr="003B552F" w:rsidRDefault="00683F4A" w:rsidP="009657E1">
            <w:pPr>
              <w:spacing w:after="0"/>
              <w:jc w:val="left"/>
              <w:rPr>
                <w:rFonts w:ascii="Arial Narrow" w:eastAsia="Times New Roman" w:hAnsi="Arial Narrow"/>
                <w:sz w:val="20"/>
                <w:szCs w:val="20"/>
                <w:lang w:eastAsia="en-GB"/>
              </w:rPr>
            </w:pPr>
          </w:p>
        </w:tc>
        <w:tc>
          <w:tcPr>
            <w:tcW w:w="2003" w:type="dxa"/>
            <w:tcBorders>
              <w:top w:val="nil"/>
              <w:left w:val="nil"/>
              <w:bottom w:val="single" w:sz="4" w:space="0" w:color="auto"/>
              <w:right w:val="single" w:sz="4" w:space="0" w:color="auto"/>
            </w:tcBorders>
            <w:shd w:val="clear" w:color="000000" w:fill="CCFFFF"/>
            <w:hideMark/>
          </w:tcPr>
          <w:p w14:paraId="7922BADA" w14:textId="77777777" w:rsidR="00683F4A" w:rsidRPr="00CD56B9" w:rsidRDefault="00683F4A" w:rsidP="009657E1">
            <w:pPr>
              <w:spacing w:after="0"/>
              <w:jc w:val="left"/>
              <w:rPr>
                <w:rFonts w:ascii="Arial Narrow" w:eastAsia="Times New Roman" w:hAnsi="Arial Narrow"/>
                <w:sz w:val="20"/>
                <w:szCs w:val="20"/>
                <w:lang w:val="en-US" w:eastAsia="en-GB"/>
              </w:rPr>
            </w:pPr>
            <w:r w:rsidRPr="00CD56B9">
              <w:rPr>
                <w:rFonts w:ascii="Arial Narrow" w:eastAsia="Times New Roman" w:hAnsi="Arial Narrow"/>
                <w:sz w:val="20"/>
                <w:szCs w:val="20"/>
                <w:lang w:val="en-US" w:eastAsia="en-GB"/>
              </w:rPr>
              <w:t xml:space="preserve">Proportion of people (men, women, youth, children) accessing formal justice (2010:  10%, Dec 2016: 60%)                                                                                                                                                                                                                                                                                                                                                                                                        </w:t>
            </w:r>
          </w:p>
        </w:tc>
        <w:tc>
          <w:tcPr>
            <w:tcW w:w="1265" w:type="dxa"/>
            <w:tcBorders>
              <w:top w:val="nil"/>
              <w:left w:val="nil"/>
              <w:bottom w:val="single" w:sz="4" w:space="0" w:color="auto"/>
              <w:right w:val="single" w:sz="4" w:space="0" w:color="auto"/>
            </w:tcBorders>
            <w:shd w:val="clear" w:color="000000" w:fill="CCFFFF"/>
            <w:hideMark/>
          </w:tcPr>
          <w:p w14:paraId="446744D1" w14:textId="77777777" w:rsidR="00683F4A" w:rsidRPr="00CD56B9" w:rsidRDefault="00683F4A" w:rsidP="009657E1">
            <w:pPr>
              <w:spacing w:after="0"/>
              <w:jc w:val="left"/>
              <w:rPr>
                <w:rFonts w:ascii="Arial Narrow" w:eastAsia="Times New Roman" w:hAnsi="Arial Narrow"/>
                <w:sz w:val="20"/>
                <w:szCs w:val="20"/>
                <w:lang w:val="en-US" w:eastAsia="en-GB"/>
              </w:rPr>
            </w:pPr>
            <w:r w:rsidRPr="00CD56B9">
              <w:rPr>
                <w:rFonts w:ascii="Arial Narrow" w:eastAsia="Times New Roman" w:hAnsi="Arial Narrow"/>
                <w:sz w:val="20"/>
                <w:szCs w:val="20"/>
                <w:lang w:val="en-US" w:eastAsia="en-GB"/>
              </w:rPr>
              <w:t>Democratic Governance Baseline Survey (NSO</w:t>
            </w:r>
          </w:p>
        </w:tc>
        <w:tc>
          <w:tcPr>
            <w:tcW w:w="2217" w:type="dxa"/>
            <w:vMerge/>
            <w:tcBorders>
              <w:top w:val="nil"/>
              <w:left w:val="single" w:sz="4" w:space="0" w:color="auto"/>
              <w:bottom w:val="single" w:sz="4" w:space="0" w:color="000000"/>
              <w:right w:val="single" w:sz="4" w:space="0" w:color="auto"/>
            </w:tcBorders>
            <w:vAlign w:val="center"/>
            <w:hideMark/>
          </w:tcPr>
          <w:p w14:paraId="48C7D713" w14:textId="77777777" w:rsidR="00683F4A" w:rsidRPr="00CD56B9" w:rsidRDefault="00683F4A" w:rsidP="009657E1">
            <w:pPr>
              <w:spacing w:after="0"/>
              <w:jc w:val="left"/>
              <w:rPr>
                <w:rFonts w:ascii="Arial Narrow" w:eastAsia="Times New Roman" w:hAnsi="Arial Narrow"/>
                <w:sz w:val="20"/>
                <w:szCs w:val="20"/>
                <w:lang w:val="en-US" w:eastAsia="en-GB"/>
              </w:rPr>
            </w:pPr>
          </w:p>
        </w:tc>
        <w:tc>
          <w:tcPr>
            <w:tcW w:w="1201" w:type="dxa"/>
            <w:vMerge/>
            <w:tcBorders>
              <w:top w:val="nil"/>
              <w:left w:val="single" w:sz="4" w:space="0" w:color="auto"/>
              <w:bottom w:val="single" w:sz="4" w:space="0" w:color="000000"/>
              <w:right w:val="single" w:sz="4" w:space="0" w:color="auto"/>
            </w:tcBorders>
            <w:vAlign w:val="center"/>
            <w:hideMark/>
          </w:tcPr>
          <w:p w14:paraId="3592C2E1" w14:textId="77777777" w:rsidR="00683F4A" w:rsidRPr="00CD56B9" w:rsidRDefault="00683F4A" w:rsidP="009657E1">
            <w:pPr>
              <w:spacing w:after="0"/>
              <w:jc w:val="left"/>
              <w:rPr>
                <w:rFonts w:ascii="Arial Narrow" w:eastAsia="Times New Roman" w:hAnsi="Arial Narrow"/>
                <w:sz w:val="20"/>
                <w:szCs w:val="20"/>
                <w:lang w:val="en-US" w:eastAsia="en-GB"/>
              </w:rPr>
            </w:pPr>
          </w:p>
        </w:tc>
        <w:tc>
          <w:tcPr>
            <w:tcW w:w="1146" w:type="dxa"/>
            <w:tcBorders>
              <w:top w:val="nil"/>
              <w:left w:val="nil"/>
              <w:bottom w:val="nil"/>
              <w:right w:val="single" w:sz="4" w:space="0" w:color="auto"/>
            </w:tcBorders>
            <w:shd w:val="clear" w:color="000000" w:fill="CCFFFF"/>
            <w:hideMark/>
          </w:tcPr>
          <w:p w14:paraId="5A4AF672" w14:textId="77777777" w:rsidR="00683F4A" w:rsidRPr="00CD56B9" w:rsidRDefault="00683F4A" w:rsidP="009657E1">
            <w:pPr>
              <w:spacing w:after="0"/>
              <w:jc w:val="left"/>
              <w:rPr>
                <w:rFonts w:ascii="Arial Narrow" w:eastAsia="Times New Roman" w:hAnsi="Arial Narrow"/>
                <w:sz w:val="20"/>
                <w:szCs w:val="20"/>
                <w:lang w:val="en-US" w:eastAsia="en-GB"/>
              </w:rPr>
            </w:pPr>
            <w:r w:rsidRPr="00CD56B9">
              <w:rPr>
                <w:rFonts w:ascii="Arial Narrow" w:eastAsia="Times New Roman" w:hAnsi="Arial Narrow"/>
                <w:sz w:val="20"/>
                <w:szCs w:val="20"/>
                <w:lang w:val="en-US" w:eastAsia="en-GB"/>
              </w:rPr>
              <w:t> </w:t>
            </w:r>
          </w:p>
        </w:tc>
        <w:tc>
          <w:tcPr>
            <w:tcW w:w="1037" w:type="dxa"/>
            <w:vMerge/>
            <w:tcBorders>
              <w:top w:val="single" w:sz="4" w:space="0" w:color="auto"/>
              <w:left w:val="single" w:sz="4" w:space="0" w:color="auto"/>
              <w:bottom w:val="single" w:sz="4" w:space="0" w:color="000000"/>
              <w:right w:val="single" w:sz="4" w:space="0" w:color="auto"/>
            </w:tcBorders>
            <w:vAlign w:val="center"/>
            <w:hideMark/>
          </w:tcPr>
          <w:p w14:paraId="08DD62E9" w14:textId="77777777" w:rsidR="00683F4A" w:rsidRPr="00CD56B9" w:rsidRDefault="00683F4A" w:rsidP="009657E1">
            <w:pPr>
              <w:spacing w:after="0"/>
              <w:jc w:val="left"/>
              <w:rPr>
                <w:rFonts w:ascii="Arial Narrow" w:eastAsia="Times New Roman" w:hAnsi="Arial Narrow"/>
                <w:b/>
                <w:bCs/>
                <w:sz w:val="20"/>
                <w:szCs w:val="20"/>
                <w:lang w:val="en-US" w:eastAsia="en-GB"/>
              </w:rPr>
            </w:pPr>
          </w:p>
        </w:tc>
        <w:tc>
          <w:tcPr>
            <w:tcW w:w="1037" w:type="dxa"/>
            <w:vMerge/>
            <w:tcBorders>
              <w:top w:val="single" w:sz="4" w:space="0" w:color="auto"/>
              <w:left w:val="single" w:sz="4" w:space="0" w:color="auto"/>
              <w:bottom w:val="single" w:sz="4" w:space="0" w:color="000000"/>
              <w:right w:val="single" w:sz="4" w:space="0" w:color="auto"/>
            </w:tcBorders>
            <w:vAlign w:val="center"/>
            <w:hideMark/>
          </w:tcPr>
          <w:p w14:paraId="302842E9" w14:textId="77777777" w:rsidR="00683F4A" w:rsidRPr="00CD56B9" w:rsidRDefault="00683F4A" w:rsidP="009657E1">
            <w:pPr>
              <w:spacing w:after="0"/>
              <w:jc w:val="left"/>
              <w:rPr>
                <w:rFonts w:ascii="Arial Narrow" w:eastAsia="Times New Roman" w:hAnsi="Arial Narrow"/>
                <w:b/>
                <w:bCs/>
                <w:sz w:val="20"/>
                <w:szCs w:val="20"/>
                <w:lang w:val="en-US" w:eastAsia="en-GB"/>
              </w:rPr>
            </w:pPr>
          </w:p>
        </w:tc>
        <w:tc>
          <w:tcPr>
            <w:tcW w:w="1037" w:type="dxa"/>
            <w:vMerge/>
            <w:tcBorders>
              <w:top w:val="single" w:sz="4" w:space="0" w:color="auto"/>
              <w:left w:val="single" w:sz="4" w:space="0" w:color="auto"/>
              <w:bottom w:val="single" w:sz="4" w:space="0" w:color="000000"/>
              <w:right w:val="single" w:sz="4" w:space="0" w:color="auto"/>
            </w:tcBorders>
            <w:vAlign w:val="center"/>
            <w:hideMark/>
          </w:tcPr>
          <w:p w14:paraId="139BBC50" w14:textId="77777777" w:rsidR="00683F4A" w:rsidRPr="00CD56B9" w:rsidRDefault="00683F4A" w:rsidP="009657E1">
            <w:pPr>
              <w:spacing w:after="0"/>
              <w:jc w:val="left"/>
              <w:rPr>
                <w:rFonts w:ascii="Arial Narrow" w:eastAsia="Times New Roman" w:hAnsi="Arial Narrow"/>
                <w:b/>
                <w:bCs/>
                <w:sz w:val="20"/>
                <w:szCs w:val="20"/>
                <w:lang w:val="en-US" w:eastAsia="en-GB"/>
              </w:rPr>
            </w:pPr>
          </w:p>
        </w:tc>
        <w:tc>
          <w:tcPr>
            <w:tcW w:w="1129" w:type="dxa"/>
            <w:vMerge/>
            <w:tcBorders>
              <w:top w:val="single" w:sz="4" w:space="0" w:color="auto"/>
              <w:left w:val="single" w:sz="4" w:space="0" w:color="auto"/>
              <w:bottom w:val="single" w:sz="4" w:space="0" w:color="000000"/>
              <w:right w:val="single" w:sz="8" w:space="0" w:color="auto"/>
            </w:tcBorders>
            <w:vAlign w:val="center"/>
            <w:hideMark/>
          </w:tcPr>
          <w:p w14:paraId="58941078" w14:textId="77777777" w:rsidR="00683F4A" w:rsidRPr="00CD56B9" w:rsidRDefault="00683F4A" w:rsidP="009657E1">
            <w:pPr>
              <w:spacing w:after="0"/>
              <w:jc w:val="left"/>
              <w:rPr>
                <w:rFonts w:ascii="Arial Narrow" w:eastAsia="Times New Roman" w:hAnsi="Arial Narrow"/>
                <w:b/>
                <w:bCs/>
                <w:sz w:val="20"/>
                <w:szCs w:val="20"/>
                <w:lang w:val="en-US" w:eastAsia="en-GB"/>
              </w:rPr>
            </w:pPr>
          </w:p>
        </w:tc>
      </w:tr>
      <w:tr w:rsidR="00683F4A" w:rsidRPr="007D425D" w14:paraId="7DE6EBCE" w14:textId="77777777" w:rsidTr="009657E1">
        <w:trPr>
          <w:trHeight w:val="663"/>
          <w:jc w:val="center"/>
        </w:trPr>
        <w:tc>
          <w:tcPr>
            <w:tcW w:w="1529" w:type="dxa"/>
            <w:vMerge/>
            <w:tcBorders>
              <w:top w:val="nil"/>
              <w:left w:val="single" w:sz="8" w:space="0" w:color="auto"/>
              <w:bottom w:val="single" w:sz="4" w:space="0" w:color="auto"/>
              <w:right w:val="single" w:sz="4" w:space="0" w:color="auto"/>
            </w:tcBorders>
            <w:vAlign w:val="center"/>
            <w:hideMark/>
          </w:tcPr>
          <w:p w14:paraId="5597BE24" w14:textId="77777777" w:rsidR="00683F4A" w:rsidRPr="00CD56B9" w:rsidRDefault="00683F4A" w:rsidP="009657E1">
            <w:pPr>
              <w:spacing w:after="0"/>
              <w:jc w:val="left"/>
              <w:rPr>
                <w:rFonts w:ascii="Arial Narrow" w:eastAsia="Times New Roman" w:hAnsi="Arial Narrow"/>
                <w:b/>
                <w:bCs/>
                <w:sz w:val="20"/>
                <w:szCs w:val="20"/>
                <w:lang w:val="en-US" w:eastAsia="en-GB"/>
              </w:rPr>
            </w:pPr>
          </w:p>
        </w:tc>
        <w:tc>
          <w:tcPr>
            <w:tcW w:w="1191" w:type="dxa"/>
            <w:vMerge/>
            <w:tcBorders>
              <w:top w:val="nil"/>
              <w:left w:val="single" w:sz="4" w:space="0" w:color="auto"/>
              <w:bottom w:val="single" w:sz="4" w:space="0" w:color="auto"/>
              <w:right w:val="single" w:sz="4" w:space="0" w:color="auto"/>
            </w:tcBorders>
            <w:vAlign w:val="center"/>
            <w:hideMark/>
          </w:tcPr>
          <w:p w14:paraId="3966503B" w14:textId="77777777" w:rsidR="00683F4A" w:rsidRPr="00CD56B9" w:rsidRDefault="00683F4A" w:rsidP="009657E1">
            <w:pPr>
              <w:spacing w:after="0"/>
              <w:jc w:val="left"/>
              <w:rPr>
                <w:rFonts w:ascii="Arial Narrow" w:eastAsia="Times New Roman" w:hAnsi="Arial Narrow"/>
                <w:sz w:val="20"/>
                <w:szCs w:val="20"/>
                <w:lang w:val="en-US" w:eastAsia="en-GB"/>
              </w:rPr>
            </w:pPr>
          </w:p>
        </w:tc>
        <w:tc>
          <w:tcPr>
            <w:tcW w:w="2003" w:type="dxa"/>
            <w:tcBorders>
              <w:top w:val="nil"/>
              <w:left w:val="nil"/>
              <w:bottom w:val="single" w:sz="4" w:space="0" w:color="auto"/>
              <w:right w:val="single" w:sz="4" w:space="0" w:color="auto"/>
            </w:tcBorders>
            <w:shd w:val="clear" w:color="000000" w:fill="CCFFFF"/>
            <w:hideMark/>
          </w:tcPr>
          <w:p w14:paraId="2520C984" w14:textId="77777777" w:rsidR="00683F4A" w:rsidRPr="003B552F" w:rsidRDefault="00683F4A" w:rsidP="009657E1">
            <w:pPr>
              <w:spacing w:after="0"/>
              <w:jc w:val="left"/>
              <w:rPr>
                <w:rFonts w:ascii="Arial Narrow" w:eastAsia="Times New Roman" w:hAnsi="Arial Narrow"/>
                <w:sz w:val="20"/>
                <w:szCs w:val="20"/>
                <w:lang w:eastAsia="en-GB"/>
              </w:rPr>
            </w:pPr>
            <w:r w:rsidRPr="003B552F">
              <w:rPr>
                <w:rFonts w:ascii="Arial Narrow" w:eastAsia="Times New Roman" w:hAnsi="Arial Narrow"/>
                <w:sz w:val="20"/>
                <w:szCs w:val="20"/>
                <w:lang w:eastAsia="en-GB"/>
              </w:rPr>
              <w:t>Voter turnout (2009: 70%; 2014: 90%)</w:t>
            </w:r>
          </w:p>
        </w:tc>
        <w:tc>
          <w:tcPr>
            <w:tcW w:w="1265" w:type="dxa"/>
            <w:tcBorders>
              <w:top w:val="nil"/>
              <w:left w:val="nil"/>
              <w:bottom w:val="single" w:sz="4" w:space="0" w:color="auto"/>
              <w:right w:val="single" w:sz="4" w:space="0" w:color="auto"/>
            </w:tcBorders>
            <w:shd w:val="clear" w:color="000000" w:fill="CCFFFF"/>
            <w:hideMark/>
          </w:tcPr>
          <w:p w14:paraId="75DF9DDF" w14:textId="77777777" w:rsidR="00683F4A" w:rsidRPr="003B552F" w:rsidRDefault="00683F4A" w:rsidP="009657E1">
            <w:pPr>
              <w:spacing w:after="0"/>
              <w:jc w:val="left"/>
              <w:rPr>
                <w:rFonts w:ascii="Arial Narrow" w:eastAsia="Times New Roman" w:hAnsi="Arial Narrow"/>
                <w:sz w:val="20"/>
                <w:szCs w:val="20"/>
                <w:lang w:eastAsia="en-GB"/>
              </w:rPr>
            </w:pPr>
            <w:r w:rsidRPr="003B552F">
              <w:rPr>
                <w:rFonts w:ascii="Arial Narrow" w:eastAsia="Times New Roman" w:hAnsi="Arial Narrow"/>
                <w:sz w:val="20"/>
                <w:szCs w:val="20"/>
                <w:lang w:eastAsia="en-GB"/>
              </w:rPr>
              <w:t>Malawi Electoral Commission (MEC)</w:t>
            </w:r>
          </w:p>
        </w:tc>
        <w:tc>
          <w:tcPr>
            <w:tcW w:w="2217" w:type="dxa"/>
            <w:vMerge/>
            <w:tcBorders>
              <w:top w:val="nil"/>
              <w:left w:val="single" w:sz="4" w:space="0" w:color="auto"/>
              <w:bottom w:val="single" w:sz="4" w:space="0" w:color="000000"/>
              <w:right w:val="single" w:sz="4" w:space="0" w:color="auto"/>
            </w:tcBorders>
            <w:vAlign w:val="center"/>
            <w:hideMark/>
          </w:tcPr>
          <w:p w14:paraId="1EB87ACF" w14:textId="77777777" w:rsidR="00683F4A" w:rsidRPr="003B552F" w:rsidRDefault="00683F4A" w:rsidP="009657E1">
            <w:pPr>
              <w:spacing w:after="0"/>
              <w:jc w:val="left"/>
              <w:rPr>
                <w:rFonts w:ascii="Arial Narrow" w:eastAsia="Times New Roman" w:hAnsi="Arial Narrow"/>
                <w:sz w:val="20"/>
                <w:szCs w:val="20"/>
                <w:lang w:eastAsia="en-GB"/>
              </w:rPr>
            </w:pPr>
          </w:p>
        </w:tc>
        <w:tc>
          <w:tcPr>
            <w:tcW w:w="1201" w:type="dxa"/>
            <w:vMerge/>
            <w:tcBorders>
              <w:top w:val="nil"/>
              <w:left w:val="single" w:sz="4" w:space="0" w:color="auto"/>
              <w:bottom w:val="single" w:sz="4" w:space="0" w:color="000000"/>
              <w:right w:val="single" w:sz="4" w:space="0" w:color="auto"/>
            </w:tcBorders>
            <w:vAlign w:val="center"/>
            <w:hideMark/>
          </w:tcPr>
          <w:p w14:paraId="264C2859" w14:textId="77777777" w:rsidR="00683F4A" w:rsidRPr="003B552F" w:rsidRDefault="00683F4A" w:rsidP="009657E1">
            <w:pPr>
              <w:spacing w:after="0"/>
              <w:jc w:val="left"/>
              <w:rPr>
                <w:rFonts w:ascii="Arial Narrow" w:eastAsia="Times New Roman" w:hAnsi="Arial Narrow"/>
                <w:sz w:val="20"/>
                <w:szCs w:val="20"/>
                <w:lang w:eastAsia="en-GB"/>
              </w:rPr>
            </w:pPr>
          </w:p>
        </w:tc>
        <w:tc>
          <w:tcPr>
            <w:tcW w:w="1146" w:type="dxa"/>
            <w:tcBorders>
              <w:top w:val="nil"/>
              <w:left w:val="nil"/>
              <w:bottom w:val="nil"/>
              <w:right w:val="single" w:sz="4" w:space="0" w:color="auto"/>
            </w:tcBorders>
            <w:shd w:val="clear" w:color="000000" w:fill="CCFFFF"/>
            <w:hideMark/>
          </w:tcPr>
          <w:p w14:paraId="52B4AD4E" w14:textId="77777777" w:rsidR="00683F4A" w:rsidRPr="003B552F" w:rsidRDefault="00683F4A" w:rsidP="009657E1">
            <w:pPr>
              <w:spacing w:after="0"/>
              <w:jc w:val="lef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w:t>
            </w:r>
          </w:p>
        </w:tc>
        <w:tc>
          <w:tcPr>
            <w:tcW w:w="1037" w:type="dxa"/>
            <w:vMerge/>
            <w:tcBorders>
              <w:top w:val="single" w:sz="4" w:space="0" w:color="auto"/>
              <w:left w:val="single" w:sz="4" w:space="0" w:color="auto"/>
              <w:bottom w:val="single" w:sz="4" w:space="0" w:color="000000"/>
              <w:right w:val="single" w:sz="4" w:space="0" w:color="auto"/>
            </w:tcBorders>
            <w:vAlign w:val="center"/>
            <w:hideMark/>
          </w:tcPr>
          <w:p w14:paraId="78697468" w14:textId="77777777" w:rsidR="00683F4A" w:rsidRPr="003B552F" w:rsidRDefault="00683F4A" w:rsidP="009657E1">
            <w:pPr>
              <w:spacing w:after="0"/>
              <w:jc w:val="left"/>
              <w:rPr>
                <w:rFonts w:ascii="Arial Narrow" w:eastAsia="Times New Roman" w:hAnsi="Arial Narrow"/>
                <w:b/>
                <w:bCs/>
                <w:sz w:val="20"/>
                <w:szCs w:val="20"/>
                <w:lang w:eastAsia="en-GB"/>
              </w:rPr>
            </w:pPr>
          </w:p>
        </w:tc>
        <w:tc>
          <w:tcPr>
            <w:tcW w:w="1037" w:type="dxa"/>
            <w:vMerge/>
            <w:tcBorders>
              <w:top w:val="single" w:sz="4" w:space="0" w:color="auto"/>
              <w:left w:val="single" w:sz="4" w:space="0" w:color="auto"/>
              <w:bottom w:val="single" w:sz="4" w:space="0" w:color="000000"/>
              <w:right w:val="single" w:sz="4" w:space="0" w:color="auto"/>
            </w:tcBorders>
            <w:vAlign w:val="center"/>
            <w:hideMark/>
          </w:tcPr>
          <w:p w14:paraId="00A3A947" w14:textId="77777777" w:rsidR="00683F4A" w:rsidRPr="003B552F" w:rsidRDefault="00683F4A" w:rsidP="009657E1">
            <w:pPr>
              <w:spacing w:after="0"/>
              <w:jc w:val="left"/>
              <w:rPr>
                <w:rFonts w:ascii="Arial Narrow" w:eastAsia="Times New Roman" w:hAnsi="Arial Narrow"/>
                <w:b/>
                <w:bCs/>
                <w:sz w:val="20"/>
                <w:szCs w:val="20"/>
                <w:lang w:eastAsia="en-GB"/>
              </w:rPr>
            </w:pPr>
          </w:p>
        </w:tc>
        <w:tc>
          <w:tcPr>
            <w:tcW w:w="1037" w:type="dxa"/>
            <w:vMerge/>
            <w:tcBorders>
              <w:top w:val="single" w:sz="4" w:space="0" w:color="auto"/>
              <w:left w:val="single" w:sz="4" w:space="0" w:color="auto"/>
              <w:bottom w:val="single" w:sz="4" w:space="0" w:color="000000"/>
              <w:right w:val="single" w:sz="4" w:space="0" w:color="auto"/>
            </w:tcBorders>
            <w:vAlign w:val="center"/>
            <w:hideMark/>
          </w:tcPr>
          <w:p w14:paraId="21A1C710" w14:textId="77777777" w:rsidR="00683F4A" w:rsidRPr="003B552F" w:rsidRDefault="00683F4A" w:rsidP="009657E1">
            <w:pPr>
              <w:spacing w:after="0"/>
              <w:jc w:val="left"/>
              <w:rPr>
                <w:rFonts w:ascii="Arial Narrow" w:eastAsia="Times New Roman" w:hAnsi="Arial Narrow"/>
                <w:b/>
                <w:bCs/>
                <w:sz w:val="20"/>
                <w:szCs w:val="20"/>
                <w:lang w:eastAsia="en-GB"/>
              </w:rPr>
            </w:pPr>
          </w:p>
        </w:tc>
        <w:tc>
          <w:tcPr>
            <w:tcW w:w="1129" w:type="dxa"/>
            <w:vMerge/>
            <w:tcBorders>
              <w:top w:val="single" w:sz="4" w:space="0" w:color="auto"/>
              <w:left w:val="single" w:sz="4" w:space="0" w:color="auto"/>
              <w:bottom w:val="single" w:sz="4" w:space="0" w:color="000000"/>
              <w:right w:val="single" w:sz="8" w:space="0" w:color="auto"/>
            </w:tcBorders>
            <w:vAlign w:val="center"/>
            <w:hideMark/>
          </w:tcPr>
          <w:p w14:paraId="565E621E" w14:textId="77777777" w:rsidR="00683F4A" w:rsidRPr="003B552F" w:rsidRDefault="00683F4A" w:rsidP="009657E1">
            <w:pPr>
              <w:spacing w:after="0"/>
              <w:jc w:val="left"/>
              <w:rPr>
                <w:rFonts w:ascii="Arial Narrow" w:eastAsia="Times New Roman" w:hAnsi="Arial Narrow"/>
                <w:b/>
                <w:bCs/>
                <w:sz w:val="20"/>
                <w:szCs w:val="20"/>
                <w:lang w:eastAsia="en-GB"/>
              </w:rPr>
            </w:pPr>
          </w:p>
        </w:tc>
      </w:tr>
      <w:tr w:rsidR="00683F4A" w:rsidRPr="007D425D" w14:paraId="309C40CA" w14:textId="77777777" w:rsidTr="009657E1">
        <w:trPr>
          <w:trHeight w:val="753"/>
          <w:jc w:val="center"/>
        </w:trPr>
        <w:tc>
          <w:tcPr>
            <w:tcW w:w="1529" w:type="dxa"/>
            <w:vMerge/>
            <w:tcBorders>
              <w:top w:val="nil"/>
              <w:left w:val="single" w:sz="8" w:space="0" w:color="auto"/>
              <w:bottom w:val="single" w:sz="4" w:space="0" w:color="auto"/>
              <w:right w:val="single" w:sz="4" w:space="0" w:color="auto"/>
            </w:tcBorders>
            <w:vAlign w:val="center"/>
            <w:hideMark/>
          </w:tcPr>
          <w:p w14:paraId="1EF12A56" w14:textId="77777777" w:rsidR="00683F4A" w:rsidRPr="003B552F" w:rsidRDefault="00683F4A" w:rsidP="009657E1">
            <w:pPr>
              <w:spacing w:after="0"/>
              <w:jc w:val="left"/>
              <w:rPr>
                <w:rFonts w:ascii="Arial Narrow" w:eastAsia="Times New Roman" w:hAnsi="Arial Narrow"/>
                <w:b/>
                <w:bCs/>
                <w:sz w:val="20"/>
                <w:szCs w:val="20"/>
                <w:lang w:eastAsia="en-GB"/>
              </w:rPr>
            </w:pPr>
          </w:p>
        </w:tc>
        <w:tc>
          <w:tcPr>
            <w:tcW w:w="1191" w:type="dxa"/>
            <w:vMerge/>
            <w:tcBorders>
              <w:top w:val="nil"/>
              <w:left w:val="single" w:sz="4" w:space="0" w:color="auto"/>
              <w:bottom w:val="single" w:sz="4" w:space="0" w:color="auto"/>
              <w:right w:val="single" w:sz="4" w:space="0" w:color="auto"/>
            </w:tcBorders>
            <w:vAlign w:val="center"/>
            <w:hideMark/>
          </w:tcPr>
          <w:p w14:paraId="24F1D952" w14:textId="77777777" w:rsidR="00683F4A" w:rsidRPr="003B552F" w:rsidRDefault="00683F4A" w:rsidP="009657E1">
            <w:pPr>
              <w:spacing w:after="0"/>
              <w:jc w:val="left"/>
              <w:rPr>
                <w:rFonts w:ascii="Arial Narrow" w:eastAsia="Times New Roman" w:hAnsi="Arial Narrow"/>
                <w:sz w:val="20"/>
                <w:szCs w:val="20"/>
                <w:lang w:eastAsia="en-GB"/>
              </w:rPr>
            </w:pPr>
          </w:p>
        </w:tc>
        <w:tc>
          <w:tcPr>
            <w:tcW w:w="2003" w:type="dxa"/>
            <w:tcBorders>
              <w:top w:val="nil"/>
              <w:left w:val="nil"/>
              <w:bottom w:val="single" w:sz="4" w:space="0" w:color="auto"/>
              <w:right w:val="single" w:sz="4" w:space="0" w:color="auto"/>
            </w:tcBorders>
            <w:shd w:val="clear" w:color="000000" w:fill="CCFFFF"/>
            <w:hideMark/>
          </w:tcPr>
          <w:p w14:paraId="6D2ADB7B" w14:textId="77777777" w:rsidR="00683F4A" w:rsidRPr="003B552F" w:rsidRDefault="00683F4A" w:rsidP="009657E1">
            <w:pPr>
              <w:spacing w:after="0"/>
              <w:jc w:val="left"/>
              <w:rPr>
                <w:rFonts w:ascii="Arial Narrow" w:eastAsia="Times New Roman" w:hAnsi="Arial Narrow"/>
                <w:sz w:val="20"/>
                <w:szCs w:val="20"/>
                <w:lang w:eastAsia="en-GB"/>
              </w:rPr>
            </w:pPr>
            <w:r w:rsidRPr="003B552F">
              <w:rPr>
                <w:rFonts w:ascii="Arial Narrow" w:eastAsia="Times New Roman" w:hAnsi="Arial Narrow"/>
                <w:sz w:val="20"/>
                <w:szCs w:val="20"/>
                <w:lang w:eastAsia="en-GB"/>
              </w:rPr>
              <w:t>Percentage of devolved sectors (2010: 63%; 2016: 85%)</w:t>
            </w:r>
          </w:p>
        </w:tc>
        <w:tc>
          <w:tcPr>
            <w:tcW w:w="1265" w:type="dxa"/>
            <w:tcBorders>
              <w:top w:val="nil"/>
              <w:left w:val="nil"/>
              <w:bottom w:val="single" w:sz="4" w:space="0" w:color="auto"/>
              <w:right w:val="single" w:sz="4" w:space="0" w:color="auto"/>
            </w:tcBorders>
            <w:shd w:val="clear" w:color="000000" w:fill="CCFFFF"/>
            <w:hideMark/>
          </w:tcPr>
          <w:p w14:paraId="2032DC78" w14:textId="77777777" w:rsidR="00683F4A" w:rsidRPr="003B552F" w:rsidRDefault="00683F4A" w:rsidP="009657E1">
            <w:pPr>
              <w:spacing w:after="0"/>
              <w:jc w:val="left"/>
              <w:rPr>
                <w:rFonts w:ascii="Arial Narrow" w:eastAsia="Times New Roman" w:hAnsi="Arial Narrow"/>
                <w:sz w:val="20"/>
                <w:szCs w:val="20"/>
                <w:lang w:eastAsia="en-GB"/>
              </w:rPr>
            </w:pPr>
            <w:r w:rsidRPr="003B552F">
              <w:rPr>
                <w:rFonts w:ascii="Arial Narrow" w:eastAsia="Times New Roman" w:hAnsi="Arial Narrow"/>
                <w:sz w:val="20"/>
                <w:szCs w:val="20"/>
                <w:lang w:eastAsia="en-GB"/>
              </w:rPr>
              <w:t>Ministry of Local Government</w:t>
            </w:r>
          </w:p>
        </w:tc>
        <w:tc>
          <w:tcPr>
            <w:tcW w:w="2217" w:type="dxa"/>
            <w:vMerge/>
            <w:tcBorders>
              <w:top w:val="nil"/>
              <w:left w:val="single" w:sz="4" w:space="0" w:color="auto"/>
              <w:bottom w:val="single" w:sz="4" w:space="0" w:color="000000"/>
              <w:right w:val="single" w:sz="4" w:space="0" w:color="auto"/>
            </w:tcBorders>
            <w:vAlign w:val="center"/>
            <w:hideMark/>
          </w:tcPr>
          <w:p w14:paraId="5A40B8E4" w14:textId="77777777" w:rsidR="00683F4A" w:rsidRPr="003B552F" w:rsidRDefault="00683F4A" w:rsidP="009657E1">
            <w:pPr>
              <w:spacing w:after="0"/>
              <w:jc w:val="left"/>
              <w:rPr>
                <w:rFonts w:ascii="Arial Narrow" w:eastAsia="Times New Roman" w:hAnsi="Arial Narrow"/>
                <w:sz w:val="20"/>
                <w:szCs w:val="20"/>
                <w:lang w:eastAsia="en-GB"/>
              </w:rPr>
            </w:pPr>
          </w:p>
        </w:tc>
        <w:tc>
          <w:tcPr>
            <w:tcW w:w="1201" w:type="dxa"/>
            <w:vMerge/>
            <w:tcBorders>
              <w:top w:val="nil"/>
              <w:left w:val="single" w:sz="4" w:space="0" w:color="auto"/>
              <w:bottom w:val="single" w:sz="4" w:space="0" w:color="000000"/>
              <w:right w:val="single" w:sz="4" w:space="0" w:color="auto"/>
            </w:tcBorders>
            <w:vAlign w:val="center"/>
            <w:hideMark/>
          </w:tcPr>
          <w:p w14:paraId="0001DFBE" w14:textId="77777777" w:rsidR="00683F4A" w:rsidRPr="003B552F" w:rsidRDefault="00683F4A" w:rsidP="009657E1">
            <w:pPr>
              <w:spacing w:after="0"/>
              <w:jc w:val="left"/>
              <w:rPr>
                <w:rFonts w:ascii="Arial Narrow" w:eastAsia="Times New Roman" w:hAnsi="Arial Narrow"/>
                <w:sz w:val="20"/>
                <w:szCs w:val="20"/>
                <w:lang w:eastAsia="en-GB"/>
              </w:rPr>
            </w:pPr>
          </w:p>
        </w:tc>
        <w:tc>
          <w:tcPr>
            <w:tcW w:w="1146" w:type="dxa"/>
            <w:tcBorders>
              <w:top w:val="nil"/>
              <w:left w:val="nil"/>
              <w:bottom w:val="single" w:sz="4" w:space="0" w:color="auto"/>
              <w:right w:val="single" w:sz="4" w:space="0" w:color="auto"/>
            </w:tcBorders>
            <w:shd w:val="clear" w:color="000000" w:fill="CCFFFF"/>
            <w:hideMark/>
          </w:tcPr>
          <w:p w14:paraId="62F1387D" w14:textId="77777777" w:rsidR="00683F4A" w:rsidRPr="003B552F" w:rsidRDefault="00683F4A" w:rsidP="009657E1">
            <w:pPr>
              <w:spacing w:after="0"/>
              <w:jc w:val="lef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w:t>
            </w:r>
          </w:p>
        </w:tc>
        <w:tc>
          <w:tcPr>
            <w:tcW w:w="1037" w:type="dxa"/>
            <w:vMerge/>
            <w:tcBorders>
              <w:top w:val="single" w:sz="4" w:space="0" w:color="auto"/>
              <w:left w:val="single" w:sz="4" w:space="0" w:color="auto"/>
              <w:bottom w:val="single" w:sz="4" w:space="0" w:color="000000"/>
              <w:right w:val="single" w:sz="4" w:space="0" w:color="auto"/>
            </w:tcBorders>
            <w:vAlign w:val="center"/>
            <w:hideMark/>
          </w:tcPr>
          <w:p w14:paraId="5B1103A7" w14:textId="77777777" w:rsidR="00683F4A" w:rsidRPr="003B552F" w:rsidRDefault="00683F4A" w:rsidP="009657E1">
            <w:pPr>
              <w:spacing w:after="0"/>
              <w:jc w:val="left"/>
              <w:rPr>
                <w:rFonts w:ascii="Arial Narrow" w:eastAsia="Times New Roman" w:hAnsi="Arial Narrow"/>
                <w:b/>
                <w:bCs/>
                <w:sz w:val="20"/>
                <w:szCs w:val="20"/>
                <w:lang w:eastAsia="en-GB"/>
              </w:rPr>
            </w:pPr>
          </w:p>
        </w:tc>
        <w:tc>
          <w:tcPr>
            <w:tcW w:w="1037" w:type="dxa"/>
            <w:vMerge/>
            <w:tcBorders>
              <w:top w:val="single" w:sz="4" w:space="0" w:color="auto"/>
              <w:left w:val="single" w:sz="4" w:space="0" w:color="auto"/>
              <w:bottom w:val="single" w:sz="4" w:space="0" w:color="000000"/>
              <w:right w:val="single" w:sz="4" w:space="0" w:color="auto"/>
            </w:tcBorders>
            <w:vAlign w:val="center"/>
            <w:hideMark/>
          </w:tcPr>
          <w:p w14:paraId="36C6091E" w14:textId="77777777" w:rsidR="00683F4A" w:rsidRPr="003B552F" w:rsidRDefault="00683F4A" w:rsidP="009657E1">
            <w:pPr>
              <w:spacing w:after="0"/>
              <w:jc w:val="left"/>
              <w:rPr>
                <w:rFonts w:ascii="Arial Narrow" w:eastAsia="Times New Roman" w:hAnsi="Arial Narrow"/>
                <w:b/>
                <w:bCs/>
                <w:sz w:val="20"/>
                <w:szCs w:val="20"/>
                <w:lang w:eastAsia="en-GB"/>
              </w:rPr>
            </w:pPr>
          </w:p>
        </w:tc>
        <w:tc>
          <w:tcPr>
            <w:tcW w:w="1037" w:type="dxa"/>
            <w:vMerge/>
            <w:tcBorders>
              <w:top w:val="single" w:sz="4" w:space="0" w:color="auto"/>
              <w:left w:val="single" w:sz="4" w:space="0" w:color="auto"/>
              <w:bottom w:val="single" w:sz="4" w:space="0" w:color="000000"/>
              <w:right w:val="single" w:sz="4" w:space="0" w:color="auto"/>
            </w:tcBorders>
            <w:vAlign w:val="center"/>
            <w:hideMark/>
          </w:tcPr>
          <w:p w14:paraId="66588981" w14:textId="77777777" w:rsidR="00683F4A" w:rsidRPr="003B552F" w:rsidRDefault="00683F4A" w:rsidP="009657E1">
            <w:pPr>
              <w:spacing w:after="0"/>
              <w:jc w:val="left"/>
              <w:rPr>
                <w:rFonts w:ascii="Arial Narrow" w:eastAsia="Times New Roman" w:hAnsi="Arial Narrow"/>
                <w:b/>
                <w:bCs/>
                <w:sz w:val="20"/>
                <w:szCs w:val="20"/>
                <w:lang w:eastAsia="en-GB"/>
              </w:rPr>
            </w:pPr>
          </w:p>
        </w:tc>
        <w:tc>
          <w:tcPr>
            <w:tcW w:w="1129" w:type="dxa"/>
            <w:vMerge/>
            <w:tcBorders>
              <w:top w:val="single" w:sz="4" w:space="0" w:color="auto"/>
              <w:left w:val="single" w:sz="4" w:space="0" w:color="auto"/>
              <w:bottom w:val="single" w:sz="4" w:space="0" w:color="000000"/>
              <w:right w:val="single" w:sz="8" w:space="0" w:color="auto"/>
            </w:tcBorders>
            <w:vAlign w:val="center"/>
            <w:hideMark/>
          </w:tcPr>
          <w:p w14:paraId="6DA0103F" w14:textId="77777777" w:rsidR="00683F4A" w:rsidRPr="003B552F" w:rsidRDefault="00683F4A" w:rsidP="009657E1">
            <w:pPr>
              <w:spacing w:after="0"/>
              <w:jc w:val="left"/>
              <w:rPr>
                <w:rFonts w:ascii="Arial Narrow" w:eastAsia="Times New Roman" w:hAnsi="Arial Narrow"/>
                <w:b/>
                <w:bCs/>
                <w:sz w:val="20"/>
                <w:szCs w:val="20"/>
                <w:lang w:eastAsia="en-GB"/>
              </w:rPr>
            </w:pPr>
          </w:p>
        </w:tc>
      </w:tr>
    </w:tbl>
    <w:p w14:paraId="756E619E" w14:textId="77777777" w:rsidR="00683F4A" w:rsidRDefault="00683F4A" w:rsidP="00683F4A">
      <w:pPr>
        <w:rPr>
          <w:lang w:val="en-US"/>
        </w:rPr>
        <w:sectPr w:rsidR="00683F4A" w:rsidSect="00BF7CA6">
          <w:pgSz w:w="16838" w:h="11906" w:orient="landscape"/>
          <w:pgMar w:top="1134" w:right="1701" w:bottom="1134" w:left="1701" w:header="708" w:footer="708" w:gutter="0"/>
          <w:cols w:space="708"/>
          <w:docGrid w:linePitch="360"/>
        </w:sectPr>
      </w:pPr>
    </w:p>
    <w:p w14:paraId="26A3DB3E" w14:textId="77777777" w:rsidR="00683F4A" w:rsidRPr="00683F4A" w:rsidRDefault="00683F4A" w:rsidP="00683F4A">
      <w:pPr>
        <w:rPr>
          <w:lang w:val="en-US"/>
        </w:rPr>
      </w:pPr>
    </w:p>
    <w:tbl>
      <w:tblPr>
        <w:tblW w:w="14752" w:type="dxa"/>
        <w:jc w:val="center"/>
        <w:tblLayout w:type="fixed"/>
        <w:tblLook w:val="04A0" w:firstRow="1" w:lastRow="0" w:firstColumn="1" w:lastColumn="0" w:noHBand="0" w:noVBand="1"/>
      </w:tblPr>
      <w:tblGrid>
        <w:gridCol w:w="1487"/>
        <w:gridCol w:w="42"/>
        <w:gridCol w:w="1191"/>
        <w:gridCol w:w="2003"/>
        <w:gridCol w:w="1271"/>
        <w:gridCol w:w="2217"/>
        <w:gridCol w:w="1201"/>
        <w:gridCol w:w="1230"/>
        <w:gridCol w:w="953"/>
        <w:gridCol w:w="39"/>
        <w:gridCol w:w="992"/>
        <w:gridCol w:w="6"/>
        <w:gridCol w:w="986"/>
        <w:gridCol w:w="1134"/>
      </w:tblGrid>
      <w:tr w:rsidR="00683F4A" w:rsidRPr="007D425D" w14:paraId="73EB72F6" w14:textId="77777777" w:rsidTr="009657E1">
        <w:trPr>
          <w:trHeight w:val="168"/>
          <w:jc w:val="center"/>
        </w:trPr>
        <w:tc>
          <w:tcPr>
            <w:tcW w:w="1487" w:type="dxa"/>
            <w:vMerge w:val="restart"/>
            <w:tcBorders>
              <w:top w:val="single" w:sz="4" w:space="0" w:color="auto"/>
              <w:left w:val="single" w:sz="8" w:space="0" w:color="auto"/>
              <w:bottom w:val="single" w:sz="4" w:space="0" w:color="000000"/>
              <w:right w:val="single" w:sz="4" w:space="0" w:color="auto"/>
            </w:tcBorders>
            <w:shd w:val="clear" w:color="auto" w:fill="FBD4B4"/>
            <w:hideMark/>
          </w:tcPr>
          <w:p w14:paraId="771EA247" w14:textId="77777777" w:rsidR="00683F4A" w:rsidRPr="003B552F" w:rsidRDefault="00683F4A" w:rsidP="009657E1">
            <w:pPr>
              <w:spacing w:after="0"/>
              <w:jc w:val="center"/>
              <w:rPr>
                <w:rFonts w:ascii="Arial Narrow" w:eastAsia="Times New Roman" w:hAnsi="Arial Narrow"/>
                <w:color w:val="000000"/>
                <w:sz w:val="20"/>
                <w:szCs w:val="20"/>
                <w:lang w:eastAsia="en-GB"/>
              </w:rPr>
            </w:pPr>
            <w:r w:rsidRPr="003B552F">
              <w:rPr>
                <w:rFonts w:ascii="Arial Narrow" w:eastAsia="Times New Roman" w:hAnsi="Arial Narrow"/>
                <w:color w:val="000000"/>
                <w:sz w:val="20"/>
                <w:szCs w:val="20"/>
                <w:lang w:eastAsia="en-GB"/>
              </w:rPr>
              <w:t> </w:t>
            </w:r>
          </w:p>
        </w:tc>
        <w:tc>
          <w:tcPr>
            <w:tcW w:w="1233" w:type="dxa"/>
            <w:gridSpan w:val="2"/>
            <w:vMerge w:val="restart"/>
            <w:tcBorders>
              <w:top w:val="single" w:sz="4" w:space="0" w:color="auto"/>
              <w:left w:val="single" w:sz="4" w:space="0" w:color="auto"/>
              <w:bottom w:val="single" w:sz="4" w:space="0" w:color="000000"/>
              <w:right w:val="single" w:sz="4" w:space="0" w:color="auto"/>
            </w:tcBorders>
            <w:shd w:val="clear" w:color="auto" w:fill="FBD4B4"/>
            <w:hideMark/>
          </w:tcPr>
          <w:p w14:paraId="6D4465F1" w14:textId="77777777" w:rsidR="00683F4A" w:rsidRPr="003B552F" w:rsidRDefault="00683F4A" w:rsidP="009657E1">
            <w:pPr>
              <w:spacing w:after="0"/>
              <w:jc w:val="center"/>
              <w:rPr>
                <w:rFonts w:ascii="Arial Narrow" w:eastAsia="Times New Roman" w:hAnsi="Arial Narrow"/>
                <w:b/>
                <w:bCs/>
                <w:sz w:val="20"/>
                <w:szCs w:val="20"/>
                <w:lang w:eastAsia="en-GB"/>
              </w:rPr>
            </w:pPr>
            <w:r w:rsidRPr="003B552F">
              <w:rPr>
                <w:rFonts w:ascii="Arial Narrow" w:eastAsia="Times New Roman" w:hAnsi="Arial Narrow"/>
                <w:b/>
                <w:bCs/>
                <w:sz w:val="20"/>
                <w:szCs w:val="20"/>
                <w:lang w:eastAsia="en-GB"/>
              </w:rPr>
              <w:t>UN Agency</w:t>
            </w:r>
          </w:p>
        </w:tc>
        <w:tc>
          <w:tcPr>
            <w:tcW w:w="2003" w:type="dxa"/>
            <w:vMerge w:val="restart"/>
            <w:tcBorders>
              <w:top w:val="single" w:sz="4" w:space="0" w:color="auto"/>
              <w:left w:val="single" w:sz="4" w:space="0" w:color="auto"/>
              <w:bottom w:val="single" w:sz="4" w:space="0" w:color="000000"/>
              <w:right w:val="single" w:sz="4" w:space="0" w:color="auto"/>
            </w:tcBorders>
            <w:shd w:val="clear" w:color="auto" w:fill="FBD4B4"/>
            <w:hideMark/>
          </w:tcPr>
          <w:p w14:paraId="7407BAF8" w14:textId="77777777" w:rsidR="00683F4A" w:rsidRPr="003B552F" w:rsidRDefault="00683F4A" w:rsidP="009657E1">
            <w:pPr>
              <w:spacing w:after="0"/>
              <w:jc w:val="center"/>
              <w:rPr>
                <w:rFonts w:ascii="Arial Narrow" w:eastAsia="Times New Roman" w:hAnsi="Arial Narrow"/>
                <w:b/>
                <w:bCs/>
                <w:sz w:val="20"/>
                <w:szCs w:val="20"/>
                <w:lang w:eastAsia="en-GB"/>
              </w:rPr>
            </w:pPr>
            <w:r w:rsidRPr="003B552F">
              <w:rPr>
                <w:rFonts w:ascii="Arial Narrow" w:eastAsia="Times New Roman" w:hAnsi="Arial Narrow"/>
                <w:b/>
                <w:bCs/>
                <w:sz w:val="20"/>
                <w:szCs w:val="20"/>
                <w:lang w:eastAsia="en-GB"/>
              </w:rPr>
              <w:t>Indicators, Baseline and Targets</w:t>
            </w:r>
          </w:p>
        </w:tc>
        <w:tc>
          <w:tcPr>
            <w:tcW w:w="1271" w:type="dxa"/>
            <w:vMerge w:val="restart"/>
            <w:tcBorders>
              <w:top w:val="single" w:sz="4" w:space="0" w:color="auto"/>
              <w:left w:val="single" w:sz="4" w:space="0" w:color="auto"/>
              <w:bottom w:val="single" w:sz="4" w:space="0" w:color="000000"/>
              <w:right w:val="single" w:sz="4" w:space="0" w:color="auto"/>
            </w:tcBorders>
            <w:shd w:val="clear" w:color="auto" w:fill="FBD4B4"/>
            <w:hideMark/>
          </w:tcPr>
          <w:p w14:paraId="679CB600" w14:textId="77777777" w:rsidR="00683F4A" w:rsidRPr="003B552F" w:rsidRDefault="00683F4A" w:rsidP="009657E1">
            <w:pPr>
              <w:spacing w:after="0"/>
              <w:jc w:val="center"/>
              <w:rPr>
                <w:rFonts w:ascii="Arial Narrow" w:eastAsia="Times New Roman" w:hAnsi="Arial Narrow"/>
                <w:b/>
                <w:bCs/>
                <w:sz w:val="20"/>
                <w:szCs w:val="20"/>
                <w:lang w:eastAsia="en-GB"/>
              </w:rPr>
            </w:pPr>
            <w:r w:rsidRPr="003B552F">
              <w:rPr>
                <w:rFonts w:ascii="Arial Narrow" w:eastAsia="Times New Roman" w:hAnsi="Arial Narrow"/>
                <w:b/>
                <w:bCs/>
                <w:sz w:val="20"/>
                <w:szCs w:val="20"/>
                <w:lang w:eastAsia="en-GB"/>
              </w:rPr>
              <w:t>Means of Verification</w:t>
            </w:r>
          </w:p>
        </w:tc>
        <w:tc>
          <w:tcPr>
            <w:tcW w:w="2217" w:type="dxa"/>
            <w:vMerge w:val="restart"/>
            <w:tcBorders>
              <w:top w:val="single" w:sz="4" w:space="0" w:color="auto"/>
              <w:left w:val="single" w:sz="4" w:space="0" w:color="auto"/>
              <w:bottom w:val="single" w:sz="4" w:space="0" w:color="000000"/>
              <w:right w:val="single" w:sz="4" w:space="0" w:color="auto"/>
            </w:tcBorders>
            <w:shd w:val="clear" w:color="auto" w:fill="FBD4B4"/>
            <w:hideMark/>
          </w:tcPr>
          <w:p w14:paraId="01FF0C39" w14:textId="77777777" w:rsidR="00683F4A" w:rsidRPr="003B552F" w:rsidRDefault="00683F4A" w:rsidP="009657E1">
            <w:pPr>
              <w:spacing w:after="0"/>
              <w:jc w:val="center"/>
              <w:rPr>
                <w:rFonts w:ascii="Arial Narrow" w:eastAsia="Times New Roman" w:hAnsi="Arial Narrow"/>
                <w:b/>
                <w:bCs/>
                <w:sz w:val="20"/>
                <w:szCs w:val="20"/>
                <w:lang w:eastAsia="en-GB"/>
              </w:rPr>
            </w:pPr>
            <w:r w:rsidRPr="003B552F">
              <w:rPr>
                <w:rFonts w:ascii="Arial Narrow" w:eastAsia="Times New Roman" w:hAnsi="Arial Narrow"/>
                <w:b/>
                <w:bCs/>
                <w:sz w:val="20"/>
                <w:szCs w:val="20"/>
                <w:lang w:eastAsia="en-GB"/>
              </w:rPr>
              <w:t>Risk and assumptions</w:t>
            </w:r>
          </w:p>
        </w:tc>
        <w:tc>
          <w:tcPr>
            <w:tcW w:w="1201" w:type="dxa"/>
            <w:vMerge w:val="restart"/>
            <w:tcBorders>
              <w:top w:val="single" w:sz="4" w:space="0" w:color="auto"/>
              <w:left w:val="single" w:sz="4" w:space="0" w:color="auto"/>
              <w:bottom w:val="single" w:sz="4" w:space="0" w:color="000000"/>
              <w:right w:val="single" w:sz="4" w:space="0" w:color="auto"/>
            </w:tcBorders>
            <w:shd w:val="clear" w:color="auto" w:fill="FBD4B4"/>
            <w:hideMark/>
          </w:tcPr>
          <w:p w14:paraId="3084A19A" w14:textId="77777777" w:rsidR="00683F4A" w:rsidRPr="003B552F" w:rsidRDefault="00683F4A" w:rsidP="009657E1">
            <w:pPr>
              <w:spacing w:after="0"/>
              <w:jc w:val="center"/>
              <w:rPr>
                <w:rFonts w:ascii="Arial Narrow" w:eastAsia="Times New Roman" w:hAnsi="Arial Narrow"/>
                <w:b/>
                <w:bCs/>
                <w:sz w:val="20"/>
                <w:szCs w:val="20"/>
                <w:lang w:eastAsia="en-GB"/>
              </w:rPr>
            </w:pPr>
            <w:r w:rsidRPr="003B552F">
              <w:rPr>
                <w:rFonts w:ascii="Arial Narrow" w:eastAsia="Times New Roman" w:hAnsi="Arial Narrow"/>
                <w:b/>
                <w:bCs/>
                <w:sz w:val="20"/>
                <w:szCs w:val="20"/>
                <w:lang w:eastAsia="en-GB"/>
              </w:rPr>
              <w:t>Key Partners</w:t>
            </w:r>
          </w:p>
        </w:tc>
        <w:tc>
          <w:tcPr>
            <w:tcW w:w="1230" w:type="dxa"/>
            <w:tcBorders>
              <w:top w:val="single" w:sz="4" w:space="0" w:color="auto"/>
              <w:left w:val="nil"/>
              <w:bottom w:val="nil"/>
              <w:right w:val="single" w:sz="4" w:space="0" w:color="auto"/>
            </w:tcBorders>
            <w:shd w:val="clear" w:color="auto" w:fill="FBD4B4"/>
            <w:hideMark/>
          </w:tcPr>
          <w:p w14:paraId="6B3861F1" w14:textId="77777777" w:rsidR="00683F4A" w:rsidRPr="003B552F" w:rsidRDefault="00683F4A" w:rsidP="009657E1">
            <w:pPr>
              <w:spacing w:after="0"/>
              <w:jc w:val="center"/>
              <w:rPr>
                <w:rFonts w:ascii="Arial Narrow" w:eastAsia="Times New Roman" w:hAnsi="Arial Narrow"/>
                <w:b/>
                <w:bCs/>
                <w:sz w:val="20"/>
                <w:szCs w:val="20"/>
                <w:lang w:eastAsia="en-GB"/>
              </w:rPr>
            </w:pPr>
            <w:r w:rsidRPr="003B552F">
              <w:rPr>
                <w:rFonts w:ascii="Arial Narrow" w:eastAsia="Times New Roman" w:hAnsi="Arial Narrow"/>
                <w:b/>
                <w:bCs/>
                <w:sz w:val="20"/>
                <w:szCs w:val="20"/>
                <w:lang w:eastAsia="en-GB"/>
              </w:rPr>
              <w:t> </w:t>
            </w:r>
          </w:p>
        </w:tc>
        <w:tc>
          <w:tcPr>
            <w:tcW w:w="4110" w:type="dxa"/>
            <w:gridSpan w:val="6"/>
            <w:tcBorders>
              <w:top w:val="single" w:sz="4" w:space="0" w:color="auto"/>
              <w:left w:val="nil"/>
              <w:bottom w:val="single" w:sz="4" w:space="0" w:color="auto"/>
              <w:right w:val="single" w:sz="8" w:space="0" w:color="000000"/>
            </w:tcBorders>
            <w:shd w:val="clear" w:color="auto" w:fill="FBD4B4"/>
            <w:hideMark/>
          </w:tcPr>
          <w:p w14:paraId="6D1258F4" w14:textId="77777777" w:rsidR="00683F4A" w:rsidRPr="003B552F" w:rsidRDefault="00683F4A" w:rsidP="009657E1">
            <w:pPr>
              <w:spacing w:after="0"/>
              <w:jc w:val="center"/>
              <w:rPr>
                <w:rFonts w:ascii="Arial Narrow" w:eastAsia="Times New Roman" w:hAnsi="Arial Narrow"/>
                <w:b/>
                <w:bCs/>
                <w:sz w:val="20"/>
                <w:szCs w:val="20"/>
                <w:lang w:eastAsia="en-GB"/>
              </w:rPr>
            </w:pPr>
            <w:r w:rsidRPr="003B552F">
              <w:rPr>
                <w:rFonts w:ascii="Arial Narrow" w:eastAsia="Times New Roman" w:hAnsi="Arial Narrow"/>
                <w:b/>
                <w:bCs/>
                <w:sz w:val="20"/>
                <w:szCs w:val="20"/>
                <w:lang w:eastAsia="en-GB"/>
              </w:rPr>
              <w:t xml:space="preserve"> Indicative Resources (USD) </w:t>
            </w:r>
          </w:p>
        </w:tc>
      </w:tr>
      <w:tr w:rsidR="00683F4A" w:rsidRPr="007D425D" w14:paraId="7E1420D2" w14:textId="77777777" w:rsidTr="009657E1">
        <w:trPr>
          <w:trHeight w:val="356"/>
          <w:jc w:val="center"/>
        </w:trPr>
        <w:tc>
          <w:tcPr>
            <w:tcW w:w="1487" w:type="dxa"/>
            <w:vMerge/>
            <w:tcBorders>
              <w:top w:val="nil"/>
              <w:left w:val="single" w:sz="8" w:space="0" w:color="auto"/>
              <w:bottom w:val="single" w:sz="4" w:space="0" w:color="000000"/>
              <w:right w:val="single" w:sz="4" w:space="0" w:color="auto"/>
            </w:tcBorders>
            <w:shd w:val="clear" w:color="auto" w:fill="FBD4B4"/>
            <w:vAlign w:val="center"/>
            <w:hideMark/>
          </w:tcPr>
          <w:p w14:paraId="2AA63DFB" w14:textId="77777777" w:rsidR="00683F4A" w:rsidRPr="003B552F" w:rsidRDefault="00683F4A" w:rsidP="009657E1">
            <w:pPr>
              <w:spacing w:after="0"/>
              <w:jc w:val="left"/>
              <w:rPr>
                <w:rFonts w:ascii="Arial Narrow" w:eastAsia="Times New Roman" w:hAnsi="Arial Narrow"/>
                <w:sz w:val="20"/>
                <w:szCs w:val="20"/>
                <w:lang w:eastAsia="en-GB"/>
              </w:rPr>
            </w:pPr>
          </w:p>
        </w:tc>
        <w:tc>
          <w:tcPr>
            <w:tcW w:w="1233" w:type="dxa"/>
            <w:gridSpan w:val="2"/>
            <w:vMerge/>
            <w:tcBorders>
              <w:top w:val="nil"/>
              <w:left w:val="single" w:sz="4" w:space="0" w:color="auto"/>
              <w:bottom w:val="single" w:sz="4" w:space="0" w:color="000000"/>
              <w:right w:val="single" w:sz="4" w:space="0" w:color="auto"/>
            </w:tcBorders>
            <w:vAlign w:val="center"/>
            <w:hideMark/>
          </w:tcPr>
          <w:p w14:paraId="46A48E57" w14:textId="77777777" w:rsidR="00683F4A" w:rsidRPr="003B552F" w:rsidRDefault="00683F4A" w:rsidP="009657E1">
            <w:pPr>
              <w:spacing w:after="0"/>
              <w:jc w:val="left"/>
              <w:rPr>
                <w:rFonts w:ascii="Arial Narrow" w:eastAsia="Times New Roman" w:hAnsi="Arial Narrow"/>
                <w:b/>
                <w:bCs/>
                <w:sz w:val="20"/>
                <w:szCs w:val="20"/>
                <w:lang w:eastAsia="en-GB"/>
              </w:rPr>
            </w:pPr>
          </w:p>
        </w:tc>
        <w:tc>
          <w:tcPr>
            <w:tcW w:w="2003" w:type="dxa"/>
            <w:vMerge/>
            <w:tcBorders>
              <w:top w:val="nil"/>
              <w:left w:val="single" w:sz="4" w:space="0" w:color="auto"/>
              <w:bottom w:val="single" w:sz="4" w:space="0" w:color="000000"/>
              <w:right w:val="single" w:sz="4" w:space="0" w:color="auto"/>
            </w:tcBorders>
            <w:vAlign w:val="center"/>
            <w:hideMark/>
          </w:tcPr>
          <w:p w14:paraId="31F57660" w14:textId="77777777" w:rsidR="00683F4A" w:rsidRPr="003B552F" w:rsidRDefault="00683F4A" w:rsidP="009657E1">
            <w:pPr>
              <w:spacing w:after="0"/>
              <w:jc w:val="left"/>
              <w:rPr>
                <w:rFonts w:ascii="Arial Narrow" w:eastAsia="Times New Roman" w:hAnsi="Arial Narrow"/>
                <w:b/>
                <w:bCs/>
                <w:sz w:val="20"/>
                <w:szCs w:val="20"/>
                <w:lang w:eastAsia="en-GB"/>
              </w:rPr>
            </w:pPr>
          </w:p>
        </w:tc>
        <w:tc>
          <w:tcPr>
            <w:tcW w:w="1271" w:type="dxa"/>
            <w:vMerge/>
            <w:tcBorders>
              <w:top w:val="nil"/>
              <w:left w:val="single" w:sz="4" w:space="0" w:color="auto"/>
              <w:bottom w:val="single" w:sz="4" w:space="0" w:color="000000"/>
              <w:right w:val="single" w:sz="4" w:space="0" w:color="auto"/>
            </w:tcBorders>
            <w:vAlign w:val="center"/>
            <w:hideMark/>
          </w:tcPr>
          <w:p w14:paraId="30CB0164" w14:textId="77777777" w:rsidR="00683F4A" w:rsidRPr="003B552F" w:rsidRDefault="00683F4A" w:rsidP="009657E1">
            <w:pPr>
              <w:spacing w:after="0"/>
              <w:jc w:val="left"/>
              <w:rPr>
                <w:rFonts w:ascii="Arial Narrow" w:eastAsia="Times New Roman" w:hAnsi="Arial Narrow"/>
                <w:b/>
                <w:bCs/>
                <w:sz w:val="20"/>
                <w:szCs w:val="20"/>
                <w:lang w:eastAsia="en-GB"/>
              </w:rPr>
            </w:pPr>
          </w:p>
        </w:tc>
        <w:tc>
          <w:tcPr>
            <w:tcW w:w="2217" w:type="dxa"/>
            <w:vMerge/>
            <w:tcBorders>
              <w:top w:val="nil"/>
              <w:left w:val="single" w:sz="4" w:space="0" w:color="auto"/>
              <w:bottom w:val="single" w:sz="4" w:space="0" w:color="000000"/>
              <w:right w:val="single" w:sz="4" w:space="0" w:color="auto"/>
            </w:tcBorders>
            <w:vAlign w:val="center"/>
            <w:hideMark/>
          </w:tcPr>
          <w:p w14:paraId="77011BDD" w14:textId="77777777" w:rsidR="00683F4A" w:rsidRPr="003B552F" w:rsidRDefault="00683F4A" w:rsidP="009657E1">
            <w:pPr>
              <w:spacing w:after="0"/>
              <w:jc w:val="left"/>
              <w:rPr>
                <w:rFonts w:ascii="Arial Narrow" w:eastAsia="Times New Roman" w:hAnsi="Arial Narrow"/>
                <w:b/>
                <w:bCs/>
                <w:sz w:val="20"/>
                <w:szCs w:val="20"/>
                <w:lang w:eastAsia="en-GB"/>
              </w:rPr>
            </w:pPr>
          </w:p>
        </w:tc>
        <w:tc>
          <w:tcPr>
            <w:tcW w:w="1201" w:type="dxa"/>
            <w:vMerge/>
            <w:tcBorders>
              <w:top w:val="nil"/>
              <w:left w:val="single" w:sz="4" w:space="0" w:color="auto"/>
              <w:bottom w:val="single" w:sz="4" w:space="0" w:color="000000"/>
              <w:right w:val="single" w:sz="4" w:space="0" w:color="auto"/>
            </w:tcBorders>
            <w:vAlign w:val="center"/>
            <w:hideMark/>
          </w:tcPr>
          <w:p w14:paraId="0096D284" w14:textId="77777777" w:rsidR="00683F4A" w:rsidRPr="003B552F" w:rsidRDefault="00683F4A" w:rsidP="009657E1">
            <w:pPr>
              <w:spacing w:after="0"/>
              <w:jc w:val="left"/>
              <w:rPr>
                <w:rFonts w:ascii="Arial Narrow" w:eastAsia="Times New Roman" w:hAnsi="Arial Narrow"/>
                <w:b/>
                <w:bCs/>
                <w:sz w:val="20"/>
                <w:szCs w:val="20"/>
                <w:lang w:eastAsia="en-GB"/>
              </w:rPr>
            </w:pPr>
          </w:p>
        </w:tc>
        <w:tc>
          <w:tcPr>
            <w:tcW w:w="1230" w:type="dxa"/>
            <w:tcBorders>
              <w:top w:val="single" w:sz="4" w:space="0" w:color="auto"/>
              <w:left w:val="nil"/>
              <w:bottom w:val="single" w:sz="4" w:space="0" w:color="auto"/>
              <w:right w:val="single" w:sz="4" w:space="0" w:color="auto"/>
            </w:tcBorders>
            <w:shd w:val="clear" w:color="auto" w:fill="FBD4B4"/>
            <w:hideMark/>
          </w:tcPr>
          <w:p w14:paraId="3516D4B7" w14:textId="77777777" w:rsidR="00683F4A" w:rsidRPr="003B552F" w:rsidRDefault="00683F4A" w:rsidP="009657E1">
            <w:pPr>
              <w:spacing w:after="0"/>
              <w:jc w:val="center"/>
              <w:rPr>
                <w:rFonts w:ascii="Arial Narrow" w:eastAsia="Times New Roman" w:hAnsi="Arial Narrow"/>
                <w:b/>
                <w:bCs/>
                <w:sz w:val="20"/>
                <w:szCs w:val="20"/>
                <w:lang w:eastAsia="en-GB"/>
              </w:rPr>
            </w:pPr>
            <w:r w:rsidRPr="003B552F">
              <w:rPr>
                <w:rFonts w:ascii="Arial Narrow" w:eastAsia="Times New Roman" w:hAnsi="Arial Narrow"/>
                <w:b/>
                <w:bCs/>
                <w:sz w:val="20"/>
                <w:szCs w:val="20"/>
                <w:lang w:eastAsia="en-GB"/>
              </w:rPr>
              <w:t>Agency</w:t>
            </w:r>
          </w:p>
        </w:tc>
        <w:tc>
          <w:tcPr>
            <w:tcW w:w="992" w:type="dxa"/>
            <w:gridSpan w:val="2"/>
            <w:tcBorders>
              <w:top w:val="nil"/>
              <w:left w:val="nil"/>
              <w:bottom w:val="single" w:sz="4" w:space="0" w:color="auto"/>
              <w:right w:val="single" w:sz="4" w:space="0" w:color="auto"/>
            </w:tcBorders>
            <w:shd w:val="clear" w:color="auto" w:fill="FBD4B4"/>
            <w:hideMark/>
          </w:tcPr>
          <w:p w14:paraId="47EB4440" w14:textId="77777777" w:rsidR="00683F4A" w:rsidRPr="003B552F" w:rsidRDefault="00683F4A" w:rsidP="009657E1">
            <w:pPr>
              <w:spacing w:after="0"/>
              <w:jc w:val="center"/>
              <w:rPr>
                <w:rFonts w:ascii="Arial Narrow" w:eastAsia="Times New Roman" w:hAnsi="Arial Narrow"/>
                <w:b/>
                <w:bCs/>
                <w:sz w:val="20"/>
                <w:szCs w:val="20"/>
                <w:lang w:eastAsia="en-GB"/>
              </w:rPr>
            </w:pPr>
            <w:r w:rsidRPr="003B552F">
              <w:rPr>
                <w:rFonts w:ascii="Arial Narrow" w:eastAsia="Times New Roman" w:hAnsi="Arial Narrow"/>
                <w:b/>
                <w:bCs/>
                <w:sz w:val="20"/>
                <w:szCs w:val="20"/>
                <w:lang w:eastAsia="en-GB"/>
              </w:rPr>
              <w:t xml:space="preserve"> Core </w:t>
            </w:r>
          </w:p>
        </w:tc>
        <w:tc>
          <w:tcPr>
            <w:tcW w:w="992" w:type="dxa"/>
            <w:tcBorders>
              <w:top w:val="nil"/>
              <w:left w:val="nil"/>
              <w:bottom w:val="single" w:sz="4" w:space="0" w:color="auto"/>
              <w:right w:val="single" w:sz="4" w:space="0" w:color="auto"/>
            </w:tcBorders>
            <w:shd w:val="clear" w:color="auto" w:fill="FBD4B4"/>
            <w:hideMark/>
          </w:tcPr>
          <w:p w14:paraId="27A63371" w14:textId="77777777" w:rsidR="00683F4A" w:rsidRPr="003B552F" w:rsidRDefault="00683F4A" w:rsidP="009657E1">
            <w:pPr>
              <w:spacing w:after="0"/>
              <w:jc w:val="center"/>
              <w:rPr>
                <w:rFonts w:ascii="Arial Narrow" w:eastAsia="Times New Roman" w:hAnsi="Arial Narrow"/>
                <w:b/>
                <w:bCs/>
                <w:sz w:val="20"/>
                <w:szCs w:val="20"/>
                <w:lang w:eastAsia="en-GB"/>
              </w:rPr>
            </w:pPr>
            <w:r w:rsidRPr="003B552F">
              <w:rPr>
                <w:rFonts w:ascii="Arial Narrow" w:eastAsia="Times New Roman" w:hAnsi="Arial Narrow"/>
                <w:b/>
                <w:bCs/>
                <w:sz w:val="20"/>
                <w:szCs w:val="20"/>
                <w:lang w:eastAsia="en-GB"/>
              </w:rPr>
              <w:t xml:space="preserve"> Non-Core </w:t>
            </w:r>
          </w:p>
        </w:tc>
        <w:tc>
          <w:tcPr>
            <w:tcW w:w="992" w:type="dxa"/>
            <w:gridSpan w:val="2"/>
            <w:tcBorders>
              <w:top w:val="nil"/>
              <w:left w:val="nil"/>
              <w:bottom w:val="single" w:sz="4" w:space="0" w:color="auto"/>
              <w:right w:val="single" w:sz="4" w:space="0" w:color="auto"/>
            </w:tcBorders>
            <w:shd w:val="clear" w:color="auto" w:fill="FBD4B4"/>
            <w:hideMark/>
          </w:tcPr>
          <w:p w14:paraId="2E102C4D" w14:textId="77777777" w:rsidR="00683F4A" w:rsidRPr="003B552F" w:rsidRDefault="00683F4A" w:rsidP="009657E1">
            <w:pPr>
              <w:spacing w:after="0"/>
              <w:jc w:val="center"/>
              <w:rPr>
                <w:rFonts w:ascii="Arial Narrow" w:eastAsia="Times New Roman" w:hAnsi="Arial Narrow"/>
                <w:b/>
                <w:bCs/>
                <w:sz w:val="20"/>
                <w:szCs w:val="20"/>
                <w:lang w:eastAsia="en-GB"/>
              </w:rPr>
            </w:pPr>
            <w:r w:rsidRPr="003B552F">
              <w:rPr>
                <w:rFonts w:ascii="Arial Narrow" w:eastAsia="Times New Roman" w:hAnsi="Arial Narrow"/>
                <w:b/>
                <w:bCs/>
                <w:sz w:val="20"/>
                <w:szCs w:val="20"/>
                <w:lang w:eastAsia="en-GB"/>
              </w:rPr>
              <w:t xml:space="preserve"> Gap </w:t>
            </w:r>
          </w:p>
        </w:tc>
        <w:tc>
          <w:tcPr>
            <w:tcW w:w="1134" w:type="dxa"/>
            <w:tcBorders>
              <w:top w:val="nil"/>
              <w:left w:val="nil"/>
              <w:bottom w:val="single" w:sz="4" w:space="0" w:color="auto"/>
              <w:right w:val="single" w:sz="8" w:space="0" w:color="auto"/>
            </w:tcBorders>
            <w:shd w:val="clear" w:color="auto" w:fill="FBD4B4"/>
            <w:hideMark/>
          </w:tcPr>
          <w:p w14:paraId="3D804CEE" w14:textId="77777777" w:rsidR="00683F4A" w:rsidRPr="003B552F" w:rsidRDefault="00683F4A" w:rsidP="009657E1">
            <w:pPr>
              <w:spacing w:after="0"/>
              <w:jc w:val="center"/>
              <w:rPr>
                <w:rFonts w:ascii="Arial Narrow" w:eastAsia="Times New Roman" w:hAnsi="Arial Narrow"/>
                <w:b/>
                <w:bCs/>
                <w:sz w:val="20"/>
                <w:szCs w:val="20"/>
                <w:lang w:eastAsia="en-GB"/>
              </w:rPr>
            </w:pPr>
            <w:r w:rsidRPr="003B552F">
              <w:rPr>
                <w:rFonts w:ascii="Arial Narrow" w:eastAsia="Times New Roman" w:hAnsi="Arial Narrow"/>
                <w:b/>
                <w:bCs/>
                <w:sz w:val="20"/>
                <w:szCs w:val="20"/>
                <w:lang w:eastAsia="en-GB"/>
              </w:rPr>
              <w:t xml:space="preserve"> Total </w:t>
            </w:r>
          </w:p>
        </w:tc>
      </w:tr>
      <w:tr w:rsidR="00683F4A" w:rsidRPr="00F72B0D" w14:paraId="1A3A3817" w14:textId="77777777" w:rsidTr="009657E1">
        <w:trPr>
          <w:trHeight w:val="842"/>
          <w:jc w:val="center"/>
        </w:trPr>
        <w:tc>
          <w:tcPr>
            <w:tcW w:w="1529" w:type="dxa"/>
            <w:gridSpan w:val="2"/>
            <w:vMerge w:val="restart"/>
            <w:tcBorders>
              <w:top w:val="nil"/>
              <w:left w:val="single" w:sz="8" w:space="0" w:color="auto"/>
              <w:bottom w:val="single" w:sz="4" w:space="0" w:color="auto"/>
              <w:right w:val="single" w:sz="4" w:space="0" w:color="auto"/>
            </w:tcBorders>
            <w:shd w:val="clear" w:color="auto" w:fill="auto"/>
            <w:hideMark/>
          </w:tcPr>
          <w:p w14:paraId="653C1ABD" w14:textId="77777777" w:rsidR="00683F4A" w:rsidRPr="00CD56B9" w:rsidRDefault="00683F4A" w:rsidP="009657E1">
            <w:pPr>
              <w:spacing w:after="0"/>
              <w:jc w:val="left"/>
              <w:rPr>
                <w:rFonts w:ascii="Arial Narrow" w:eastAsia="Times New Roman" w:hAnsi="Arial Narrow"/>
                <w:b/>
                <w:bCs/>
                <w:sz w:val="20"/>
                <w:szCs w:val="20"/>
                <w:lang w:val="en-US" w:eastAsia="en-GB"/>
              </w:rPr>
            </w:pPr>
            <w:r w:rsidRPr="00CD56B9">
              <w:rPr>
                <w:rFonts w:ascii="Arial Narrow" w:eastAsia="Times New Roman" w:hAnsi="Arial Narrow"/>
                <w:b/>
                <w:bCs/>
                <w:sz w:val="20"/>
                <w:szCs w:val="20"/>
                <w:lang w:val="en-US" w:eastAsia="en-GB"/>
              </w:rPr>
              <w:t>Output 4.1.1 Democratic Governance sector wide approach inclusive of sector strategy, M&amp;E indicator framework, investment and capacity development plan encompassing national democratic accountability and justice institutions operationalised.</w:t>
            </w:r>
          </w:p>
        </w:tc>
        <w:tc>
          <w:tcPr>
            <w:tcW w:w="1191" w:type="dxa"/>
            <w:vMerge w:val="restart"/>
            <w:tcBorders>
              <w:top w:val="nil"/>
              <w:left w:val="single" w:sz="4" w:space="0" w:color="auto"/>
              <w:bottom w:val="single" w:sz="4" w:space="0" w:color="000000"/>
              <w:right w:val="single" w:sz="4" w:space="0" w:color="auto"/>
            </w:tcBorders>
            <w:shd w:val="clear" w:color="auto" w:fill="auto"/>
            <w:hideMark/>
          </w:tcPr>
          <w:p w14:paraId="4DDAA7A4" w14:textId="77777777" w:rsidR="00683F4A" w:rsidRPr="003B552F" w:rsidRDefault="00683F4A" w:rsidP="009657E1">
            <w:pPr>
              <w:spacing w:after="0"/>
              <w:jc w:val="left"/>
              <w:rPr>
                <w:rFonts w:ascii="Arial Narrow" w:eastAsia="Times New Roman" w:hAnsi="Arial Narrow"/>
                <w:sz w:val="20"/>
                <w:szCs w:val="20"/>
                <w:lang w:eastAsia="en-GB"/>
              </w:rPr>
            </w:pPr>
            <w:r w:rsidRPr="00CD56B9">
              <w:rPr>
                <w:rFonts w:ascii="Arial Narrow" w:eastAsia="Times New Roman" w:hAnsi="Arial Narrow"/>
                <w:sz w:val="20"/>
                <w:szCs w:val="20"/>
                <w:lang w:val="en-US" w:eastAsia="en-GB"/>
              </w:rPr>
              <w:t xml:space="preserve"> </w:t>
            </w:r>
            <w:r w:rsidRPr="003B552F">
              <w:rPr>
                <w:rFonts w:ascii="Arial Narrow" w:eastAsia="Times New Roman" w:hAnsi="Arial Narrow"/>
                <w:sz w:val="20"/>
                <w:szCs w:val="20"/>
                <w:lang w:eastAsia="en-GB"/>
              </w:rPr>
              <w:t>UNDP</w:t>
            </w:r>
            <w:r w:rsidRPr="003B552F">
              <w:rPr>
                <w:rFonts w:ascii="Arial Narrow" w:eastAsia="Times New Roman" w:hAnsi="Arial Narrow"/>
                <w:sz w:val="20"/>
                <w:szCs w:val="20"/>
                <w:lang w:eastAsia="en-GB"/>
              </w:rPr>
              <w:br/>
              <w:t>UNICEF</w:t>
            </w:r>
          </w:p>
        </w:tc>
        <w:tc>
          <w:tcPr>
            <w:tcW w:w="2003" w:type="dxa"/>
            <w:tcBorders>
              <w:top w:val="nil"/>
              <w:left w:val="nil"/>
              <w:bottom w:val="single" w:sz="4" w:space="0" w:color="auto"/>
              <w:right w:val="single" w:sz="4" w:space="0" w:color="auto"/>
            </w:tcBorders>
            <w:shd w:val="clear" w:color="auto" w:fill="auto"/>
            <w:hideMark/>
          </w:tcPr>
          <w:p w14:paraId="585E1665" w14:textId="77777777" w:rsidR="00683F4A" w:rsidRPr="00CD56B9" w:rsidRDefault="00683F4A" w:rsidP="009657E1">
            <w:pPr>
              <w:spacing w:after="0"/>
              <w:jc w:val="left"/>
              <w:rPr>
                <w:rFonts w:ascii="Arial Narrow" w:eastAsia="Times New Roman" w:hAnsi="Arial Narrow"/>
                <w:sz w:val="20"/>
                <w:szCs w:val="20"/>
                <w:lang w:val="en-US" w:eastAsia="en-GB"/>
              </w:rPr>
            </w:pPr>
            <w:r w:rsidRPr="00CD56B9">
              <w:rPr>
                <w:rFonts w:ascii="Arial Narrow" w:eastAsia="Times New Roman" w:hAnsi="Arial Narrow"/>
                <w:sz w:val="20"/>
                <w:szCs w:val="20"/>
                <w:lang w:val="en-US" w:eastAsia="en-GB"/>
              </w:rPr>
              <w:t>Number of stakeholders aligning their support to  sector funding mechanisms  (2010: 0; 2016: 30)</w:t>
            </w:r>
          </w:p>
        </w:tc>
        <w:tc>
          <w:tcPr>
            <w:tcW w:w="1271" w:type="dxa"/>
            <w:tcBorders>
              <w:top w:val="nil"/>
              <w:left w:val="nil"/>
              <w:bottom w:val="single" w:sz="4" w:space="0" w:color="auto"/>
              <w:right w:val="single" w:sz="4" w:space="0" w:color="auto"/>
            </w:tcBorders>
            <w:shd w:val="clear" w:color="auto" w:fill="auto"/>
            <w:hideMark/>
          </w:tcPr>
          <w:p w14:paraId="2C8DF609" w14:textId="77777777" w:rsidR="00683F4A" w:rsidRPr="00CD56B9" w:rsidRDefault="00683F4A" w:rsidP="009657E1">
            <w:pPr>
              <w:spacing w:after="0"/>
              <w:jc w:val="left"/>
              <w:rPr>
                <w:rFonts w:ascii="Arial Narrow" w:eastAsia="Times New Roman" w:hAnsi="Arial Narrow"/>
                <w:sz w:val="20"/>
                <w:szCs w:val="20"/>
                <w:lang w:val="en-US" w:eastAsia="en-GB"/>
              </w:rPr>
            </w:pPr>
            <w:r w:rsidRPr="00CD56B9">
              <w:rPr>
                <w:rFonts w:ascii="Arial Narrow" w:eastAsia="Times New Roman" w:hAnsi="Arial Narrow"/>
                <w:sz w:val="20"/>
                <w:szCs w:val="20"/>
                <w:lang w:val="en-US" w:eastAsia="en-GB"/>
              </w:rPr>
              <w:t xml:space="preserve">Sector Strategic Plan and annual sector budgets </w:t>
            </w:r>
          </w:p>
        </w:tc>
        <w:tc>
          <w:tcPr>
            <w:tcW w:w="2217" w:type="dxa"/>
            <w:vMerge w:val="restart"/>
            <w:tcBorders>
              <w:top w:val="nil"/>
              <w:left w:val="single" w:sz="4" w:space="0" w:color="auto"/>
              <w:bottom w:val="single" w:sz="4" w:space="0" w:color="000000"/>
              <w:right w:val="single" w:sz="4" w:space="0" w:color="auto"/>
            </w:tcBorders>
            <w:shd w:val="clear" w:color="auto" w:fill="auto"/>
            <w:hideMark/>
          </w:tcPr>
          <w:p w14:paraId="5D248CD6" w14:textId="77777777" w:rsidR="00683F4A" w:rsidRPr="00CD56B9" w:rsidRDefault="00683F4A" w:rsidP="009657E1">
            <w:pPr>
              <w:spacing w:after="0"/>
              <w:jc w:val="left"/>
              <w:rPr>
                <w:rFonts w:ascii="Arial Narrow" w:eastAsia="Times New Roman" w:hAnsi="Arial Narrow"/>
                <w:sz w:val="20"/>
                <w:szCs w:val="20"/>
                <w:lang w:val="en-US" w:eastAsia="en-GB"/>
              </w:rPr>
            </w:pPr>
            <w:r w:rsidRPr="00CD56B9">
              <w:rPr>
                <w:rFonts w:ascii="Arial Narrow" w:eastAsia="Times New Roman" w:hAnsi="Arial Narrow"/>
                <w:b/>
                <w:bCs/>
                <w:sz w:val="20"/>
                <w:szCs w:val="20"/>
                <w:lang w:val="en-US" w:eastAsia="en-GB"/>
              </w:rPr>
              <w:t>Risks:</w:t>
            </w:r>
            <w:r w:rsidRPr="00CD56B9">
              <w:rPr>
                <w:rFonts w:ascii="Arial Narrow" w:eastAsia="Times New Roman" w:hAnsi="Arial Narrow"/>
                <w:sz w:val="20"/>
                <w:szCs w:val="20"/>
                <w:lang w:val="en-US" w:eastAsia="en-GB"/>
              </w:rPr>
              <w:t xml:space="preserve"> Unpredictable political and economic situation (e.g. political uncertainty, funding withdraw from development partners, low/ poor production of tobacco hence affecting the country’s economy etc) </w:t>
            </w:r>
            <w:r w:rsidRPr="00CD56B9">
              <w:rPr>
                <w:rFonts w:ascii="Arial Narrow" w:eastAsia="Times New Roman" w:hAnsi="Arial Narrow"/>
                <w:sz w:val="20"/>
                <w:szCs w:val="20"/>
                <w:lang w:val="en-US" w:eastAsia="en-GB"/>
              </w:rPr>
              <w:br/>
              <w:t xml:space="preserve">• Limited participation of stakeholders (institutional and non institutional) during and after the Multi Stakeholder Process for some reasons e.g. stakeholders not being clear of their respective roles, no financial incentives, other office commitments, conflict of interests etc </w:t>
            </w:r>
            <w:r w:rsidRPr="00CD56B9">
              <w:rPr>
                <w:rFonts w:ascii="Arial Narrow" w:eastAsia="Times New Roman" w:hAnsi="Arial Narrow"/>
                <w:sz w:val="20"/>
                <w:szCs w:val="20"/>
                <w:lang w:val="en-US" w:eastAsia="en-GB"/>
              </w:rPr>
              <w:br/>
              <w:t xml:space="preserve">• Delays in completing the outstanding assessments and baselines in good time hence affecting the timeline/ work schedule </w:t>
            </w:r>
            <w:r w:rsidRPr="00CD56B9">
              <w:rPr>
                <w:rFonts w:ascii="Arial Narrow" w:eastAsia="Times New Roman" w:hAnsi="Arial Narrow"/>
                <w:sz w:val="20"/>
                <w:szCs w:val="20"/>
                <w:lang w:val="en-US" w:eastAsia="en-GB"/>
              </w:rPr>
              <w:br/>
              <w:t>• Unrealistic Democratic Governance Sector budget that might attract less funding from the treasury and development partners</w:t>
            </w:r>
          </w:p>
        </w:tc>
        <w:tc>
          <w:tcPr>
            <w:tcW w:w="1201" w:type="dxa"/>
            <w:vMerge w:val="restart"/>
            <w:tcBorders>
              <w:top w:val="nil"/>
              <w:left w:val="single" w:sz="4" w:space="0" w:color="auto"/>
              <w:bottom w:val="single" w:sz="4" w:space="0" w:color="000000"/>
              <w:right w:val="single" w:sz="4" w:space="0" w:color="auto"/>
            </w:tcBorders>
            <w:shd w:val="clear" w:color="auto" w:fill="auto"/>
            <w:hideMark/>
          </w:tcPr>
          <w:p w14:paraId="5E3BD837" w14:textId="77777777" w:rsidR="00683F4A" w:rsidRPr="00CD56B9" w:rsidRDefault="00683F4A" w:rsidP="009657E1">
            <w:pPr>
              <w:spacing w:after="0"/>
              <w:jc w:val="left"/>
              <w:rPr>
                <w:rFonts w:ascii="Arial Narrow" w:eastAsia="Times New Roman" w:hAnsi="Arial Narrow"/>
                <w:sz w:val="20"/>
                <w:szCs w:val="20"/>
                <w:lang w:val="en-US" w:eastAsia="en-GB"/>
              </w:rPr>
            </w:pPr>
            <w:r w:rsidRPr="00CD56B9">
              <w:rPr>
                <w:rFonts w:ascii="Arial Narrow" w:eastAsia="Times New Roman" w:hAnsi="Arial Narrow"/>
                <w:sz w:val="20"/>
                <w:szCs w:val="20"/>
                <w:lang w:val="en-US" w:eastAsia="en-GB"/>
              </w:rPr>
              <w:t>OPC, MEC</w:t>
            </w:r>
            <w:r w:rsidRPr="00CD56B9">
              <w:rPr>
                <w:rFonts w:ascii="Arial Narrow" w:eastAsia="Times New Roman" w:hAnsi="Arial Narrow"/>
                <w:sz w:val="20"/>
                <w:szCs w:val="20"/>
                <w:lang w:val="en-US" w:eastAsia="en-GB"/>
              </w:rPr>
              <w:br/>
              <w:t>Parliaments</w:t>
            </w:r>
            <w:r w:rsidRPr="00CD56B9">
              <w:rPr>
                <w:rFonts w:ascii="Arial Narrow" w:eastAsia="Times New Roman" w:hAnsi="Arial Narrow"/>
                <w:sz w:val="20"/>
                <w:szCs w:val="20"/>
                <w:lang w:val="en-US" w:eastAsia="en-GB"/>
              </w:rPr>
              <w:br/>
              <w:t>ACB, Human Rights Commission</w:t>
            </w:r>
            <w:r w:rsidRPr="00CD56B9">
              <w:rPr>
                <w:rFonts w:ascii="Arial Narrow" w:eastAsia="Times New Roman" w:hAnsi="Arial Narrow"/>
                <w:sz w:val="20"/>
                <w:szCs w:val="20"/>
                <w:lang w:val="en-US" w:eastAsia="en-GB"/>
              </w:rPr>
              <w:br/>
              <w:t>MOJ, Ombudsman</w:t>
            </w:r>
            <w:r w:rsidRPr="00CD56B9">
              <w:rPr>
                <w:rFonts w:ascii="Arial Narrow" w:eastAsia="Times New Roman" w:hAnsi="Arial Narrow"/>
                <w:sz w:val="20"/>
                <w:szCs w:val="20"/>
                <w:lang w:val="en-US" w:eastAsia="en-GB"/>
              </w:rPr>
              <w:br/>
              <w:t>CMD, DCP, NSA, MoLG</w:t>
            </w:r>
            <w:r w:rsidRPr="00CD56B9">
              <w:rPr>
                <w:rFonts w:ascii="Arial Narrow" w:eastAsia="Times New Roman" w:hAnsi="Arial Narrow"/>
                <w:sz w:val="20"/>
                <w:szCs w:val="20"/>
                <w:lang w:val="en-US" w:eastAsia="en-GB"/>
              </w:rPr>
              <w:br/>
              <w:t>Media Council Academia</w:t>
            </w:r>
          </w:p>
        </w:tc>
        <w:tc>
          <w:tcPr>
            <w:tcW w:w="1230" w:type="dxa"/>
            <w:vMerge w:val="restart"/>
            <w:tcBorders>
              <w:top w:val="nil"/>
              <w:left w:val="single" w:sz="4" w:space="0" w:color="auto"/>
              <w:bottom w:val="single" w:sz="4" w:space="0" w:color="000000"/>
              <w:right w:val="single" w:sz="4" w:space="0" w:color="auto"/>
            </w:tcBorders>
            <w:shd w:val="clear" w:color="auto" w:fill="auto"/>
            <w:hideMark/>
          </w:tcPr>
          <w:p w14:paraId="38E29417" w14:textId="77777777" w:rsidR="00683F4A" w:rsidRPr="00CD56B9" w:rsidRDefault="00683F4A" w:rsidP="009657E1">
            <w:pPr>
              <w:spacing w:after="0"/>
              <w:jc w:val="center"/>
              <w:rPr>
                <w:rFonts w:ascii="Arial Narrow" w:eastAsia="Times New Roman" w:hAnsi="Arial Narrow"/>
                <w:sz w:val="20"/>
                <w:szCs w:val="20"/>
                <w:lang w:val="en-US" w:eastAsia="en-GB"/>
              </w:rPr>
            </w:pPr>
            <w:r w:rsidRPr="00CD56B9">
              <w:rPr>
                <w:rFonts w:ascii="Arial Narrow" w:eastAsia="Times New Roman" w:hAnsi="Arial Narrow"/>
                <w:sz w:val="20"/>
                <w:szCs w:val="20"/>
                <w:lang w:val="en-US" w:eastAsia="en-GB"/>
              </w:rPr>
              <w:t> </w:t>
            </w:r>
          </w:p>
        </w:tc>
        <w:tc>
          <w:tcPr>
            <w:tcW w:w="953"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67581596" w14:textId="77777777" w:rsidR="00683F4A" w:rsidRPr="00CD56B9" w:rsidRDefault="00683F4A" w:rsidP="009657E1">
            <w:pPr>
              <w:spacing w:after="0"/>
              <w:jc w:val="right"/>
              <w:rPr>
                <w:rFonts w:ascii="Arial Narrow" w:eastAsia="Times New Roman" w:hAnsi="Arial Narrow"/>
                <w:sz w:val="20"/>
                <w:szCs w:val="20"/>
                <w:lang w:val="en-US" w:eastAsia="en-GB"/>
              </w:rPr>
            </w:pPr>
            <w:r w:rsidRPr="00CD56B9">
              <w:rPr>
                <w:rFonts w:ascii="Arial Narrow" w:eastAsia="Times New Roman" w:hAnsi="Arial Narrow"/>
                <w:sz w:val="20"/>
                <w:szCs w:val="20"/>
                <w:lang w:val="en-US" w:eastAsia="en-GB"/>
              </w:rPr>
              <w:t> </w:t>
            </w:r>
          </w:p>
        </w:tc>
        <w:tc>
          <w:tcPr>
            <w:tcW w:w="1037"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39411686" w14:textId="77777777" w:rsidR="00683F4A" w:rsidRPr="00CD56B9" w:rsidRDefault="00683F4A" w:rsidP="009657E1">
            <w:pPr>
              <w:spacing w:after="0"/>
              <w:jc w:val="right"/>
              <w:rPr>
                <w:rFonts w:ascii="Arial Narrow" w:eastAsia="Times New Roman" w:hAnsi="Arial Narrow"/>
                <w:sz w:val="20"/>
                <w:szCs w:val="20"/>
                <w:lang w:val="en-US" w:eastAsia="en-GB"/>
              </w:rPr>
            </w:pPr>
            <w:r w:rsidRPr="00CD56B9">
              <w:rPr>
                <w:rFonts w:ascii="Arial Narrow" w:eastAsia="Times New Roman" w:hAnsi="Arial Narrow"/>
                <w:sz w:val="20"/>
                <w:szCs w:val="20"/>
                <w:lang w:val="en-US" w:eastAsia="en-GB"/>
              </w:rPr>
              <w:t> </w:t>
            </w:r>
          </w:p>
        </w:tc>
        <w:tc>
          <w:tcPr>
            <w:tcW w:w="986"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1109F643" w14:textId="77777777" w:rsidR="00683F4A" w:rsidRPr="00CD56B9" w:rsidRDefault="00683F4A" w:rsidP="009657E1">
            <w:pPr>
              <w:spacing w:after="0"/>
              <w:jc w:val="right"/>
              <w:rPr>
                <w:rFonts w:ascii="Arial Narrow" w:eastAsia="Times New Roman" w:hAnsi="Arial Narrow"/>
                <w:sz w:val="20"/>
                <w:szCs w:val="20"/>
                <w:lang w:val="en-US" w:eastAsia="en-GB"/>
              </w:rPr>
            </w:pPr>
            <w:r w:rsidRPr="00CD56B9">
              <w:rPr>
                <w:rFonts w:ascii="Arial Narrow" w:eastAsia="Times New Roman" w:hAnsi="Arial Narrow"/>
                <w:sz w:val="20"/>
                <w:szCs w:val="20"/>
                <w:lang w:val="en-US" w:eastAsia="en-GB"/>
              </w:rPr>
              <w:t> </w:t>
            </w:r>
          </w:p>
        </w:tc>
        <w:tc>
          <w:tcPr>
            <w:tcW w:w="1134" w:type="dxa"/>
            <w:tcBorders>
              <w:top w:val="single" w:sz="4" w:space="0" w:color="auto"/>
              <w:left w:val="nil"/>
              <w:bottom w:val="single" w:sz="4" w:space="0" w:color="auto"/>
              <w:right w:val="single" w:sz="8" w:space="0" w:color="auto"/>
            </w:tcBorders>
            <w:shd w:val="clear" w:color="auto" w:fill="auto"/>
            <w:hideMark/>
          </w:tcPr>
          <w:p w14:paraId="46392B2D" w14:textId="77777777" w:rsidR="00683F4A" w:rsidRPr="00CD56B9" w:rsidRDefault="00683F4A" w:rsidP="009657E1">
            <w:pPr>
              <w:spacing w:after="0"/>
              <w:jc w:val="right"/>
              <w:rPr>
                <w:rFonts w:ascii="Arial Narrow" w:eastAsia="Times New Roman" w:hAnsi="Arial Narrow"/>
                <w:sz w:val="20"/>
                <w:szCs w:val="20"/>
                <w:lang w:val="en-US" w:eastAsia="en-GB"/>
              </w:rPr>
            </w:pPr>
            <w:r w:rsidRPr="00CD56B9">
              <w:rPr>
                <w:rFonts w:ascii="Arial Narrow" w:eastAsia="Times New Roman" w:hAnsi="Arial Narrow"/>
                <w:sz w:val="20"/>
                <w:szCs w:val="20"/>
                <w:lang w:val="en-US" w:eastAsia="en-GB"/>
              </w:rPr>
              <w:t> </w:t>
            </w:r>
          </w:p>
        </w:tc>
      </w:tr>
      <w:tr w:rsidR="00683F4A" w:rsidRPr="00F72B0D" w14:paraId="3E2E1EA6" w14:textId="77777777" w:rsidTr="009657E1">
        <w:trPr>
          <w:trHeight w:val="1377"/>
          <w:jc w:val="center"/>
        </w:trPr>
        <w:tc>
          <w:tcPr>
            <w:tcW w:w="1529" w:type="dxa"/>
            <w:gridSpan w:val="2"/>
            <w:vMerge/>
            <w:tcBorders>
              <w:top w:val="nil"/>
              <w:left w:val="single" w:sz="8" w:space="0" w:color="auto"/>
              <w:bottom w:val="single" w:sz="4" w:space="0" w:color="auto"/>
              <w:right w:val="single" w:sz="4" w:space="0" w:color="auto"/>
            </w:tcBorders>
            <w:vAlign w:val="center"/>
            <w:hideMark/>
          </w:tcPr>
          <w:p w14:paraId="46867C8F" w14:textId="77777777" w:rsidR="00683F4A" w:rsidRPr="00CD56B9" w:rsidRDefault="00683F4A" w:rsidP="009657E1">
            <w:pPr>
              <w:spacing w:after="0"/>
              <w:jc w:val="left"/>
              <w:rPr>
                <w:rFonts w:ascii="Arial Narrow" w:eastAsia="Times New Roman" w:hAnsi="Arial Narrow"/>
                <w:b/>
                <w:bCs/>
                <w:sz w:val="20"/>
                <w:szCs w:val="20"/>
                <w:lang w:val="en-US" w:eastAsia="en-GB"/>
              </w:rPr>
            </w:pPr>
          </w:p>
        </w:tc>
        <w:tc>
          <w:tcPr>
            <w:tcW w:w="1191" w:type="dxa"/>
            <w:vMerge/>
            <w:tcBorders>
              <w:top w:val="nil"/>
              <w:left w:val="single" w:sz="4" w:space="0" w:color="auto"/>
              <w:bottom w:val="single" w:sz="4" w:space="0" w:color="000000"/>
              <w:right w:val="single" w:sz="4" w:space="0" w:color="auto"/>
            </w:tcBorders>
            <w:vAlign w:val="center"/>
            <w:hideMark/>
          </w:tcPr>
          <w:p w14:paraId="30654840" w14:textId="77777777" w:rsidR="00683F4A" w:rsidRPr="00CD56B9" w:rsidRDefault="00683F4A" w:rsidP="009657E1">
            <w:pPr>
              <w:spacing w:after="0"/>
              <w:jc w:val="left"/>
              <w:rPr>
                <w:rFonts w:ascii="Arial Narrow" w:eastAsia="Times New Roman" w:hAnsi="Arial Narrow"/>
                <w:sz w:val="20"/>
                <w:szCs w:val="20"/>
                <w:lang w:val="en-US" w:eastAsia="en-GB"/>
              </w:rPr>
            </w:pPr>
          </w:p>
        </w:tc>
        <w:tc>
          <w:tcPr>
            <w:tcW w:w="2003" w:type="dxa"/>
            <w:tcBorders>
              <w:top w:val="nil"/>
              <w:left w:val="nil"/>
              <w:bottom w:val="single" w:sz="4" w:space="0" w:color="auto"/>
              <w:right w:val="single" w:sz="4" w:space="0" w:color="auto"/>
            </w:tcBorders>
            <w:shd w:val="clear" w:color="auto" w:fill="auto"/>
            <w:hideMark/>
          </w:tcPr>
          <w:p w14:paraId="389191F9" w14:textId="77777777" w:rsidR="00683F4A" w:rsidRPr="00CD56B9" w:rsidRDefault="00683F4A" w:rsidP="009657E1">
            <w:pPr>
              <w:spacing w:after="0"/>
              <w:jc w:val="left"/>
              <w:rPr>
                <w:rFonts w:ascii="Arial Narrow" w:eastAsia="Times New Roman" w:hAnsi="Arial Narrow"/>
                <w:sz w:val="20"/>
                <w:szCs w:val="20"/>
                <w:lang w:val="en-US" w:eastAsia="en-GB"/>
              </w:rPr>
            </w:pPr>
            <w:r w:rsidRPr="00CD56B9">
              <w:rPr>
                <w:rFonts w:ascii="Arial Narrow" w:eastAsia="Times New Roman" w:hAnsi="Arial Narrow"/>
                <w:sz w:val="20"/>
                <w:szCs w:val="20"/>
                <w:lang w:val="en-US" w:eastAsia="en-GB"/>
              </w:rPr>
              <w:t xml:space="preserve">Number of democratic accountability and justice institutions (sector institutions) using M&amp;E framework for evidence based policy formulation (2010: 0; 2016: 19)   </w:t>
            </w:r>
          </w:p>
        </w:tc>
        <w:tc>
          <w:tcPr>
            <w:tcW w:w="1271" w:type="dxa"/>
            <w:tcBorders>
              <w:top w:val="nil"/>
              <w:left w:val="nil"/>
              <w:bottom w:val="single" w:sz="4" w:space="0" w:color="auto"/>
              <w:right w:val="single" w:sz="4" w:space="0" w:color="auto"/>
            </w:tcBorders>
            <w:shd w:val="clear" w:color="auto" w:fill="auto"/>
            <w:hideMark/>
          </w:tcPr>
          <w:p w14:paraId="4399C550" w14:textId="77777777" w:rsidR="00683F4A" w:rsidRPr="00CD56B9" w:rsidRDefault="00683F4A" w:rsidP="009657E1">
            <w:pPr>
              <w:spacing w:after="0"/>
              <w:jc w:val="left"/>
              <w:rPr>
                <w:rFonts w:ascii="Arial Narrow" w:eastAsia="Times New Roman" w:hAnsi="Arial Narrow"/>
                <w:sz w:val="20"/>
                <w:szCs w:val="20"/>
                <w:lang w:val="en-US" w:eastAsia="en-GB"/>
              </w:rPr>
            </w:pPr>
            <w:r w:rsidRPr="00CD56B9">
              <w:rPr>
                <w:rFonts w:ascii="Arial Narrow" w:eastAsia="Times New Roman" w:hAnsi="Arial Narrow"/>
                <w:sz w:val="20"/>
                <w:szCs w:val="20"/>
                <w:lang w:val="en-US" w:eastAsia="en-GB"/>
              </w:rPr>
              <w:t xml:space="preserve">Sector Strategic Plan and annual sector budgets </w:t>
            </w:r>
          </w:p>
        </w:tc>
        <w:tc>
          <w:tcPr>
            <w:tcW w:w="2217" w:type="dxa"/>
            <w:vMerge/>
            <w:tcBorders>
              <w:top w:val="nil"/>
              <w:left w:val="single" w:sz="4" w:space="0" w:color="auto"/>
              <w:bottom w:val="single" w:sz="4" w:space="0" w:color="000000"/>
              <w:right w:val="single" w:sz="4" w:space="0" w:color="auto"/>
            </w:tcBorders>
            <w:vAlign w:val="center"/>
            <w:hideMark/>
          </w:tcPr>
          <w:p w14:paraId="7D336F51" w14:textId="77777777" w:rsidR="00683F4A" w:rsidRPr="00CD56B9" w:rsidRDefault="00683F4A" w:rsidP="009657E1">
            <w:pPr>
              <w:spacing w:after="0"/>
              <w:jc w:val="left"/>
              <w:rPr>
                <w:rFonts w:ascii="Arial Narrow" w:eastAsia="Times New Roman" w:hAnsi="Arial Narrow"/>
                <w:sz w:val="20"/>
                <w:szCs w:val="20"/>
                <w:lang w:val="en-US" w:eastAsia="en-GB"/>
              </w:rPr>
            </w:pPr>
          </w:p>
        </w:tc>
        <w:tc>
          <w:tcPr>
            <w:tcW w:w="1201" w:type="dxa"/>
            <w:vMerge/>
            <w:tcBorders>
              <w:top w:val="nil"/>
              <w:left w:val="single" w:sz="4" w:space="0" w:color="auto"/>
              <w:bottom w:val="single" w:sz="4" w:space="0" w:color="000000"/>
              <w:right w:val="single" w:sz="4" w:space="0" w:color="auto"/>
            </w:tcBorders>
            <w:vAlign w:val="center"/>
            <w:hideMark/>
          </w:tcPr>
          <w:p w14:paraId="39426DCA" w14:textId="77777777" w:rsidR="00683F4A" w:rsidRPr="00CD56B9" w:rsidRDefault="00683F4A" w:rsidP="009657E1">
            <w:pPr>
              <w:spacing w:after="0"/>
              <w:jc w:val="left"/>
              <w:rPr>
                <w:rFonts w:ascii="Arial Narrow" w:eastAsia="Times New Roman" w:hAnsi="Arial Narrow"/>
                <w:sz w:val="20"/>
                <w:szCs w:val="20"/>
                <w:lang w:val="en-US" w:eastAsia="en-GB"/>
              </w:rPr>
            </w:pPr>
          </w:p>
        </w:tc>
        <w:tc>
          <w:tcPr>
            <w:tcW w:w="1230" w:type="dxa"/>
            <w:vMerge/>
            <w:tcBorders>
              <w:top w:val="nil"/>
              <w:left w:val="single" w:sz="4" w:space="0" w:color="auto"/>
              <w:bottom w:val="single" w:sz="4" w:space="0" w:color="000000"/>
              <w:right w:val="single" w:sz="4" w:space="0" w:color="auto"/>
            </w:tcBorders>
            <w:vAlign w:val="center"/>
            <w:hideMark/>
          </w:tcPr>
          <w:p w14:paraId="447A9F7F" w14:textId="77777777" w:rsidR="00683F4A" w:rsidRPr="00CD56B9" w:rsidRDefault="00683F4A" w:rsidP="009657E1">
            <w:pPr>
              <w:spacing w:after="0"/>
              <w:jc w:val="left"/>
              <w:rPr>
                <w:rFonts w:ascii="Arial Narrow" w:eastAsia="Times New Roman" w:hAnsi="Arial Narrow"/>
                <w:sz w:val="20"/>
                <w:szCs w:val="20"/>
                <w:lang w:val="en-US" w:eastAsia="en-GB"/>
              </w:rPr>
            </w:pPr>
          </w:p>
        </w:tc>
        <w:tc>
          <w:tcPr>
            <w:tcW w:w="953" w:type="dxa"/>
            <w:vMerge/>
            <w:tcBorders>
              <w:top w:val="nil"/>
              <w:left w:val="single" w:sz="4" w:space="0" w:color="auto"/>
              <w:bottom w:val="single" w:sz="4" w:space="0" w:color="000000"/>
              <w:right w:val="single" w:sz="4" w:space="0" w:color="auto"/>
            </w:tcBorders>
            <w:vAlign w:val="center"/>
            <w:hideMark/>
          </w:tcPr>
          <w:p w14:paraId="2F459F0F" w14:textId="77777777" w:rsidR="00683F4A" w:rsidRPr="00CD56B9" w:rsidRDefault="00683F4A" w:rsidP="009657E1">
            <w:pPr>
              <w:spacing w:after="0"/>
              <w:jc w:val="left"/>
              <w:rPr>
                <w:rFonts w:ascii="Arial Narrow" w:eastAsia="Times New Roman" w:hAnsi="Arial Narrow"/>
                <w:sz w:val="20"/>
                <w:szCs w:val="20"/>
                <w:lang w:val="en-US" w:eastAsia="en-GB"/>
              </w:rPr>
            </w:pPr>
          </w:p>
        </w:tc>
        <w:tc>
          <w:tcPr>
            <w:tcW w:w="1037" w:type="dxa"/>
            <w:gridSpan w:val="3"/>
            <w:vMerge/>
            <w:tcBorders>
              <w:top w:val="nil"/>
              <w:left w:val="single" w:sz="4" w:space="0" w:color="auto"/>
              <w:bottom w:val="single" w:sz="4" w:space="0" w:color="000000"/>
              <w:right w:val="single" w:sz="4" w:space="0" w:color="auto"/>
            </w:tcBorders>
            <w:vAlign w:val="center"/>
            <w:hideMark/>
          </w:tcPr>
          <w:p w14:paraId="1CF3C6B6" w14:textId="77777777" w:rsidR="00683F4A" w:rsidRPr="00CD56B9" w:rsidRDefault="00683F4A" w:rsidP="009657E1">
            <w:pPr>
              <w:spacing w:after="0"/>
              <w:jc w:val="left"/>
              <w:rPr>
                <w:rFonts w:ascii="Arial Narrow" w:eastAsia="Times New Roman" w:hAnsi="Arial Narrow"/>
                <w:sz w:val="20"/>
                <w:szCs w:val="20"/>
                <w:lang w:val="en-US" w:eastAsia="en-GB"/>
              </w:rPr>
            </w:pPr>
          </w:p>
        </w:tc>
        <w:tc>
          <w:tcPr>
            <w:tcW w:w="986" w:type="dxa"/>
            <w:vMerge/>
            <w:tcBorders>
              <w:top w:val="nil"/>
              <w:left w:val="single" w:sz="4" w:space="0" w:color="auto"/>
              <w:bottom w:val="single" w:sz="4" w:space="0" w:color="000000"/>
              <w:right w:val="single" w:sz="4" w:space="0" w:color="auto"/>
            </w:tcBorders>
            <w:vAlign w:val="center"/>
            <w:hideMark/>
          </w:tcPr>
          <w:p w14:paraId="4F1AF9CD" w14:textId="77777777" w:rsidR="00683F4A" w:rsidRPr="00CD56B9" w:rsidRDefault="00683F4A" w:rsidP="009657E1">
            <w:pPr>
              <w:spacing w:after="0"/>
              <w:jc w:val="left"/>
              <w:rPr>
                <w:rFonts w:ascii="Arial Narrow" w:eastAsia="Times New Roman" w:hAnsi="Arial Narrow"/>
                <w:sz w:val="20"/>
                <w:szCs w:val="20"/>
                <w:lang w:val="en-US" w:eastAsia="en-GB"/>
              </w:rPr>
            </w:pPr>
          </w:p>
        </w:tc>
        <w:tc>
          <w:tcPr>
            <w:tcW w:w="1134" w:type="dxa"/>
            <w:tcBorders>
              <w:top w:val="nil"/>
              <w:left w:val="nil"/>
              <w:bottom w:val="single" w:sz="4" w:space="0" w:color="auto"/>
              <w:right w:val="single" w:sz="8" w:space="0" w:color="auto"/>
            </w:tcBorders>
            <w:shd w:val="clear" w:color="auto" w:fill="auto"/>
            <w:hideMark/>
          </w:tcPr>
          <w:p w14:paraId="58EE0477" w14:textId="77777777" w:rsidR="00683F4A" w:rsidRPr="00CD56B9" w:rsidRDefault="00683F4A" w:rsidP="009657E1">
            <w:pPr>
              <w:spacing w:after="0"/>
              <w:jc w:val="right"/>
              <w:rPr>
                <w:rFonts w:ascii="Arial Narrow" w:eastAsia="Times New Roman" w:hAnsi="Arial Narrow"/>
                <w:sz w:val="20"/>
                <w:szCs w:val="20"/>
                <w:lang w:val="en-US" w:eastAsia="en-GB"/>
              </w:rPr>
            </w:pPr>
            <w:r w:rsidRPr="00CD56B9">
              <w:rPr>
                <w:rFonts w:ascii="Arial Narrow" w:eastAsia="Times New Roman" w:hAnsi="Arial Narrow"/>
                <w:sz w:val="20"/>
                <w:szCs w:val="20"/>
                <w:lang w:val="en-US" w:eastAsia="en-GB"/>
              </w:rPr>
              <w:t> </w:t>
            </w:r>
          </w:p>
        </w:tc>
      </w:tr>
      <w:tr w:rsidR="00683F4A" w:rsidRPr="00F72B0D" w14:paraId="3BFA8E5C" w14:textId="77777777" w:rsidTr="009657E1">
        <w:trPr>
          <w:trHeight w:val="1427"/>
          <w:jc w:val="center"/>
        </w:trPr>
        <w:tc>
          <w:tcPr>
            <w:tcW w:w="1529" w:type="dxa"/>
            <w:gridSpan w:val="2"/>
            <w:vMerge/>
            <w:tcBorders>
              <w:top w:val="nil"/>
              <w:left w:val="single" w:sz="8" w:space="0" w:color="auto"/>
              <w:bottom w:val="single" w:sz="4" w:space="0" w:color="auto"/>
              <w:right w:val="single" w:sz="4" w:space="0" w:color="auto"/>
            </w:tcBorders>
            <w:vAlign w:val="center"/>
            <w:hideMark/>
          </w:tcPr>
          <w:p w14:paraId="0A5AA2D8" w14:textId="77777777" w:rsidR="00683F4A" w:rsidRPr="00CD56B9" w:rsidRDefault="00683F4A" w:rsidP="009657E1">
            <w:pPr>
              <w:spacing w:after="0"/>
              <w:jc w:val="left"/>
              <w:rPr>
                <w:rFonts w:ascii="Arial Narrow" w:eastAsia="Times New Roman" w:hAnsi="Arial Narrow"/>
                <w:b/>
                <w:bCs/>
                <w:sz w:val="20"/>
                <w:szCs w:val="20"/>
                <w:lang w:val="en-US" w:eastAsia="en-GB"/>
              </w:rPr>
            </w:pPr>
          </w:p>
        </w:tc>
        <w:tc>
          <w:tcPr>
            <w:tcW w:w="1191" w:type="dxa"/>
            <w:vMerge/>
            <w:tcBorders>
              <w:top w:val="nil"/>
              <w:left w:val="single" w:sz="4" w:space="0" w:color="auto"/>
              <w:bottom w:val="single" w:sz="4" w:space="0" w:color="000000"/>
              <w:right w:val="single" w:sz="4" w:space="0" w:color="auto"/>
            </w:tcBorders>
            <w:vAlign w:val="center"/>
            <w:hideMark/>
          </w:tcPr>
          <w:p w14:paraId="5225F875" w14:textId="77777777" w:rsidR="00683F4A" w:rsidRPr="00CD56B9" w:rsidRDefault="00683F4A" w:rsidP="009657E1">
            <w:pPr>
              <w:spacing w:after="0"/>
              <w:jc w:val="left"/>
              <w:rPr>
                <w:rFonts w:ascii="Arial Narrow" w:eastAsia="Times New Roman" w:hAnsi="Arial Narrow"/>
                <w:sz w:val="20"/>
                <w:szCs w:val="20"/>
                <w:lang w:val="en-US" w:eastAsia="en-GB"/>
              </w:rPr>
            </w:pPr>
          </w:p>
        </w:tc>
        <w:tc>
          <w:tcPr>
            <w:tcW w:w="2003" w:type="dxa"/>
            <w:tcBorders>
              <w:top w:val="nil"/>
              <w:left w:val="nil"/>
              <w:bottom w:val="single" w:sz="4" w:space="0" w:color="auto"/>
              <w:right w:val="single" w:sz="4" w:space="0" w:color="auto"/>
            </w:tcBorders>
            <w:shd w:val="clear" w:color="auto" w:fill="auto"/>
            <w:hideMark/>
          </w:tcPr>
          <w:p w14:paraId="15B97EFE" w14:textId="77777777" w:rsidR="00683F4A" w:rsidRPr="00CD56B9" w:rsidRDefault="00683F4A" w:rsidP="009657E1">
            <w:pPr>
              <w:spacing w:after="0"/>
              <w:jc w:val="left"/>
              <w:rPr>
                <w:rFonts w:ascii="Arial Narrow" w:eastAsia="Times New Roman" w:hAnsi="Arial Narrow"/>
                <w:sz w:val="20"/>
                <w:szCs w:val="20"/>
                <w:lang w:val="en-US" w:eastAsia="en-GB"/>
              </w:rPr>
            </w:pPr>
            <w:r w:rsidRPr="00CD56B9">
              <w:rPr>
                <w:rFonts w:ascii="Arial Narrow" w:eastAsia="Times New Roman" w:hAnsi="Arial Narrow"/>
                <w:sz w:val="20"/>
                <w:szCs w:val="20"/>
                <w:lang w:val="en-US" w:eastAsia="en-GB"/>
              </w:rPr>
              <w:t>Number of sector institutions implementing Capacity Development activities</w:t>
            </w:r>
          </w:p>
        </w:tc>
        <w:tc>
          <w:tcPr>
            <w:tcW w:w="1271" w:type="dxa"/>
            <w:tcBorders>
              <w:top w:val="nil"/>
              <w:left w:val="nil"/>
              <w:bottom w:val="single" w:sz="4" w:space="0" w:color="auto"/>
              <w:right w:val="single" w:sz="4" w:space="0" w:color="auto"/>
            </w:tcBorders>
            <w:shd w:val="clear" w:color="auto" w:fill="auto"/>
            <w:hideMark/>
          </w:tcPr>
          <w:p w14:paraId="08498BA0" w14:textId="77777777" w:rsidR="00683F4A" w:rsidRPr="00CD56B9" w:rsidRDefault="00683F4A" w:rsidP="009657E1">
            <w:pPr>
              <w:spacing w:after="0"/>
              <w:jc w:val="left"/>
              <w:rPr>
                <w:rFonts w:ascii="Arial Narrow" w:eastAsia="Times New Roman" w:hAnsi="Arial Narrow"/>
                <w:sz w:val="20"/>
                <w:szCs w:val="20"/>
                <w:lang w:val="en-US" w:eastAsia="en-GB"/>
              </w:rPr>
            </w:pPr>
            <w:r w:rsidRPr="00CD56B9">
              <w:rPr>
                <w:rFonts w:ascii="Arial Narrow" w:eastAsia="Times New Roman" w:hAnsi="Arial Narrow"/>
                <w:sz w:val="20"/>
                <w:szCs w:val="20"/>
                <w:lang w:val="en-US" w:eastAsia="en-GB"/>
              </w:rPr>
              <w:t xml:space="preserve">Sector Strategic Plan and annual sector budgets </w:t>
            </w:r>
          </w:p>
        </w:tc>
        <w:tc>
          <w:tcPr>
            <w:tcW w:w="2217" w:type="dxa"/>
            <w:vMerge/>
            <w:tcBorders>
              <w:top w:val="nil"/>
              <w:left w:val="single" w:sz="4" w:space="0" w:color="auto"/>
              <w:bottom w:val="single" w:sz="4" w:space="0" w:color="000000"/>
              <w:right w:val="single" w:sz="4" w:space="0" w:color="auto"/>
            </w:tcBorders>
            <w:vAlign w:val="center"/>
            <w:hideMark/>
          </w:tcPr>
          <w:p w14:paraId="087E3931" w14:textId="77777777" w:rsidR="00683F4A" w:rsidRPr="00CD56B9" w:rsidRDefault="00683F4A" w:rsidP="009657E1">
            <w:pPr>
              <w:spacing w:after="0"/>
              <w:jc w:val="left"/>
              <w:rPr>
                <w:rFonts w:ascii="Arial Narrow" w:eastAsia="Times New Roman" w:hAnsi="Arial Narrow"/>
                <w:sz w:val="20"/>
                <w:szCs w:val="20"/>
                <w:lang w:val="en-US" w:eastAsia="en-GB"/>
              </w:rPr>
            </w:pPr>
          </w:p>
        </w:tc>
        <w:tc>
          <w:tcPr>
            <w:tcW w:w="1201" w:type="dxa"/>
            <w:vMerge/>
            <w:tcBorders>
              <w:top w:val="nil"/>
              <w:left w:val="single" w:sz="4" w:space="0" w:color="auto"/>
              <w:bottom w:val="single" w:sz="4" w:space="0" w:color="000000"/>
              <w:right w:val="single" w:sz="4" w:space="0" w:color="auto"/>
            </w:tcBorders>
            <w:vAlign w:val="center"/>
            <w:hideMark/>
          </w:tcPr>
          <w:p w14:paraId="6D64CBE3" w14:textId="77777777" w:rsidR="00683F4A" w:rsidRPr="00CD56B9" w:rsidRDefault="00683F4A" w:rsidP="009657E1">
            <w:pPr>
              <w:spacing w:after="0"/>
              <w:jc w:val="left"/>
              <w:rPr>
                <w:rFonts w:ascii="Arial Narrow" w:eastAsia="Times New Roman" w:hAnsi="Arial Narrow"/>
                <w:sz w:val="20"/>
                <w:szCs w:val="20"/>
                <w:lang w:val="en-US" w:eastAsia="en-GB"/>
              </w:rPr>
            </w:pPr>
          </w:p>
        </w:tc>
        <w:tc>
          <w:tcPr>
            <w:tcW w:w="1230" w:type="dxa"/>
            <w:vMerge/>
            <w:tcBorders>
              <w:top w:val="nil"/>
              <w:left w:val="single" w:sz="4" w:space="0" w:color="auto"/>
              <w:bottom w:val="single" w:sz="4" w:space="0" w:color="000000"/>
              <w:right w:val="single" w:sz="4" w:space="0" w:color="auto"/>
            </w:tcBorders>
            <w:vAlign w:val="center"/>
            <w:hideMark/>
          </w:tcPr>
          <w:p w14:paraId="4EEEC16B" w14:textId="77777777" w:rsidR="00683F4A" w:rsidRPr="00CD56B9" w:rsidRDefault="00683F4A" w:rsidP="009657E1">
            <w:pPr>
              <w:spacing w:after="0"/>
              <w:jc w:val="left"/>
              <w:rPr>
                <w:rFonts w:ascii="Arial Narrow" w:eastAsia="Times New Roman" w:hAnsi="Arial Narrow"/>
                <w:sz w:val="20"/>
                <w:szCs w:val="20"/>
                <w:lang w:val="en-US" w:eastAsia="en-GB"/>
              </w:rPr>
            </w:pPr>
          </w:p>
        </w:tc>
        <w:tc>
          <w:tcPr>
            <w:tcW w:w="953" w:type="dxa"/>
            <w:vMerge/>
            <w:tcBorders>
              <w:top w:val="nil"/>
              <w:left w:val="single" w:sz="4" w:space="0" w:color="auto"/>
              <w:bottom w:val="single" w:sz="4" w:space="0" w:color="000000"/>
              <w:right w:val="single" w:sz="4" w:space="0" w:color="auto"/>
            </w:tcBorders>
            <w:vAlign w:val="center"/>
            <w:hideMark/>
          </w:tcPr>
          <w:p w14:paraId="387F0CC0" w14:textId="77777777" w:rsidR="00683F4A" w:rsidRPr="00CD56B9" w:rsidRDefault="00683F4A" w:rsidP="009657E1">
            <w:pPr>
              <w:spacing w:after="0"/>
              <w:jc w:val="left"/>
              <w:rPr>
                <w:rFonts w:ascii="Arial Narrow" w:eastAsia="Times New Roman" w:hAnsi="Arial Narrow"/>
                <w:sz w:val="20"/>
                <w:szCs w:val="20"/>
                <w:lang w:val="en-US" w:eastAsia="en-GB"/>
              </w:rPr>
            </w:pPr>
          </w:p>
        </w:tc>
        <w:tc>
          <w:tcPr>
            <w:tcW w:w="1037" w:type="dxa"/>
            <w:gridSpan w:val="3"/>
            <w:vMerge/>
            <w:tcBorders>
              <w:top w:val="nil"/>
              <w:left w:val="single" w:sz="4" w:space="0" w:color="auto"/>
              <w:bottom w:val="single" w:sz="4" w:space="0" w:color="000000"/>
              <w:right w:val="single" w:sz="4" w:space="0" w:color="auto"/>
            </w:tcBorders>
            <w:vAlign w:val="center"/>
            <w:hideMark/>
          </w:tcPr>
          <w:p w14:paraId="7D18E448" w14:textId="77777777" w:rsidR="00683F4A" w:rsidRPr="00CD56B9" w:rsidRDefault="00683F4A" w:rsidP="009657E1">
            <w:pPr>
              <w:spacing w:after="0"/>
              <w:jc w:val="left"/>
              <w:rPr>
                <w:rFonts w:ascii="Arial Narrow" w:eastAsia="Times New Roman" w:hAnsi="Arial Narrow"/>
                <w:sz w:val="20"/>
                <w:szCs w:val="20"/>
                <w:lang w:val="en-US" w:eastAsia="en-GB"/>
              </w:rPr>
            </w:pPr>
          </w:p>
        </w:tc>
        <w:tc>
          <w:tcPr>
            <w:tcW w:w="986" w:type="dxa"/>
            <w:vMerge/>
            <w:tcBorders>
              <w:top w:val="nil"/>
              <w:left w:val="single" w:sz="4" w:space="0" w:color="auto"/>
              <w:bottom w:val="single" w:sz="4" w:space="0" w:color="000000"/>
              <w:right w:val="single" w:sz="4" w:space="0" w:color="auto"/>
            </w:tcBorders>
            <w:vAlign w:val="center"/>
            <w:hideMark/>
          </w:tcPr>
          <w:p w14:paraId="3EFAA9C0" w14:textId="77777777" w:rsidR="00683F4A" w:rsidRPr="00CD56B9" w:rsidRDefault="00683F4A" w:rsidP="009657E1">
            <w:pPr>
              <w:spacing w:after="0"/>
              <w:jc w:val="left"/>
              <w:rPr>
                <w:rFonts w:ascii="Arial Narrow" w:eastAsia="Times New Roman" w:hAnsi="Arial Narrow"/>
                <w:sz w:val="20"/>
                <w:szCs w:val="20"/>
                <w:lang w:val="en-US" w:eastAsia="en-GB"/>
              </w:rPr>
            </w:pPr>
          </w:p>
        </w:tc>
        <w:tc>
          <w:tcPr>
            <w:tcW w:w="1134" w:type="dxa"/>
            <w:tcBorders>
              <w:top w:val="nil"/>
              <w:left w:val="nil"/>
              <w:bottom w:val="single" w:sz="4" w:space="0" w:color="auto"/>
              <w:right w:val="single" w:sz="8" w:space="0" w:color="auto"/>
            </w:tcBorders>
            <w:shd w:val="clear" w:color="auto" w:fill="auto"/>
            <w:hideMark/>
          </w:tcPr>
          <w:p w14:paraId="314EED83" w14:textId="77777777" w:rsidR="00683F4A" w:rsidRPr="00CD56B9" w:rsidRDefault="00683F4A" w:rsidP="009657E1">
            <w:pPr>
              <w:spacing w:after="0"/>
              <w:jc w:val="right"/>
              <w:rPr>
                <w:rFonts w:ascii="Arial Narrow" w:eastAsia="Times New Roman" w:hAnsi="Arial Narrow"/>
                <w:sz w:val="20"/>
                <w:szCs w:val="20"/>
                <w:lang w:val="en-US" w:eastAsia="en-GB"/>
              </w:rPr>
            </w:pPr>
            <w:r w:rsidRPr="00CD56B9">
              <w:rPr>
                <w:rFonts w:ascii="Arial Narrow" w:eastAsia="Times New Roman" w:hAnsi="Arial Narrow"/>
                <w:sz w:val="20"/>
                <w:szCs w:val="20"/>
                <w:lang w:val="en-US" w:eastAsia="en-GB"/>
              </w:rPr>
              <w:t> </w:t>
            </w:r>
          </w:p>
        </w:tc>
      </w:tr>
      <w:tr w:rsidR="00683F4A" w:rsidRPr="007D425D" w14:paraId="51590F59" w14:textId="77777777" w:rsidTr="009657E1">
        <w:trPr>
          <w:trHeight w:val="168"/>
          <w:jc w:val="center"/>
        </w:trPr>
        <w:tc>
          <w:tcPr>
            <w:tcW w:w="1529" w:type="dxa"/>
            <w:gridSpan w:val="2"/>
            <w:vMerge w:val="restart"/>
            <w:tcBorders>
              <w:top w:val="nil"/>
              <w:left w:val="single" w:sz="8" w:space="0" w:color="auto"/>
              <w:bottom w:val="single" w:sz="4" w:space="0" w:color="000000"/>
              <w:right w:val="single" w:sz="4" w:space="0" w:color="auto"/>
            </w:tcBorders>
            <w:shd w:val="clear" w:color="auto" w:fill="auto"/>
            <w:hideMark/>
          </w:tcPr>
          <w:p w14:paraId="16343C1C" w14:textId="77777777" w:rsidR="00683F4A" w:rsidRPr="003B552F" w:rsidRDefault="00683F4A" w:rsidP="009657E1">
            <w:pPr>
              <w:spacing w:after="0"/>
              <w:jc w:val="left"/>
              <w:rPr>
                <w:rFonts w:ascii="Arial Narrow" w:eastAsia="Times New Roman" w:hAnsi="Arial Narrow"/>
                <w:b/>
                <w:bCs/>
                <w:sz w:val="20"/>
                <w:szCs w:val="20"/>
                <w:lang w:eastAsia="en-GB"/>
              </w:rPr>
            </w:pPr>
            <w:r w:rsidRPr="003B552F">
              <w:rPr>
                <w:rFonts w:ascii="Arial Narrow" w:eastAsia="Times New Roman" w:hAnsi="Arial Narrow"/>
                <w:b/>
                <w:bCs/>
                <w:sz w:val="20"/>
                <w:szCs w:val="20"/>
                <w:lang w:eastAsia="en-GB"/>
              </w:rPr>
              <w:t>Annualized Key Results 2012</w:t>
            </w:r>
          </w:p>
        </w:tc>
        <w:tc>
          <w:tcPr>
            <w:tcW w:w="7883" w:type="dxa"/>
            <w:gridSpan w:val="5"/>
            <w:tcBorders>
              <w:top w:val="single" w:sz="4" w:space="0" w:color="auto"/>
              <w:left w:val="nil"/>
              <w:bottom w:val="single" w:sz="4" w:space="0" w:color="auto"/>
              <w:right w:val="single" w:sz="4" w:space="0" w:color="000000"/>
            </w:tcBorders>
            <w:shd w:val="clear" w:color="auto" w:fill="auto"/>
            <w:hideMark/>
          </w:tcPr>
          <w:p w14:paraId="6CF2CC18" w14:textId="77777777" w:rsidR="00683F4A" w:rsidRPr="00CD56B9" w:rsidRDefault="00683F4A" w:rsidP="009657E1">
            <w:pPr>
              <w:spacing w:after="0"/>
              <w:jc w:val="left"/>
              <w:rPr>
                <w:rFonts w:ascii="Arial Narrow" w:eastAsia="Times New Roman" w:hAnsi="Arial Narrow"/>
                <w:sz w:val="20"/>
                <w:szCs w:val="20"/>
                <w:lang w:val="en-US" w:eastAsia="en-GB"/>
              </w:rPr>
            </w:pPr>
            <w:r w:rsidRPr="00CD56B9">
              <w:rPr>
                <w:rFonts w:ascii="Arial Narrow" w:eastAsia="Times New Roman" w:hAnsi="Arial Narrow"/>
                <w:sz w:val="20"/>
                <w:szCs w:val="20"/>
                <w:lang w:val="en-US" w:eastAsia="en-GB"/>
              </w:rPr>
              <w:t>A:  A nationally owned 5 year Democratic Governance Sector Strategy developed  (UNDP)</w:t>
            </w:r>
          </w:p>
        </w:tc>
        <w:tc>
          <w:tcPr>
            <w:tcW w:w="1230" w:type="dxa"/>
            <w:tcBorders>
              <w:top w:val="nil"/>
              <w:left w:val="nil"/>
              <w:bottom w:val="single" w:sz="4" w:space="0" w:color="auto"/>
              <w:right w:val="single" w:sz="4" w:space="0" w:color="auto"/>
            </w:tcBorders>
            <w:shd w:val="clear" w:color="auto" w:fill="auto"/>
            <w:hideMark/>
          </w:tcPr>
          <w:p w14:paraId="398CB153" w14:textId="77777777" w:rsidR="00683F4A" w:rsidRPr="003B552F" w:rsidRDefault="00683F4A" w:rsidP="009657E1">
            <w:pPr>
              <w:spacing w:after="0"/>
              <w:jc w:val="left"/>
              <w:rPr>
                <w:rFonts w:ascii="Arial Narrow" w:eastAsia="Times New Roman" w:hAnsi="Arial Narrow"/>
                <w:sz w:val="20"/>
                <w:szCs w:val="20"/>
                <w:lang w:eastAsia="en-GB"/>
              </w:rPr>
            </w:pPr>
            <w:r w:rsidRPr="003B552F">
              <w:rPr>
                <w:rFonts w:ascii="Arial Narrow" w:eastAsia="Times New Roman" w:hAnsi="Arial Narrow"/>
                <w:sz w:val="20"/>
                <w:szCs w:val="20"/>
                <w:lang w:eastAsia="en-GB"/>
              </w:rPr>
              <w:t>UNDP</w:t>
            </w:r>
          </w:p>
        </w:tc>
        <w:tc>
          <w:tcPr>
            <w:tcW w:w="953" w:type="dxa"/>
            <w:tcBorders>
              <w:top w:val="nil"/>
              <w:left w:val="nil"/>
              <w:bottom w:val="single" w:sz="4" w:space="0" w:color="auto"/>
              <w:right w:val="single" w:sz="4" w:space="0" w:color="auto"/>
            </w:tcBorders>
            <w:shd w:val="clear" w:color="auto" w:fill="auto"/>
            <w:hideMark/>
          </w:tcPr>
          <w:p w14:paraId="657B99B0"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400,000 </w:t>
            </w:r>
          </w:p>
        </w:tc>
        <w:tc>
          <w:tcPr>
            <w:tcW w:w="1037" w:type="dxa"/>
            <w:gridSpan w:val="3"/>
            <w:tcBorders>
              <w:top w:val="nil"/>
              <w:left w:val="nil"/>
              <w:bottom w:val="single" w:sz="4" w:space="0" w:color="auto"/>
              <w:right w:val="single" w:sz="4" w:space="0" w:color="auto"/>
            </w:tcBorders>
            <w:shd w:val="clear" w:color="auto" w:fill="auto"/>
            <w:hideMark/>
          </w:tcPr>
          <w:p w14:paraId="51C3DB4A"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500,000 </w:t>
            </w:r>
          </w:p>
        </w:tc>
        <w:tc>
          <w:tcPr>
            <w:tcW w:w="986" w:type="dxa"/>
            <w:tcBorders>
              <w:top w:val="nil"/>
              <w:left w:val="nil"/>
              <w:bottom w:val="single" w:sz="4" w:space="0" w:color="auto"/>
              <w:right w:val="single" w:sz="4" w:space="0" w:color="auto"/>
            </w:tcBorders>
            <w:shd w:val="clear" w:color="auto" w:fill="auto"/>
            <w:hideMark/>
          </w:tcPr>
          <w:p w14:paraId="61C0845E"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500,000 </w:t>
            </w:r>
          </w:p>
        </w:tc>
        <w:tc>
          <w:tcPr>
            <w:tcW w:w="1134" w:type="dxa"/>
            <w:tcBorders>
              <w:top w:val="nil"/>
              <w:left w:val="nil"/>
              <w:bottom w:val="single" w:sz="4" w:space="0" w:color="auto"/>
              <w:right w:val="single" w:sz="8" w:space="0" w:color="auto"/>
            </w:tcBorders>
            <w:shd w:val="clear" w:color="auto" w:fill="auto"/>
            <w:hideMark/>
          </w:tcPr>
          <w:p w14:paraId="31A2E5DD"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1,400,000 </w:t>
            </w:r>
          </w:p>
        </w:tc>
      </w:tr>
      <w:tr w:rsidR="00683F4A" w:rsidRPr="007D425D" w14:paraId="411EB6F8" w14:textId="77777777" w:rsidTr="009657E1">
        <w:trPr>
          <w:trHeight w:val="179"/>
          <w:jc w:val="center"/>
        </w:trPr>
        <w:tc>
          <w:tcPr>
            <w:tcW w:w="1529" w:type="dxa"/>
            <w:gridSpan w:val="2"/>
            <w:vMerge/>
            <w:tcBorders>
              <w:top w:val="nil"/>
              <w:left w:val="single" w:sz="8" w:space="0" w:color="auto"/>
              <w:bottom w:val="single" w:sz="4" w:space="0" w:color="000000"/>
              <w:right w:val="single" w:sz="4" w:space="0" w:color="auto"/>
            </w:tcBorders>
            <w:vAlign w:val="center"/>
            <w:hideMark/>
          </w:tcPr>
          <w:p w14:paraId="60AEAEC9" w14:textId="77777777" w:rsidR="00683F4A" w:rsidRPr="003B552F" w:rsidRDefault="00683F4A" w:rsidP="009657E1">
            <w:pPr>
              <w:spacing w:after="0"/>
              <w:jc w:val="left"/>
              <w:rPr>
                <w:rFonts w:ascii="Arial Narrow" w:eastAsia="Times New Roman" w:hAnsi="Arial Narrow"/>
                <w:b/>
                <w:bCs/>
                <w:sz w:val="20"/>
                <w:szCs w:val="20"/>
                <w:lang w:eastAsia="en-GB"/>
              </w:rPr>
            </w:pPr>
          </w:p>
        </w:tc>
        <w:tc>
          <w:tcPr>
            <w:tcW w:w="7883" w:type="dxa"/>
            <w:gridSpan w:val="5"/>
            <w:tcBorders>
              <w:top w:val="single" w:sz="4" w:space="0" w:color="auto"/>
              <w:left w:val="nil"/>
              <w:bottom w:val="nil"/>
              <w:right w:val="single" w:sz="4" w:space="0" w:color="000000"/>
            </w:tcBorders>
            <w:shd w:val="clear" w:color="auto" w:fill="auto"/>
            <w:hideMark/>
          </w:tcPr>
          <w:p w14:paraId="28742C9D" w14:textId="77777777" w:rsidR="00683F4A" w:rsidRPr="00CD56B9" w:rsidRDefault="00683F4A" w:rsidP="009657E1">
            <w:pPr>
              <w:spacing w:after="0"/>
              <w:jc w:val="left"/>
              <w:rPr>
                <w:rFonts w:ascii="Arial Narrow" w:eastAsia="Times New Roman" w:hAnsi="Arial Narrow"/>
                <w:sz w:val="20"/>
                <w:szCs w:val="20"/>
                <w:lang w:val="en-US" w:eastAsia="en-GB"/>
              </w:rPr>
            </w:pPr>
            <w:r w:rsidRPr="00CD56B9">
              <w:rPr>
                <w:rFonts w:ascii="Arial Narrow" w:eastAsia="Times New Roman" w:hAnsi="Arial Narrow"/>
                <w:sz w:val="20"/>
                <w:szCs w:val="20"/>
                <w:lang w:val="en-US" w:eastAsia="en-GB"/>
              </w:rPr>
              <w:t xml:space="preserve">B: Child Justice Strategy developed and integrated into Democratic Governance Sector Strategy (UNICEF                                                           </w:t>
            </w:r>
          </w:p>
        </w:tc>
        <w:tc>
          <w:tcPr>
            <w:tcW w:w="1230" w:type="dxa"/>
            <w:tcBorders>
              <w:top w:val="nil"/>
              <w:left w:val="nil"/>
              <w:bottom w:val="nil"/>
              <w:right w:val="single" w:sz="4" w:space="0" w:color="auto"/>
            </w:tcBorders>
            <w:shd w:val="clear" w:color="auto" w:fill="auto"/>
            <w:hideMark/>
          </w:tcPr>
          <w:p w14:paraId="0BE0437A" w14:textId="77777777" w:rsidR="00683F4A" w:rsidRPr="003B552F" w:rsidRDefault="00683F4A" w:rsidP="009657E1">
            <w:pPr>
              <w:spacing w:after="0"/>
              <w:jc w:val="left"/>
              <w:rPr>
                <w:rFonts w:ascii="Arial Narrow" w:eastAsia="Times New Roman" w:hAnsi="Arial Narrow"/>
                <w:sz w:val="20"/>
                <w:szCs w:val="20"/>
                <w:lang w:eastAsia="en-GB"/>
              </w:rPr>
            </w:pPr>
            <w:r w:rsidRPr="003B552F">
              <w:rPr>
                <w:rFonts w:ascii="Arial Narrow" w:eastAsia="Times New Roman" w:hAnsi="Arial Narrow"/>
                <w:sz w:val="20"/>
                <w:szCs w:val="20"/>
                <w:lang w:eastAsia="en-GB"/>
              </w:rPr>
              <w:t>UNICEF</w:t>
            </w:r>
          </w:p>
        </w:tc>
        <w:tc>
          <w:tcPr>
            <w:tcW w:w="953" w:type="dxa"/>
            <w:tcBorders>
              <w:top w:val="nil"/>
              <w:left w:val="nil"/>
              <w:bottom w:val="nil"/>
              <w:right w:val="single" w:sz="4" w:space="0" w:color="auto"/>
            </w:tcBorders>
            <w:shd w:val="clear" w:color="auto" w:fill="auto"/>
            <w:hideMark/>
          </w:tcPr>
          <w:p w14:paraId="35895AE4"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20,000 </w:t>
            </w:r>
          </w:p>
        </w:tc>
        <w:tc>
          <w:tcPr>
            <w:tcW w:w="1037" w:type="dxa"/>
            <w:gridSpan w:val="3"/>
            <w:tcBorders>
              <w:top w:val="nil"/>
              <w:left w:val="nil"/>
              <w:bottom w:val="nil"/>
              <w:right w:val="single" w:sz="4" w:space="0" w:color="auto"/>
            </w:tcBorders>
            <w:shd w:val="clear" w:color="auto" w:fill="auto"/>
            <w:hideMark/>
          </w:tcPr>
          <w:p w14:paraId="71709FD0"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220,000 </w:t>
            </w:r>
          </w:p>
        </w:tc>
        <w:tc>
          <w:tcPr>
            <w:tcW w:w="986" w:type="dxa"/>
            <w:tcBorders>
              <w:top w:val="nil"/>
              <w:left w:val="nil"/>
              <w:bottom w:val="nil"/>
              <w:right w:val="single" w:sz="4" w:space="0" w:color="auto"/>
            </w:tcBorders>
            <w:shd w:val="clear" w:color="auto" w:fill="auto"/>
            <w:hideMark/>
          </w:tcPr>
          <w:p w14:paraId="08AFD73E"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100,000 </w:t>
            </w:r>
          </w:p>
        </w:tc>
        <w:tc>
          <w:tcPr>
            <w:tcW w:w="1134" w:type="dxa"/>
            <w:tcBorders>
              <w:top w:val="nil"/>
              <w:left w:val="nil"/>
              <w:bottom w:val="nil"/>
              <w:right w:val="single" w:sz="8" w:space="0" w:color="auto"/>
            </w:tcBorders>
            <w:shd w:val="clear" w:color="auto" w:fill="auto"/>
            <w:hideMark/>
          </w:tcPr>
          <w:p w14:paraId="5CE10F8F"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340,000 </w:t>
            </w:r>
          </w:p>
        </w:tc>
      </w:tr>
      <w:tr w:rsidR="00683F4A" w:rsidRPr="007D425D" w14:paraId="6251BD4B" w14:textId="77777777" w:rsidTr="009657E1">
        <w:trPr>
          <w:trHeight w:val="179"/>
          <w:jc w:val="center"/>
        </w:trPr>
        <w:tc>
          <w:tcPr>
            <w:tcW w:w="1529" w:type="dxa"/>
            <w:gridSpan w:val="2"/>
            <w:vMerge/>
            <w:tcBorders>
              <w:top w:val="nil"/>
              <w:left w:val="single" w:sz="8" w:space="0" w:color="auto"/>
              <w:bottom w:val="single" w:sz="4" w:space="0" w:color="000000"/>
              <w:right w:val="single" w:sz="4" w:space="0" w:color="auto"/>
            </w:tcBorders>
            <w:vAlign w:val="center"/>
            <w:hideMark/>
          </w:tcPr>
          <w:p w14:paraId="525E0FA6" w14:textId="77777777" w:rsidR="00683F4A" w:rsidRPr="003B552F" w:rsidRDefault="00683F4A" w:rsidP="009657E1">
            <w:pPr>
              <w:spacing w:after="0"/>
              <w:jc w:val="left"/>
              <w:rPr>
                <w:rFonts w:ascii="Arial Narrow" w:eastAsia="Times New Roman" w:hAnsi="Arial Narrow"/>
                <w:b/>
                <w:bCs/>
                <w:sz w:val="20"/>
                <w:szCs w:val="20"/>
                <w:lang w:eastAsia="en-GB"/>
              </w:rPr>
            </w:pPr>
          </w:p>
        </w:tc>
        <w:tc>
          <w:tcPr>
            <w:tcW w:w="7883" w:type="dxa"/>
            <w:gridSpan w:val="5"/>
            <w:tcBorders>
              <w:top w:val="single" w:sz="8" w:space="0" w:color="auto"/>
              <w:left w:val="single" w:sz="8" w:space="0" w:color="auto"/>
              <w:bottom w:val="single" w:sz="8" w:space="0" w:color="auto"/>
              <w:right w:val="single" w:sz="4" w:space="0" w:color="000000"/>
            </w:tcBorders>
            <w:shd w:val="clear" w:color="auto" w:fill="auto"/>
            <w:hideMark/>
          </w:tcPr>
          <w:p w14:paraId="7D8B3F0C" w14:textId="77777777" w:rsidR="00683F4A" w:rsidRPr="00CD56B9" w:rsidRDefault="00683F4A" w:rsidP="009657E1">
            <w:pPr>
              <w:spacing w:after="0"/>
              <w:jc w:val="left"/>
              <w:rPr>
                <w:rFonts w:ascii="Arial Narrow" w:eastAsia="Times New Roman" w:hAnsi="Arial Narrow"/>
                <w:b/>
                <w:bCs/>
                <w:color w:val="FF0000"/>
                <w:sz w:val="20"/>
                <w:szCs w:val="20"/>
                <w:lang w:val="en-US" w:eastAsia="en-GB"/>
              </w:rPr>
            </w:pPr>
            <w:r w:rsidRPr="00CD56B9">
              <w:rPr>
                <w:rFonts w:ascii="Arial Narrow" w:eastAsia="Times New Roman" w:hAnsi="Arial Narrow"/>
                <w:b/>
                <w:bCs/>
                <w:color w:val="FF0000"/>
                <w:sz w:val="20"/>
                <w:szCs w:val="20"/>
                <w:lang w:val="en-US" w:eastAsia="en-GB"/>
              </w:rPr>
              <w:t>4.1.1-Total Budget for Annualised Key Results for 2012</w:t>
            </w:r>
          </w:p>
        </w:tc>
        <w:tc>
          <w:tcPr>
            <w:tcW w:w="1230" w:type="dxa"/>
            <w:tcBorders>
              <w:top w:val="single" w:sz="8" w:space="0" w:color="auto"/>
              <w:left w:val="nil"/>
              <w:bottom w:val="single" w:sz="8" w:space="0" w:color="auto"/>
              <w:right w:val="single" w:sz="4" w:space="0" w:color="auto"/>
            </w:tcBorders>
            <w:shd w:val="clear" w:color="auto" w:fill="auto"/>
            <w:hideMark/>
          </w:tcPr>
          <w:p w14:paraId="61FEB734" w14:textId="77777777" w:rsidR="00683F4A" w:rsidRPr="00CD56B9" w:rsidRDefault="00683F4A" w:rsidP="009657E1">
            <w:pPr>
              <w:spacing w:after="0"/>
              <w:jc w:val="left"/>
              <w:rPr>
                <w:rFonts w:ascii="Arial Narrow" w:eastAsia="Times New Roman" w:hAnsi="Arial Narrow"/>
                <w:sz w:val="20"/>
                <w:szCs w:val="20"/>
                <w:lang w:val="en-US" w:eastAsia="en-GB"/>
              </w:rPr>
            </w:pPr>
            <w:r w:rsidRPr="00CD56B9">
              <w:rPr>
                <w:rFonts w:ascii="Arial Narrow" w:eastAsia="Times New Roman" w:hAnsi="Arial Narrow"/>
                <w:sz w:val="20"/>
                <w:szCs w:val="20"/>
                <w:lang w:val="en-US" w:eastAsia="en-GB"/>
              </w:rPr>
              <w:t> </w:t>
            </w:r>
          </w:p>
        </w:tc>
        <w:tc>
          <w:tcPr>
            <w:tcW w:w="953" w:type="dxa"/>
            <w:tcBorders>
              <w:top w:val="single" w:sz="8" w:space="0" w:color="auto"/>
              <w:left w:val="nil"/>
              <w:bottom w:val="single" w:sz="8" w:space="0" w:color="auto"/>
              <w:right w:val="single" w:sz="4" w:space="0" w:color="auto"/>
            </w:tcBorders>
            <w:shd w:val="clear" w:color="auto" w:fill="auto"/>
            <w:hideMark/>
          </w:tcPr>
          <w:p w14:paraId="03C72BDF" w14:textId="77777777" w:rsidR="00683F4A" w:rsidRPr="003B552F" w:rsidRDefault="00683F4A" w:rsidP="009657E1">
            <w:pPr>
              <w:spacing w:after="0"/>
              <w:jc w:val="right"/>
              <w:rPr>
                <w:rFonts w:ascii="Arial Narrow" w:eastAsia="Times New Roman" w:hAnsi="Arial Narrow"/>
                <w:b/>
                <w:bCs/>
                <w:color w:val="FF0000"/>
                <w:sz w:val="20"/>
                <w:szCs w:val="20"/>
                <w:lang w:eastAsia="en-GB"/>
              </w:rPr>
            </w:pPr>
            <w:r w:rsidRPr="00CD56B9">
              <w:rPr>
                <w:rFonts w:ascii="Arial Narrow" w:eastAsia="Times New Roman" w:hAnsi="Arial Narrow"/>
                <w:b/>
                <w:bCs/>
                <w:color w:val="FF0000"/>
                <w:sz w:val="20"/>
                <w:szCs w:val="20"/>
                <w:lang w:val="en-US" w:eastAsia="en-GB"/>
              </w:rPr>
              <w:t xml:space="preserve">           </w:t>
            </w:r>
            <w:r w:rsidRPr="003B552F">
              <w:rPr>
                <w:rFonts w:ascii="Arial Narrow" w:eastAsia="Times New Roman" w:hAnsi="Arial Narrow"/>
                <w:b/>
                <w:bCs/>
                <w:color w:val="FF0000"/>
                <w:sz w:val="20"/>
                <w:szCs w:val="20"/>
                <w:lang w:eastAsia="en-GB"/>
              </w:rPr>
              <w:t xml:space="preserve">420,000 </w:t>
            </w:r>
          </w:p>
        </w:tc>
        <w:tc>
          <w:tcPr>
            <w:tcW w:w="1037" w:type="dxa"/>
            <w:gridSpan w:val="3"/>
            <w:tcBorders>
              <w:top w:val="single" w:sz="8" w:space="0" w:color="auto"/>
              <w:left w:val="nil"/>
              <w:bottom w:val="single" w:sz="8" w:space="0" w:color="auto"/>
              <w:right w:val="single" w:sz="4" w:space="0" w:color="auto"/>
            </w:tcBorders>
            <w:shd w:val="clear" w:color="auto" w:fill="auto"/>
            <w:hideMark/>
          </w:tcPr>
          <w:p w14:paraId="0AEAC5A9" w14:textId="77777777" w:rsidR="00683F4A" w:rsidRPr="003B552F" w:rsidRDefault="00683F4A" w:rsidP="009657E1">
            <w:pPr>
              <w:spacing w:after="0"/>
              <w:jc w:val="right"/>
              <w:rPr>
                <w:rFonts w:ascii="Arial Narrow" w:eastAsia="Times New Roman" w:hAnsi="Arial Narrow"/>
                <w:b/>
                <w:bCs/>
                <w:color w:val="FF0000"/>
                <w:sz w:val="20"/>
                <w:szCs w:val="20"/>
                <w:lang w:eastAsia="en-GB"/>
              </w:rPr>
            </w:pPr>
            <w:r w:rsidRPr="003B552F">
              <w:rPr>
                <w:rFonts w:ascii="Arial Narrow" w:eastAsia="Times New Roman" w:hAnsi="Arial Narrow"/>
                <w:b/>
                <w:bCs/>
                <w:color w:val="FF0000"/>
                <w:sz w:val="20"/>
                <w:szCs w:val="20"/>
                <w:lang w:eastAsia="en-GB"/>
              </w:rPr>
              <w:t xml:space="preserve">            720,000 </w:t>
            </w:r>
          </w:p>
        </w:tc>
        <w:tc>
          <w:tcPr>
            <w:tcW w:w="986" w:type="dxa"/>
            <w:tcBorders>
              <w:top w:val="single" w:sz="8" w:space="0" w:color="auto"/>
              <w:left w:val="nil"/>
              <w:bottom w:val="single" w:sz="8" w:space="0" w:color="auto"/>
              <w:right w:val="single" w:sz="4" w:space="0" w:color="auto"/>
            </w:tcBorders>
            <w:shd w:val="clear" w:color="auto" w:fill="auto"/>
            <w:hideMark/>
          </w:tcPr>
          <w:p w14:paraId="6BAD87FC" w14:textId="77777777" w:rsidR="00683F4A" w:rsidRPr="003B552F" w:rsidRDefault="00683F4A" w:rsidP="009657E1">
            <w:pPr>
              <w:spacing w:after="0"/>
              <w:jc w:val="right"/>
              <w:rPr>
                <w:rFonts w:ascii="Arial Narrow" w:eastAsia="Times New Roman" w:hAnsi="Arial Narrow"/>
                <w:b/>
                <w:bCs/>
                <w:color w:val="FF0000"/>
                <w:sz w:val="20"/>
                <w:szCs w:val="20"/>
                <w:lang w:eastAsia="en-GB"/>
              </w:rPr>
            </w:pPr>
            <w:r w:rsidRPr="003B552F">
              <w:rPr>
                <w:rFonts w:ascii="Arial Narrow" w:eastAsia="Times New Roman" w:hAnsi="Arial Narrow"/>
                <w:b/>
                <w:bCs/>
                <w:color w:val="FF0000"/>
                <w:sz w:val="20"/>
                <w:szCs w:val="20"/>
                <w:lang w:eastAsia="en-GB"/>
              </w:rPr>
              <w:t xml:space="preserve">           600,000 </w:t>
            </w:r>
          </w:p>
        </w:tc>
        <w:tc>
          <w:tcPr>
            <w:tcW w:w="1134" w:type="dxa"/>
            <w:tcBorders>
              <w:top w:val="single" w:sz="8" w:space="0" w:color="auto"/>
              <w:left w:val="nil"/>
              <w:bottom w:val="single" w:sz="8" w:space="0" w:color="auto"/>
              <w:right w:val="single" w:sz="8" w:space="0" w:color="auto"/>
            </w:tcBorders>
            <w:shd w:val="clear" w:color="auto" w:fill="auto"/>
            <w:hideMark/>
          </w:tcPr>
          <w:p w14:paraId="7B46B319" w14:textId="77777777" w:rsidR="00683F4A" w:rsidRPr="003B552F" w:rsidRDefault="00683F4A" w:rsidP="009657E1">
            <w:pPr>
              <w:spacing w:after="0"/>
              <w:jc w:val="right"/>
              <w:rPr>
                <w:rFonts w:ascii="Arial Narrow" w:eastAsia="Times New Roman" w:hAnsi="Arial Narrow"/>
                <w:b/>
                <w:bCs/>
                <w:color w:val="FF0000"/>
                <w:sz w:val="20"/>
                <w:szCs w:val="20"/>
                <w:lang w:eastAsia="en-GB"/>
              </w:rPr>
            </w:pPr>
            <w:r w:rsidRPr="003B552F">
              <w:rPr>
                <w:rFonts w:ascii="Arial Narrow" w:eastAsia="Times New Roman" w:hAnsi="Arial Narrow"/>
                <w:b/>
                <w:bCs/>
                <w:color w:val="FF0000"/>
                <w:sz w:val="20"/>
                <w:szCs w:val="20"/>
                <w:lang w:eastAsia="en-GB"/>
              </w:rPr>
              <w:t xml:space="preserve">          1,740,000 </w:t>
            </w:r>
          </w:p>
        </w:tc>
      </w:tr>
      <w:tr w:rsidR="00683F4A" w:rsidRPr="007D425D" w14:paraId="67BDF538" w14:textId="77777777" w:rsidTr="009657E1">
        <w:trPr>
          <w:trHeight w:val="168"/>
          <w:jc w:val="center"/>
        </w:trPr>
        <w:tc>
          <w:tcPr>
            <w:tcW w:w="1529" w:type="dxa"/>
            <w:gridSpan w:val="2"/>
            <w:vMerge w:val="restart"/>
            <w:tcBorders>
              <w:top w:val="nil"/>
              <w:left w:val="single" w:sz="8" w:space="0" w:color="auto"/>
              <w:bottom w:val="single" w:sz="4" w:space="0" w:color="000000"/>
              <w:right w:val="single" w:sz="4" w:space="0" w:color="auto"/>
            </w:tcBorders>
            <w:shd w:val="clear" w:color="auto" w:fill="auto"/>
            <w:hideMark/>
          </w:tcPr>
          <w:p w14:paraId="74D7BFC8" w14:textId="77777777" w:rsidR="00683F4A" w:rsidRPr="003B552F" w:rsidRDefault="00683F4A" w:rsidP="009657E1">
            <w:pPr>
              <w:spacing w:after="0"/>
              <w:jc w:val="left"/>
              <w:rPr>
                <w:rFonts w:ascii="Arial Narrow" w:eastAsia="Times New Roman" w:hAnsi="Arial Narrow"/>
                <w:b/>
                <w:bCs/>
                <w:sz w:val="20"/>
                <w:szCs w:val="20"/>
                <w:lang w:eastAsia="en-GB"/>
              </w:rPr>
            </w:pPr>
            <w:r w:rsidRPr="003B552F">
              <w:rPr>
                <w:rFonts w:ascii="Arial Narrow" w:eastAsia="Times New Roman" w:hAnsi="Arial Narrow"/>
                <w:b/>
                <w:bCs/>
                <w:sz w:val="20"/>
                <w:szCs w:val="20"/>
                <w:lang w:eastAsia="en-GB"/>
              </w:rPr>
              <w:t>Annualized Key Results 2013</w:t>
            </w:r>
          </w:p>
        </w:tc>
        <w:tc>
          <w:tcPr>
            <w:tcW w:w="7883" w:type="dxa"/>
            <w:gridSpan w:val="5"/>
            <w:vMerge w:val="restart"/>
            <w:tcBorders>
              <w:top w:val="nil"/>
              <w:left w:val="single" w:sz="4" w:space="0" w:color="auto"/>
              <w:bottom w:val="single" w:sz="4" w:space="0" w:color="000000"/>
              <w:right w:val="single" w:sz="4" w:space="0" w:color="000000"/>
            </w:tcBorders>
            <w:shd w:val="clear" w:color="auto" w:fill="auto"/>
            <w:hideMark/>
          </w:tcPr>
          <w:p w14:paraId="13E55E2F" w14:textId="77777777" w:rsidR="00683F4A" w:rsidRPr="00CD56B9" w:rsidRDefault="00683F4A" w:rsidP="009657E1">
            <w:pPr>
              <w:spacing w:after="0"/>
              <w:jc w:val="left"/>
              <w:rPr>
                <w:rFonts w:ascii="Arial Narrow" w:eastAsia="Times New Roman" w:hAnsi="Arial Narrow"/>
                <w:sz w:val="20"/>
                <w:szCs w:val="20"/>
                <w:lang w:val="en-US" w:eastAsia="en-GB"/>
              </w:rPr>
            </w:pPr>
            <w:r w:rsidRPr="00CD56B9">
              <w:rPr>
                <w:rFonts w:ascii="Arial Narrow" w:eastAsia="Times New Roman" w:hAnsi="Arial Narrow"/>
                <w:sz w:val="20"/>
                <w:szCs w:val="20"/>
                <w:lang w:val="en-US" w:eastAsia="en-GB"/>
              </w:rPr>
              <w:t xml:space="preserve">C: Coordinated funding mechanism for DG secotr formulated and endorsed by stakeholders (UNDP)    </w:t>
            </w:r>
          </w:p>
        </w:tc>
        <w:tc>
          <w:tcPr>
            <w:tcW w:w="1230" w:type="dxa"/>
            <w:tcBorders>
              <w:top w:val="nil"/>
              <w:left w:val="nil"/>
              <w:bottom w:val="single" w:sz="4" w:space="0" w:color="auto"/>
              <w:right w:val="single" w:sz="4" w:space="0" w:color="auto"/>
            </w:tcBorders>
            <w:shd w:val="clear" w:color="auto" w:fill="auto"/>
            <w:hideMark/>
          </w:tcPr>
          <w:p w14:paraId="615AF4BC" w14:textId="77777777" w:rsidR="00683F4A" w:rsidRPr="003B552F" w:rsidRDefault="00683F4A" w:rsidP="009657E1">
            <w:pPr>
              <w:spacing w:after="0"/>
              <w:jc w:val="left"/>
              <w:rPr>
                <w:rFonts w:ascii="Arial Narrow" w:eastAsia="Times New Roman" w:hAnsi="Arial Narrow"/>
                <w:sz w:val="20"/>
                <w:szCs w:val="20"/>
                <w:lang w:eastAsia="en-GB"/>
              </w:rPr>
            </w:pPr>
            <w:r w:rsidRPr="003B552F">
              <w:rPr>
                <w:rFonts w:ascii="Arial Narrow" w:eastAsia="Times New Roman" w:hAnsi="Arial Narrow"/>
                <w:sz w:val="20"/>
                <w:szCs w:val="20"/>
                <w:lang w:eastAsia="en-GB"/>
              </w:rPr>
              <w:t>UNDP</w:t>
            </w:r>
          </w:p>
        </w:tc>
        <w:tc>
          <w:tcPr>
            <w:tcW w:w="953" w:type="dxa"/>
            <w:tcBorders>
              <w:top w:val="nil"/>
              <w:left w:val="nil"/>
              <w:bottom w:val="single" w:sz="4" w:space="0" w:color="auto"/>
              <w:right w:val="single" w:sz="4" w:space="0" w:color="auto"/>
            </w:tcBorders>
            <w:shd w:val="clear" w:color="auto" w:fill="auto"/>
            <w:hideMark/>
          </w:tcPr>
          <w:p w14:paraId="796BAAF5"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100,000 </w:t>
            </w:r>
          </w:p>
        </w:tc>
        <w:tc>
          <w:tcPr>
            <w:tcW w:w="1037" w:type="dxa"/>
            <w:gridSpan w:val="3"/>
            <w:tcBorders>
              <w:top w:val="nil"/>
              <w:left w:val="nil"/>
              <w:bottom w:val="single" w:sz="4" w:space="0" w:color="auto"/>
              <w:right w:val="single" w:sz="4" w:space="0" w:color="auto"/>
            </w:tcBorders>
            <w:shd w:val="clear" w:color="auto" w:fill="auto"/>
            <w:hideMark/>
          </w:tcPr>
          <w:p w14:paraId="328A70F7"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w:t>
            </w:r>
          </w:p>
        </w:tc>
        <w:tc>
          <w:tcPr>
            <w:tcW w:w="986" w:type="dxa"/>
            <w:tcBorders>
              <w:top w:val="nil"/>
              <w:left w:val="nil"/>
              <w:bottom w:val="single" w:sz="4" w:space="0" w:color="auto"/>
              <w:right w:val="single" w:sz="4" w:space="0" w:color="auto"/>
            </w:tcBorders>
            <w:shd w:val="clear" w:color="auto" w:fill="auto"/>
            <w:hideMark/>
          </w:tcPr>
          <w:p w14:paraId="041C863B"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350,000 </w:t>
            </w:r>
          </w:p>
        </w:tc>
        <w:tc>
          <w:tcPr>
            <w:tcW w:w="1134" w:type="dxa"/>
            <w:tcBorders>
              <w:top w:val="nil"/>
              <w:left w:val="nil"/>
              <w:bottom w:val="single" w:sz="4" w:space="0" w:color="auto"/>
              <w:right w:val="single" w:sz="8" w:space="0" w:color="auto"/>
            </w:tcBorders>
            <w:shd w:val="clear" w:color="auto" w:fill="auto"/>
            <w:hideMark/>
          </w:tcPr>
          <w:p w14:paraId="55563862"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450,000 </w:t>
            </w:r>
          </w:p>
        </w:tc>
      </w:tr>
      <w:tr w:rsidR="00683F4A" w:rsidRPr="007D425D" w14:paraId="5A292206" w14:textId="77777777" w:rsidTr="009657E1">
        <w:trPr>
          <w:trHeight w:val="168"/>
          <w:jc w:val="center"/>
        </w:trPr>
        <w:tc>
          <w:tcPr>
            <w:tcW w:w="1529" w:type="dxa"/>
            <w:gridSpan w:val="2"/>
            <w:vMerge/>
            <w:tcBorders>
              <w:top w:val="nil"/>
              <w:left w:val="single" w:sz="8" w:space="0" w:color="auto"/>
              <w:bottom w:val="single" w:sz="4" w:space="0" w:color="000000"/>
              <w:right w:val="single" w:sz="4" w:space="0" w:color="auto"/>
            </w:tcBorders>
            <w:vAlign w:val="center"/>
            <w:hideMark/>
          </w:tcPr>
          <w:p w14:paraId="7D755B94" w14:textId="77777777" w:rsidR="00683F4A" w:rsidRPr="003B552F" w:rsidRDefault="00683F4A" w:rsidP="009657E1">
            <w:pPr>
              <w:spacing w:after="0"/>
              <w:jc w:val="left"/>
              <w:rPr>
                <w:rFonts w:ascii="Arial Narrow" w:eastAsia="Times New Roman" w:hAnsi="Arial Narrow"/>
                <w:b/>
                <w:bCs/>
                <w:sz w:val="20"/>
                <w:szCs w:val="20"/>
                <w:lang w:eastAsia="en-GB"/>
              </w:rPr>
            </w:pPr>
          </w:p>
        </w:tc>
        <w:tc>
          <w:tcPr>
            <w:tcW w:w="7883" w:type="dxa"/>
            <w:gridSpan w:val="5"/>
            <w:vMerge/>
            <w:tcBorders>
              <w:top w:val="nil"/>
              <w:left w:val="single" w:sz="4" w:space="0" w:color="auto"/>
              <w:bottom w:val="single" w:sz="4" w:space="0" w:color="000000"/>
              <w:right w:val="single" w:sz="4" w:space="0" w:color="000000"/>
            </w:tcBorders>
            <w:vAlign w:val="center"/>
            <w:hideMark/>
          </w:tcPr>
          <w:p w14:paraId="1A472EBC" w14:textId="77777777" w:rsidR="00683F4A" w:rsidRPr="003B552F" w:rsidRDefault="00683F4A" w:rsidP="009657E1">
            <w:pPr>
              <w:spacing w:after="0"/>
              <w:jc w:val="left"/>
              <w:rPr>
                <w:rFonts w:ascii="Arial Narrow" w:eastAsia="Times New Roman" w:hAnsi="Arial Narrow"/>
                <w:sz w:val="20"/>
                <w:szCs w:val="20"/>
                <w:lang w:eastAsia="en-GB"/>
              </w:rPr>
            </w:pPr>
          </w:p>
        </w:tc>
        <w:tc>
          <w:tcPr>
            <w:tcW w:w="1230" w:type="dxa"/>
            <w:tcBorders>
              <w:top w:val="nil"/>
              <w:left w:val="nil"/>
              <w:bottom w:val="single" w:sz="4" w:space="0" w:color="auto"/>
              <w:right w:val="single" w:sz="4" w:space="0" w:color="auto"/>
            </w:tcBorders>
            <w:shd w:val="clear" w:color="auto" w:fill="auto"/>
            <w:hideMark/>
          </w:tcPr>
          <w:p w14:paraId="37D8A06A" w14:textId="77777777" w:rsidR="00683F4A" w:rsidRPr="003B552F" w:rsidRDefault="00683F4A" w:rsidP="009657E1">
            <w:pPr>
              <w:spacing w:after="0"/>
              <w:jc w:val="left"/>
              <w:rPr>
                <w:rFonts w:ascii="Arial Narrow" w:eastAsia="Times New Roman" w:hAnsi="Arial Narrow"/>
                <w:sz w:val="20"/>
                <w:szCs w:val="20"/>
                <w:lang w:eastAsia="en-GB"/>
              </w:rPr>
            </w:pPr>
            <w:r w:rsidRPr="003B552F">
              <w:rPr>
                <w:rFonts w:ascii="Arial Narrow" w:eastAsia="Times New Roman" w:hAnsi="Arial Narrow"/>
                <w:sz w:val="20"/>
                <w:szCs w:val="20"/>
                <w:lang w:eastAsia="en-GB"/>
              </w:rPr>
              <w:t>UNICEF</w:t>
            </w:r>
          </w:p>
        </w:tc>
        <w:tc>
          <w:tcPr>
            <w:tcW w:w="953" w:type="dxa"/>
            <w:tcBorders>
              <w:top w:val="nil"/>
              <w:left w:val="nil"/>
              <w:bottom w:val="single" w:sz="4" w:space="0" w:color="auto"/>
              <w:right w:val="single" w:sz="4" w:space="0" w:color="auto"/>
            </w:tcBorders>
            <w:shd w:val="clear" w:color="auto" w:fill="auto"/>
            <w:hideMark/>
          </w:tcPr>
          <w:p w14:paraId="0C8ECC3E"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20,000 </w:t>
            </w:r>
          </w:p>
        </w:tc>
        <w:tc>
          <w:tcPr>
            <w:tcW w:w="1037" w:type="dxa"/>
            <w:gridSpan w:val="3"/>
            <w:tcBorders>
              <w:top w:val="nil"/>
              <w:left w:val="nil"/>
              <w:bottom w:val="single" w:sz="4" w:space="0" w:color="auto"/>
              <w:right w:val="single" w:sz="4" w:space="0" w:color="auto"/>
            </w:tcBorders>
            <w:shd w:val="clear" w:color="auto" w:fill="auto"/>
            <w:hideMark/>
          </w:tcPr>
          <w:p w14:paraId="5D3E0FCF"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220,000 </w:t>
            </w:r>
          </w:p>
        </w:tc>
        <w:tc>
          <w:tcPr>
            <w:tcW w:w="986" w:type="dxa"/>
            <w:tcBorders>
              <w:top w:val="nil"/>
              <w:left w:val="nil"/>
              <w:bottom w:val="single" w:sz="4" w:space="0" w:color="auto"/>
              <w:right w:val="single" w:sz="4" w:space="0" w:color="auto"/>
            </w:tcBorders>
            <w:shd w:val="clear" w:color="auto" w:fill="auto"/>
            <w:hideMark/>
          </w:tcPr>
          <w:p w14:paraId="30F15543"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100,000 </w:t>
            </w:r>
          </w:p>
        </w:tc>
        <w:tc>
          <w:tcPr>
            <w:tcW w:w="1134" w:type="dxa"/>
            <w:tcBorders>
              <w:top w:val="nil"/>
              <w:left w:val="nil"/>
              <w:bottom w:val="single" w:sz="4" w:space="0" w:color="auto"/>
              <w:right w:val="single" w:sz="8" w:space="0" w:color="auto"/>
            </w:tcBorders>
            <w:shd w:val="clear" w:color="auto" w:fill="auto"/>
            <w:hideMark/>
          </w:tcPr>
          <w:p w14:paraId="3560B5BF"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340,000 </w:t>
            </w:r>
          </w:p>
        </w:tc>
      </w:tr>
      <w:tr w:rsidR="00683F4A" w:rsidRPr="007D425D" w14:paraId="7B78B6E8" w14:textId="77777777" w:rsidTr="009657E1">
        <w:trPr>
          <w:trHeight w:val="179"/>
          <w:jc w:val="center"/>
        </w:trPr>
        <w:tc>
          <w:tcPr>
            <w:tcW w:w="1529" w:type="dxa"/>
            <w:gridSpan w:val="2"/>
            <w:vMerge/>
            <w:tcBorders>
              <w:top w:val="nil"/>
              <w:left w:val="single" w:sz="8" w:space="0" w:color="auto"/>
              <w:bottom w:val="single" w:sz="4" w:space="0" w:color="000000"/>
              <w:right w:val="single" w:sz="4" w:space="0" w:color="auto"/>
            </w:tcBorders>
            <w:vAlign w:val="center"/>
            <w:hideMark/>
          </w:tcPr>
          <w:p w14:paraId="770B1E83" w14:textId="77777777" w:rsidR="00683F4A" w:rsidRPr="003B552F" w:rsidRDefault="00683F4A" w:rsidP="009657E1">
            <w:pPr>
              <w:spacing w:after="0"/>
              <w:jc w:val="left"/>
              <w:rPr>
                <w:rFonts w:ascii="Arial Narrow" w:eastAsia="Times New Roman" w:hAnsi="Arial Narrow"/>
                <w:b/>
                <w:bCs/>
                <w:sz w:val="20"/>
                <w:szCs w:val="20"/>
                <w:lang w:eastAsia="en-GB"/>
              </w:rPr>
            </w:pPr>
          </w:p>
        </w:tc>
        <w:tc>
          <w:tcPr>
            <w:tcW w:w="7883" w:type="dxa"/>
            <w:gridSpan w:val="5"/>
            <w:tcBorders>
              <w:top w:val="single" w:sz="4" w:space="0" w:color="auto"/>
              <w:left w:val="nil"/>
              <w:bottom w:val="nil"/>
              <w:right w:val="single" w:sz="4" w:space="0" w:color="000000"/>
            </w:tcBorders>
            <w:shd w:val="clear" w:color="auto" w:fill="auto"/>
            <w:vAlign w:val="bottom"/>
            <w:hideMark/>
          </w:tcPr>
          <w:p w14:paraId="009E7BBC" w14:textId="77777777" w:rsidR="00683F4A" w:rsidRPr="00CD56B9" w:rsidRDefault="00683F4A" w:rsidP="009657E1">
            <w:pPr>
              <w:spacing w:after="0"/>
              <w:jc w:val="left"/>
              <w:rPr>
                <w:rFonts w:ascii="Arial Narrow" w:eastAsia="Times New Roman" w:hAnsi="Arial Narrow"/>
                <w:sz w:val="20"/>
                <w:szCs w:val="20"/>
                <w:lang w:val="en-US" w:eastAsia="en-GB"/>
              </w:rPr>
            </w:pPr>
            <w:r w:rsidRPr="00645BC0">
              <w:rPr>
                <w:rFonts w:ascii="Arial Narrow" w:eastAsia="Times New Roman" w:hAnsi="Arial Narrow"/>
                <w:sz w:val="20"/>
                <w:szCs w:val="20"/>
                <w:lang w:val="en-GB" w:eastAsia="en-GB"/>
              </w:rPr>
              <w:t xml:space="preserve">  </w:t>
            </w:r>
            <w:r w:rsidRPr="00CD56B9">
              <w:rPr>
                <w:rFonts w:ascii="Arial Narrow" w:eastAsia="Times New Roman" w:hAnsi="Arial Narrow"/>
                <w:sz w:val="20"/>
                <w:szCs w:val="20"/>
                <w:lang w:val="en-US" w:eastAsia="en-GB"/>
              </w:rPr>
              <w:br/>
              <w:t xml:space="preserve">D: Long term government owned M&amp;E framework functinoal (UNDP .  </w:t>
            </w:r>
            <w:r w:rsidRPr="00CD56B9">
              <w:rPr>
                <w:rFonts w:ascii="Arial Narrow" w:eastAsia="Times New Roman" w:hAnsi="Arial Narrow"/>
                <w:sz w:val="20"/>
                <w:szCs w:val="20"/>
                <w:lang w:val="en-US" w:eastAsia="en-GB"/>
              </w:rPr>
              <w:br/>
              <w:t xml:space="preserve">                                                                                                                                                                                                                                                                                              </w:t>
            </w:r>
          </w:p>
        </w:tc>
        <w:tc>
          <w:tcPr>
            <w:tcW w:w="1230" w:type="dxa"/>
            <w:tcBorders>
              <w:top w:val="nil"/>
              <w:left w:val="nil"/>
              <w:bottom w:val="nil"/>
              <w:right w:val="single" w:sz="4" w:space="0" w:color="auto"/>
            </w:tcBorders>
            <w:shd w:val="clear" w:color="auto" w:fill="auto"/>
            <w:hideMark/>
          </w:tcPr>
          <w:p w14:paraId="5AFD7D63" w14:textId="77777777" w:rsidR="00683F4A" w:rsidRPr="003B552F" w:rsidRDefault="00683F4A" w:rsidP="009657E1">
            <w:pPr>
              <w:spacing w:after="0"/>
              <w:jc w:val="left"/>
              <w:rPr>
                <w:rFonts w:ascii="Arial Narrow" w:eastAsia="Times New Roman" w:hAnsi="Arial Narrow"/>
                <w:sz w:val="20"/>
                <w:szCs w:val="20"/>
                <w:lang w:eastAsia="en-GB"/>
              </w:rPr>
            </w:pPr>
            <w:r w:rsidRPr="003B552F">
              <w:rPr>
                <w:rFonts w:ascii="Arial Narrow" w:eastAsia="Times New Roman" w:hAnsi="Arial Narrow"/>
                <w:sz w:val="20"/>
                <w:szCs w:val="20"/>
                <w:lang w:eastAsia="en-GB"/>
              </w:rPr>
              <w:t>UNDP</w:t>
            </w:r>
          </w:p>
        </w:tc>
        <w:tc>
          <w:tcPr>
            <w:tcW w:w="953" w:type="dxa"/>
            <w:tcBorders>
              <w:top w:val="nil"/>
              <w:left w:val="nil"/>
              <w:bottom w:val="nil"/>
              <w:right w:val="single" w:sz="4" w:space="0" w:color="auto"/>
            </w:tcBorders>
            <w:shd w:val="clear" w:color="auto" w:fill="auto"/>
            <w:hideMark/>
          </w:tcPr>
          <w:p w14:paraId="49C0319B"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200,000 </w:t>
            </w:r>
          </w:p>
        </w:tc>
        <w:tc>
          <w:tcPr>
            <w:tcW w:w="1037" w:type="dxa"/>
            <w:gridSpan w:val="3"/>
            <w:tcBorders>
              <w:top w:val="nil"/>
              <w:left w:val="nil"/>
              <w:bottom w:val="nil"/>
              <w:right w:val="single" w:sz="4" w:space="0" w:color="auto"/>
            </w:tcBorders>
            <w:shd w:val="clear" w:color="auto" w:fill="auto"/>
            <w:hideMark/>
          </w:tcPr>
          <w:p w14:paraId="6D3BE92A"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w:t>
            </w:r>
          </w:p>
        </w:tc>
        <w:tc>
          <w:tcPr>
            <w:tcW w:w="986" w:type="dxa"/>
            <w:tcBorders>
              <w:top w:val="nil"/>
              <w:left w:val="nil"/>
              <w:bottom w:val="nil"/>
              <w:right w:val="single" w:sz="4" w:space="0" w:color="auto"/>
            </w:tcBorders>
            <w:shd w:val="clear" w:color="auto" w:fill="auto"/>
            <w:hideMark/>
          </w:tcPr>
          <w:p w14:paraId="2E6CD2A4"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350,000 </w:t>
            </w:r>
          </w:p>
        </w:tc>
        <w:tc>
          <w:tcPr>
            <w:tcW w:w="1134" w:type="dxa"/>
            <w:tcBorders>
              <w:top w:val="nil"/>
              <w:left w:val="nil"/>
              <w:bottom w:val="nil"/>
              <w:right w:val="single" w:sz="8" w:space="0" w:color="auto"/>
            </w:tcBorders>
            <w:shd w:val="clear" w:color="auto" w:fill="auto"/>
            <w:hideMark/>
          </w:tcPr>
          <w:p w14:paraId="1FD9A417"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550,000 </w:t>
            </w:r>
          </w:p>
        </w:tc>
      </w:tr>
      <w:tr w:rsidR="00683F4A" w:rsidRPr="007D425D" w14:paraId="29FFC829" w14:textId="77777777" w:rsidTr="009657E1">
        <w:trPr>
          <w:trHeight w:val="179"/>
          <w:jc w:val="center"/>
        </w:trPr>
        <w:tc>
          <w:tcPr>
            <w:tcW w:w="1529" w:type="dxa"/>
            <w:gridSpan w:val="2"/>
            <w:vMerge/>
            <w:tcBorders>
              <w:top w:val="nil"/>
              <w:left w:val="single" w:sz="8" w:space="0" w:color="auto"/>
              <w:bottom w:val="single" w:sz="4" w:space="0" w:color="000000"/>
              <w:right w:val="single" w:sz="4" w:space="0" w:color="auto"/>
            </w:tcBorders>
            <w:vAlign w:val="center"/>
            <w:hideMark/>
          </w:tcPr>
          <w:p w14:paraId="610DD718" w14:textId="77777777" w:rsidR="00683F4A" w:rsidRPr="003B552F" w:rsidRDefault="00683F4A" w:rsidP="009657E1">
            <w:pPr>
              <w:spacing w:after="0"/>
              <w:jc w:val="left"/>
              <w:rPr>
                <w:rFonts w:ascii="Arial Narrow" w:eastAsia="Times New Roman" w:hAnsi="Arial Narrow"/>
                <w:b/>
                <w:bCs/>
                <w:sz w:val="20"/>
                <w:szCs w:val="20"/>
                <w:lang w:eastAsia="en-GB"/>
              </w:rPr>
            </w:pPr>
          </w:p>
        </w:tc>
        <w:tc>
          <w:tcPr>
            <w:tcW w:w="7883" w:type="dxa"/>
            <w:gridSpan w:val="5"/>
            <w:tcBorders>
              <w:top w:val="single" w:sz="8" w:space="0" w:color="auto"/>
              <w:left w:val="single" w:sz="8" w:space="0" w:color="auto"/>
              <w:bottom w:val="single" w:sz="8" w:space="0" w:color="auto"/>
              <w:right w:val="single" w:sz="4" w:space="0" w:color="000000"/>
            </w:tcBorders>
            <w:shd w:val="clear" w:color="auto" w:fill="auto"/>
            <w:hideMark/>
          </w:tcPr>
          <w:p w14:paraId="6B019473" w14:textId="77777777" w:rsidR="00683F4A" w:rsidRPr="00CD56B9" w:rsidRDefault="00683F4A" w:rsidP="009657E1">
            <w:pPr>
              <w:spacing w:after="0"/>
              <w:jc w:val="left"/>
              <w:rPr>
                <w:rFonts w:ascii="Arial Narrow" w:eastAsia="Times New Roman" w:hAnsi="Arial Narrow"/>
                <w:b/>
                <w:bCs/>
                <w:color w:val="FF0000"/>
                <w:sz w:val="20"/>
                <w:szCs w:val="20"/>
                <w:lang w:val="en-US" w:eastAsia="en-GB"/>
              </w:rPr>
            </w:pPr>
            <w:r w:rsidRPr="00CD56B9">
              <w:rPr>
                <w:rFonts w:ascii="Arial Narrow" w:eastAsia="Times New Roman" w:hAnsi="Arial Narrow"/>
                <w:b/>
                <w:bCs/>
                <w:color w:val="FF0000"/>
                <w:sz w:val="20"/>
                <w:szCs w:val="20"/>
                <w:lang w:val="en-US" w:eastAsia="en-GB"/>
              </w:rPr>
              <w:t>4.1.1-Total Budget for  Annualised Key Results for 2013</w:t>
            </w:r>
          </w:p>
        </w:tc>
        <w:tc>
          <w:tcPr>
            <w:tcW w:w="1230" w:type="dxa"/>
            <w:tcBorders>
              <w:top w:val="single" w:sz="8" w:space="0" w:color="auto"/>
              <w:left w:val="nil"/>
              <w:bottom w:val="single" w:sz="8" w:space="0" w:color="auto"/>
              <w:right w:val="single" w:sz="4" w:space="0" w:color="auto"/>
            </w:tcBorders>
            <w:shd w:val="clear" w:color="auto" w:fill="auto"/>
            <w:hideMark/>
          </w:tcPr>
          <w:p w14:paraId="36A8ECB9" w14:textId="77777777" w:rsidR="00683F4A" w:rsidRPr="00CD56B9" w:rsidRDefault="00683F4A" w:rsidP="009657E1">
            <w:pPr>
              <w:spacing w:after="0"/>
              <w:jc w:val="left"/>
              <w:rPr>
                <w:rFonts w:ascii="Arial Narrow" w:eastAsia="Times New Roman" w:hAnsi="Arial Narrow"/>
                <w:sz w:val="20"/>
                <w:szCs w:val="20"/>
                <w:lang w:val="en-US" w:eastAsia="en-GB"/>
              </w:rPr>
            </w:pPr>
            <w:r w:rsidRPr="00CD56B9">
              <w:rPr>
                <w:rFonts w:ascii="Arial Narrow" w:eastAsia="Times New Roman" w:hAnsi="Arial Narrow"/>
                <w:sz w:val="20"/>
                <w:szCs w:val="20"/>
                <w:lang w:val="en-US" w:eastAsia="en-GB"/>
              </w:rPr>
              <w:t> </w:t>
            </w:r>
          </w:p>
        </w:tc>
        <w:tc>
          <w:tcPr>
            <w:tcW w:w="953" w:type="dxa"/>
            <w:tcBorders>
              <w:top w:val="single" w:sz="8" w:space="0" w:color="auto"/>
              <w:left w:val="nil"/>
              <w:bottom w:val="single" w:sz="8" w:space="0" w:color="auto"/>
              <w:right w:val="single" w:sz="4" w:space="0" w:color="auto"/>
            </w:tcBorders>
            <w:shd w:val="clear" w:color="auto" w:fill="auto"/>
            <w:hideMark/>
          </w:tcPr>
          <w:p w14:paraId="098E533F" w14:textId="77777777" w:rsidR="00683F4A" w:rsidRPr="003B552F" w:rsidRDefault="00683F4A" w:rsidP="009657E1">
            <w:pPr>
              <w:spacing w:after="0"/>
              <w:jc w:val="right"/>
              <w:rPr>
                <w:rFonts w:ascii="Arial Narrow" w:eastAsia="Times New Roman" w:hAnsi="Arial Narrow"/>
                <w:b/>
                <w:bCs/>
                <w:color w:val="FF0000"/>
                <w:sz w:val="20"/>
                <w:szCs w:val="20"/>
                <w:lang w:eastAsia="en-GB"/>
              </w:rPr>
            </w:pPr>
            <w:r w:rsidRPr="00CD56B9">
              <w:rPr>
                <w:rFonts w:ascii="Arial Narrow" w:eastAsia="Times New Roman" w:hAnsi="Arial Narrow"/>
                <w:b/>
                <w:bCs/>
                <w:color w:val="FF0000"/>
                <w:sz w:val="20"/>
                <w:szCs w:val="20"/>
                <w:lang w:val="en-US" w:eastAsia="en-GB"/>
              </w:rPr>
              <w:t xml:space="preserve">           </w:t>
            </w:r>
            <w:r w:rsidRPr="003B552F">
              <w:rPr>
                <w:rFonts w:ascii="Arial Narrow" w:eastAsia="Times New Roman" w:hAnsi="Arial Narrow"/>
                <w:b/>
                <w:bCs/>
                <w:color w:val="FF0000"/>
                <w:sz w:val="20"/>
                <w:szCs w:val="20"/>
                <w:lang w:eastAsia="en-GB"/>
              </w:rPr>
              <w:t xml:space="preserve">320,000 </w:t>
            </w:r>
          </w:p>
        </w:tc>
        <w:tc>
          <w:tcPr>
            <w:tcW w:w="1037" w:type="dxa"/>
            <w:gridSpan w:val="3"/>
            <w:tcBorders>
              <w:top w:val="single" w:sz="8" w:space="0" w:color="auto"/>
              <w:left w:val="nil"/>
              <w:bottom w:val="single" w:sz="8" w:space="0" w:color="auto"/>
              <w:right w:val="single" w:sz="4" w:space="0" w:color="auto"/>
            </w:tcBorders>
            <w:shd w:val="clear" w:color="auto" w:fill="auto"/>
            <w:hideMark/>
          </w:tcPr>
          <w:p w14:paraId="341C49CA" w14:textId="77777777" w:rsidR="00683F4A" w:rsidRPr="003B552F" w:rsidRDefault="00683F4A" w:rsidP="009657E1">
            <w:pPr>
              <w:spacing w:after="0"/>
              <w:jc w:val="right"/>
              <w:rPr>
                <w:rFonts w:ascii="Arial Narrow" w:eastAsia="Times New Roman" w:hAnsi="Arial Narrow"/>
                <w:b/>
                <w:bCs/>
                <w:color w:val="FF0000"/>
                <w:sz w:val="20"/>
                <w:szCs w:val="20"/>
                <w:lang w:eastAsia="en-GB"/>
              </w:rPr>
            </w:pPr>
            <w:r w:rsidRPr="003B552F">
              <w:rPr>
                <w:rFonts w:ascii="Arial Narrow" w:eastAsia="Times New Roman" w:hAnsi="Arial Narrow"/>
                <w:b/>
                <w:bCs/>
                <w:color w:val="FF0000"/>
                <w:sz w:val="20"/>
                <w:szCs w:val="20"/>
                <w:lang w:eastAsia="en-GB"/>
              </w:rPr>
              <w:t xml:space="preserve">            220,000 </w:t>
            </w:r>
          </w:p>
        </w:tc>
        <w:tc>
          <w:tcPr>
            <w:tcW w:w="986" w:type="dxa"/>
            <w:tcBorders>
              <w:top w:val="single" w:sz="8" w:space="0" w:color="auto"/>
              <w:left w:val="nil"/>
              <w:bottom w:val="single" w:sz="8" w:space="0" w:color="auto"/>
              <w:right w:val="single" w:sz="4" w:space="0" w:color="auto"/>
            </w:tcBorders>
            <w:shd w:val="clear" w:color="auto" w:fill="auto"/>
            <w:hideMark/>
          </w:tcPr>
          <w:p w14:paraId="3C47A32C" w14:textId="77777777" w:rsidR="00683F4A" w:rsidRPr="003B552F" w:rsidRDefault="00683F4A" w:rsidP="009657E1">
            <w:pPr>
              <w:spacing w:after="0"/>
              <w:jc w:val="right"/>
              <w:rPr>
                <w:rFonts w:ascii="Arial Narrow" w:eastAsia="Times New Roman" w:hAnsi="Arial Narrow"/>
                <w:b/>
                <w:bCs/>
                <w:color w:val="FF0000"/>
                <w:sz w:val="20"/>
                <w:szCs w:val="20"/>
                <w:lang w:eastAsia="en-GB"/>
              </w:rPr>
            </w:pPr>
            <w:r w:rsidRPr="003B552F">
              <w:rPr>
                <w:rFonts w:ascii="Arial Narrow" w:eastAsia="Times New Roman" w:hAnsi="Arial Narrow"/>
                <w:b/>
                <w:bCs/>
                <w:color w:val="FF0000"/>
                <w:sz w:val="20"/>
                <w:szCs w:val="20"/>
                <w:lang w:eastAsia="en-GB"/>
              </w:rPr>
              <w:t xml:space="preserve">           800,000 </w:t>
            </w:r>
          </w:p>
        </w:tc>
        <w:tc>
          <w:tcPr>
            <w:tcW w:w="1134" w:type="dxa"/>
            <w:tcBorders>
              <w:top w:val="single" w:sz="8" w:space="0" w:color="auto"/>
              <w:left w:val="nil"/>
              <w:bottom w:val="single" w:sz="8" w:space="0" w:color="auto"/>
              <w:right w:val="single" w:sz="8" w:space="0" w:color="auto"/>
            </w:tcBorders>
            <w:shd w:val="clear" w:color="auto" w:fill="auto"/>
            <w:hideMark/>
          </w:tcPr>
          <w:p w14:paraId="234BB231" w14:textId="77777777" w:rsidR="00683F4A" w:rsidRPr="003B552F" w:rsidRDefault="00683F4A" w:rsidP="009657E1">
            <w:pPr>
              <w:spacing w:after="0"/>
              <w:jc w:val="right"/>
              <w:rPr>
                <w:rFonts w:ascii="Arial Narrow" w:eastAsia="Times New Roman" w:hAnsi="Arial Narrow"/>
                <w:b/>
                <w:bCs/>
                <w:color w:val="FF0000"/>
                <w:sz w:val="20"/>
                <w:szCs w:val="20"/>
                <w:lang w:eastAsia="en-GB"/>
              </w:rPr>
            </w:pPr>
            <w:r w:rsidRPr="003B552F">
              <w:rPr>
                <w:rFonts w:ascii="Arial Narrow" w:eastAsia="Times New Roman" w:hAnsi="Arial Narrow"/>
                <w:b/>
                <w:bCs/>
                <w:color w:val="FF0000"/>
                <w:sz w:val="20"/>
                <w:szCs w:val="20"/>
                <w:lang w:eastAsia="en-GB"/>
              </w:rPr>
              <w:t xml:space="preserve">          1,340,000 </w:t>
            </w:r>
          </w:p>
        </w:tc>
      </w:tr>
      <w:tr w:rsidR="00683F4A" w:rsidRPr="007D425D" w14:paraId="32F0E321" w14:textId="77777777" w:rsidTr="009657E1">
        <w:trPr>
          <w:trHeight w:val="168"/>
          <w:jc w:val="center"/>
        </w:trPr>
        <w:tc>
          <w:tcPr>
            <w:tcW w:w="1529" w:type="dxa"/>
            <w:gridSpan w:val="2"/>
            <w:vMerge w:val="restart"/>
            <w:tcBorders>
              <w:top w:val="nil"/>
              <w:left w:val="single" w:sz="8" w:space="0" w:color="auto"/>
              <w:bottom w:val="single" w:sz="4" w:space="0" w:color="000000"/>
              <w:right w:val="single" w:sz="4" w:space="0" w:color="auto"/>
            </w:tcBorders>
            <w:shd w:val="clear" w:color="auto" w:fill="auto"/>
            <w:hideMark/>
          </w:tcPr>
          <w:p w14:paraId="54AE95E0" w14:textId="77777777" w:rsidR="00683F4A" w:rsidRPr="003B552F" w:rsidRDefault="00683F4A" w:rsidP="009657E1">
            <w:pPr>
              <w:spacing w:after="0"/>
              <w:jc w:val="left"/>
              <w:rPr>
                <w:rFonts w:ascii="Arial Narrow" w:eastAsia="Times New Roman" w:hAnsi="Arial Narrow"/>
                <w:b/>
                <w:bCs/>
                <w:sz w:val="20"/>
                <w:szCs w:val="20"/>
                <w:lang w:eastAsia="en-GB"/>
              </w:rPr>
            </w:pPr>
            <w:r w:rsidRPr="003B552F">
              <w:rPr>
                <w:rFonts w:ascii="Arial Narrow" w:eastAsia="Times New Roman" w:hAnsi="Arial Narrow"/>
                <w:b/>
                <w:bCs/>
                <w:sz w:val="20"/>
                <w:szCs w:val="20"/>
                <w:lang w:eastAsia="en-GB"/>
              </w:rPr>
              <w:t>Annualized Key Results 2014</w:t>
            </w:r>
          </w:p>
        </w:tc>
        <w:tc>
          <w:tcPr>
            <w:tcW w:w="7883" w:type="dxa"/>
            <w:gridSpan w:val="5"/>
            <w:vMerge w:val="restart"/>
            <w:tcBorders>
              <w:top w:val="nil"/>
              <w:left w:val="single" w:sz="4" w:space="0" w:color="auto"/>
              <w:bottom w:val="single" w:sz="4" w:space="0" w:color="000000"/>
              <w:right w:val="single" w:sz="4" w:space="0" w:color="000000"/>
            </w:tcBorders>
            <w:shd w:val="clear" w:color="auto" w:fill="auto"/>
            <w:hideMark/>
          </w:tcPr>
          <w:p w14:paraId="48B88911" w14:textId="77777777" w:rsidR="00683F4A" w:rsidRPr="00CD56B9" w:rsidRDefault="00683F4A" w:rsidP="009657E1">
            <w:pPr>
              <w:spacing w:after="240"/>
              <w:jc w:val="left"/>
              <w:rPr>
                <w:rFonts w:ascii="Arial Narrow" w:eastAsia="Times New Roman" w:hAnsi="Arial Narrow"/>
                <w:sz w:val="20"/>
                <w:szCs w:val="20"/>
                <w:lang w:val="en-US" w:eastAsia="en-GB"/>
              </w:rPr>
            </w:pPr>
            <w:r w:rsidRPr="00CD56B9">
              <w:rPr>
                <w:rFonts w:ascii="Arial Narrow" w:eastAsia="Times New Roman" w:hAnsi="Arial Narrow"/>
                <w:sz w:val="20"/>
                <w:szCs w:val="20"/>
                <w:lang w:val="en-US" w:eastAsia="en-GB"/>
              </w:rPr>
              <w:t xml:space="preserve">E:   2 capacity building initiatives implemented by Democratic Governance Institutions (UNDP) </w:t>
            </w:r>
          </w:p>
        </w:tc>
        <w:tc>
          <w:tcPr>
            <w:tcW w:w="1230" w:type="dxa"/>
            <w:tcBorders>
              <w:top w:val="nil"/>
              <w:left w:val="nil"/>
              <w:bottom w:val="single" w:sz="4" w:space="0" w:color="auto"/>
              <w:right w:val="single" w:sz="4" w:space="0" w:color="auto"/>
            </w:tcBorders>
            <w:shd w:val="clear" w:color="auto" w:fill="auto"/>
            <w:noWrap/>
            <w:hideMark/>
          </w:tcPr>
          <w:p w14:paraId="6A6F3115" w14:textId="77777777" w:rsidR="00683F4A" w:rsidRPr="003B552F" w:rsidRDefault="00683F4A" w:rsidP="009657E1">
            <w:pPr>
              <w:spacing w:after="0"/>
              <w:jc w:val="left"/>
              <w:rPr>
                <w:rFonts w:ascii="Arial Narrow" w:eastAsia="Times New Roman" w:hAnsi="Arial Narrow"/>
                <w:sz w:val="20"/>
                <w:szCs w:val="20"/>
                <w:lang w:eastAsia="en-GB"/>
              </w:rPr>
            </w:pPr>
            <w:r w:rsidRPr="003B552F">
              <w:rPr>
                <w:rFonts w:ascii="Arial Narrow" w:eastAsia="Times New Roman" w:hAnsi="Arial Narrow"/>
                <w:sz w:val="20"/>
                <w:szCs w:val="20"/>
                <w:lang w:eastAsia="en-GB"/>
              </w:rPr>
              <w:t>UNDP</w:t>
            </w:r>
          </w:p>
        </w:tc>
        <w:tc>
          <w:tcPr>
            <w:tcW w:w="953" w:type="dxa"/>
            <w:tcBorders>
              <w:top w:val="nil"/>
              <w:left w:val="nil"/>
              <w:bottom w:val="single" w:sz="4" w:space="0" w:color="auto"/>
              <w:right w:val="single" w:sz="4" w:space="0" w:color="auto"/>
            </w:tcBorders>
            <w:shd w:val="clear" w:color="auto" w:fill="auto"/>
            <w:hideMark/>
          </w:tcPr>
          <w:p w14:paraId="46BADFA6"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250,000 </w:t>
            </w:r>
          </w:p>
        </w:tc>
        <w:tc>
          <w:tcPr>
            <w:tcW w:w="1037" w:type="dxa"/>
            <w:gridSpan w:val="3"/>
            <w:tcBorders>
              <w:top w:val="nil"/>
              <w:left w:val="nil"/>
              <w:bottom w:val="single" w:sz="4" w:space="0" w:color="auto"/>
              <w:right w:val="single" w:sz="4" w:space="0" w:color="auto"/>
            </w:tcBorders>
            <w:shd w:val="clear" w:color="auto" w:fill="auto"/>
            <w:hideMark/>
          </w:tcPr>
          <w:p w14:paraId="0A22C829"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w:t>
            </w:r>
          </w:p>
        </w:tc>
        <w:tc>
          <w:tcPr>
            <w:tcW w:w="986" w:type="dxa"/>
            <w:tcBorders>
              <w:top w:val="nil"/>
              <w:left w:val="nil"/>
              <w:bottom w:val="single" w:sz="4" w:space="0" w:color="auto"/>
              <w:right w:val="single" w:sz="4" w:space="0" w:color="auto"/>
            </w:tcBorders>
            <w:shd w:val="clear" w:color="auto" w:fill="auto"/>
            <w:hideMark/>
          </w:tcPr>
          <w:p w14:paraId="73659319"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500,000 </w:t>
            </w:r>
          </w:p>
        </w:tc>
        <w:tc>
          <w:tcPr>
            <w:tcW w:w="1134" w:type="dxa"/>
            <w:tcBorders>
              <w:top w:val="nil"/>
              <w:left w:val="nil"/>
              <w:bottom w:val="single" w:sz="4" w:space="0" w:color="auto"/>
              <w:right w:val="single" w:sz="8" w:space="0" w:color="auto"/>
            </w:tcBorders>
            <w:shd w:val="clear" w:color="auto" w:fill="auto"/>
            <w:hideMark/>
          </w:tcPr>
          <w:p w14:paraId="1AC92DDB"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750,000 </w:t>
            </w:r>
          </w:p>
        </w:tc>
      </w:tr>
      <w:tr w:rsidR="00683F4A" w:rsidRPr="007D425D" w14:paraId="7563D68C" w14:textId="77777777" w:rsidTr="009657E1">
        <w:trPr>
          <w:trHeight w:val="168"/>
          <w:jc w:val="center"/>
        </w:trPr>
        <w:tc>
          <w:tcPr>
            <w:tcW w:w="1529" w:type="dxa"/>
            <w:gridSpan w:val="2"/>
            <w:vMerge/>
            <w:tcBorders>
              <w:top w:val="nil"/>
              <w:left w:val="single" w:sz="8" w:space="0" w:color="auto"/>
              <w:bottom w:val="single" w:sz="4" w:space="0" w:color="000000"/>
              <w:right w:val="single" w:sz="4" w:space="0" w:color="auto"/>
            </w:tcBorders>
            <w:vAlign w:val="center"/>
            <w:hideMark/>
          </w:tcPr>
          <w:p w14:paraId="5E464825" w14:textId="77777777" w:rsidR="00683F4A" w:rsidRPr="003B552F" w:rsidRDefault="00683F4A" w:rsidP="009657E1">
            <w:pPr>
              <w:spacing w:after="0"/>
              <w:jc w:val="left"/>
              <w:rPr>
                <w:rFonts w:ascii="Arial Narrow" w:eastAsia="Times New Roman" w:hAnsi="Arial Narrow"/>
                <w:b/>
                <w:bCs/>
                <w:sz w:val="20"/>
                <w:szCs w:val="20"/>
                <w:lang w:eastAsia="en-GB"/>
              </w:rPr>
            </w:pPr>
          </w:p>
        </w:tc>
        <w:tc>
          <w:tcPr>
            <w:tcW w:w="7883" w:type="dxa"/>
            <w:gridSpan w:val="5"/>
            <w:vMerge/>
            <w:tcBorders>
              <w:top w:val="nil"/>
              <w:left w:val="single" w:sz="4" w:space="0" w:color="auto"/>
              <w:bottom w:val="single" w:sz="4" w:space="0" w:color="000000"/>
              <w:right w:val="single" w:sz="4" w:space="0" w:color="000000"/>
            </w:tcBorders>
            <w:vAlign w:val="center"/>
            <w:hideMark/>
          </w:tcPr>
          <w:p w14:paraId="494AA781" w14:textId="77777777" w:rsidR="00683F4A" w:rsidRPr="003B552F" w:rsidRDefault="00683F4A" w:rsidP="009657E1">
            <w:pPr>
              <w:spacing w:after="0"/>
              <w:jc w:val="left"/>
              <w:rPr>
                <w:rFonts w:ascii="Arial Narrow" w:eastAsia="Times New Roman" w:hAnsi="Arial Narrow"/>
                <w:sz w:val="20"/>
                <w:szCs w:val="20"/>
                <w:lang w:eastAsia="en-GB"/>
              </w:rPr>
            </w:pPr>
          </w:p>
        </w:tc>
        <w:tc>
          <w:tcPr>
            <w:tcW w:w="1230" w:type="dxa"/>
            <w:tcBorders>
              <w:top w:val="nil"/>
              <w:left w:val="nil"/>
              <w:bottom w:val="single" w:sz="4" w:space="0" w:color="auto"/>
              <w:right w:val="single" w:sz="4" w:space="0" w:color="auto"/>
            </w:tcBorders>
            <w:shd w:val="clear" w:color="auto" w:fill="auto"/>
            <w:noWrap/>
            <w:hideMark/>
          </w:tcPr>
          <w:p w14:paraId="5008E790" w14:textId="77777777" w:rsidR="00683F4A" w:rsidRPr="003B552F" w:rsidRDefault="00683F4A" w:rsidP="009657E1">
            <w:pPr>
              <w:spacing w:after="0"/>
              <w:jc w:val="left"/>
              <w:rPr>
                <w:rFonts w:ascii="Arial Narrow" w:eastAsia="Times New Roman" w:hAnsi="Arial Narrow"/>
                <w:sz w:val="20"/>
                <w:szCs w:val="20"/>
                <w:lang w:eastAsia="en-GB"/>
              </w:rPr>
            </w:pPr>
            <w:r w:rsidRPr="003B552F">
              <w:rPr>
                <w:rFonts w:ascii="Arial Narrow" w:eastAsia="Times New Roman" w:hAnsi="Arial Narrow"/>
                <w:sz w:val="20"/>
                <w:szCs w:val="20"/>
                <w:lang w:eastAsia="en-GB"/>
              </w:rPr>
              <w:t>UNICEF</w:t>
            </w:r>
          </w:p>
        </w:tc>
        <w:tc>
          <w:tcPr>
            <w:tcW w:w="953" w:type="dxa"/>
            <w:tcBorders>
              <w:top w:val="nil"/>
              <w:left w:val="nil"/>
              <w:bottom w:val="single" w:sz="4" w:space="0" w:color="auto"/>
              <w:right w:val="single" w:sz="4" w:space="0" w:color="auto"/>
            </w:tcBorders>
            <w:shd w:val="clear" w:color="auto" w:fill="auto"/>
            <w:hideMark/>
          </w:tcPr>
          <w:p w14:paraId="00A86824"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20,502 </w:t>
            </w:r>
          </w:p>
        </w:tc>
        <w:tc>
          <w:tcPr>
            <w:tcW w:w="1037" w:type="dxa"/>
            <w:gridSpan w:val="3"/>
            <w:tcBorders>
              <w:top w:val="nil"/>
              <w:left w:val="nil"/>
              <w:bottom w:val="single" w:sz="4" w:space="0" w:color="auto"/>
              <w:right w:val="single" w:sz="4" w:space="0" w:color="auto"/>
            </w:tcBorders>
            <w:shd w:val="clear" w:color="auto" w:fill="auto"/>
            <w:hideMark/>
          </w:tcPr>
          <w:p w14:paraId="57AFE4F9"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220,000 </w:t>
            </w:r>
          </w:p>
        </w:tc>
        <w:tc>
          <w:tcPr>
            <w:tcW w:w="986" w:type="dxa"/>
            <w:tcBorders>
              <w:top w:val="nil"/>
              <w:left w:val="nil"/>
              <w:bottom w:val="single" w:sz="4" w:space="0" w:color="auto"/>
              <w:right w:val="single" w:sz="4" w:space="0" w:color="auto"/>
            </w:tcBorders>
            <w:shd w:val="clear" w:color="auto" w:fill="auto"/>
            <w:hideMark/>
          </w:tcPr>
          <w:p w14:paraId="11F011A2"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100,000 </w:t>
            </w:r>
          </w:p>
        </w:tc>
        <w:tc>
          <w:tcPr>
            <w:tcW w:w="1134" w:type="dxa"/>
            <w:tcBorders>
              <w:top w:val="nil"/>
              <w:left w:val="nil"/>
              <w:bottom w:val="single" w:sz="4" w:space="0" w:color="auto"/>
              <w:right w:val="single" w:sz="8" w:space="0" w:color="auto"/>
            </w:tcBorders>
            <w:shd w:val="clear" w:color="auto" w:fill="auto"/>
            <w:hideMark/>
          </w:tcPr>
          <w:p w14:paraId="41E12561"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340,502 </w:t>
            </w:r>
          </w:p>
        </w:tc>
      </w:tr>
      <w:tr w:rsidR="00683F4A" w:rsidRPr="007D425D" w14:paraId="42C9445B" w14:textId="77777777" w:rsidTr="009657E1">
        <w:trPr>
          <w:trHeight w:val="168"/>
          <w:jc w:val="center"/>
        </w:trPr>
        <w:tc>
          <w:tcPr>
            <w:tcW w:w="1529" w:type="dxa"/>
            <w:gridSpan w:val="2"/>
            <w:vMerge/>
            <w:tcBorders>
              <w:top w:val="nil"/>
              <w:left w:val="single" w:sz="8" w:space="0" w:color="auto"/>
              <w:bottom w:val="single" w:sz="4" w:space="0" w:color="000000"/>
              <w:right w:val="single" w:sz="4" w:space="0" w:color="auto"/>
            </w:tcBorders>
            <w:vAlign w:val="center"/>
            <w:hideMark/>
          </w:tcPr>
          <w:p w14:paraId="122AB0AC" w14:textId="77777777" w:rsidR="00683F4A" w:rsidRPr="003B552F" w:rsidRDefault="00683F4A" w:rsidP="009657E1">
            <w:pPr>
              <w:spacing w:after="0"/>
              <w:jc w:val="left"/>
              <w:rPr>
                <w:rFonts w:ascii="Arial Narrow" w:eastAsia="Times New Roman" w:hAnsi="Arial Narrow"/>
                <w:b/>
                <w:bCs/>
                <w:sz w:val="20"/>
                <w:szCs w:val="20"/>
                <w:lang w:eastAsia="en-GB"/>
              </w:rPr>
            </w:pPr>
          </w:p>
        </w:tc>
        <w:tc>
          <w:tcPr>
            <w:tcW w:w="7883" w:type="dxa"/>
            <w:gridSpan w:val="5"/>
            <w:vMerge w:val="restart"/>
            <w:tcBorders>
              <w:top w:val="single" w:sz="4" w:space="0" w:color="auto"/>
              <w:left w:val="single" w:sz="4" w:space="0" w:color="auto"/>
              <w:bottom w:val="nil"/>
              <w:right w:val="single" w:sz="4" w:space="0" w:color="000000"/>
            </w:tcBorders>
            <w:shd w:val="clear" w:color="auto" w:fill="auto"/>
            <w:hideMark/>
          </w:tcPr>
          <w:p w14:paraId="0AC87B0C" w14:textId="77777777" w:rsidR="00683F4A" w:rsidRPr="00CD56B9" w:rsidRDefault="00683F4A" w:rsidP="009657E1">
            <w:pPr>
              <w:spacing w:after="0"/>
              <w:jc w:val="left"/>
              <w:rPr>
                <w:rFonts w:ascii="Arial Narrow" w:eastAsia="Times New Roman" w:hAnsi="Arial Narrow"/>
                <w:sz w:val="20"/>
                <w:szCs w:val="20"/>
                <w:lang w:val="en-US" w:eastAsia="en-GB"/>
              </w:rPr>
            </w:pPr>
            <w:r w:rsidRPr="00CD56B9">
              <w:rPr>
                <w:rFonts w:ascii="Arial Narrow" w:eastAsia="Times New Roman" w:hAnsi="Arial Narrow"/>
                <w:sz w:val="20"/>
                <w:szCs w:val="20"/>
                <w:lang w:val="en-US" w:eastAsia="en-GB"/>
              </w:rPr>
              <w:t>F: 2 Justice Institutions implementing capacity building identified by the sector strategy to improve Democratic Accountability (UNDP)</w:t>
            </w:r>
          </w:p>
        </w:tc>
        <w:tc>
          <w:tcPr>
            <w:tcW w:w="1230" w:type="dxa"/>
            <w:tcBorders>
              <w:top w:val="nil"/>
              <w:left w:val="nil"/>
              <w:bottom w:val="single" w:sz="4" w:space="0" w:color="auto"/>
              <w:right w:val="single" w:sz="4" w:space="0" w:color="auto"/>
            </w:tcBorders>
            <w:shd w:val="clear" w:color="auto" w:fill="auto"/>
            <w:noWrap/>
            <w:hideMark/>
          </w:tcPr>
          <w:p w14:paraId="4825368D" w14:textId="77777777" w:rsidR="00683F4A" w:rsidRPr="003B552F" w:rsidRDefault="00683F4A" w:rsidP="009657E1">
            <w:pPr>
              <w:spacing w:after="0"/>
              <w:jc w:val="left"/>
              <w:rPr>
                <w:rFonts w:ascii="Arial Narrow" w:eastAsia="Times New Roman" w:hAnsi="Arial Narrow"/>
                <w:sz w:val="20"/>
                <w:szCs w:val="20"/>
                <w:lang w:eastAsia="en-GB"/>
              </w:rPr>
            </w:pPr>
            <w:r w:rsidRPr="003B552F">
              <w:rPr>
                <w:rFonts w:ascii="Arial Narrow" w:eastAsia="Times New Roman" w:hAnsi="Arial Narrow"/>
                <w:sz w:val="20"/>
                <w:szCs w:val="20"/>
                <w:lang w:eastAsia="en-GB"/>
              </w:rPr>
              <w:t>UNDP</w:t>
            </w:r>
          </w:p>
        </w:tc>
        <w:tc>
          <w:tcPr>
            <w:tcW w:w="953" w:type="dxa"/>
            <w:tcBorders>
              <w:top w:val="nil"/>
              <w:left w:val="nil"/>
              <w:bottom w:val="single" w:sz="4" w:space="0" w:color="auto"/>
              <w:right w:val="single" w:sz="4" w:space="0" w:color="auto"/>
            </w:tcBorders>
            <w:shd w:val="clear" w:color="auto" w:fill="auto"/>
            <w:hideMark/>
          </w:tcPr>
          <w:p w14:paraId="56AAAC18"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100,000 </w:t>
            </w:r>
          </w:p>
        </w:tc>
        <w:tc>
          <w:tcPr>
            <w:tcW w:w="1037" w:type="dxa"/>
            <w:gridSpan w:val="3"/>
            <w:tcBorders>
              <w:top w:val="nil"/>
              <w:left w:val="nil"/>
              <w:bottom w:val="single" w:sz="4" w:space="0" w:color="auto"/>
              <w:right w:val="single" w:sz="4" w:space="0" w:color="auto"/>
            </w:tcBorders>
            <w:shd w:val="clear" w:color="auto" w:fill="auto"/>
            <w:hideMark/>
          </w:tcPr>
          <w:p w14:paraId="6C98EBA2"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w:t>
            </w:r>
          </w:p>
        </w:tc>
        <w:tc>
          <w:tcPr>
            <w:tcW w:w="986" w:type="dxa"/>
            <w:tcBorders>
              <w:top w:val="nil"/>
              <w:left w:val="nil"/>
              <w:bottom w:val="single" w:sz="4" w:space="0" w:color="auto"/>
              <w:right w:val="single" w:sz="4" w:space="0" w:color="auto"/>
            </w:tcBorders>
            <w:shd w:val="clear" w:color="auto" w:fill="auto"/>
            <w:hideMark/>
          </w:tcPr>
          <w:p w14:paraId="41949AAA"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500,000 </w:t>
            </w:r>
          </w:p>
        </w:tc>
        <w:tc>
          <w:tcPr>
            <w:tcW w:w="1134" w:type="dxa"/>
            <w:tcBorders>
              <w:top w:val="nil"/>
              <w:left w:val="nil"/>
              <w:bottom w:val="single" w:sz="4" w:space="0" w:color="auto"/>
              <w:right w:val="single" w:sz="8" w:space="0" w:color="auto"/>
            </w:tcBorders>
            <w:shd w:val="clear" w:color="auto" w:fill="auto"/>
            <w:hideMark/>
          </w:tcPr>
          <w:p w14:paraId="7CFE4C7D"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600,000 </w:t>
            </w:r>
          </w:p>
        </w:tc>
      </w:tr>
      <w:tr w:rsidR="00683F4A" w:rsidRPr="007D425D" w14:paraId="6D7B7643" w14:textId="77777777" w:rsidTr="009657E1">
        <w:trPr>
          <w:trHeight w:val="179"/>
          <w:jc w:val="center"/>
        </w:trPr>
        <w:tc>
          <w:tcPr>
            <w:tcW w:w="1529" w:type="dxa"/>
            <w:gridSpan w:val="2"/>
            <w:vMerge/>
            <w:tcBorders>
              <w:top w:val="nil"/>
              <w:left w:val="single" w:sz="8" w:space="0" w:color="auto"/>
              <w:bottom w:val="single" w:sz="4" w:space="0" w:color="000000"/>
              <w:right w:val="single" w:sz="4" w:space="0" w:color="auto"/>
            </w:tcBorders>
            <w:vAlign w:val="center"/>
            <w:hideMark/>
          </w:tcPr>
          <w:p w14:paraId="3E503518" w14:textId="77777777" w:rsidR="00683F4A" w:rsidRPr="003B552F" w:rsidRDefault="00683F4A" w:rsidP="009657E1">
            <w:pPr>
              <w:spacing w:after="0"/>
              <w:jc w:val="left"/>
              <w:rPr>
                <w:rFonts w:ascii="Arial Narrow" w:eastAsia="Times New Roman" w:hAnsi="Arial Narrow"/>
                <w:b/>
                <w:bCs/>
                <w:sz w:val="20"/>
                <w:szCs w:val="20"/>
                <w:lang w:eastAsia="en-GB"/>
              </w:rPr>
            </w:pPr>
          </w:p>
        </w:tc>
        <w:tc>
          <w:tcPr>
            <w:tcW w:w="7883" w:type="dxa"/>
            <w:gridSpan w:val="5"/>
            <w:vMerge/>
            <w:tcBorders>
              <w:top w:val="single" w:sz="4" w:space="0" w:color="auto"/>
              <w:left w:val="single" w:sz="4" w:space="0" w:color="auto"/>
              <w:bottom w:val="nil"/>
              <w:right w:val="single" w:sz="4" w:space="0" w:color="000000"/>
            </w:tcBorders>
            <w:vAlign w:val="center"/>
            <w:hideMark/>
          </w:tcPr>
          <w:p w14:paraId="2611B1FC" w14:textId="77777777" w:rsidR="00683F4A" w:rsidRPr="003B552F" w:rsidRDefault="00683F4A" w:rsidP="009657E1">
            <w:pPr>
              <w:spacing w:after="0"/>
              <w:jc w:val="left"/>
              <w:rPr>
                <w:rFonts w:ascii="Arial Narrow" w:eastAsia="Times New Roman" w:hAnsi="Arial Narrow"/>
                <w:sz w:val="20"/>
                <w:szCs w:val="20"/>
                <w:lang w:eastAsia="en-GB"/>
              </w:rPr>
            </w:pPr>
          </w:p>
        </w:tc>
        <w:tc>
          <w:tcPr>
            <w:tcW w:w="1230" w:type="dxa"/>
            <w:tcBorders>
              <w:top w:val="nil"/>
              <w:left w:val="nil"/>
              <w:bottom w:val="nil"/>
              <w:right w:val="single" w:sz="4" w:space="0" w:color="auto"/>
            </w:tcBorders>
            <w:shd w:val="clear" w:color="auto" w:fill="auto"/>
            <w:noWrap/>
            <w:hideMark/>
          </w:tcPr>
          <w:p w14:paraId="0FE5E957" w14:textId="77777777" w:rsidR="00683F4A" w:rsidRPr="003B552F" w:rsidRDefault="00683F4A" w:rsidP="009657E1">
            <w:pPr>
              <w:spacing w:after="0"/>
              <w:jc w:val="left"/>
              <w:rPr>
                <w:rFonts w:ascii="Arial Narrow" w:eastAsia="Times New Roman" w:hAnsi="Arial Narrow"/>
                <w:sz w:val="20"/>
                <w:szCs w:val="20"/>
                <w:lang w:eastAsia="en-GB"/>
              </w:rPr>
            </w:pPr>
            <w:r w:rsidRPr="003B552F">
              <w:rPr>
                <w:rFonts w:ascii="Arial Narrow" w:eastAsia="Times New Roman" w:hAnsi="Arial Narrow"/>
                <w:sz w:val="20"/>
                <w:szCs w:val="20"/>
                <w:lang w:eastAsia="en-GB"/>
              </w:rPr>
              <w:t>UNICEF</w:t>
            </w:r>
          </w:p>
        </w:tc>
        <w:tc>
          <w:tcPr>
            <w:tcW w:w="953" w:type="dxa"/>
            <w:tcBorders>
              <w:top w:val="nil"/>
              <w:left w:val="nil"/>
              <w:bottom w:val="nil"/>
              <w:right w:val="single" w:sz="4" w:space="0" w:color="auto"/>
            </w:tcBorders>
            <w:shd w:val="clear" w:color="auto" w:fill="auto"/>
            <w:hideMark/>
          </w:tcPr>
          <w:p w14:paraId="02356B74"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20,000 </w:t>
            </w:r>
          </w:p>
        </w:tc>
        <w:tc>
          <w:tcPr>
            <w:tcW w:w="1037" w:type="dxa"/>
            <w:gridSpan w:val="3"/>
            <w:tcBorders>
              <w:top w:val="nil"/>
              <w:left w:val="nil"/>
              <w:bottom w:val="nil"/>
              <w:right w:val="single" w:sz="4" w:space="0" w:color="auto"/>
            </w:tcBorders>
            <w:shd w:val="clear" w:color="auto" w:fill="auto"/>
            <w:hideMark/>
          </w:tcPr>
          <w:p w14:paraId="5667E122"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220,000 </w:t>
            </w:r>
          </w:p>
        </w:tc>
        <w:tc>
          <w:tcPr>
            <w:tcW w:w="986" w:type="dxa"/>
            <w:tcBorders>
              <w:top w:val="nil"/>
              <w:left w:val="nil"/>
              <w:bottom w:val="nil"/>
              <w:right w:val="single" w:sz="4" w:space="0" w:color="auto"/>
            </w:tcBorders>
            <w:shd w:val="clear" w:color="auto" w:fill="auto"/>
            <w:hideMark/>
          </w:tcPr>
          <w:p w14:paraId="6A34C4B2"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100,000 </w:t>
            </w:r>
          </w:p>
        </w:tc>
        <w:tc>
          <w:tcPr>
            <w:tcW w:w="1134" w:type="dxa"/>
            <w:tcBorders>
              <w:top w:val="nil"/>
              <w:left w:val="nil"/>
              <w:bottom w:val="nil"/>
              <w:right w:val="single" w:sz="8" w:space="0" w:color="auto"/>
            </w:tcBorders>
            <w:shd w:val="clear" w:color="auto" w:fill="auto"/>
            <w:hideMark/>
          </w:tcPr>
          <w:p w14:paraId="056ACE5D"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340,000 </w:t>
            </w:r>
          </w:p>
        </w:tc>
      </w:tr>
      <w:tr w:rsidR="00683F4A" w:rsidRPr="007D425D" w14:paraId="5FC442AF" w14:textId="77777777" w:rsidTr="009657E1">
        <w:trPr>
          <w:trHeight w:val="179"/>
          <w:jc w:val="center"/>
        </w:trPr>
        <w:tc>
          <w:tcPr>
            <w:tcW w:w="1529" w:type="dxa"/>
            <w:gridSpan w:val="2"/>
            <w:vMerge/>
            <w:tcBorders>
              <w:top w:val="nil"/>
              <w:left w:val="single" w:sz="8" w:space="0" w:color="auto"/>
              <w:bottom w:val="single" w:sz="4" w:space="0" w:color="000000"/>
              <w:right w:val="single" w:sz="4" w:space="0" w:color="auto"/>
            </w:tcBorders>
            <w:vAlign w:val="center"/>
            <w:hideMark/>
          </w:tcPr>
          <w:p w14:paraId="3474D630" w14:textId="77777777" w:rsidR="00683F4A" w:rsidRPr="003B552F" w:rsidRDefault="00683F4A" w:rsidP="009657E1">
            <w:pPr>
              <w:spacing w:after="0"/>
              <w:jc w:val="left"/>
              <w:rPr>
                <w:rFonts w:ascii="Arial Narrow" w:eastAsia="Times New Roman" w:hAnsi="Arial Narrow"/>
                <w:b/>
                <w:bCs/>
                <w:sz w:val="20"/>
                <w:szCs w:val="20"/>
                <w:lang w:eastAsia="en-GB"/>
              </w:rPr>
            </w:pPr>
          </w:p>
        </w:tc>
        <w:tc>
          <w:tcPr>
            <w:tcW w:w="7883" w:type="dxa"/>
            <w:gridSpan w:val="5"/>
            <w:tcBorders>
              <w:top w:val="single" w:sz="8" w:space="0" w:color="auto"/>
              <w:left w:val="single" w:sz="8" w:space="0" w:color="auto"/>
              <w:bottom w:val="single" w:sz="8" w:space="0" w:color="auto"/>
              <w:right w:val="single" w:sz="4" w:space="0" w:color="000000"/>
            </w:tcBorders>
            <w:shd w:val="clear" w:color="auto" w:fill="auto"/>
            <w:hideMark/>
          </w:tcPr>
          <w:p w14:paraId="0149AE02" w14:textId="77777777" w:rsidR="00683F4A" w:rsidRPr="00CD56B9" w:rsidRDefault="00683F4A" w:rsidP="009657E1">
            <w:pPr>
              <w:spacing w:after="0"/>
              <w:jc w:val="left"/>
              <w:rPr>
                <w:rFonts w:ascii="Arial Narrow" w:eastAsia="Times New Roman" w:hAnsi="Arial Narrow"/>
                <w:b/>
                <w:bCs/>
                <w:color w:val="FF0000"/>
                <w:sz w:val="20"/>
                <w:szCs w:val="20"/>
                <w:lang w:val="en-US" w:eastAsia="en-GB"/>
              </w:rPr>
            </w:pPr>
            <w:r w:rsidRPr="00CD56B9">
              <w:rPr>
                <w:rFonts w:ascii="Arial Narrow" w:eastAsia="Times New Roman" w:hAnsi="Arial Narrow"/>
                <w:b/>
                <w:bCs/>
                <w:color w:val="FF0000"/>
                <w:sz w:val="20"/>
                <w:szCs w:val="20"/>
                <w:lang w:val="en-US" w:eastAsia="en-GB"/>
              </w:rPr>
              <w:t>4.1.1-Total Budget for Annualised Key Results for 2014</w:t>
            </w:r>
          </w:p>
        </w:tc>
        <w:tc>
          <w:tcPr>
            <w:tcW w:w="1230" w:type="dxa"/>
            <w:tcBorders>
              <w:top w:val="single" w:sz="8" w:space="0" w:color="auto"/>
              <w:left w:val="nil"/>
              <w:bottom w:val="single" w:sz="8" w:space="0" w:color="auto"/>
              <w:right w:val="single" w:sz="4" w:space="0" w:color="auto"/>
            </w:tcBorders>
            <w:shd w:val="clear" w:color="auto" w:fill="auto"/>
            <w:noWrap/>
            <w:hideMark/>
          </w:tcPr>
          <w:p w14:paraId="02A5298B" w14:textId="77777777" w:rsidR="00683F4A" w:rsidRPr="00CD56B9" w:rsidRDefault="00683F4A" w:rsidP="009657E1">
            <w:pPr>
              <w:spacing w:after="0"/>
              <w:jc w:val="left"/>
              <w:rPr>
                <w:rFonts w:ascii="Arial Narrow" w:eastAsia="Times New Roman" w:hAnsi="Arial Narrow"/>
                <w:sz w:val="20"/>
                <w:szCs w:val="20"/>
                <w:lang w:val="en-US" w:eastAsia="en-GB"/>
              </w:rPr>
            </w:pPr>
            <w:r w:rsidRPr="00CD56B9">
              <w:rPr>
                <w:rFonts w:ascii="Arial Narrow" w:eastAsia="Times New Roman" w:hAnsi="Arial Narrow"/>
                <w:sz w:val="20"/>
                <w:szCs w:val="20"/>
                <w:lang w:val="en-US" w:eastAsia="en-GB"/>
              </w:rPr>
              <w:t> </w:t>
            </w:r>
          </w:p>
        </w:tc>
        <w:tc>
          <w:tcPr>
            <w:tcW w:w="953" w:type="dxa"/>
            <w:tcBorders>
              <w:top w:val="single" w:sz="8" w:space="0" w:color="auto"/>
              <w:left w:val="nil"/>
              <w:bottom w:val="single" w:sz="8" w:space="0" w:color="auto"/>
              <w:right w:val="single" w:sz="4" w:space="0" w:color="auto"/>
            </w:tcBorders>
            <w:shd w:val="clear" w:color="auto" w:fill="auto"/>
            <w:hideMark/>
          </w:tcPr>
          <w:p w14:paraId="1537706C" w14:textId="77777777" w:rsidR="00683F4A" w:rsidRPr="003B552F" w:rsidRDefault="00683F4A" w:rsidP="009657E1">
            <w:pPr>
              <w:spacing w:after="0"/>
              <w:jc w:val="right"/>
              <w:rPr>
                <w:rFonts w:ascii="Arial Narrow" w:eastAsia="Times New Roman" w:hAnsi="Arial Narrow"/>
                <w:b/>
                <w:bCs/>
                <w:color w:val="FF0000"/>
                <w:sz w:val="20"/>
                <w:szCs w:val="20"/>
                <w:lang w:eastAsia="en-GB"/>
              </w:rPr>
            </w:pPr>
            <w:r w:rsidRPr="00CD56B9">
              <w:rPr>
                <w:rFonts w:ascii="Arial Narrow" w:eastAsia="Times New Roman" w:hAnsi="Arial Narrow"/>
                <w:b/>
                <w:bCs/>
                <w:color w:val="FF0000"/>
                <w:sz w:val="20"/>
                <w:szCs w:val="20"/>
                <w:lang w:val="en-US" w:eastAsia="en-GB"/>
              </w:rPr>
              <w:t xml:space="preserve">           </w:t>
            </w:r>
            <w:r w:rsidRPr="003B552F">
              <w:rPr>
                <w:rFonts w:ascii="Arial Narrow" w:eastAsia="Times New Roman" w:hAnsi="Arial Narrow"/>
                <w:b/>
                <w:bCs/>
                <w:color w:val="FF0000"/>
                <w:sz w:val="20"/>
                <w:szCs w:val="20"/>
                <w:lang w:eastAsia="en-GB"/>
              </w:rPr>
              <w:t xml:space="preserve">390,502 </w:t>
            </w:r>
          </w:p>
        </w:tc>
        <w:tc>
          <w:tcPr>
            <w:tcW w:w="1037" w:type="dxa"/>
            <w:gridSpan w:val="3"/>
            <w:tcBorders>
              <w:top w:val="single" w:sz="8" w:space="0" w:color="auto"/>
              <w:left w:val="nil"/>
              <w:bottom w:val="single" w:sz="8" w:space="0" w:color="auto"/>
              <w:right w:val="single" w:sz="4" w:space="0" w:color="auto"/>
            </w:tcBorders>
            <w:shd w:val="clear" w:color="auto" w:fill="auto"/>
            <w:hideMark/>
          </w:tcPr>
          <w:p w14:paraId="0AE0A3AF" w14:textId="77777777" w:rsidR="00683F4A" w:rsidRPr="003B552F" w:rsidRDefault="00683F4A" w:rsidP="009657E1">
            <w:pPr>
              <w:spacing w:after="0"/>
              <w:jc w:val="right"/>
              <w:rPr>
                <w:rFonts w:ascii="Arial Narrow" w:eastAsia="Times New Roman" w:hAnsi="Arial Narrow"/>
                <w:b/>
                <w:bCs/>
                <w:color w:val="FF0000"/>
                <w:sz w:val="20"/>
                <w:szCs w:val="20"/>
                <w:lang w:eastAsia="en-GB"/>
              </w:rPr>
            </w:pPr>
            <w:r w:rsidRPr="003B552F">
              <w:rPr>
                <w:rFonts w:ascii="Arial Narrow" w:eastAsia="Times New Roman" w:hAnsi="Arial Narrow"/>
                <w:b/>
                <w:bCs/>
                <w:color w:val="FF0000"/>
                <w:sz w:val="20"/>
                <w:szCs w:val="20"/>
                <w:lang w:eastAsia="en-GB"/>
              </w:rPr>
              <w:t xml:space="preserve">            440,000 </w:t>
            </w:r>
          </w:p>
        </w:tc>
        <w:tc>
          <w:tcPr>
            <w:tcW w:w="986" w:type="dxa"/>
            <w:tcBorders>
              <w:top w:val="single" w:sz="8" w:space="0" w:color="auto"/>
              <w:left w:val="nil"/>
              <w:bottom w:val="single" w:sz="8" w:space="0" w:color="auto"/>
              <w:right w:val="single" w:sz="4" w:space="0" w:color="auto"/>
            </w:tcBorders>
            <w:shd w:val="clear" w:color="auto" w:fill="auto"/>
            <w:hideMark/>
          </w:tcPr>
          <w:p w14:paraId="66F41D7E" w14:textId="77777777" w:rsidR="00683F4A" w:rsidRPr="003B552F" w:rsidRDefault="00683F4A" w:rsidP="009657E1">
            <w:pPr>
              <w:spacing w:after="0"/>
              <w:jc w:val="right"/>
              <w:rPr>
                <w:rFonts w:ascii="Arial Narrow" w:eastAsia="Times New Roman" w:hAnsi="Arial Narrow"/>
                <w:b/>
                <w:bCs/>
                <w:color w:val="FF0000"/>
                <w:sz w:val="20"/>
                <w:szCs w:val="20"/>
                <w:lang w:eastAsia="en-GB"/>
              </w:rPr>
            </w:pPr>
            <w:r w:rsidRPr="003B552F">
              <w:rPr>
                <w:rFonts w:ascii="Arial Narrow" w:eastAsia="Times New Roman" w:hAnsi="Arial Narrow"/>
                <w:b/>
                <w:bCs/>
                <w:color w:val="FF0000"/>
                <w:sz w:val="20"/>
                <w:szCs w:val="20"/>
                <w:lang w:eastAsia="en-GB"/>
              </w:rPr>
              <w:t xml:space="preserve">        1,200,000 </w:t>
            </w:r>
          </w:p>
        </w:tc>
        <w:tc>
          <w:tcPr>
            <w:tcW w:w="1134" w:type="dxa"/>
            <w:tcBorders>
              <w:top w:val="single" w:sz="8" w:space="0" w:color="auto"/>
              <w:left w:val="nil"/>
              <w:bottom w:val="single" w:sz="8" w:space="0" w:color="auto"/>
              <w:right w:val="single" w:sz="8" w:space="0" w:color="auto"/>
            </w:tcBorders>
            <w:shd w:val="clear" w:color="auto" w:fill="auto"/>
            <w:hideMark/>
          </w:tcPr>
          <w:p w14:paraId="3E1C53B6" w14:textId="77777777" w:rsidR="00683F4A" w:rsidRPr="003B552F" w:rsidRDefault="00683F4A" w:rsidP="009657E1">
            <w:pPr>
              <w:spacing w:after="0"/>
              <w:jc w:val="right"/>
              <w:rPr>
                <w:rFonts w:ascii="Arial Narrow" w:eastAsia="Times New Roman" w:hAnsi="Arial Narrow"/>
                <w:b/>
                <w:bCs/>
                <w:color w:val="FF0000"/>
                <w:sz w:val="20"/>
                <w:szCs w:val="20"/>
                <w:lang w:eastAsia="en-GB"/>
              </w:rPr>
            </w:pPr>
            <w:r w:rsidRPr="003B552F">
              <w:rPr>
                <w:rFonts w:ascii="Arial Narrow" w:eastAsia="Times New Roman" w:hAnsi="Arial Narrow"/>
                <w:b/>
                <w:bCs/>
                <w:color w:val="FF0000"/>
                <w:sz w:val="20"/>
                <w:szCs w:val="20"/>
                <w:lang w:eastAsia="en-GB"/>
              </w:rPr>
              <w:t xml:space="preserve">          2,030,502 </w:t>
            </w:r>
          </w:p>
        </w:tc>
      </w:tr>
      <w:tr w:rsidR="00683F4A" w:rsidRPr="007D425D" w14:paraId="2DD7F208" w14:textId="77777777" w:rsidTr="009657E1">
        <w:trPr>
          <w:trHeight w:val="168"/>
          <w:jc w:val="center"/>
        </w:trPr>
        <w:tc>
          <w:tcPr>
            <w:tcW w:w="1529" w:type="dxa"/>
            <w:gridSpan w:val="2"/>
            <w:vMerge w:val="restart"/>
            <w:tcBorders>
              <w:top w:val="nil"/>
              <w:left w:val="single" w:sz="8" w:space="0" w:color="auto"/>
              <w:bottom w:val="single" w:sz="4" w:space="0" w:color="000000"/>
              <w:right w:val="nil"/>
            </w:tcBorders>
            <w:shd w:val="clear" w:color="auto" w:fill="auto"/>
            <w:hideMark/>
          </w:tcPr>
          <w:p w14:paraId="073F1E0D" w14:textId="77777777" w:rsidR="00683F4A" w:rsidRPr="003B552F" w:rsidRDefault="00683F4A" w:rsidP="009657E1">
            <w:pPr>
              <w:spacing w:after="0"/>
              <w:jc w:val="left"/>
              <w:rPr>
                <w:rFonts w:ascii="Arial Narrow" w:eastAsia="Times New Roman" w:hAnsi="Arial Narrow"/>
                <w:b/>
                <w:bCs/>
                <w:sz w:val="20"/>
                <w:szCs w:val="20"/>
                <w:lang w:eastAsia="en-GB"/>
              </w:rPr>
            </w:pPr>
            <w:r w:rsidRPr="003B552F">
              <w:rPr>
                <w:rFonts w:ascii="Arial Narrow" w:eastAsia="Times New Roman" w:hAnsi="Arial Narrow"/>
                <w:b/>
                <w:bCs/>
                <w:sz w:val="20"/>
                <w:szCs w:val="20"/>
                <w:lang w:eastAsia="en-GB"/>
              </w:rPr>
              <w:t>Annualized Key Results 2015</w:t>
            </w:r>
          </w:p>
        </w:tc>
        <w:tc>
          <w:tcPr>
            <w:tcW w:w="7883" w:type="dxa"/>
            <w:gridSpan w:val="5"/>
            <w:tcBorders>
              <w:top w:val="single" w:sz="4" w:space="0" w:color="auto"/>
              <w:left w:val="single" w:sz="4" w:space="0" w:color="auto"/>
              <w:bottom w:val="nil"/>
              <w:right w:val="single" w:sz="4" w:space="0" w:color="000000"/>
            </w:tcBorders>
            <w:shd w:val="clear" w:color="auto" w:fill="auto"/>
            <w:hideMark/>
          </w:tcPr>
          <w:p w14:paraId="1B709079" w14:textId="77777777" w:rsidR="00683F4A" w:rsidRPr="00CD56B9" w:rsidRDefault="00683F4A" w:rsidP="009657E1">
            <w:pPr>
              <w:spacing w:after="0"/>
              <w:jc w:val="left"/>
              <w:rPr>
                <w:rFonts w:ascii="Arial Narrow" w:eastAsia="Times New Roman" w:hAnsi="Arial Narrow"/>
                <w:sz w:val="20"/>
                <w:szCs w:val="20"/>
                <w:lang w:val="en-US" w:eastAsia="en-GB"/>
              </w:rPr>
            </w:pPr>
            <w:r w:rsidRPr="00CD56B9">
              <w:rPr>
                <w:rFonts w:ascii="Arial Narrow" w:eastAsia="Times New Roman" w:hAnsi="Arial Narrow"/>
                <w:sz w:val="20"/>
                <w:szCs w:val="20"/>
                <w:lang w:val="en-US" w:eastAsia="en-GB"/>
              </w:rPr>
              <w:t xml:space="preserve">E:   2 additional capacity building initiatives implemented by Democratic Governance Institutions (UNDP) </w:t>
            </w:r>
          </w:p>
        </w:tc>
        <w:tc>
          <w:tcPr>
            <w:tcW w:w="1230" w:type="dxa"/>
            <w:tcBorders>
              <w:top w:val="nil"/>
              <w:left w:val="nil"/>
              <w:bottom w:val="single" w:sz="4" w:space="0" w:color="auto"/>
              <w:right w:val="single" w:sz="4" w:space="0" w:color="auto"/>
            </w:tcBorders>
            <w:shd w:val="clear" w:color="auto" w:fill="auto"/>
            <w:noWrap/>
            <w:hideMark/>
          </w:tcPr>
          <w:p w14:paraId="48632AD4" w14:textId="77777777" w:rsidR="00683F4A" w:rsidRPr="003B552F" w:rsidRDefault="00683F4A" w:rsidP="009657E1">
            <w:pPr>
              <w:spacing w:after="0"/>
              <w:jc w:val="left"/>
              <w:rPr>
                <w:rFonts w:ascii="Arial Narrow" w:eastAsia="Times New Roman" w:hAnsi="Arial Narrow"/>
                <w:sz w:val="20"/>
                <w:szCs w:val="20"/>
                <w:lang w:eastAsia="en-GB"/>
              </w:rPr>
            </w:pPr>
            <w:r w:rsidRPr="003B552F">
              <w:rPr>
                <w:rFonts w:ascii="Arial Narrow" w:eastAsia="Times New Roman" w:hAnsi="Arial Narrow"/>
                <w:sz w:val="20"/>
                <w:szCs w:val="20"/>
                <w:lang w:eastAsia="en-GB"/>
              </w:rPr>
              <w:t>UNDP</w:t>
            </w:r>
          </w:p>
        </w:tc>
        <w:tc>
          <w:tcPr>
            <w:tcW w:w="953" w:type="dxa"/>
            <w:tcBorders>
              <w:top w:val="nil"/>
              <w:left w:val="nil"/>
              <w:bottom w:val="single" w:sz="4" w:space="0" w:color="auto"/>
              <w:right w:val="single" w:sz="4" w:space="0" w:color="auto"/>
            </w:tcBorders>
            <w:shd w:val="clear" w:color="auto" w:fill="auto"/>
            <w:hideMark/>
          </w:tcPr>
          <w:p w14:paraId="1F6EDBB0"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100,000 </w:t>
            </w:r>
          </w:p>
        </w:tc>
        <w:tc>
          <w:tcPr>
            <w:tcW w:w="1037" w:type="dxa"/>
            <w:gridSpan w:val="3"/>
            <w:tcBorders>
              <w:top w:val="nil"/>
              <w:left w:val="nil"/>
              <w:bottom w:val="single" w:sz="4" w:space="0" w:color="auto"/>
              <w:right w:val="single" w:sz="4" w:space="0" w:color="auto"/>
            </w:tcBorders>
            <w:shd w:val="clear" w:color="auto" w:fill="auto"/>
            <w:hideMark/>
          </w:tcPr>
          <w:p w14:paraId="7AEEAC27"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w:t>
            </w:r>
          </w:p>
        </w:tc>
        <w:tc>
          <w:tcPr>
            <w:tcW w:w="986" w:type="dxa"/>
            <w:tcBorders>
              <w:top w:val="nil"/>
              <w:left w:val="nil"/>
              <w:bottom w:val="single" w:sz="4" w:space="0" w:color="auto"/>
              <w:right w:val="single" w:sz="4" w:space="0" w:color="auto"/>
            </w:tcBorders>
            <w:shd w:val="clear" w:color="auto" w:fill="auto"/>
            <w:hideMark/>
          </w:tcPr>
          <w:p w14:paraId="314F3D5E"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500,000 </w:t>
            </w:r>
          </w:p>
        </w:tc>
        <w:tc>
          <w:tcPr>
            <w:tcW w:w="1134" w:type="dxa"/>
            <w:tcBorders>
              <w:top w:val="nil"/>
              <w:left w:val="nil"/>
              <w:bottom w:val="single" w:sz="4" w:space="0" w:color="auto"/>
              <w:right w:val="single" w:sz="8" w:space="0" w:color="auto"/>
            </w:tcBorders>
            <w:shd w:val="clear" w:color="auto" w:fill="auto"/>
            <w:hideMark/>
          </w:tcPr>
          <w:p w14:paraId="47F219E3"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600,000 </w:t>
            </w:r>
          </w:p>
        </w:tc>
      </w:tr>
      <w:tr w:rsidR="00683F4A" w:rsidRPr="007D425D" w14:paraId="68B82D48" w14:textId="77777777" w:rsidTr="009657E1">
        <w:trPr>
          <w:trHeight w:val="168"/>
          <w:jc w:val="center"/>
        </w:trPr>
        <w:tc>
          <w:tcPr>
            <w:tcW w:w="1529" w:type="dxa"/>
            <w:gridSpan w:val="2"/>
            <w:vMerge/>
            <w:tcBorders>
              <w:top w:val="nil"/>
              <w:left w:val="single" w:sz="8" w:space="0" w:color="auto"/>
              <w:bottom w:val="single" w:sz="4" w:space="0" w:color="000000"/>
              <w:right w:val="nil"/>
            </w:tcBorders>
            <w:vAlign w:val="center"/>
            <w:hideMark/>
          </w:tcPr>
          <w:p w14:paraId="506CEB35" w14:textId="77777777" w:rsidR="00683F4A" w:rsidRPr="003B552F" w:rsidRDefault="00683F4A" w:rsidP="009657E1">
            <w:pPr>
              <w:spacing w:after="0"/>
              <w:jc w:val="left"/>
              <w:rPr>
                <w:rFonts w:ascii="Arial Narrow" w:eastAsia="Times New Roman" w:hAnsi="Arial Narrow"/>
                <w:b/>
                <w:bCs/>
                <w:sz w:val="20"/>
                <w:szCs w:val="20"/>
                <w:lang w:eastAsia="en-GB"/>
              </w:rPr>
            </w:pPr>
          </w:p>
        </w:tc>
        <w:tc>
          <w:tcPr>
            <w:tcW w:w="7883" w:type="dxa"/>
            <w:gridSpan w:val="5"/>
            <w:vMerge w:val="restart"/>
            <w:tcBorders>
              <w:top w:val="single" w:sz="4" w:space="0" w:color="auto"/>
              <w:left w:val="single" w:sz="4" w:space="0" w:color="auto"/>
              <w:bottom w:val="single" w:sz="8" w:space="0" w:color="000000"/>
              <w:right w:val="single" w:sz="4" w:space="0" w:color="000000"/>
            </w:tcBorders>
            <w:shd w:val="clear" w:color="auto" w:fill="auto"/>
            <w:hideMark/>
          </w:tcPr>
          <w:p w14:paraId="7D8822F9" w14:textId="77777777" w:rsidR="00683F4A" w:rsidRPr="00CD56B9" w:rsidRDefault="00683F4A" w:rsidP="009657E1">
            <w:pPr>
              <w:spacing w:after="0"/>
              <w:jc w:val="left"/>
              <w:rPr>
                <w:rFonts w:ascii="Arial Narrow" w:eastAsia="Times New Roman" w:hAnsi="Arial Narrow"/>
                <w:sz w:val="20"/>
                <w:szCs w:val="20"/>
                <w:lang w:val="en-US" w:eastAsia="en-GB"/>
              </w:rPr>
            </w:pPr>
            <w:r w:rsidRPr="00CD56B9">
              <w:rPr>
                <w:rFonts w:ascii="Arial Narrow" w:eastAsia="Times New Roman" w:hAnsi="Arial Narrow"/>
                <w:sz w:val="20"/>
                <w:szCs w:val="20"/>
                <w:lang w:val="en-US" w:eastAsia="en-GB"/>
              </w:rPr>
              <w:t xml:space="preserve">F: 3 Justice Institutions implementing capacity building identified by the sector strategy to improve Democratic </w:t>
            </w:r>
          </w:p>
        </w:tc>
        <w:tc>
          <w:tcPr>
            <w:tcW w:w="1230" w:type="dxa"/>
            <w:tcBorders>
              <w:top w:val="nil"/>
              <w:left w:val="nil"/>
              <w:bottom w:val="single" w:sz="4" w:space="0" w:color="auto"/>
              <w:right w:val="single" w:sz="4" w:space="0" w:color="auto"/>
            </w:tcBorders>
            <w:shd w:val="clear" w:color="auto" w:fill="auto"/>
            <w:hideMark/>
          </w:tcPr>
          <w:p w14:paraId="6AB298AD" w14:textId="77777777" w:rsidR="00683F4A" w:rsidRPr="003B552F" w:rsidRDefault="00683F4A" w:rsidP="009657E1">
            <w:pPr>
              <w:spacing w:after="0"/>
              <w:jc w:val="left"/>
              <w:rPr>
                <w:rFonts w:ascii="Arial Narrow" w:eastAsia="Times New Roman" w:hAnsi="Arial Narrow"/>
                <w:sz w:val="20"/>
                <w:szCs w:val="20"/>
                <w:lang w:eastAsia="en-GB"/>
              </w:rPr>
            </w:pPr>
            <w:r w:rsidRPr="003B552F">
              <w:rPr>
                <w:rFonts w:ascii="Arial Narrow" w:eastAsia="Times New Roman" w:hAnsi="Arial Narrow"/>
                <w:sz w:val="20"/>
                <w:szCs w:val="20"/>
                <w:lang w:eastAsia="en-GB"/>
              </w:rPr>
              <w:t>UNDP</w:t>
            </w:r>
          </w:p>
        </w:tc>
        <w:tc>
          <w:tcPr>
            <w:tcW w:w="953" w:type="dxa"/>
            <w:tcBorders>
              <w:top w:val="nil"/>
              <w:left w:val="nil"/>
              <w:bottom w:val="single" w:sz="4" w:space="0" w:color="auto"/>
              <w:right w:val="single" w:sz="4" w:space="0" w:color="auto"/>
            </w:tcBorders>
            <w:shd w:val="clear" w:color="auto" w:fill="auto"/>
            <w:hideMark/>
          </w:tcPr>
          <w:p w14:paraId="6098062E"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100,000 </w:t>
            </w:r>
          </w:p>
        </w:tc>
        <w:tc>
          <w:tcPr>
            <w:tcW w:w="1037" w:type="dxa"/>
            <w:gridSpan w:val="3"/>
            <w:tcBorders>
              <w:top w:val="nil"/>
              <w:left w:val="nil"/>
              <w:bottom w:val="single" w:sz="4" w:space="0" w:color="auto"/>
              <w:right w:val="single" w:sz="4" w:space="0" w:color="auto"/>
            </w:tcBorders>
            <w:shd w:val="clear" w:color="auto" w:fill="auto"/>
            <w:hideMark/>
          </w:tcPr>
          <w:p w14:paraId="4331EAAD"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w:t>
            </w:r>
          </w:p>
        </w:tc>
        <w:tc>
          <w:tcPr>
            <w:tcW w:w="986" w:type="dxa"/>
            <w:tcBorders>
              <w:top w:val="nil"/>
              <w:left w:val="nil"/>
              <w:bottom w:val="single" w:sz="4" w:space="0" w:color="auto"/>
              <w:right w:val="single" w:sz="4" w:space="0" w:color="auto"/>
            </w:tcBorders>
            <w:shd w:val="clear" w:color="auto" w:fill="auto"/>
            <w:hideMark/>
          </w:tcPr>
          <w:p w14:paraId="6D04D220"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500,000 </w:t>
            </w:r>
          </w:p>
        </w:tc>
        <w:tc>
          <w:tcPr>
            <w:tcW w:w="1134" w:type="dxa"/>
            <w:tcBorders>
              <w:top w:val="nil"/>
              <w:left w:val="nil"/>
              <w:bottom w:val="single" w:sz="4" w:space="0" w:color="auto"/>
              <w:right w:val="single" w:sz="8" w:space="0" w:color="auto"/>
            </w:tcBorders>
            <w:shd w:val="clear" w:color="auto" w:fill="auto"/>
            <w:hideMark/>
          </w:tcPr>
          <w:p w14:paraId="6CFE0950"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600,000 </w:t>
            </w:r>
          </w:p>
        </w:tc>
      </w:tr>
      <w:tr w:rsidR="00683F4A" w:rsidRPr="007D425D" w14:paraId="44534CF1" w14:textId="77777777" w:rsidTr="009657E1">
        <w:trPr>
          <w:trHeight w:val="179"/>
          <w:jc w:val="center"/>
        </w:trPr>
        <w:tc>
          <w:tcPr>
            <w:tcW w:w="1529" w:type="dxa"/>
            <w:gridSpan w:val="2"/>
            <w:vMerge/>
            <w:tcBorders>
              <w:top w:val="nil"/>
              <w:left w:val="single" w:sz="8" w:space="0" w:color="auto"/>
              <w:bottom w:val="single" w:sz="4" w:space="0" w:color="000000"/>
              <w:right w:val="nil"/>
            </w:tcBorders>
            <w:vAlign w:val="center"/>
            <w:hideMark/>
          </w:tcPr>
          <w:p w14:paraId="7CAE20A8" w14:textId="77777777" w:rsidR="00683F4A" w:rsidRPr="003B552F" w:rsidRDefault="00683F4A" w:rsidP="009657E1">
            <w:pPr>
              <w:spacing w:after="0"/>
              <w:jc w:val="left"/>
              <w:rPr>
                <w:rFonts w:ascii="Arial Narrow" w:eastAsia="Times New Roman" w:hAnsi="Arial Narrow"/>
                <w:b/>
                <w:bCs/>
                <w:sz w:val="20"/>
                <w:szCs w:val="20"/>
                <w:lang w:eastAsia="en-GB"/>
              </w:rPr>
            </w:pPr>
          </w:p>
        </w:tc>
        <w:tc>
          <w:tcPr>
            <w:tcW w:w="7883" w:type="dxa"/>
            <w:gridSpan w:val="5"/>
            <w:vMerge/>
            <w:tcBorders>
              <w:top w:val="single" w:sz="4" w:space="0" w:color="auto"/>
              <w:left w:val="single" w:sz="4" w:space="0" w:color="auto"/>
              <w:bottom w:val="single" w:sz="8" w:space="0" w:color="000000"/>
              <w:right w:val="single" w:sz="4" w:space="0" w:color="000000"/>
            </w:tcBorders>
            <w:vAlign w:val="center"/>
            <w:hideMark/>
          </w:tcPr>
          <w:p w14:paraId="3F27D6C0" w14:textId="77777777" w:rsidR="00683F4A" w:rsidRPr="003B552F" w:rsidRDefault="00683F4A" w:rsidP="009657E1">
            <w:pPr>
              <w:spacing w:after="0"/>
              <w:jc w:val="left"/>
              <w:rPr>
                <w:rFonts w:ascii="Arial Narrow" w:eastAsia="Times New Roman" w:hAnsi="Arial Narrow"/>
                <w:sz w:val="20"/>
                <w:szCs w:val="20"/>
                <w:lang w:eastAsia="en-GB"/>
              </w:rPr>
            </w:pPr>
          </w:p>
        </w:tc>
        <w:tc>
          <w:tcPr>
            <w:tcW w:w="1230" w:type="dxa"/>
            <w:tcBorders>
              <w:top w:val="nil"/>
              <w:left w:val="nil"/>
              <w:bottom w:val="nil"/>
              <w:right w:val="single" w:sz="4" w:space="0" w:color="auto"/>
            </w:tcBorders>
            <w:shd w:val="clear" w:color="auto" w:fill="auto"/>
            <w:hideMark/>
          </w:tcPr>
          <w:p w14:paraId="76665831" w14:textId="77777777" w:rsidR="00683F4A" w:rsidRPr="003B552F" w:rsidRDefault="00683F4A" w:rsidP="009657E1">
            <w:pPr>
              <w:spacing w:after="0"/>
              <w:jc w:val="left"/>
              <w:rPr>
                <w:rFonts w:ascii="Arial Narrow" w:eastAsia="Times New Roman" w:hAnsi="Arial Narrow"/>
                <w:sz w:val="20"/>
                <w:szCs w:val="20"/>
                <w:lang w:eastAsia="en-GB"/>
              </w:rPr>
            </w:pPr>
            <w:r w:rsidRPr="003B552F">
              <w:rPr>
                <w:rFonts w:ascii="Arial Narrow" w:eastAsia="Times New Roman" w:hAnsi="Arial Narrow"/>
                <w:sz w:val="20"/>
                <w:szCs w:val="20"/>
                <w:lang w:eastAsia="en-GB"/>
              </w:rPr>
              <w:t>UNICEF</w:t>
            </w:r>
          </w:p>
        </w:tc>
        <w:tc>
          <w:tcPr>
            <w:tcW w:w="953" w:type="dxa"/>
            <w:tcBorders>
              <w:top w:val="nil"/>
              <w:left w:val="nil"/>
              <w:bottom w:val="nil"/>
              <w:right w:val="single" w:sz="4" w:space="0" w:color="auto"/>
            </w:tcBorders>
            <w:shd w:val="clear" w:color="auto" w:fill="auto"/>
            <w:hideMark/>
          </w:tcPr>
          <w:p w14:paraId="4F5244D7"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20,000 </w:t>
            </w:r>
          </w:p>
        </w:tc>
        <w:tc>
          <w:tcPr>
            <w:tcW w:w="1037" w:type="dxa"/>
            <w:gridSpan w:val="3"/>
            <w:tcBorders>
              <w:top w:val="nil"/>
              <w:left w:val="nil"/>
              <w:bottom w:val="nil"/>
              <w:right w:val="single" w:sz="4" w:space="0" w:color="auto"/>
            </w:tcBorders>
            <w:shd w:val="clear" w:color="auto" w:fill="auto"/>
            <w:hideMark/>
          </w:tcPr>
          <w:p w14:paraId="2227BB75"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220,000 </w:t>
            </w:r>
          </w:p>
        </w:tc>
        <w:tc>
          <w:tcPr>
            <w:tcW w:w="986" w:type="dxa"/>
            <w:tcBorders>
              <w:top w:val="nil"/>
              <w:left w:val="nil"/>
              <w:bottom w:val="nil"/>
              <w:right w:val="single" w:sz="4" w:space="0" w:color="auto"/>
            </w:tcBorders>
            <w:shd w:val="clear" w:color="auto" w:fill="auto"/>
            <w:hideMark/>
          </w:tcPr>
          <w:p w14:paraId="694F38B0"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100,000 </w:t>
            </w:r>
          </w:p>
        </w:tc>
        <w:tc>
          <w:tcPr>
            <w:tcW w:w="1134" w:type="dxa"/>
            <w:tcBorders>
              <w:top w:val="nil"/>
              <w:left w:val="nil"/>
              <w:bottom w:val="nil"/>
              <w:right w:val="single" w:sz="8" w:space="0" w:color="auto"/>
            </w:tcBorders>
            <w:shd w:val="clear" w:color="auto" w:fill="auto"/>
            <w:hideMark/>
          </w:tcPr>
          <w:p w14:paraId="1F3EB931"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340,000 </w:t>
            </w:r>
          </w:p>
        </w:tc>
      </w:tr>
      <w:tr w:rsidR="00683F4A" w:rsidRPr="007D425D" w14:paraId="2BA4CCE9" w14:textId="77777777" w:rsidTr="009657E1">
        <w:trPr>
          <w:trHeight w:val="179"/>
          <w:jc w:val="center"/>
        </w:trPr>
        <w:tc>
          <w:tcPr>
            <w:tcW w:w="1529" w:type="dxa"/>
            <w:gridSpan w:val="2"/>
            <w:vMerge/>
            <w:tcBorders>
              <w:top w:val="nil"/>
              <w:left w:val="single" w:sz="8" w:space="0" w:color="auto"/>
              <w:bottom w:val="single" w:sz="4" w:space="0" w:color="000000"/>
              <w:right w:val="nil"/>
            </w:tcBorders>
            <w:vAlign w:val="center"/>
            <w:hideMark/>
          </w:tcPr>
          <w:p w14:paraId="4ABB7F9C" w14:textId="77777777" w:rsidR="00683F4A" w:rsidRPr="003B552F" w:rsidRDefault="00683F4A" w:rsidP="009657E1">
            <w:pPr>
              <w:spacing w:after="0"/>
              <w:jc w:val="left"/>
              <w:rPr>
                <w:rFonts w:ascii="Arial Narrow" w:eastAsia="Times New Roman" w:hAnsi="Arial Narrow"/>
                <w:b/>
                <w:bCs/>
                <w:sz w:val="20"/>
                <w:szCs w:val="20"/>
                <w:lang w:eastAsia="en-GB"/>
              </w:rPr>
            </w:pPr>
          </w:p>
        </w:tc>
        <w:tc>
          <w:tcPr>
            <w:tcW w:w="7883" w:type="dxa"/>
            <w:gridSpan w:val="5"/>
            <w:tcBorders>
              <w:top w:val="single" w:sz="8" w:space="0" w:color="auto"/>
              <w:left w:val="single" w:sz="8" w:space="0" w:color="auto"/>
              <w:bottom w:val="single" w:sz="8" w:space="0" w:color="auto"/>
              <w:right w:val="single" w:sz="4" w:space="0" w:color="000000"/>
            </w:tcBorders>
            <w:shd w:val="clear" w:color="auto" w:fill="auto"/>
            <w:hideMark/>
          </w:tcPr>
          <w:p w14:paraId="161B5725" w14:textId="77777777" w:rsidR="00683F4A" w:rsidRPr="00CD56B9" w:rsidRDefault="00683F4A" w:rsidP="009657E1">
            <w:pPr>
              <w:spacing w:after="0"/>
              <w:jc w:val="left"/>
              <w:rPr>
                <w:rFonts w:ascii="Arial Narrow" w:eastAsia="Times New Roman" w:hAnsi="Arial Narrow"/>
                <w:b/>
                <w:bCs/>
                <w:color w:val="FF0000"/>
                <w:sz w:val="20"/>
                <w:szCs w:val="20"/>
                <w:lang w:val="en-US" w:eastAsia="en-GB"/>
              </w:rPr>
            </w:pPr>
            <w:r w:rsidRPr="00CD56B9">
              <w:rPr>
                <w:rFonts w:ascii="Arial Narrow" w:eastAsia="Times New Roman" w:hAnsi="Arial Narrow"/>
                <w:b/>
                <w:bCs/>
                <w:color w:val="FF0000"/>
                <w:sz w:val="20"/>
                <w:szCs w:val="20"/>
                <w:lang w:val="en-US" w:eastAsia="en-GB"/>
              </w:rPr>
              <w:t>4.1.1-Total budget for Annualised Key Results for 2015</w:t>
            </w:r>
          </w:p>
        </w:tc>
        <w:tc>
          <w:tcPr>
            <w:tcW w:w="1230" w:type="dxa"/>
            <w:tcBorders>
              <w:top w:val="single" w:sz="8" w:space="0" w:color="auto"/>
              <w:left w:val="nil"/>
              <w:bottom w:val="single" w:sz="8" w:space="0" w:color="auto"/>
              <w:right w:val="single" w:sz="4" w:space="0" w:color="auto"/>
            </w:tcBorders>
            <w:shd w:val="clear" w:color="auto" w:fill="auto"/>
            <w:hideMark/>
          </w:tcPr>
          <w:p w14:paraId="31EAE741" w14:textId="77777777" w:rsidR="00683F4A" w:rsidRPr="00CD56B9" w:rsidRDefault="00683F4A" w:rsidP="009657E1">
            <w:pPr>
              <w:spacing w:after="0"/>
              <w:jc w:val="left"/>
              <w:rPr>
                <w:rFonts w:ascii="Arial Narrow" w:eastAsia="Times New Roman" w:hAnsi="Arial Narrow"/>
                <w:sz w:val="20"/>
                <w:szCs w:val="20"/>
                <w:lang w:val="en-US" w:eastAsia="en-GB"/>
              </w:rPr>
            </w:pPr>
            <w:r w:rsidRPr="00CD56B9">
              <w:rPr>
                <w:rFonts w:ascii="Arial Narrow" w:eastAsia="Times New Roman" w:hAnsi="Arial Narrow"/>
                <w:sz w:val="20"/>
                <w:szCs w:val="20"/>
                <w:lang w:val="en-US" w:eastAsia="en-GB"/>
              </w:rPr>
              <w:t> </w:t>
            </w:r>
          </w:p>
        </w:tc>
        <w:tc>
          <w:tcPr>
            <w:tcW w:w="953" w:type="dxa"/>
            <w:tcBorders>
              <w:top w:val="single" w:sz="8" w:space="0" w:color="auto"/>
              <w:left w:val="nil"/>
              <w:bottom w:val="single" w:sz="8" w:space="0" w:color="auto"/>
              <w:right w:val="single" w:sz="4" w:space="0" w:color="auto"/>
            </w:tcBorders>
            <w:shd w:val="clear" w:color="auto" w:fill="auto"/>
            <w:hideMark/>
          </w:tcPr>
          <w:p w14:paraId="1BB68707" w14:textId="77777777" w:rsidR="00683F4A" w:rsidRPr="003B552F" w:rsidRDefault="00683F4A" w:rsidP="009657E1">
            <w:pPr>
              <w:spacing w:after="0"/>
              <w:jc w:val="right"/>
              <w:rPr>
                <w:rFonts w:ascii="Arial Narrow" w:eastAsia="Times New Roman" w:hAnsi="Arial Narrow"/>
                <w:b/>
                <w:bCs/>
                <w:color w:val="FF0000"/>
                <w:sz w:val="20"/>
                <w:szCs w:val="20"/>
                <w:lang w:eastAsia="en-GB"/>
              </w:rPr>
            </w:pPr>
            <w:r w:rsidRPr="00CD56B9">
              <w:rPr>
                <w:rFonts w:ascii="Arial Narrow" w:eastAsia="Times New Roman" w:hAnsi="Arial Narrow"/>
                <w:b/>
                <w:bCs/>
                <w:color w:val="FF0000"/>
                <w:sz w:val="20"/>
                <w:szCs w:val="20"/>
                <w:lang w:val="en-US" w:eastAsia="en-GB"/>
              </w:rPr>
              <w:t xml:space="preserve">           </w:t>
            </w:r>
            <w:r w:rsidRPr="003B552F">
              <w:rPr>
                <w:rFonts w:ascii="Arial Narrow" w:eastAsia="Times New Roman" w:hAnsi="Arial Narrow"/>
                <w:b/>
                <w:bCs/>
                <w:color w:val="FF0000"/>
                <w:sz w:val="20"/>
                <w:szCs w:val="20"/>
                <w:lang w:eastAsia="en-GB"/>
              </w:rPr>
              <w:t xml:space="preserve">220,000 </w:t>
            </w:r>
          </w:p>
        </w:tc>
        <w:tc>
          <w:tcPr>
            <w:tcW w:w="1037" w:type="dxa"/>
            <w:gridSpan w:val="3"/>
            <w:tcBorders>
              <w:top w:val="single" w:sz="8" w:space="0" w:color="auto"/>
              <w:left w:val="nil"/>
              <w:bottom w:val="single" w:sz="8" w:space="0" w:color="auto"/>
              <w:right w:val="single" w:sz="4" w:space="0" w:color="auto"/>
            </w:tcBorders>
            <w:shd w:val="clear" w:color="auto" w:fill="auto"/>
            <w:hideMark/>
          </w:tcPr>
          <w:p w14:paraId="4466C5EC" w14:textId="77777777" w:rsidR="00683F4A" w:rsidRPr="003B552F" w:rsidRDefault="00683F4A" w:rsidP="009657E1">
            <w:pPr>
              <w:spacing w:after="0"/>
              <w:jc w:val="right"/>
              <w:rPr>
                <w:rFonts w:ascii="Arial Narrow" w:eastAsia="Times New Roman" w:hAnsi="Arial Narrow"/>
                <w:b/>
                <w:bCs/>
                <w:color w:val="FF0000"/>
                <w:sz w:val="20"/>
                <w:szCs w:val="20"/>
                <w:lang w:eastAsia="en-GB"/>
              </w:rPr>
            </w:pPr>
            <w:r w:rsidRPr="003B552F">
              <w:rPr>
                <w:rFonts w:ascii="Arial Narrow" w:eastAsia="Times New Roman" w:hAnsi="Arial Narrow"/>
                <w:b/>
                <w:bCs/>
                <w:color w:val="FF0000"/>
                <w:sz w:val="20"/>
                <w:szCs w:val="20"/>
                <w:lang w:eastAsia="en-GB"/>
              </w:rPr>
              <w:t xml:space="preserve">            220,000 </w:t>
            </w:r>
          </w:p>
        </w:tc>
        <w:tc>
          <w:tcPr>
            <w:tcW w:w="986" w:type="dxa"/>
            <w:tcBorders>
              <w:top w:val="single" w:sz="8" w:space="0" w:color="auto"/>
              <w:left w:val="nil"/>
              <w:bottom w:val="single" w:sz="8" w:space="0" w:color="auto"/>
              <w:right w:val="single" w:sz="4" w:space="0" w:color="auto"/>
            </w:tcBorders>
            <w:shd w:val="clear" w:color="auto" w:fill="auto"/>
            <w:hideMark/>
          </w:tcPr>
          <w:p w14:paraId="35C3D949" w14:textId="77777777" w:rsidR="00683F4A" w:rsidRPr="003B552F" w:rsidRDefault="00683F4A" w:rsidP="009657E1">
            <w:pPr>
              <w:spacing w:after="0"/>
              <w:jc w:val="right"/>
              <w:rPr>
                <w:rFonts w:ascii="Arial Narrow" w:eastAsia="Times New Roman" w:hAnsi="Arial Narrow"/>
                <w:b/>
                <w:bCs/>
                <w:color w:val="FF0000"/>
                <w:sz w:val="20"/>
                <w:szCs w:val="20"/>
                <w:lang w:eastAsia="en-GB"/>
              </w:rPr>
            </w:pPr>
            <w:r w:rsidRPr="003B552F">
              <w:rPr>
                <w:rFonts w:ascii="Arial Narrow" w:eastAsia="Times New Roman" w:hAnsi="Arial Narrow"/>
                <w:b/>
                <w:bCs/>
                <w:color w:val="FF0000"/>
                <w:sz w:val="20"/>
                <w:szCs w:val="20"/>
                <w:lang w:eastAsia="en-GB"/>
              </w:rPr>
              <w:t xml:space="preserve">        1,100,000 </w:t>
            </w:r>
          </w:p>
        </w:tc>
        <w:tc>
          <w:tcPr>
            <w:tcW w:w="1134" w:type="dxa"/>
            <w:tcBorders>
              <w:top w:val="single" w:sz="8" w:space="0" w:color="auto"/>
              <w:left w:val="nil"/>
              <w:bottom w:val="single" w:sz="8" w:space="0" w:color="auto"/>
              <w:right w:val="single" w:sz="8" w:space="0" w:color="auto"/>
            </w:tcBorders>
            <w:shd w:val="clear" w:color="auto" w:fill="auto"/>
            <w:hideMark/>
          </w:tcPr>
          <w:p w14:paraId="3573843C" w14:textId="77777777" w:rsidR="00683F4A" w:rsidRPr="003B552F" w:rsidRDefault="00683F4A" w:rsidP="009657E1">
            <w:pPr>
              <w:spacing w:after="0"/>
              <w:jc w:val="right"/>
              <w:rPr>
                <w:rFonts w:ascii="Arial Narrow" w:eastAsia="Times New Roman" w:hAnsi="Arial Narrow"/>
                <w:b/>
                <w:bCs/>
                <w:color w:val="FF0000"/>
                <w:sz w:val="20"/>
                <w:szCs w:val="20"/>
                <w:lang w:eastAsia="en-GB"/>
              </w:rPr>
            </w:pPr>
            <w:r w:rsidRPr="003B552F">
              <w:rPr>
                <w:rFonts w:ascii="Arial Narrow" w:eastAsia="Times New Roman" w:hAnsi="Arial Narrow"/>
                <w:b/>
                <w:bCs/>
                <w:color w:val="FF0000"/>
                <w:sz w:val="20"/>
                <w:szCs w:val="20"/>
                <w:lang w:eastAsia="en-GB"/>
              </w:rPr>
              <w:t xml:space="preserve">          1,540,000 </w:t>
            </w:r>
          </w:p>
        </w:tc>
      </w:tr>
      <w:tr w:rsidR="00683F4A" w:rsidRPr="007D425D" w14:paraId="24232650" w14:textId="77777777" w:rsidTr="009657E1">
        <w:trPr>
          <w:trHeight w:val="168"/>
          <w:jc w:val="center"/>
        </w:trPr>
        <w:tc>
          <w:tcPr>
            <w:tcW w:w="1529" w:type="dxa"/>
            <w:gridSpan w:val="2"/>
            <w:vMerge w:val="restart"/>
            <w:tcBorders>
              <w:top w:val="nil"/>
              <w:left w:val="single" w:sz="8" w:space="0" w:color="auto"/>
              <w:bottom w:val="single" w:sz="4" w:space="0" w:color="000000"/>
              <w:right w:val="nil"/>
            </w:tcBorders>
            <w:shd w:val="clear" w:color="auto" w:fill="auto"/>
            <w:hideMark/>
          </w:tcPr>
          <w:p w14:paraId="6C55DBB0" w14:textId="77777777" w:rsidR="00683F4A" w:rsidRPr="003B552F" w:rsidRDefault="00683F4A" w:rsidP="009657E1">
            <w:pPr>
              <w:spacing w:after="0"/>
              <w:jc w:val="left"/>
              <w:rPr>
                <w:rFonts w:ascii="Arial Narrow" w:eastAsia="Times New Roman" w:hAnsi="Arial Narrow"/>
                <w:b/>
                <w:bCs/>
                <w:sz w:val="20"/>
                <w:szCs w:val="20"/>
                <w:lang w:eastAsia="en-GB"/>
              </w:rPr>
            </w:pPr>
            <w:r w:rsidRPr="003B552F">
              <w:rPr>
                <w:rFonts w:ascii="Arial Narrow" w:eastAsia="Times New Roman" w:hAnsi="Arial Narrow"/>
                <w:b/>
                <w:bCs/>
                <w:sz w:val="20"/>
                <w:szCs w:val="20"/>
                <w:lang w:eastAsia="en-GB"/>
              </w:rPr>
              <w:t>Annualized Key Results 2016</w:t>
            </w:r>
          </w:p>
        </w:tc>
        <w:tc>
          <w:tcPr>
            <w:tcW w:w="7883" w:type="dxa"/>
            <w:gridSpan w:val="5"/>
            <w:tcBorders>
              <w:top w:val="nil"/>
              <w:left w:val="single" w:sz="4" w:space="0" w:color="auto"/>
              <w:bottom w:val="single" w:sz="4" w:space="0" w:color="auto"/>
              <w:right w:val="single" w:sz="4" w:space="0" w:color="000000"/>
            </w:tcBorders>
            <w:shd w:val="clear" w:color="auto" w:fill="auto"/>
            <w:noWrap/>
            <w:hideMark/>
          </w:tcPr>
          <w:p w14:paraId="34D9CEFF" w14:textId="77777777" w:rsidR="00683F4A" w:rsidRPr="00CD56B9" w:rsidRDefault="00683F4A" w:rsidP="009657E1">
            <w:pPr>
              <w:spacing w:after="0"/>
              <w:jc w:val="left"/>
              <w:rPr>
                <w:rFonts w:ascii="Arial Narrow" w:eastAsia="Times New Roman" w:hAnsi="Arial Narrow"/>
                <w:sz w:val="20"/>
                <w:szCs w:val="20"/>
                <w:lang w:val="en-US" w:eastAsia="en-GB"/>
              </w:rPr>
            </w:pPr>
            <w:r w:rsidRPr="00CD56B9">
              <w:rPr>
                <w:rFonts w:ascii="Arial Narrow" w:eastAsia="Times New Roman" w:hAnsi="Arial Narrow"/>
                <w:sz w:val="20"/>
                <w:szCs w:val="20"/>
                <w:lang w:val="en-US" w:eastAsia="en-GB"/>
              </w:rPr>
              <w:t xml:space="preserve">E:   2 additional capacity building initiatives implemented by Democratic Governance Institutions (UNDP) </w:t>
            </w:r>
          </w:p>
        </w:tc>
        <w:tc>
          <w:tcPr>
            <w:tcW w:w="1230" w:type="dxa"/>
            <w:tcBorders>
              <w:top w:val="nil"/>
              <w:left w:val="nil"/>
              <w:bottom w:val="single" w:sz="4" w:space="0" w:color="auto"/>
              <w:right w:val="single" w:sz="4" w:space="0" w:color="auto"/>
            </w:tcBorders>
            <w:shd w:val="clear" w:color="auto" w:fill="auto"/>
            <w:noWrap/>
            <w:hideMark/>
          </w:tcPr>
          <w:p w14:paraId="22E6E162" w14:textId="77777777" w:rsidR="00683F4A" w:rsidRPr="003B552F" w:rsidRDefault="00683F4A" w:rsidP="009657E1">
            <w:pPr>
              <w:spacing w:after="0"/>
              <w:jc w:val="left"/>
              <w:rPr>
                <w:rFonts w:ascii="Arial Narrow" w:eastAsia="Times New Roman" w:hAnsi="Arial Narrow"/>
                <w:sz w:val="20"/>
                <w:szCs w:val="20"/>
                <w:lang w:eastAsia="en-GB"/>
              </w:rPr>
            </w:pPr>
            <w:r w:rsidRPr="003B552F">
              <w:rPr>
                <w:rFonts w:ascii="Arial Narrow" w:eastAsia="Times New Roman" w:hAnsi="Arial Narrow"/>
                <w:sz w:val="20"/>
                <w:szCs w:val="20"/>
                <w:lang w:eastAsia="en-GB"/>
              </w:rPr>
              <w:t>UNDP</w:t>
            </w:r>
          </w:p>
        </w:tc>
        <w:tc>
          <w:tcPr>
            <w:tcW w:w="953" w:type="dxa"/>
            <w:tcBorders>
              <w:top w:val="nil"/>
              <w:left w:val="nil"/>
              <w:bottom w:val="single" w:sz="4" w:space="0" w:color="auto"/>
              <w:right w:val="single" w:sz="4" w:space="0" w:color="auto"/>
            </w:tcBorders>
            <w:shd w:val="clear" w:color="auto" w:fill="auto"/>
            <w:hideMark/>
          </w:tcPr>
          <w:p w14:paraId="0E6130CA"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100,000 </w:t>
            </w:r>
          </w:p>
        </w:tc>
        <w:tc>
          <w:tcPr>
            <w:tcW w:w="1037" w:type="dxa"/>
            <w:gridSpan w:val="3"/>
            <w:tcBorders>
              <w:top w:val="nil"/>
              <w:left w:val="nil"/>
              <w:bottom w:val="single" w:sz="4" w:space="0" w:color="auto"/>
              <w:right w:val="single" w:sz="4" w:space="0" w:color="auto"/>
            </w:tcBorders>
            <w:shd w:val="clear" w:color="auto" w:fill="auto"/>
            <w:hideMark/>
          </w:tcPr>
          <w:p w14:paraId="41997419"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w:t>
            </w:r>
          </w:p>
        </w:tc>
        <w:tc>
          <w:tcPr>
            <w:tcW w:w="986" w:type="dxa"/>
            <w:tcBorders>
              <w:top w:val="nil"/>
              <w:left w:val="nil"/>
              <w:bottom w:val="single" w:sz="4" w:space="0" w:color="auto"/>
              <w:right w:val="single" w:sz="4" w:space="0" w:color="auto"/>
            </w:tcBorders>
            <w:shd w:val="clear" w:color="auto" w:fill="auto"/>
            <w:hideMark/>
          </w:tcPr>
          <w:p w14:paraId="3707BE32"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200,000 </w:t>
            </w:r>
          </w:p>
        </w:tc>
        <w:tc>
          <w:tcPr>
            <w:tcW w:w="1134" w:type="dxa"/>
            <w:tcBorders>
              <w:top w:val="nil"/>
              <w:left w:val="nil"/>
              <w:bottom w:val="single" w:sz="4" w:space="0" w:color="auto"/>
              <w:right w:val="single" w:sz="8" w:space="0" w:color="auto"/>
            </w:tcBorders>
            <w:shd w:val="clear" w:color="auto" w:fill="auto"/>
            <w:hideMark/>
          </w:tcPr>
          <w:p w14:paraId="3F185935"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300,000 </w:t>
            </w:r>
          </w:p>
        </w:tc>
      </w:tr>
      <w:tr w:rsidR="00683F4A" w:rsidRPr="007D425D" w14:paraId="41ACB4D0" w14:textId="77777777" w:rsidTr="009657E1">
        <w:trPr>
          <w:trHeight w:val="168"/>
          <w:jc w:val="center"/>
        </w:trPr>
        <w:tc>
          <w:tcPr>
            <w:tcW w:w="1529" w:type="dxa"/>
            <w:gridSpan w:val="2"/>
            <w:vMerge/>
            <w:tcBorders>
              <w:top w:val="nil"/>
              <w:left w:val="single" w:sz="8" w:space="0" w:color="auto"/>
              <w:bottom w:val="single" w:sz="4" w:space="0" w:color="000000"/>
              <w:right w:val="nil"/>
            </w:tcBorders>
            <w:vAlign w:val="center"/>
            <w:hideMark/>
          </w:tcPr>
          <w:p w14:paraId="73819FA7" w14:textId="77777777" w:rsidR="00683F4A" w:rsidRPr="003B552F" w:rsidRDefault="00683F4A" w:rsidP="009657E1">
            <w:pPr>
              <w:spacing w:after="0"/>
              <w:jc w:val="left"/>
              <w:rPr>
                <w:rFonts w:ascii="Arial Narrow" w:eastAsia="Times New Roman" w:hAnsi="Arial Narrow"/>
                <w:b/>
                <w:bCs/>
                <w:sz w:val="20"/>
                <w:szCs w:val="20"/>
                <w:lang w:eastAsia="en-GB"/>
              </w:rPr>
            </w:pPr>
          </w:p>
        </w:tc>
        <w:tc>
          <w:tcPr>
            <w:tcW w:w="7883" w:type="dxa"/>
            <w:gridSpan w:val="5"/>
            <w:vMerge w:val="restart"/>
            <w:tcBorders>
              <w:top w:val="single" w:sz="4" w:space="0" w:color="auto"/>
              <w:left w:val="single" w:sz="4" w:space="0" w:color="auto"/>
              <w:bottom w:val="nil"/>
              <w:right w:val="single" w:sz="4" w:space="0" w:color="000000"/>
            </w:tcBorders>
            <w:shd w:val="clear" w:color="auto" w:fill="auto"/>
            <w:hideMark/>
          </w:tcPr>
          <w:p w14:paraId="4ED6CCA4" w14:textId="77777777" w:rsidR="00683F4A" w:rsidRPr="00CD56B9" w:rsidRDefault="00683F4A" w:rsidP="009657E1">
            <w:pPr>
              <w:spacing w:after="0"/>
              <w:jc w:val="left"/>
              <w:rPr>
                <w:rFonts w:ascii="Arial Narrow" w:eastAsia="Times New Roman" w:hAnsi="Arial Narrow"/>
                <w:sz w:val="20"/>
                <w:szCs w:val="20"/>
                <w:lang w:val="en-US" w:eastAsia="en-GB"/>
              </w:rPr>
            </w:pPr>
            <w:r w:rsidRPr="00CD56B9">
              <w:rPr>
                <w:rFonts w:ascii="Arial Narrow" w:eastAsia="Times New Roman" w:hAnsi="Arial Narrow"/>
                <w:sz w:val="20"/>
                <w:szCs w:val="20"/>
                <w:lang w:val="en-US" w:eastAsia="en-GB"/>
              </w:rPr>
              <w:t>G:  Second 5 year sector wide strategic plan formulated (UNDP)</w:t>
            </w:r>
          </w:p>
        </w:tc>
        <w:tc>
          <w:tcPr>
            <w:tcW w:w="1230" w:type="dxa"/>
            <w:tcBorders>
              <w:top w:val="nil"/>
              <w:left w:val="nil"/>
              <w:bottom w:val="single" w:sz="4" w:space="0" w:color="auto"/>
              <w:right w:val="single" w:sz="4" w:space="0" w:color="auto"/>
            </w:tcBorders>
            <w:shd w:val="clear" w:color="auto" w:fill="auto"/>
            <w:hideMark/>
          </w:tcPr>
          <w:p w14:paraId="21759CE7" w14:textId="77777777" w:rsidR="00683F4A" w:rsidRPr="003B552F" w:rsidRDefault="00683F4A" w:rsidP="009657E1">
            <w:pPr>
              <w:spacing w:after="0"/>
              <w:jc w:val="left"/>
              <w:rPr>
                <w:rFonts w:ascii="Arial Narrow" w:eastAsia="Times New Roman" w:hAnsi="Arial Narrow"/>
                <w:sz w:val="20"/>
                <w:szCs w:val="20"/>
                <w:lang w:eastAsia="en-GB"/>
              </w:rPr>
            </w:pPr>
            <w:r w:rsidRPr="003B552F">
              <w:rPr>
                <w:rFonts w:ascii="Arial Narrow" w:eastAsia="Times New Roman" w:hAnsi="Arial Narrow"/>
                <w:sz w:val="20"/>
                <w:szCs w:val="20"/>
                <w:lang w:eastAsia="en-GB"/>
              </w:rPr>
              <w:t>UNDP</w:t>
            </w:r>
          </w:p>
        </w:tc>
        <w:tc>
          <w:tcPr>
            <w:tcW w:w="953" w:type="dxa"/>
            <w:tcBorders>
              <w:top w:val="nil"/>
              <w:left w:val="nil"/>
              <w:bottom w:val="single" w:sz="4" w:space="0" w:color="auto"/>
              <w:right w:val="single" w:sz="4" w:space="0" w:color="auto"/>
            </w:tcBorders>
            <w:shd w:val="clear" w:color="auto" w:fill="auto"/>
            <w:hideMark/>
          </w:tcPr>
          <w:p w14:paraId="3810FDEB"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100,000 </w:t>
            </w:r>
          </w:p>
        </w:tc>
        <w:tc>
          <w:tcPr>
            <w:tcW w:w="1037" w:type="dxa"/>
            <w:gridSpan w:val="3"/>
            <w:tcBorders>
              <w:top w:val="nil"/>
              <w:left w:val="nil"/>
              <w:bottom w:val="single" w:sz="4" w:space="0" w:color="auto"/>
              <w:right w:val="single" w:sz="4" w:space="0" w:color="auto"/>
            </w:tcBorders>
            <w:shd w:val="clear" w:color="auto" w:fill="auto"/>
            <w:hideMark/>
          </w:tcPr>
          <w:p w14:paraId="7EE9FC74"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w:t>
            </w:r>
          </w:p>
        </w:tc>
        <w:tc>
          <w:tcPr>
            <w:tcW w:w="986" w:type="dxa"/>
            <w:tcBorders>
              <w:top w:val="nil"/>
              <w:left w:val="nil"/>
              <w:bottom w:val="single" w:sz="4" w:space="0" w:color="auto"/>
              <w:right w:val="single" w:sz="4" w:space="0" w:color="auto"/>
            </w:tcBorders>
            <w:shd w:val="clear" w:color="auto" w:fill="auto"/>
            <w:hideMark/>
          </w:tcPr>
          <w:p w14:paraId="7186F768"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300,000 </w:t>
            </w:r>
          </w:p>
        </w:tc>
        <w:tc>
          <w:tcPr>
            <w:tcW w:w="1134" w:type="dxa"/>
            <w:tcBorders>
              <w:top w:val="nil"/>
              <w:left w:val="nil"/>
              <w:bottom w:val="single" w:sz="4" w:space="0" w:color="auto"/>
              <w:right w:val="single" w:sz="8" w:space="0" w:color="auto"/>
            </w:tcBorders>
            <w:shd w:val="clear" w:color="auto" w:fill="auto"/>
            <w:hideMark/>
          </w:tcPr>
          <w:p w14:paraId="61CE47FE"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400,000 </w:t>
            </w:r>
          </w:p>
        </w:tc>
      </w:tr>
      <w:tr w:rsidR="00683F4A" w:rsidRPr="007D425D" w14:paraId="0D1A8C7A" w14:textId="77777777" w:rsidTr="009657E1">
        <w:trPr>
          <w:trHeight w:val="179"/>
          <w:jc w:val="center"/>
        </w:trPr>
        <w:tc>
          <w:tcPr>
            <w:tcW w:w="1529" w:type="dxa"/>
            <w:gridSpan w:val="2"/>
            <w:vMerge/>
            <w:tcBorders>
              <w:top w:val="nil"/>
              <w:left w:val="single" w:sz="8" w:space="0" w:color="auto"/>
              <w:bottom w:val="single" w:sz="4" w:space="0" w:color="000000"/>
              <w:right w:val="nil"/>
            </w:tcBorders>
            <w:vAlign w:val="center"/>
            <w:hideMark/>
          </w:tcPr>
          <w:p w14:paraId="19A16BBA" w14:textId="77777777" w:rsidR="00683F4A" w:rsidRPr="003B552F" w:rsidRDefault="00683F4A" w:rsidP="009657E1">
            <w:pPr>
              <w:spacing w:after="0"/>
              <w:jc w:val="left"/>
              <w:rPr>
                <w:rFonts w:ascii="Arial Narrow" w:eastAsia="Times New Roman" w:hAnsi="Arial Narrow"/>
                <w:b/>
                <w:bCs/>
                <w:sz w:val="20"/>
                <w:szCs w:val="20"/>
                <w:lang w:eastAsia="en-GB"/>
              </w:rPr>
            </w:pPr>
          </w:p>
        </w:tc>
        <w:tc>
          <w:tcPr>
            <w:tcW w:w="7883" w:type="dxa"/>
            <w:gridSpan w:val="5"/>
            <w:vMerge/>
            <w:tcBorders>
              <w:top w:val="single" w:sz="4" w:space="0" w:color="auto"/>
              <w:left w:val="single" w:sz="4" w:space="0" w:color="auto"/>
              <w:bottom w:val="nil"/>
              <w:right w:val="single" w:sz="4" w:space="0" w:color="000000"/>
            </w:tcBorders>
            <w:vAlign w:val="center"/>
            <w:hideMark/>
          </w:tcPr>
          <w:p w14:paraId="60AE8214" w14:textId="77777777" w:rsidR="00683F4A" w:rsidRPr="003B552F" w:rsidRDefault="00683F4A" w:rsidP="009657E1">
            <w:pPr>
              <w:spacing w:after="0"/>
              <w:jc w:val="left"/>
              <w:rPr>
                <w:rFonts w:ascii="Arial Narrow" w:eastAsia="Times New Roman" w:hAnsi="Arial Narrow"/>
                <w:sz w:val="20"/>
                <w:szCs w:val="20"/>
                <w:lang w:eastAsia="en-GB"/>
              </w:rPr>
            </w:pPr>
          </w:p>
        </w:tc>
        <w:tc>
          <w:tcPr>
            <w:tcW w:w="1230" w:type="dxa"/>
            <w:tcBorders>
              <w:top w:val="nil"/>
              <w:left w:val="nil"/>
              <w:bottom w:val="nil"/>
              <w:right w:val="single" w:sz="4" w:space="0" w:color="auto"/>
            </w:tcBorders>
            <w:shd w:val="clear" w:color="auto" w:fill="auto"/>
            <w:hideMark/>
          </w:tcPr>
          <w:p w14:paraId="21C12C5C" w14:textId="77777777" w:rsidR="00683F4A" w:rsidRPr="003B552F" w:rsidRDefault="00683F4A" w:rsidP="009657E1">
            <w:pPr>
              <w:spacing w:after="0"/>
              <w:jc w:val="left"/>
              <w:rPr>
                <w:rFonts w:ascii="Arial Narrow" w:eastAsia="Times New Roman" w:hAnsi="Arial Narrow"/>
                <w:sz w:val="20"/>
                <w:szCs w:val="20"/>
                <w:lang w:eastAsia="en-GB"/>
              </w:rPr>
            </w:pPr>
            <w:r w:rsidRPr="003B552F">
              <w:rPr>
                <w:rFonts w:ascii="Arial Narrow" w:eastAsia="Times New Roman" w:hAnsi="Arial Narrow"/>
                <w:sz w:val="20"/>
                <w:szCs w:val="20"/>
                <w:lang w:eastAsia="en-GB"/>
              </w:rPr>
              <w:t>UNICEF</w:t>
            </w:r>
          </w:p>
        </w:tc>
        <w:tc>
          <w:tcPr>
            <w:tcW w:w="953" w:type="dxa"/>
            <w:tcBorders>
              <w:top w:val="nil"/>
              <w:left w:val="nil"/>
              <w:bottom w:val="nil"/>
              <w:right w:val="single" w:sz="4" w:space="0" w:color="auto"/>
            </w:tcBorders>
            <w:shd w:val="clear" w:color="auto" w:fill="auto"/>
            <w:hideMark/>
          </w:tcPr>
          <w:p w14:paraId="0ACF78E7"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20,000 </w:t>
            </w:r>
          </w:p>
        </w:tc>
        <w:tc>
          <w:tcPr>
            <w:tcW w:w="1037" w:type="dxa"/>
            <w:gridSpan w:val="3"/>
            <w:tcBorders>
              <w:top w:val="nil"/>
              <w:left w:val="nil"/>
              <w:bottom w:val="nil"/>
              <w:right w:val="single" w:sz="4" w:space="0" w:color="auto"/>
            </w:tcBorders>
            <w:shd w:val="clear" w:color="auto" w:fill="auto"/>
            <w:hideMark/>
          </w:tcPr>
          <w:p w14:paraId="545DE13A"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220,000 </w:t>
            </w:r>
          </w:p>
        </w:tc>
        <w:tc>
          <w:tcPr>
            <w:tcW w:w="986" w:type="dxa"/>
            <w:tcBorders>
              <w:top w:val="nil"/>
              <w:left w:val="nil"/>
              <w:bottom w:val="nil"/>
              <w:right w:val="single" w:sz="4" w:space="0" w:color="auto"/>
            </w:tcBorders>
            <w:shd w:val="clear" w:color="auto" w:fill="auto"/>
            <w:hideMark/>
          </w:tcPr>
          <w:p w14:paraId="30964776"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100,000 </w:t>
            </w:r>
          </w:p>
        </w:tc>
        <w:tc>
          <w:tcPr>
            <w:tcW w:w="1134" w:type="dxa"/>
            <w:tcBorders>
              <w:top w:val="nil"/>
              <w:left w:val="nil"/>
              <w:bottom w:val="nil"/>
              <w:right w:val="single" w:sz="8" w:space="0" w:color="auto"/>
            </w:tcBorders>
            <w:shd w:val="clear" w:color="auto" w:fill="auto"/>
            <w:hideMark/>
          </w:tcPr>
          <w:p w14:paraId="10404818"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340,000 </w:t>
            </w:r>
          </w:p>
        </w:tc>
      </w:tr>
      <w:tr w:rsidR="00683F4A" w:rsidRPr="007D425D" w14:paraId="46ACDE5E" w14:textId="77777777" w:rsidTr="009657E1">
        <w:trPr>
          <w:trHeight w:val="179"/>
          <w:jc w:val="center"/>
        </w:trPr>
        <w:tc>
          <w:tcPr>
            <w:tcW w:w="1529" w:type="dxa"/>
            <w:gridSpan w:val="2"/>
            <w:vMerge/>
            <w:tcBorders>
              <w:top w:val="nil"/>
              <w:left w:val="single" w:sz="8" w:space="0" w:color="auto"/>
              <w:bottom w:val="single" w:sz="4" w:space="0" w:color="000000"/>
              <w:right w:val="nil"/>
            </w:tcBorders>
            <w:vAlign w:val="center"/>
            <w:hideMark/>
          </w:tcPr>
          <w:p w14:paraId="4E8BC9EF" w14:textId="77777777" w:rsidR="00683F4A" w:rsidRPr="003B552F" w:rsidRDefault="00683F4A" w:rsidP="009657E1">
            <w:pPr>
              <w:spacing w:after="0"/>
              <w:jc w:val="left"/>
              <w:rPr>
                <w:rFonts w:ascii="Arial Narrow" w:eastAsia="Times New Roman" w:hAnsi="Arial Narrow"/>
                <w:b/>
                <w:bCs/>
                <w:sz w:val="20"/>
                <w:szCs w:val="20"/>
                <w:lang w:eastAsia="en-GB"/>
              </w:rPr>
            </w:pPr>
          </w:p>
        </w:tc>
        <w:tc>
          <w:tcPr>
            <w:tcW w:w="7883" w:type="dxa"/>
            <w:gridSpan w:val="5"/>
            <w:tcBorders>
              <w:top w:val="single" w:sz="8" w:space="0" w:color="auto"/>
              <w:left w:val="single" w:sz="8" w:space="0" w:color="auto"/>
              <w:bottom w:val="single" w:sz="8" w:space="0" w:color="auto"/>
              <w:right w:val="single" w:sz="4" w:space="0" w:color="000000"/>
            </w:tcBorders>
            <w:shd w:val="clear" w:color="auto" w:fill="auto"/>
            <w:hideMark/>
          </w:tcPr>
          <w:p w14:paraId="63CEB6B4" w14:textId="77777777" w:rsidR="00683F4A" w:rsidRPr="00CD56B9" w:rsidRDefault="00683F4A" w:rsidP="009657E1">
            <w:pPr>
              <w:spacing w:after="0"/>
              <w:jc w:val="left"/>
              <w:rPr>
                <w:rFonts w:ascii="Arial Narrow" w:eastAsia="Times New Roman" w:hAnsi="Arial Narrow"/>
                <w:b/>
                <w:bCs/>
                <w:color w:val="FF0000"/>
                <w:sz w:val="20"/>
                <w:szCs w:val="20"/>
                <w:lang w:val="en-US" w:eastAsia="en-GB"/>
              </w:rPr>
            </w:pPr>
            <w:r w:rsidRPr="00CD56B9">
              <w:rPr>
                <w:rFonts w:ascii="Arial Narrow" w:eastAsia="Times New Roman" w:hAnsi="Arial Narrow"/>
                <w:b/>
                <w:bCs/>
                <w:color w:val="FF0000"/>
                <w:sz w:val="20"/>
                <w:szCs w:val="20"/>
                <w:lang w:val="en-US" w:eastAsia="en-GB"/>
              </w:rPr>
              <w:t>4.4.1-Total Budget for Annualised Key Results for 2016</w:t>
            </w:r>
          </w:p>
        </w:tc>
        <w:tc>
          <w:tcPr>
            <w:tcW w:w="1230" w:type="dxa"/>
            <w:tcBorders>
              <w:top w:val="single" w:sz="8" w:space="0" w:color="auto"/>
              <w:left w:val="nil"/>
              <w:bottom w:val="single" w:sz="8" w:space="0" w:color="auto"/>
              <w:right w:val="single" w:sz="4" w:space="0" w:color="auto"/>
            </w:tcBorders>
            <w:shd w:val="clear" w:color="auto" w:fill="auto"/>
            <w:hideMark/>
          </w:tcPr>
          <w:p w14:paraId="0C441247" w14:textId="77777777" w:rsidR="00683F4A" w:rsidRPr="00CD56B9" w:rsidRDefault="00683F4A" w:rsidP="009657E1">
            <w:pPr>
              <w:spacing w:after="0"/>
              <w:jc w:val="left"/>
              <w:rPr>
                <w:rFonts w:ascii="Arial Narrow" w:eastAsia="Times New Roman" w:hAnsi="Arial Narrow"/>
                <w:sz w:val="20"/>
                <w:szCs w:val="20"/>
                <w:lang w:val="en-US" w:eastAsia="en-GB"/>
              </w:rPr>
            </w:pPr>
            <w:r w:rsidRPr="00CD56B9">
              <w:rPr>
                <w:rFonts w:ascii="Arial Narrow" w:eastAsia="Times New Roman" w:hAnsi="Arial Narrow"/>
                <w:sz w:val="20"/>
                <w:szCs w:val="20"/>
                <w:lang w:val="en-US" w:eastAsia="en-GB"/>
              </w:rPr>
              <w:t> </w:t>
            </w:r>
          </w:p>
        </w:tc>
        <w:tc>
          <w:tcPr>
            <w:tcW w:w="953" w:type="dxa"/>
            <w:tcBorders>
              <w:top w:val="single" w:sz="8" w:space="0" w:color="auto"/>
              <w:left w:val="nil"/>
              <w:bottom w:val="single" w:sz="8" w:space="0" w:color="auto"/>
              <w:right w:val="single" w:sz="4" w:space="0" w:color="auto"/>
            </w:tcBorders>
            <w:shd w:val="clear" w:color="auto" w:fill="auto"/>
            <w:hideMark/>
          </w:tcPr>
          <w:p w14:paraId="2A7DDD13" w14:textId="77777777" w:rsidR="00683F4A" w:rsidRPr="003B552F" w:rsidRDefault="00683F4A" w:rsidP="009657E1">
            <w:pPr>
              <w:spacing w:after="0"/>
              <w:jc w:val="right"/>
              <w:rPr>
                <w:rFonts w:ascii="Arial Narrow" w:eastAsia="Times New Roman" w:hAnsi="Arial Narrow"/>
                <w:b/>
                <w:bCs/>
                <w:color w:val="FF0000"/>
                <w:sz w:val="20"/>
                <w:szCs w:val="20"/>
                <w:lang w:eastAsia="en-GB"/>
              </w:rPr>
            </w:pPr>
            <w:r w:rsidRPr="00CD56B9">
              <w:rPr>
                <w:rFonts w:ascii="Arial Narrow" w:eastAsia="Times New Roman" w:hAnsi="Arial Narrow"/>
                <w:b/>
                <w:bCs/>
                <w:color w:val="FF0000"/>
                <w:sz w:val="20"/>
                <w:szCs w:val="20"/>
                <w:lang w:val="en-US" w:eastAsia="en-GB"/>
              </w:rPr>
              <w:t xml:space="preserve">           </w:t>
            </w:r>
            <w:r w:rsidRPr="003B552F">
              <w:rPr>
                <w:rFonts w:ascii="Arial Narrow" w:eastAsia="Times New Roman" w:hAnsi="Arial Narrow"/>
                <w:b/>
                <w:bCs/>
                <w:color w:val="FF0000"/>
                <w:sz w:val="20"/>
                <w:szCs w:val="20"/>
                <w:lang w:eastAsia="en-GB"/>
              </w:rPr>
              <w:t xml:space="preserve">220,000 </w:t>
            </w:r>
          </w:p>
        </w:tc>
        <w:tc>
          <w:tcPr>
            <w:tcW w:w="1037" w:type="dxa"/>
            <w:gridSpan w:val="3"/>
            <w:tcBorders>
              <w:top w:val="single" w:sz="8" w:space="0" w:color="auto"/>
              <w:left w:val="nil"/>
              <w:bottom w:val="single" w:sz="8" w:space="0" w:color="auto"/>
              <w:right w:val="single" w:sz="4" w:space="0" w:color="auto"/>
            </w:tcBorders>
            <w:shd w:val="clear" w:color="auto" w:fill="auto"/>
            <w:hideMark/>
          </w:tcPr>
          <w:p w14:paraId="3996ECFB" w14:textId="77777777" w:rsidR="00683F4A" w:rsidRPr="003B552F" w:rsidRDefault="00683F4A" w:rsidP="009657E1">
            <w:pPr>
              <w:spacing w:after="0"/>
              <w:jc w:val="right"/>
              <w:rPr>
                <w:rFonts w:ascii="Arial Narrow" w:eastAsia="Times New Roman" w:hAnsi="Arial Narrow"/>
                <w:b/>
                <w:bCs/>
                <w:color w:val="FF0000"/>
                <w:sz w:val="20"/>
                <w:szCs w:val="20"/>
                <w:lang w:eastAsia="en-GB"/>
              </w:rPr>
            </w:pPr>
            <w:r w:rsidRPr="003B552F">
              <w:rPr>
                <w:rFonts w:ascii="Arial Narrow" w:eastAsia="Times New Roman" w:hAnsi="Arial Narrow"/>
                <w:b/>
                <w:bCs/>
                <w:color w:val="FF0000"/>
                <w:sz w:val="20"/>
                <w:szCs w:val="20"/>
                <w:lang w:eastAsia="en-GB"/>
              </w:rPr>
              <w:t xml:space="preserve">            220,000 </w:t>
            </w:r>
          </w:p>
        </w:tc>
        <w:tc>
          <w:tcPr>
            <w:tcW w:w="986" w:type="dxa"/>
            <w:tcBorders>
              <w:top w:val="single" w:sz="8" w:space="0" w:color="auto"/>
              <w:left w:val="nil"/>
              <w:bottom w:val="single" w:sz="8" w:space="0" w:color="auto"/>
              <w:right w:val="single" w:sz="4" w:space="0" w:color="auto"/>
            </w:tcBorders>
            <w:shd w:val="clear" w:color="auto" w:fill="auto"/>
            <w:hideMark/>
          </w:tcPr>
          <w:p w14:paraId="6E0E332C" w14:textId="77777777" w:rsidR="00683F4A" w:rsidRPr="003B552F" w:rsidRDefault="00683F4A" w:rsidP="009657E1">
            <w:pPr>
              <w:spacing w:after="0"/>
              <w:jc w:val="right"/>
              <w:rPr>
                <w:rFonts w:ascii="Arial Narrow" w:eastAsia="Times New Roman" w:hAnsi="Arial Narrow"/>
                <w:b/>
                <w:bCs/>
                <w:color w:val="FF0000"/>
                <w:sz w:val="20"/>
                <w:szCs w:val="20"/>
                <w:lang w:eastAsia="en-GB"/>
              </w:rPr>
            </w:pPr>
            <w:r w:rsidRPr="003B552F">
              <w:rPr>
                <w:rFonts w:ascii="Arial Narrow" w:eastAsia="Times New Roman" w:hAnsi="Arial Narrow"/>
                <w:b/>
                <w:bCs/>
                <w:color w:val="FF0000"/>
                <w:sz w:val="20"/>
                <w:szCs w:val="20"/>
                <w:lang w:eastAsia="en-GB"/>
              </w:rPr>
              <w:t xml:space="preserve">           600,000 </w:t>
            </w:r>
          </w:p>
        </w:tc>
        <w:tc>
          <w:tcPr>
            <w:tcW w:w="1134" w:type="dxa"/>
            <w:tcBorders>
              <w:top w:val="single" w:sz="8" w:space="0" w:color="auto"/>
              <w:left w:val="nil"/>
              <w:bottom w:val="single" w:sz="8" w:space="0" w:color="auto"/>
              <w:right w:val="single" w:sz="8" w:space="0" w:color="auto"/>
            </w:tcBorders>
            <w:shd w:val="clear" w:color="auto" w:fill="auto"/>
            <w:hideMark/>
          </w:tcPr>
          <w:p w14:paraId="31CDFE98" w14:textId="77777777" w:rsidR="00683F4A" w:rsidRPr="003B552F" w:rsidRDefault="00683F4A" w:rsidP="009657E1">
            <w:pPr>
              <w:spacing w:after="0"/>
              <w:jc w:val="right"/>
              <w:rPr>
                <w:rFonts w:ascii="Arial Narrow" w:eastAsia="Times New Roman" w:hAnsi="Arial Narrow"/>
                <w:b/>
                <w:bCs/>
                <w:color w:val="FF0000"/>
                <w:sz w:val="20"/>
                <w:szCs w:val="20"/>
                <w:lang w:eastAsia="en-GB"/>
              </w:rPr>
            </w:pPr>
            <w:r w:rsidRPr="003B552F">
              <w:rPr>
                <w:rFonts w:ascii="Arial Narrow" w:eastAsia="Times New Roman" w:hAnsi="Arial Narrow"/>
                <w:b/>
                <w:bCs/>
                <w:color w:val="FF0000"/>
                <w:sz w:val="20"/>
                <w:szCs w:val="20"/>
                <w:lang w:eastAsia="en-GB"/>
              </w:rPr>
              <w:t xml:space="preserve">          1,040,000 </w:t>
            </w:r>
          </w:p>
        </w:tc>
      </w:tr>
      <w:tr w:rsidR="00683F4A" w:rsidRPr="007D425D" w14:paraId="2741DF38" w14:textId="77777777" w:rsidTr="009657E1">
        <w:trPr>
          <w:trHeight w:val="168"/>
          <w:jc w:val="center"/>
        </w:trPr>
        <w:tc>
          <w:tcPr>
            <w:tcW w:w="1529" w:type="dxa"/>
            <w:gridSpan w:val="2"/>
            <w:tcBorders>
              <w:top w:val="nil"/>
              <w:left w:val="single" w:sz="8" w:space="0" w:color="auto"/>
              <w:bottom w:val="single" w:sz="4" w:space="0" w:color="auto"/>
              <w:right w:val="single" w:sz="4" w:space="0" w:color="auto"/>
            </w:tcBorders>
            <w:shd w:val="clear" w:color="000000" w:fill="969696"/>
            <w:hideMark/>
          </w:tcPr>
          <w:p w14:paraId="70DB8B1F" w14:textId="77777777" w:rsidR="00683F4A" w:rsidRPr="003B552F" w:rsidRDefault="00683F4A" w:rsidP="009657E1">
            <w:pPr>
              <w:spacing w:after="0"/>
              <w:jc w:val="left"/>
              <w:rPr>
                <w:rFonts w:ascii="Arial Narrow" w:eastAsia="Times New Roman" w:hAnsi="Arial Narrow"/>
                <w:b/>
                <w:bCs/>
                <w:sz w:val="20"/>
                <w:szCs w:val="20"/>
                <w:lang w:eastAsia="en-GB"/>
              </w:rPr>
            </w:pPr>
            <w:r w:rsidRPr="003B552F">
              <w:rPr>
                <w:rFonts w:ascii="Arial Narrow" w:eastAsia="Times New Roman" w:hAnsi="Arial Narrow"/>
                <w:b/>
                <w:bCs/>
                <w:sz w:val="20"/>
                <w:szCs w:val="20"/>
                <w:lang w:eastAsia="en-GB"/>
              </w:rPr>
              <w:t> </w:t>
            </w:r>
          </w:p>
        </w:tc>
        <w:tc>
          <w:tcPr>
            <w:tcW w:w="7883" w:type="dxa"/>
            <w:gridSpan w:val="5"/>
            <w:tcBorders>
              <w:top w:val="single" w:sz="8" w:space="0" w:color="auto"/>
              <w:left w:val="nil"/>
              <w:bottom w:val="single" w:sz="4" w:space="0" w:color="auto"/>
              <w:right w:val="single" w:sz="4" w:space="0" w:color="000000"/>
            </w:tcBorders>
            <w:shd w:val="clear" w:color="000000" w:fill="969696"/>
            <w:hideMark/>
          </w:tcPr>
          <w:p w14:paraId="31750F56" w14:textId="77777777" w:rsidR="00683F4A" w:rsidRPr="003B552F" w:rsidRDefault="00683F4A" w:rsidP="009657E1">
            <w:pPr>
              <w:spacing w:after="0"/>
              <w:jc w:val="left"/>
              <w:rPr>
                <w:rFonts w:ascii="Arial Narrow" w:eastAsia="Times New Roman" w:hAnsi="Arial Narrow"/>
                <w:b/>
                <w:bCs/>
                <w:sz w:val="20"/>
                <w:szCs w:val="20"/>
                <w:lang w:eastAsia="en-GB"/>
              </w:rPr>
            </w:pPr>
            <w:r w:rsidRPr="003B552F">
              <w:rPr>
                <w:rFonts w:ascii="Arial Narrow" w:eastAsia="Times New Roman" w:hAnsi="Arial Narrow"/>
                <w:b/>
                <w:bCs/>
                <w:sz w:val="20"/>
                <w:szCs w:val="20"/>
                <w:lang w:eastAsia="en-GB"/>
              </w:rPr>
              <w:t>TOTAL- OUTPUT 4.1.1</w:t>
            </w:r>
          </w:p>
        </w:tc>
        <w:tc>
          <w:tcPr>
            <w:tcW w:w="1230" w:type="dxa"/>
            <w:tcBorders>
              <w:top w:val="nil"/>
              <w:left w:val="nil"/>
              <w:bottom w:val="single" w:sz="4" w:space="0" w:color="auto"/>
              <w:right w:val="single" w:sz="4" w:space="0" w:color="auto"/>
            </w:tcBorders>
            <w:shd w:val="clear" w:color="000000" w:fill="969696"/>
            <w:hideMark/>
          </w:tcPr>
          <w:p w14:paraId="72DA1F72" w14:textId="77777777" w:rsidR="00683F4A" w:rsidRPr="003B552F" w:rsidRDefault="00683F4A" w:rsidP="009657E1">
            <w:pPr>
              <w:spacing w:after="0"/>
              <w:jc w:val="left"/>
              <w:rPr>
                <w:rFonts w:ascii="Arial Narrow" w:eastAsia="Times New Roman" w:hAnsi="Arial Narrow"/>
                <w:b/>
                <w:bCs/>
                <w:sz w:val="20"/>
                <w:szCs w:val="20"/>
                <w:lang w:eastAsia="en-GB"/>
              </w:rPr>
            </w:pPr>
            <w:r w:rsidRPr="003B552F">
              <w:rPr>
                <w:rFonts w:ascii="Arial Narrow" w:eastAsia="Times New Roman" w:hAnsi="Arial Narrow"/>
                <w:b/>
                <w:bCs/>
                <w:sz w:val="20"/>
                <w:szCs w:val="20"/>
                <w:lang w:eastAsia="en-GB"/>
              </w:rPr>
              <w:t> </w:t>
            </w:r>
          </w:p>
        </w:tc>
        <w:tc>
          <w:tcPr>
            <w:tcW w:w="953" w:type="dxa"/>
            <w:tcBorders>
              <w:top w:val="nil"/>
              <w:left w:val="nil"/>
              <w:bottom w:val="single" w:sz="4" w:space="0" w:color="auto"/>
              <w:right w:val="single" w:sz="4" w:space="0" w:color="auto"/>
            </w:tcBorders>
            <w:shd w:val="clear" w:color="000000" w:fill="969696"/>
            <w:hideMark/>
          </w:tcPr>
          <w:p w14:paraId="34F54403" w14:textId="77777777" w:rsidR="00683F4A" w:rsidRPr="003B552F" w:rsidRDefault="00683F4A" w:rsidP="009657E1">
            <w:pPr>
              <w:spacing w:after="0"/>
              <w:jc w:val="right"/>
              <w:rPr>
                <w:rFonts w:ascii="Arial Narrow" w:eastAsia="Times New Roman" w:hAnsi="Arial Narrow"/>
                <w:b/>
                <w:bCs/>
                <w:sz w:val="20"/>
                <w:szCs w:val="20"/>
                <w:lang w:eastAsia="en-GB"/>
              </w:rPr>
            </w:pPr>
            <w:r w:rsidRPr="003B552F">
              <w:rPr>
                <w:rFonts w:ascii="Arial Narrow" w:eastAsia="Times New Roman" w:hAnsi="Arial Narrow"/>
                <w:b/>
                <w:bCs/>
                <w:sz w:val="20"/>
                <w:szCs w:val="20"/>
                <w:lang w:eastAsia="en-GB"/>
              </w:rPr>
              <w:t xml:space="preserve">        1,570,502 </w:t>
            </w:r>
          </w:p>
        </w:tc>
        <w:tc>
          <w:tcPr>
            <w:tcW w:w="1037" w:type="dxa"/>
            <w:gridSpan w:val="3"/>
            <w:tcBorders>
              <w:top w:val="nil"/>
              <w:left w:val="nil"/>
              <w:bottom w:val="single" w:sz="4" w:space="0" w:color="auto"/>
              <w:right w:val="single" w:sz="4" w:space="0" w:color="auto"/>
            </w:tcBorders>
            <w:shd w:val="clear" w:color="000000" w:fill="969696"/>
            <w:hideMark/>
          </w:tcPr>
          <w:p w14:paraId="403EFAA3" w14:textId="77777777" w:rsidR="00683F4A" w:rsidRPr="003B552F" w:rsidRDefault="00683F4A" w:rsidP="009657E1">
            <w:pPr>
              <w:spacing w:after="0"/>
              <w:jc w:val="right"/>
              <w:rPr>
                <w:rFonts w:ascii="Arial Narrow" w:eastAsia="Times New Roman" w:hAnsi="Arial Narrow"/>
                <w:b/>
                <w:bCs/>
                <w:sz w:val="20"/>
                <w:szCs w:val="20"/>
                <w:lang w:eastAsia="en-GB"/>
              </w:rPr>
            </w:pPr>
            <w:r w:rsidRPr="003B552F">
              <w:rPr>
                <w:rFonts w:ascii="Arial Narrow" w:eastAsia="Times New Roman" w:hAnsi="Arial Narrow"/>
                <w:b/>
                <w:bCs/>
                <w:sz w:val="20"/>
                <w:szCs w:val="20"/>
                <w:lang w:eastAsia="en-GB"/>
              </w:rPr>
              <w:t xml:space="preserve">         1,820,000 </w:t>
            </w:r>
          </w:p>
        </w:tc>
        <w:tc>
          <w:tcPr>
            <w:tcW w:w="986" w:type="dxa"/>
            <w:tcBorders>
              <w:top w:val="nil"/>
              <w:left w:val="nil"/>
              <w:bottom w:val="single" w:sz="4" w:space="0" w:color="auto"/>
              <w:right w:val="single" w:sz="4" w:space="0" w:color="auto"/>
            </w:tcBorders>
            <w:shd w:val="clear" w:color="000000" w:fill="969696"/>
            <w:hideMark/>
          </w:tcPr>
          <w:p w14:paraId="4B2206FF" w14:textId="77777777" w:rsidR="00683F4A" w:rsidRPr="003B552F" w:rsidRDefault="00683F4A" w:rsidP="009657E1">
            <w:pPr>
              <w:spacing w:after="0"/>
              <w:jc w:val="right"/>
              <w:rPr>
                <w:rFonts w:ascii="Arial Narrow" w:eastAsia="Times New Roman" w:hAnsi="Arial Narrow"/>
                <w:b/>
                <w:bCs/>
                <w:sz w:val="20"/>
                <w:szCs w:val="20"/>
                <w:lang w:eastAsia="en-GB"/>
              </w:rPr>
            </w:pPr>
            <w:r w:rsidRPr="003B552F">
              <w:rPr>
                <w:rFonts w:ascii="Arial Narrow" w:eastAsia="Times New Roman" w:hAnsi="Arial Narrow"/>
                <w:b/>
                <w:bCs/>
                <w:sz w:val="20"/>
                <w:szCs w:val="20"/>
                <w:lang w:eastAsia="en-GB"/>
              </w:rPr>
              <w:t xml:space="preserve">        4,300,000 </w:t>
            </w:r>
          </w:p>
        </w:tc>
        <w:tc>
          <w:tcPr>
            <w:tcW w:w="1134" w:type="dxa"/>
            <w:tcBorders>
              <w:top w:val="nil"/>
              <w:left w:val="nil"/>
              <w:bottom w:val="single" w:sz="4" w:space="0" w:color="auto"/>
              <w:right w:val="single" w:sz="8" w:space="0" w:color="auto"/>
            </w:tcBorders>
            <w:shd w:val="clear" w:color="000000" w:fill="969696"/>
            <w:hideMark/>
          </w:tcPr>
          <w:p w14:paraId="73733EEC" w14:textId="77777777" w:rsidR="00683F4A" w:rsidRPr="003B552F" w:rsidRDefault="00683F4A" w:rsidP="009657E1">
            <w:pPr>
              <w:spacing w:after="0"/>
              <w:jc w:val="right"/>
              <w:rPr>
                <w:rFonts w:ascii="Arial Narrow" w:eastAsia="Times New Roman" w:hAnsi="Arial Narrow"/>
                <w:b/>
                <w:bCs/>
                <w:sz w:val="20"/>
                <w:szCs w:val="20"/>
                <w:lang w:eastAsia="en-GB"/>
              </w:rPr>
            </w:pPr>
            <w:r w:rsidRPr="003B552F">
              <w:rPr>
                <w:rFonts w:ascii="Arial Narrow" w:eastAsia="Times New Roman" w:hAnsi="Arial Narrow"/>
                <w:b/>
                <w:bCs/>
                <w:sz w:val="20"/>
                <w:szCs w:val="20"/>
                <w:lang w:eastAsia="en-GB"/>
              </w:rPr>
              <w:t xml:space="preserve">          7,690,502 </w:t>
            </w:r>
          </w:p>
        </w:tc>
      </w:tr>
    </w:tbl>
    <w:p w14:paraId="251D2802" w14:textId="77777777" w:rsidR="00683F4A" w:rsidRDefault="00683F4A" w:rsidP="00683F4A">
      <w:pPr>
        <w:rPr>
          <w:lang w:val="en-US"/>
        </w:rPr>
        <w:sectPr w:rsidR="00683F4A" w:rsidSect="00BF7CA6">
          <w:pgSz w:w="16838" w:h="11906" w:orient="landscape"/>
          <w:pgMar w:top="1134" w:right="1701" w:bottom="1134" w:left="1701" w:header="708" w:footer="708" w:gutter="0"/>
          <w:cols w:space="708"/>
          <w:docGrid w:linePitch="360"/>
        </w:sectPr>
      </w:pPr>
    </w:p>
    <w:p w14:paraId="6A94A533" w14:textId="77777777" w:rsidR="00683F4A" w:rsidRDefault="00683F4A" w:rsidP="00683F4A">
      <w:pPr>
        <w:rPr>
          <w:lang w:val="en-US"/>
        </w:rPr>
      </w:pPr>
    </w:p>
    <w:tbl>
      <w:tblPr>
        <w:tblW w:w="14752" w:type="dxa"/>
        <w:jc w:val="center"/>
        <w:tblLayout w:type="fixed"/>
        <w:tblLook w:val="04A0" w:firstRow="1" w:lastRow="0" w:firstColumn="1" w:lastColumn="0" w:noHBand="0" w:noVBand="1"/>
      </w:tblPr>
      <w:tblGrid>
        <w:gridCol w:w="1487"/>
        <w:gridCol w:w="42"/>
        <w:gridCol w:w="1191"/>
        <w:gridCol w:w="2003"/>
        <w:gridCol w:w="1271"/>
        <w:gridCol w:w="2217"/>
        <w:gridCol w:w="1201"/>
        <w:gridCol w:w="1230"/>
        <w:gridCol w:w="953"/>
        <w:gridCol w:w="39"/>
        <w:gridCol w:w="992"/>
        <w:gridCol w:w="6"/>
        <w:gridCol w:w="986"/>
        <w:gridCol w:w="1134"/>
      </w:tblGrid>
      <w:tr w:rsidR="00683F4A" w:rsidRPr="007D425D" w14:paraId="37522241" w14:textId="77777777" w:rsidTr="009657E1">
        <w:trPr>
          <w:trHeight w:val="168"/>
          <w:jc w:val="center"/>
        </w:trPr>
        <w:tc>
          <w:tcPr>
            <w:tcW w:w="1487" w:type="dxa"/>
            <w:vMerge w:val="restart"/>
            <w:tcBorders>
              <w:top w:val="single" w:sz="4" w:space="0" w:color="auto"/>
              <w:left w:val="single" w:sz="8" w:space="0" w:color="auto"/>
              <w:bottom w:val="single" w:sz="4" w:space="0" w:color="000000"/>
              <w:right w:val="single" w:sz="4" w:space="0" w:color="auto"/>
            </w:tcBorders>
            <w:shd w:val="clear" w:color="auto" w:fill="FBD4B4"/>
            <w:hideMark/>
          </w:tcPr>
          <w:p w14:paraId="63927283" w14:textId="77777777" w:rsidR="00683F4A" w:rsidRPr="003B552F" w:rsidRDefault="00683F4A" w:rsidP="009657E1">
            <w:pPr>
              <w:spacing w:after="0"/>
              <w:jc w:val="center"/>
              <w:rPr>
                <w:rFonts w:ascii="Arial Narrow" w:eastAsia="Times New Roman" w:hAnsi="Arial Narrow"/>
                <w:color w:val="000000"/>
                <w:sz w:val="20"/>
                <w:szCs w:val="20"/>
                <w:lang w:eastAsia="en-GB"/>
              </w:rPr>
            </w:pPr>
            <w:r w:rsidRPr="003B552F">
              <w:rPr>
                <w:rFonts w:ascii="Arial Narrow" w:eastAsia="Times New Roman" w:hAnsi="Arial Narrow"/>
                <w:color w:val="000000"/>
                <w:sz w:val="20"/>
                <w:szCs w:val="20"/>
                <w:lang w:eastAsia="en-GB"/>
              </w:rPr>
              <w:t> </w:t>
            </w:r>
          </w:p>
        </w:tc>
        <w:tc>
          <w:tcPr>
            <w:tcW w:w="1233" w:type="dxa"/>
            <w:gridSpan w:val="2"/>
            <w:vMerge w:val="restart"/>
            <w:tcBorders>
              <w:top w:val="single" w:sz="4" w:space="0" w:color="auto"/>
              <w:left w:val="single" w:sz="4" w:space="0" w:color="auto"/>
              <w:bottom w:val="single" w:sz="4" w:space="0" w:color="000000"/>
              <w:right w:val="single" w:sz="4" w:space="0" w:color="auto"/>
            </w:tcBorders>
            <w:shd w:val="clear" w:color="auto" w:fill="FBD4B4"/>
            <w:hideMark/>
          </w:tcPr>
          <w:p w14:paraId="043FF564" w14:textId="77777777" w:rsidR="00683F4A" w:rsidRPr="003B552F" w:rsidRDefault="00683F4A" w:rsidP="009657E1">
            <w:pPr>
              <w:spacing w:after="0"/>
              <w:jc w:val="center"/>
              <w:rPr>
                <w:rFonts w:ascii="Arial Narrow" w:eastAsia="Times New Roman" w:hAnsi="Arial Narrow"/>
                <w:b/>
                <w:bCs/>
                <w:sz w:val="20"/>
                <w:szCs w:val="20"/>
                <w:lang w:eastAsia="en-GB"/>
              </w:rPr>
            </w:pPr>
            <w:r w:rsidRPr="003B552F">
              <w:rPr>
                <w:rFonts w:ascii="Arial Narrow" w:eastAsia="Times New Roman" w:hAnsi="Arial Narrow"/>
                <w:b/>
                <w:bCs/>
                <w:sz w:val="20"/>
                <w:szCs w:val="20"/>
                <w:lang w:eastAsia="en-GB"/>
              </w:rPr>
              <w:t>UN Agency</w:t>
            </w:r>
          </w:p>
        </w:tc>
        <w:tc>
          <w:tcPr>
            <w:tcW w:w="2003" w:type="dxa"/>
            <w:vMerge w:val="restart"/>
            <w:tcBorders>
              <w:top w:val="single" w:sz="4" w:space="0" w:color="auto"/>
              <w:left w:val="single" w:sz="4" w:space="0" w:color="auto"/>
              <w:bottom w:val="single" w:sz="4" w:space="0" w:color="000000"/>
              <w:right w:val="single" w:sz="4" w:space="0" w:color="auto"/>
            </w:tcBorders>
            <w:shd w:val="clear" w:color="auto" w:fill="FBD4B4"/>
            <w:hideMark/>
          </w:tcPr>
          <w:p w14:paraId="24B5C317" w14:textId="77777777" w:rsidR="00683F4A" w:rsidRPr="003B552F" w:rsidRDefault="00683F4A" w:rsidP="009657E1">
            <w:pPr>
              <w:spacing w:after="0"/>
              <w:jc w:val="center"/>
              <w:rPr>
                <w:rFonts w:ascii="Arial Narrow" w:eastAsia="Times New Roman" w:hAnsi="Arial Narrow"/>
                <w:b/>
                <w:bCs/>
                <w:sz w:val="20"/>
                <w:szCs w:val="20"/>
                <w:lang w:eastAsia="en-GB"/>
              </w:rPr>
            </w:pPr>
            <w:r w:rsidRPr="003B552F">
              <w:rPr>
                <w:rFonts w:ascii="Arial Narrow" w:eastAsia="Times New Roman" w:hAnsi="Arial Narrow"/>
                <w:b/>
                <w:bCs/>
                <w:sz w:val="20"/>
                <w:szCs w:val="20"/>
                <w:lang w:eastAsia="en-GB"/>
              </w:rPr>
              <w:t>Indicators, Baseline and Targets</w:t>
            </w:r>
          </w:p>
        </w:tc>
        <w:tc>
          <w:tcPr>
            <w:tcW w:w="1271" w:type="dxa"/>
            <w:vMerge w:val="restart"/>
            <w:tcBorders>
              <w:top w:val="single" w:sz="4" w:space="0" w:color="auto"/>
              <w:left w:val="single" w:sz="4" w:space="0" w:color="auto"/>
              <w:bottom w:val="single" w:sz="4" w:space="0" w:color="000000"/>
              <w:right w:val="single" w:sz="4" w:space="0" w:color="auto"/>
            </w:tcBorders>
            <w:shd w:val="clear" w:color="auto" w:fill="FBD4B4"/>
            <w:hideMark/>
          </w:tcPr>
          <w:p w14:paraId="6C0A00F3" w14:textId="77777777" w:rsidR="00683F4A" w:rsidRPr="003B552F" w:rsidRDefault="00683F4A" w:rsidP="009657E1">
            <w:pPr>
              <w:spacing w:after="0"/>
              <w:jc w:val="center"/>
              <w:rPr>
                <w:rFonts w:ascii="Arial Narrow" w:eastAsia="Times New Roman" w:hAnsi="Arial Narrow"/>
                <w:b/>
                <w:bCs/>
                <w:sz w:val="20"/>
                <w:szCs w:val="20"/>
                <w:lang w:eastAsia="en-GB"/>
              </w:rPr>
            </w:pPr>
            <w:r w:rsidRPr="003B552F">
              <w:rPr>
                <w:rFonts w:ascii="Arial Narrow" w:eastAsia="Times New Roman" w:hAnsi="Arial Narrow"/>
                <w:b/>
                <w:bCs/>
                <w:sz w:val="20"/>
                <w:szCs w:val="20"/>
                <w:lang w:eastAsia="en-GB"/>
              </w:rPr>
              <w:t>Means of Verification</w:t>
            </w:r>
          </w:p>
        </w:tc>
        <w:tc>
          <w:tcPr>
            <w:tcW w:w="2217" w:type="dxa"/>
            <w:vMerge w:val="restart"/>
            <w:tcBorders>
              <w:top w:val="single" w:sz="4" w:space="0" w:color="auto"/>
              <w:left w:val="single" w:sz="4" w:space="0" w:color="auto"/>
              <w:bottom w:val="single" w:sz="4" w:space="0" w:color="000000"/>
              <w:right w:val="single" w:sz="4" w:space="0" w:color="auto"/>
            </w:tcBorders>
            <w:shd w:val="clear" w:color="auto" w:fill="FBD4B4"/>
            <w:hideMark/>
          </w:tcPr>
          <w:p w14:paraId="56D361F0" w14:textId="77777777" w:rsidR="00683F4A" w:rsidRPr="003B552F" w:rsidRDefault="00683F4A" w:rsidP="009657E1">
            <w:pPr>
              <w:spacing w:after="0"/>
              <w:jc w:val="center"/>
              <w:rPr>
                <w:rFonts w:ascii="Arial Narrow" w:eastAsia="Times New Roman" w:hAnsi="Arial Narrow"/>
                <w:b/>
                <w:bCs/>
                <w:sz w:val="20"/>
                <w:szCs w:val="20"/>
                <w:lang w:eastAsia="en-GB"/>
              </w:rPr>
            </w:pPr>
            <w:r w:rsidRPr="003B552F">
              <w:rPr>
                <w:rFonts w:ascii="Arial Narrow" w:eastAsia="Times New Roman" w:hAnsi="Arial Narrow"/>
                <w:b/>
                <w:bCs/>
                <w:sz w:val="20"/>
                <w:szCs w:val="20"/>
                <w:lang w:eastAsia="en-GB"/>
              </w:rPr>
              <w:t>Risk and assumptions</w:t>
            </w:r>
          </w:p>
        </w:tc>
        <w:tc>
          <w:tcPr>
            <w:tcW w:w="1201" w:type="dxa"/>
            <w:vMerge w:val="restart"/>
            <w:tcBorders>
              <w:top w:val="single" w:sz="4" w:space="0" w:color="auto"/>
              <w:left w:val="single" w:sz="4" w:space="0" w:color="auto"/>
              <w:bottom w:val="single" w:sz="4" w:space="0" w:color="000000"/>
              <w:right w:val="single" w:sz="4" w:space="0" w:color="auto"/>
            </w:tcBorders>
            <w:shd w:val="clear" w:color="auto" w:fill="FBD4B4"/>
            <w:hideMark/>
          </w:tcPr>
          <w:p w14:paraId="0661112D" w14:textId="77777777" w:rsidR="00683F4A" w:rsidRPr="003B552F" w:rsidRDefault="00683F4A" w:rsidP="009657E1">
            <w:pPr>
              <w:spacing w:after="0"/>
              <w:jc w:val="center"/>
              <w:rPr>
                <w:rFonts w:ascii="Arial Narrow" w:eastAsia="Times New Roman" w:hAnsi="Arial Narrow"/>
                <w:b/>
                <w:bCs/>
                <w:sz w:val="20"/>
                <w:szCs w:val="20"/>
                <w:lang w:eastAsia="en-GB"/>
              </w:rPr>
            </w:pPr>
            <w:r w:rsidRPr="003B552F">
              <w:rPr>
                <w:rFonts w:ascii="Arial Narrow" w:eastAsia="Times New Roman" w:hAnsi="Arial Narrow"/>
                <w:b/>
                <w:bCs/>
                <w:sz w:val="20"/>
                <w:szCs w:val="20"/>
                <w:lang w:eastAsia="en-GB"/>
              </w:rPr>
              <w:t>Key Partners</w:t>
            </w:r>
          </w:p>
        </w:tc>
        <w:tc>
          <w:tcPr>
            <w:tcW w:w="1230" w:type="dxa"/>
            <w:tcBorders>
              <w:top w:val="single" w:sz="4" w:space="0" w:color="auto"/>
              <w:left w:val="nil"/>
              <w:bottom w:val="nil"/>
              <w:right w:val="single" w:sz="4" w:space="0" w:color="auto"/>
            </w:tcBorders>
            <w:shd w:val="clear" w:color="auto" w:fill="FBD4B4"/>
            <w:hideMark/>
          </w:tcPr>
          <w:p w14:paraId="54DCAEC8" w14:textId="77777777" w:rsidR="00683F4A" w:rsidRPr="003B552F" w:rsidRDefault="00683F4A" w:rsidP="009657E1">
            <w:pPr>
              <w:spacing w:after="0"/>
              <w:jc w:val="center"/>
              <w:rPr>
                <w:rFonts w:ascii="Arial Narrow" w:eastAsia="Times New Roman" w:hAnsi="Arial Narrow"/>
                <w:b/>
                <w:bCs/>
                <w:sz w:val="20"/>
                <w:szCs w:val="20"/>
                <w:lang w:eastAsia="en-GB"/>
              </w:rPr>
            </w:pPr>
            <w:r w:rsidRPr="003B552F">
              <w:rPr>
                <w:rFonts w:ascii="Arial Narrow" w:eastAsia="Times New Roman" w:hAnsi="Arial Narrow"/>
                <w:b/>
                <w:bCs/>
                <w:sz w:val="20"/>
                <w:szCs w:val="20"/>
                <w:lang w:eastAsia="en-GB"/>
              </w:rPr>
              <w:t> </w:t>
            </w:r>
          </w:p>
        </w:tc>
        <w:tc>
          <w:tcPr>
            <w:tcW w:w="4110" w:type="dxa"/>
            <w:gridSpan w:val="6"/>
            <w:tcBorders>
              <w:top w:val="single" w:sz="4" w:space="0" w:color="auto"/>
              <w:left w:val="nil"/>
              <w:bottom w:val="single" w:sz="4" w:space="0" w:color="auto"/>
              <w:right w:val="single" w:sz="8" w:space="0" w:color="000000"/>
            </w:tcBorders>
            <w:shd w:val="clear" w:color="auto" w:fill="FBD4B4"/>
            <w:hideMark/>
          </w:tcPr>
          <w:p w14:paraId="312A1AC7" w14:textId="77777777" w:rsidR="00683F4A" w:rsidRPr="003B552F" w:rsidRDefault="00683F4A" w:rsidP="009657E1">
            <w:pPr>
              <w:spacing w:after="0"/>
              <w:jc w:val="center"/>
              <w:rPr>
                <w:rFonts w:ascii="Arial Narrow" w:eastAsia="Times New Roman" w:hAnsi="Arial Narrow"/>
                <w:b/>
                <w:bCs/>
                <w:sz w:val="20"/>
                <w:szCs w:val="20"/>
                <w:lang w:eastAsia="en-GB"/>
              </w:rPr>
            </w:pPr>
            <w:r w:rsidRPr="003B552F">
              <w:rPr>
                <w:rFonts w:ascii="Arial Narrow" w:eastAsia="Times New Roman" w:hAnsi="Arial Narrow"/>
                <w:b/>
                <w:bCs/>
                <w:sz w:val="20"/>
                <w:szCs w:val="20"/>
                <w:lang w:eastAsia="en-GB"/>
              </w:rPr>
              <w:t xml:space="preserve"> Indicative Resources (USD) </w:t>
            </w:r>
          </w:p>
        </w:tc>
      </w:tr>
      <w:tr w:rsidR="00683F4A" w:rsidRPr="007D425D" w14:paraId="48E83651" w14:textId="77777777" w:rsidTr="009657E1">
        <w:trPr>
          <w:trHeight w:val="356"/>
          <w:jc w:val="center"/>
        </w:trPr>
        <w:tc>
          <w:tcPr>
            <w:tcW w:w="1487" w:type="dxa"/>
            <w:vMerge/>
            <w:tcBorders>
              <w:top w:val="nil"/>
              <w:left w:val="single" w:sz="8" w:space="0" w:color="auto"/>
              <w:bottom w:val="single" w:sz="4" w:space="0" w:color="000000"/>
              <w:right w:val="single" w:sz="4" w:space="0" w:color="auto"/>
            </w:tcBorders>
            <w:shd w:val="clear" w:color="auto" w:fill="FBD4B4"/>
            <w:vAlign w:val="center"/>
            <w:hideMark/>
          </w:tcPr>
          <w:p w14:paraId="64F8E8E9" w14:textId="77777777" w:rsidR="00683F4A" w:rsidRPr="003B552F" w:rsidRDefault="00683F4A" w:rsidP="009657E1">
            <w:pPr>
              <w:spacing w:after="0"/>
              <w:jc w:val="left"/>
              <w:rPr>
                <w:rFonts w:ascii="Arial Narrow" w:eastAsia="Times New Roman" w:hAnsi="Arial Narrow"/>
                <w:sz w:val="20"/>
                <w:szCs w:val="20"/>
                <w:lang w:eastAsia="en-GB"/>
              </w:rPr>
            </w:pPr>
          </w:p>
        </w:tc>
        <w:tc>
          <w:tcPr>
            <w:tcW w:w="1233" w:type="dxa"/>
            <w:gridSpan w:val="2"/>
            <w:vMerge/>
            <w:tcBorders>
              <w:top w:val="nil"/>
              <w:left w:val="single" w:sz="4" w:space="0" w:color="auto"/>
              <w:bottom w:val="single" w:sz="4" w:space="0" w:color="000000"/>
              <w:right w:val="single" w:sz="4" w:space="0" w:color="auto"/>
            </w:tcBorders>
            <w:vAlign w:val="center"/>
            <w:hideMark/>
          </w:tcPr>
          <w:p w14:paraId="3C0C0F8E" w14:textId="77777777" w:rsidR="00683F4A" w:rsidRPr="003B552F" w:rsidRDefault="00683F4A" w:rsidP="009657E1">
            <w:pPr>
              <w:spacing w:after="0"/>
              <w:jc w:val="left"/>
              <w:rPr>
                <w:rFonts w:ascii="Arial Narrow" w:eastAsia="Times New Roman" w:hAnsi="Arial Narrow"/>
                <w:b/>
                <w:bCs/>
                <w:sz w:val="20"/>
                <w:szCs w:val="20"/>
                <w:lang w:eastAsia="en-GB"/>
              </w:rPr>
            </w:pPr>
          </w:p>
        </w:tc>
        <w:tc>
          <w:tcPr>
            <w:tcW w:w="2003" w:type="dxa"/>
            <w:vMerge/>
            <w:tcBorders>
              <w:top w:val="nil"/>
              <w:left w:val="single" w:sz="4" w:space="0" w:color="auto"/>
              <w:bottom w:val="single" w:sz="4" w:space="0" w:color="000000"/>
              <w:right w:val="single" w:sz="4" w:space="0" w:color="auto"/>
            </w:tcBorders>
            <w:vAlign w:val="center"/>
            <w:hideMark/>
          </w:tcPr>
          <w:p w14:paraId="35BD9D6B" w14:textId="77777777" w:rsidR="00683F4A" w:rsidRPr="003B552F" w:rsidRDefault="00683F4A" w:rsidP="009657E1">
            <w:pPr>
              <w:spacing w:after="0"/>
              <w:jc w:val="left"/>
              <w:rPr>
                <w:rFonts w:ascii="Arial Narrow" w:eastAsia="Times New Roman" w:hAnsi="Arial Narrow"/>
                <w:b/>
                <w:bCs/>
                <w:sz w:val="20"/>
                <w:szCs w:val="20"/>
                <w:lang w:eastAsia="en-GB"/>
              </w:rPr>
            </w:pPr>
          </w:p>
        </w:tc>
        <w:tc>
          <w:tcPr>
            <w:tcW w:w="1271" w:type="dxa"/>
            <w:vMerge/>
            <w:tcBorders>
              <w:top w:val="nil"/>
              <w:left w:val="single" w:sz="4" w:space="0" w:color="auto"/>
              <w:bottom w:val="single" w:sz="4" w:space="0" w:color="000000"/>
              <w:right w:val="single" w:sz="4" w:space="0" w:color="auto"/>
            </w:tcBorders>
            <w:vAlign w:val="center"/>
            <w:hideMark/>
          </w:tcPr>
          <w:p w14:paraId="464CDBC0" w14:textId="77777777" w:rsidR="00683F4A" w:rsidRPr="003B552F" w:rsidRDefault="00683F4A" w:rsidP="009657E1">
            <w:pPr>
              <w:spacing w:after="0"/>
              <w:jc w:val="left"/>
              <w:rPr>
                <w:rFonts w:ascii="Arial Narrow" w:eastAsia="Times New Roman" w:hAnsi="Arial Narrow"/>
                <w:b/>
                <w:bCs/>
                <w:sz w:val="20"/>
                <w:szCs w:val="20"/>
                <w:lang w:eastAsia="en-GB"/>
              </w:rPr>
            </w:pPr>
          </w:p>
        </w:tc>
        <w:tc>
          <w:tcPr>
            <w:tcW w:w="2217" w:type="dxa"/>
            <w:vMerge/>
            <w:tcBorders>
              <w:top w:val="nil"/>
              <w:left w:val="single" w:sz="4" w:space="0" w:color="auto"/>
              <w:bottom w:val="single" w:sz="4" w:space="0" w:color="000000"/>
              <w:right w:val="single" w:sz="4" w:space="0" w:color="auto"/>
            </w:tcBorders>
            <w:vAlign w:val="center"/>
            <w:hideMark/>
          </w:tcPr>
          <w:p w14:paraId="0D973257" w14:textId="77777777" w:rsidR="00683F4A" w:rsidRPr="003B552F" w:rsidRDefault="00683F4A" w:rsidP="009657E1">
            <w:pPr>
              <w:spacing w:after="0"/>
              <w:jc w:val="left"/>
              <w:rPr>
                <w:rFonts w:ascii="Arial Narrow" w:eastAsia="Times New Roman" w:hAnsi="Arial Narrow"/>
                <w:b/>
                <w:bCs/>
                <w:sz w:val="20"/>
                <w:szCs w:val="20"/>
                <w:lang w:eastAsia="en-GB"/>
              </w:rPr>
            </w:pPr>
          </w:p>
        </w:tc>
        <w:tc>
          <w:tcPr>
            <w:tcW w:w="1201" w:type="dxa"/>
            <w:vMerge/>
            <w:tcBorders>
              <w:top w:val="nil"/>
              <w:left w:val="single" w:sz="4" w:space="0" w:color="auto"/>
              <w:bottom w:val="single" w:sz="4" w:space="0" w:color="000000"/>
              <w:right w:val="single" w:sz="4" w:space="0" w:color="auto"/>
            </w:tcBorders>
            <w:vAlign w:val="center"/>
            <w:hideMark/>
          </w:tcPr>
          <w:p w14:paraId="7C72E20F" w14:textId="77777777" w:rsidR="00683F4A" w:rsidRPr="003B552F" w:rsidRDefault="00683F4A" w:rsidP="009657E1">
            <w:pPr>
              <w:spacing w:after="0"/>
              <w:jc w:val="left"/>
              <w:rPr>
                <w:rFonts w:ascii="Arial Narrow" w:eastAsia="Times New Roman" w:hAnsi="Arial Narrow"/>
                <w:b/>
                <w:bCs/>
                <w:sz w:val="20"/>
                <w:szCs w:val="20"/>
                <w:lang w:eastAsia="en-GB"/>
              </w:rPr>
            </w:pPr>
          </w:p>
        </w:tc>
        <w:tc>
          <w:tcPr>
            <w:tcW w:w="1230" w:type="dxa"/>
            <w:tcBorders>
              <w:top w:val="single" w:sz="4" w:space="0" w:color="auto"/>
              <w:left w:val="nil"/>
              <w:bottom w:val="single" w:sz="4" w:space="0" w:color="auto"/>
              <w:right w:val="single" w:sz="4" w:space="0" w:color="auto"/>
            </w:tcBorders>
            <w:shd w:val="clear" w:color="auto" w:fill="FBD4B4"/>
            <w:hideMark/>
          </w:tcPr>
          <w:p w14:paraId="5E574AF7" w14:textId="77777777" w:rsidR="00683F4A" w:rsidRPr="003B552F" w:rsidRDefault="00683F4A" w:rsidP="009657E1">
            <w:pPr>
              <w:spacing w:after="0"/>
              <w:jc w:val="center"/>
              <w:rPr>
                <w:rFonts w:ascii="Arial Narrow" w:eastAsia="Times New Roman" w:hAnsi="Arial Narrow"/>
                <w:b/>
                <w:bCs/>
                <w:sz w:val="20"/>
                <w:szCs w:val="20"/>
                <w:lang w:eastAsia="en-GB"/>
              </w:rPr>
            </w:pPr>
            <w:r w:rsidRPr="003B552F">
              <w:rPr>
                <w:rFonts w:ascii="Arial Narrow" w:eastAsia="Times New Roman" w:hAnsi="Arial Narrow"/>
                <w:b/>
                <w:bCs/>
                <w:sz w:val="20"/>
                <w:szCs w:val="20"/>
                <w:lang w:eastAsia="en-GB"/>
              </w:rPr>
              <w:t>Agency</w:t>
            </w:r>
          </w:p>
        </w:tc>
        <w:tc>
          <w:tcPr>
            <w:tcW w:w="992" w:type="dxa"/>
            <w:gridSpan w:val="2"/>
            <w:tcBorders>
              <w:top w:val="nil"/>
              <w:left w:val="nil"/>
              <w:bottom w:val="single" w:sz="4" w:space="0" w:color="auto"/>
              <w:right w:val="single" w:sz="4" w:space="0" w:color="auto"/>
            </w:tcBorders>
            <w:shd w:val="clear" w:color="auto" w:fill="FBD4B4"/>
            <w:hideMark/>
          </w:tcPr>
          <w:p w14:paraId="55E3C6C3" w14:textId="77777777" w:rsidR="00683F4A" w:rsidRPr="003B552F" w:rsidRDefault="00683F4A" w:rsidP="009657E1">
            <w:pPr>
              <w:spacing w:after="0"/>
              <w:jc w:val="center"/>
              <w:rPr>
                <w:rFonts w:ascii="Arial Narrow" w:eastAsia="Times New Roman" w:hAnsi="Arial Narrow"/>
                <w:b/>
                <w:bCs/>
                <w:sz w:val="20"/>
                <w:szCs w:val="20"/>
                <w:lang w:eastAsia="en-GB"/>
              </w:rPr>
            </w:pPr>
            <w:r w:rsidRPr="003B552F">
              <w:rPr>
                <w:rFonts w:ascii="Arial Narrow" w:eastAsia="Times New Roman" w:hAnsi="Arial Narrow"/>
                <w:b/>
                <w:bCs/>
                <w:sz w:val="20"/>
                <w:szCs w:val="20"/>
                <w:lang w:eastAsia="en-GB"/>
              </w:rPr>
              <w:t xml:space="preserve"> Core </w:t>
            </w:r>
          </w:p>
        </w:tc>
        <w:tc>
          <w:tcPr>
            <w:tcW w:w="992" w:type="dxa"/>
            <w:tcBorders>
              <w:top w:val="nil"/>
              <w:left w:val="nil"/>
              <w:bottom w:val="single" w:sz="4" w:space="0" w:color="auto"/>
              <w:right w:val="single" w:sz="4" w:space="0" w:color="auto"/>
            </w:tcBorders>
            <w:shd w:val="clear" w:color="auto" w:fill="FBD4B4"/>
            <w:hideMark/>
          </w:tcPr>
          <w:p w14:paraId="1E4D094C" w14:textId="77777777" w:rsidR="00683F4A" w:rsidRPr="003B552F" w:rsidRDefault="00683F4A" w:rsidP="009657E1">
            <w:pPr>
              <w:spacing w:after="0"/>
              <w:jc w:val="center"/>
              <w:rPr>
                <w:rFonts w:ascii="Arial Narrow" w:eastAsia="Times New Roman" w:hAnsi="Arial Narrow"/>
                <w:b/>
                <w:bCs/>
                <w:sz w:val="20"/>
                <w:szCs w:val="20"/>
                <w:lang w:eastAsia="en-GB"/>
              </w:rPr>
            </w:pPr>
            <w:r w:rsidRPr="003B552F">
              <w:rPr>
                <w:rFonts w:ascii="Arial Narrow" w:eastAsia="Times New Roman" w:hAnsi="Arial Narrow"/>
                <w:b/>
                <w:bCs/>
                <w:sz w:val="20"/>
                <w:szCs w:val="20"/>
                <w:lang w:eastAsia="en-GB"/>
              </w:rPr>
              <w:t xml:space="preserve"> Non-Core </w:t>
            </w:r>
          </w:p>
        </w:tc>
        <w:tc>
          <w:tcPr>
            <w:tcW w:w="992" w:type="dxa"/>
            <w:gridSpan w:val="2"/>
            <w:tcBorders>
              <w:top w:val="nil"/>
              <w:left w:val="nil"/>
              <w:bottom w:val="single" w:sz="4" w:space="0" w:color="auto"/>
              <w:right w:val="single" w:sz="4" w:space="0" w:color="auto"/>
            </w:tcBorders>
            <w:shd w:val="clear" w:color="auto" w:fill="FBD4B4"/>
            <w:hideMark/>
          </w:tcPr>
          <w:p w14:paraId="0C6A7604" w14:textId="77777777" w:rsidR="00683F4A" w:rsidRPr="003B552F" w:rsidRDefault="00683F4A" w:rsidP="009657E1">
            <w:pPr>
              <w:spacing w:after="0"/>
              <w:jc w:val="center"/>
              <w:rPr>
                <w:rFonts w:ascii="Arial Narrow" w:eastAsia="Times New Roman" w:hAnsi="Arial Narrow"/>
                <w:b/>
                <w:bCs/>
                <w:sz w:val="20"/>
                <w:szCs w:val="20"/>
                <w:lang w:eastAsia="en-GB"/>
              </w:rPr>
            </w:pPr>
            <w:r w:rsidRPr="003B552F">
              <w:rPr>
                <w:rFonts w:ascii="Arial Narrow" w:eastAsia="Times New Roman" w:hAnsi="Arial Narrow"/>
                <w:b/>
                <w:bCs/>
                <w:sz w:val="20"/>
                <w:szCs w:val="20"/>
                <w:lang w:eastAsia="en-GB"/>
              </w:rPr>
              <w:t xml:space="preserve"> Gap </w:t>
            </w:r>
          </w:p>
        </w:tc>
        <w:tc>
          <w:tcPr>
            <w:tcW w:w="1134" w:type="dxa"/>
            <w:tcBorders>
              <w:top w:val="nil"/>
              <w:left w:val="nil"/>
              <w:bottom w:val="single" w:sz="4" w:space="0" w:color="auto"/>
              <w:right w:val="single" w:sz="8" w:space="0" w:color="auto"/>
            </w:tcBorders>
            <w:shd w:val="clear" w:color="auto" w:fill="FBD4B4"/>
            <w:hideMark/>
          </w:tcPr>
          <w:p w14:paraId="6B3E1CEA" w14:textId="77777777" w:rsidR="00683F4A" w:rsidRPr="003B552F" w:rsidRDefault="00683F4A" w:rsidP="009657E1">
            <w:pPr>
              <w:spacing w:after="0"/>
              <w:jc w:val="center"/>
              <w:rPr>
                <w:rFonts w:ascii="Arial Narrow" w:eastAsia="Times New Roman" w:hAnsi="Arial Narrow"/>
                <w:b/>
                <w:bCs/>
                <w:sz w:val="20"/>
                <w:szCs w:val="20"/>
                <w:lang w:eastAsia="en-GB"/>
              </w:rPr>
            </w:pPr>
            <w:r w:rsidRPr="003B552F">
              <w:rPr>
                <w:rFonts w:ascii="Arial Narrow" w:eastAsia="Times New Roman" w:hAnsi="Arial Narrow"/>
                <w:b/>
                <w:bCs/>
                <w:sz w:val="20"/>
                <w:szCs w:val="20"/>
                <w:lang w:eastAsia="en-GB"/>
              </w:rPr>
              <w:t xml:space="preserve"> Total </w:t>
            </w:r>
          </w:p>
        </w:tc>
      </w:tr>
      <w:tr w:rsidR="00683F4A" w:rsidRPr="00F72B0D" w14:paraId="35A7849D" w14:textId="77777777" w:rsidTr="009657E1">
        <w:trPr>
          <w:trHeight w:val="1576"/>
          <w:jc w:val="center"/>
        </w:trPr>
        <w:tc>
          <w:tcPr>
            <w:tcW w:w="1529" w:type="dxa"/>
            <w:gridSpan w:val="2"/>
            <w:vMerge w:val="restart"/>
            <w:tcBorders>
              <w:top w:val="nil"/>
              <w:left w:val="single" w:sz="8" w:space="0" w:color="auto"/>
              <w:bottom w:val="single" w:sz="4" w:space="0" w:color="auto"/>
              <w:right w:val="single" w:sz="4" w:space="0" w:color="auto"/>
            </w:tcBorders>
            <w:shd w:val="clear" w:color="auto" w:fill="auto"/>
            <w:hideMark/>
          </w:tcPr>
          <w:p w14:paraId="0F789E44" w14:textId="73969769" w:rsidR="00683F4A" w:rsidRPr="00CD56B9" w:rsidRDefault="00683F4A" w:rsidP="009657E1">
            <w:pPr>
              <w:spacing w:after="0"/>
              <w:jc w:val="left"/>
              <w:rPr>
                <w:rFonts w:ascii="Arial Narrow" w:eastAsia="Times New Roman" w:hAnsi="Arial Narrow"/>
                <w:b/>
                <w:bCs/>
                <w:sz w:val="20"/>
                <w:szCs w:val="20"/>
                <w:lang w:val="en-US" w:eastAsia="en-GB"/>
              </w:rPr>
            </w:pPr>
            <w:r w:rsidRPr="00CD56B9">
              <w:rPr>
                <w:rFonts w:ascii="Arial Narrow" w:eastAsia="Times New Roman" w:hAnsi="Arial Narrow"/>
                <w:b/>
                <w:bCs/>
                <w:sz w:val="20"/>
                <w:szCs w:val="20"/>
                <w:lang w:val="en-US" w:eastAsia="en-GB"/>
              </w:rPr>
              <w:t xml:space="preserve">Output 4.1.2 Strategic plans for five democratic accountability and justice institutions  developed and </w:t>
            </w:r>
            <w:r w:rsidR="003F4020" w:rsidRPr="00CD56B9">
              <w:rPr>
                <w:rFonts w:ascii="Arial Narrow" w:eastAsia="Times New Roman" w:hAnsi="Arial Narrow"/>
                <w:b/>
                <w:bCs/>
                <w:sz w:val="20"/>
                <w:szCs w:val="20"/>
                <w:lang w:val="en-US" w:eastAsia="en-GB"/>
              </w:rPr>
              <w:t>implemented that</w:t>
            </w:r>
            <w:r w:rsidRPr="00CD56B9">
              <w:rPr>
                <w:rFonts w:ascii="Arial Narrow" w:eastAsia="Times New Roman" w:hAnsi="Arial Narrow"/>
                <w:b/>
                <w:bCs/>
                <w:sz w:val="20"/>
                <w:szCs w:val="20"/>
                <w:lang w:val="en-US" w:eastAsia="en-GB"/>
              </w:rPr>
              <w:t xml:space="preserve"> promote and protect human rights, participatory democracy and access to justice for all especially the vulnerable, women and children</w:t>
            </w:r>
          </w:p>
        </w:tc>
        <w:tc>
          <w:tcPr>
            <w:tcW w:w="1191" w:type="dxa"/>
            <w:vMerge w:val="restart"/>
            <w:tcBorders>
              <w:top w:val="nil"/>
              <w:left w:val="single" w:sz="4" w:space="0" w:color="auto"/>
              <w:bottom w:val="nil"/>
              <w:right w:val="single" w:sz="4" w:space="0" w:color="auto"/>
            </w:tcBorders>
            <w:shd w:val="clear" w:color="auto" w:fill="auto"/>
            <w:hideMark/>
          </w:tcPr>
          <w:p w14:paraId="215C4C34" w14:textId="77777777" w:rsidR="00683F4A" w:rsidRPr="003B552F" w:rsidRDefault="00683F4A" w:rsidP="009657E1">
            <w:pPr>
              <w:spacing w:after="0"/>
              <w:jc w:val="left"/>
              <w:rPr>
                <w:rFonts w:ascii="Arial Narrow" w:eastAsia="Times New Roman" w:hAnsi="Arial Narrow"/>
                <w:sz w:val="20"/>
                <w:szCs w:val="20"/>
                <w:lang w:eastAsia="en-GB"/>
              </w:rPr>
            </w:pPr>
            <w:r w:rsidRPr="003B552F">
              <w:rPr>
                <w:rFonts w:ascii="Arial Narrow" w:eastAsia="Times New Roman" w:hAnsi="Arial Narrow"/>
                <w:sz w:val="20"/>
                <w:szCs w:val="20"/>
                <w:lang w:eastAsia="en-GB"/>
              </w:rPr>
              <w:t>UNDP</w:t>
            </w:r>
            <w:r w:rsidRPr="003B552F">
              <w:rPr>
                <w:rFonts w:ascii="Arial Narrow" w:eastAsia="Times New Roman" w:hAnsi="Arial Narrow"/>
                <w:sz w:val="20"/>
                <w:szCs w:val="20"/>
                <w:lang w:eastAsia="en-GB"/>
              </w:rPr>
              <w:br/>
              <w:t>UNICEF</w:t>
            </w:r>
            <w:r w:rsidRPr="003B552F">
              <w:rPr>
                <w:rFonts w:ascii="Arial Narrow" w:eastAsia="Times New Roman" w:hAnsi="Arial Narrow"/>
                <w:sz w:val="20"/>
                <w:szCs w:val="20"/>
                <w:lang w:eastAsia="en-GB"/>
              </w:rPr>
              <w:br/>
              <w:t>UNFPA</w:t>
            </w:r>
          </w:p>
        </w:tc>
        <w:tc>
          <w:tcPr>
            <w:tcW w:w="2003" w:type="dxa"/>
            <w:tcBorders>
              <w:top w:val="nil"/>
              <w:left w:val="nil"/>
              <w:bottom w:val="single" w:sz="4" w:space="0" w:color="auto"/>
              <w:right w:val="single" w:sz="4" w:space="0" w:color="auto"/>
            </w:tcBorders>
            <w:shd w:val="clear" w:color="auto" w:fill="auto"/>
            <w:hideMark/>
          </w:tcPr>
          <w:p w14:paraId="6CE434E3" w14:textId="733B9911" w:rsidR="00683F4A" w:rsidRPr="00CD56B9" w:rsidRDefault="00683F4A" w:rsidP="009657E1">
            <w:pPr>
              <w:spacing w:after="0"/>
              <w:jc w:val="left"/>
              <w:rPr>
                <w:rFonts w:ascii="Arial Narrow" w:eastAsia="Times New Roman" w:hAnsi="Arial Narrow"/>
                <w:sz w:val="20"/>
                <w:szCs w:val="20"/>
                <w:lang w:val="en-US" w:eastAsia="en-GB"/>
              </w:rPr>
            </w:pPr>
            <w:r w:rsidRPr="00CD56B9">
              <w:rPr>
                <w:rFonts w:ascii="Arial Narrow" w:eastAsia="Times New Roman" w:hAnsi="Arial Narrow"/>
                <w:sz w:val="20"/>
                <w:szCs w:val="20"/>
                <w:lang w:val="en-US" w:eastAsia="en-GB"/>
              </w:rPr>
              <w:t>Number of criminal cases that stayed open more than 2 years (2010: 49.5</w:t>
            </w:r>
            <w:r w:rsidR="003F4020" w:rsidRPr="00CD56B9">
              <w:rPr>
                <w:rFonts w:ascii="Arial Narrow" w:eastAsia="Times New Roman" w:hAnsi="Arial Narrow"/>
                <w:sz w:val="20"/>
                <w:szCs w:val="20"/>
                <w:lang w:val="en-US" w:eastAsia="en-GB"/>
              </w:rPr>
              <w:t>%;</w:t>
            </w:r>
            <w:r w:rsidRPr="00CD56B9">
              <w:rPr>
                <w:rFonts w:ascii="Arial Narrow" w:eastAsia="Times New Roman" w:hAnsi="Arial Narrow"/>
                <w:sz w:val="20"/>
                <w:szCs w:val="20"/>
                <w:lang w:val="en-US" w:eastAsia="en-GB"/>
              </w:rPr>
              <w:t xml:space="preserve"> 2016: 20%)</w:t>
            </w:r>
            <w:r w:rsidRPr="00CD56B9">
              <w:rPr>
                <w:rFonts w:ascii="Arial Narrow" w:eastAsia="Times New Roman" w:hAnsi="Arial Narrow"/>
                <w:sz w:val="20"/>
                <w:szCs w:val="20"/>
                <w:lang w:val="en-US" w:eastAsia="en-GB"/>
              </w:rPr>
              <w:br/>
            </w:r>
            <w:r w:rsidRPr="00CD56B9">
              <w:rPr>
                <w:rFonts w:ascii="Arial Narrow" w:eastAsia="Times New Roman" w:hAnsi="Arial Narrow"/>
                <w:sz w:val="20"/>
                <w:szCs w:val="20"/>
                <w:lang w:val="en-US" w:eastAsia="en-GB"/>
              </w:rPr>
              <w:br/>
              <w:t xml:space="preserve"> </w:t>
            </w:r>
          </w:p>
        </w:tc>
        <w:tc>
          <w:tcPr>
            <w:tcW w:w="1271" w:type="dxa"/>
            <w:tcBorders>
              <w:top w:val="nil"/>
              <w:left w:val="nil"/>
              <w:bottom w:val="single" w:sz="4" w:space="0" w:color="auto"/>
              <w:right w:val="single" w:sz="4" w:space="0" w:color="auto"/>
            </w:tcBorders>
            <w:shd w:val="clear" w:color="auto" w:fill="auto"/>
            <w:hideMark/>
          </w:tcPr>
          <w:p w14:paraId="09CDEC0B" w14:textId="77777777" w:rsidR="00683F4A" w:rsidRPr="003B552F" w:rsidRDefault="00683F4A" w:rsidP="009657E1">
            <w:pPr>
              <w:spacing w:after="0"/>
              <w:jc w:val="left"/>
              <w:rPr>
                <w:rFonts w:ascii="Arial Narrow" w:eastAsia="Times New Roman" w:hAnsi="Arial Narrow"/>
                <w:sz w:val="20"/>
                <w:szCs w:val="20"/>
                <w:lang w:eastAsia="en-GB"/>
              </w:rPr>
            </w:pPr>
            <w:r w:rsidRPr="003B552F">
              <w:rPr>
                <w:rFonts w:ascii="Arial Narrow" w:eastAsia="Times New Roman" w:hAnsi="Arial Narrow"/>
                <w:sz w:val="20"/>
                <w:szCs w:val="20"/>
                <w:lang w:eastAsia="en-GB"/>
              </w:rPr>
              <w:t>Democratic Governance Baseline Survey 2010</w:t>
            </w:r>
          </w:p>
        </w:tc>
        <w:tc>
          <w:tcPr>
            <w:tcW w:w="2217" w:type="dxa"/>
            <w:tcBorders>
              <w:top w:val="nil"/>
              <w:left w:val="nil"/>
              <w:bottom w:val="single" w:sz="4" w:space="0" w:color="auto"/>
              <w:right w:val="single" w:sz="4" w:space="0" w:color="auto"/>
            </w:tcBorders>
            <w:shd w:val="clear" w:color="auto" w:fill="auto"/>
            <w:hideMark/>
          </w:tcPr>
          <w:p w14:paraId="3BE513F9" w14:textId="5F159A50" w:rsidR="00683F4A" w:rsidRPr="00CD56B9" w:rsidRDefault="00683F4A" w:rsidP="009657E1">
            <w:pPr>
              <w:spacing w:after="0"/>
              <w:jc w:val="left"/>
              <w:rPr>
                <w:rFonts w:ascii="Arial Narrow" w:eastAsia="Times New Roman" w:hAnsi="Arial Narrow"/>
                <w:sz w:val="20"/>
                <w:szCs w:val="20"/>
                <w:lang w:val="en-US" w:eastAsia="en-GB"/>
              </w:rPr>
            </w:pPr>
            <w:r w:rsidRPr="00CD56B9">
              <w:rPr>
                <w:rFonts w:ascii="Arial Narrow" w:eastAsia="Times New Roman" w:hAnsi="Arial Narrow"/>
                <w:b/>
                <w:bCs/>
                <w:sz w:val="20"/>
                <w:szCs w:val="20"/>
                <w:lang w:val="en-US" w:eastAsia="en-GB"/>
              </w:rPr>
              <w:t>Assumptions:</w:t>
            </w:r>
            <w:r w:rsidRPr="00CD56B9">
              <w:rPr>
                <w:rFonts w:ascii="Arial Narrow" w:eastAsia="Times New Roman" w:hAnsi="Arial Narrow"/>
                <w:sz w:val="20"/>
                <w:szCs w:val="20"/>
                <w:lang w:val="en-US" w:eastAsia="en-GB"/>
              </w:rPr>
              <w:t xml:space="preserve"> DP support; capacity of the coordinating institutions; MGDS II endorsed and linked to  sector priorities; Sector strategic plan </w:t>
            </w:r>
            <w:r w:rsidR="003F4020" w:rsidRPr="00CD56B9">
              <w:rPr>
                <w:rFonts w:ascii="Arial Narrow" w:eastAsia="Times New Roman" w:hAnsi="Arial Narrow"/>
                <w:sz w:val="20"/>
                <w:szCs w:val="20"/>
                <w:lang w:val="en-US" w:eastAsia="en-GB"/>
              </w:rPr>
              <w:t>finalized</w:t>
            </w:r>
            <w:r w:rsidRPr="00CD56B9">
              <w:rPr>
                <w:rFonts w:ascii="Arial Narrow" w:eastAsia="Times New Roman" w:hAnsi="Arial Narrow"/>
                <w:sz w:val="20"/>
                <w:szCs w:val="20"/>
                <w:lang w:val="en-US" w:eastAsia="en-GB"/>
              </w:rPr>
              <w:t xml:space="preserve"> by June 2012 </w:t>
            </w:r>
            <w:r w:rsidRPr="00CD56B9">
              <w:rPr>
                <w:rFonts w:ascii="Arial Narrow" w:eastAsia="Times New Roman" w:hAnsi="Arial Narrow"/>
                <w:sz w:val="20"/>
                <w:szCs w:val="20"/>
                <w:lang w:val="en-US" w:eastAsia="en-GB"/>
              </w:rPr>
              <w:br/>
            </w:r>
            <w:r w:rsidRPr="00CD56B9">
              <w:rPr>
                <w:rFonts w:ascii="Arial Narrow" w:eastAsia="Times New Roman" w:hAnsi="Arial Narrow"/>
                <w:b/>
                <w:bCs/>
                <w:sz w:val="20"/>
                <w:szCs w:val="20"/>
                <w:lang w:val="en-US" w:eastAsia="en-GB"/>
              </w:rPr>
              <w:t>Risks:</w:t>
            </w:r>
            <w:r w:rsidRPr="00CD56B9">
              <w:rPr>
                <w:rFonts w:ascii="Arial Narrow" w:eastAsia="Times New Roman" w:hAnsi="Arial Narrow"/>
                <w:sz w:val="20"/>
                <w:szCs w:val="20"/>
                <w:lang w:val="en-US" w:eastAsia="en-GB"/>
              </w:rPr>
              <w:t xml:space="preserve"> Implementing Partners capacity; uncoordinated DP' interventions; sector budget unrealistic; low </w:t>
            </w:r>
            <w:r w:rsidR="003F4020" w:rsidRPr="00CD56B9">
              <w:rPr>
                <w:rFonts w:ascii="Arial Narrow" w:eastAsia="Times New Roman" w:hAnsi="Arial Narrow"/>
                <w:sz w:val="20"/>
                <w:szCs w:val="20"/>
                <w:lang w:val="en-US" w:eastAsia="en-GB"/>
              </w:rPr>
              <w:t>commitment</w:t>
            </w:r>
            <w:r w:rsidRPr="00CD56B9">
              <w:rPr>
                <w:rFonts w:ascii="Arial Narrow" w:eastAsia="Times New Roman" w:hAnsi="Arial Narrow"/>
                <w:sz w:val="20"/>
                <w:szCs w:val="20"/>
                <w:lang w:val="en-US" w:eastAsia="en-GB"/>
              </w:rPr>
              <w:t xml:space="preserve"> from DP's to sector budget in 2012/2013  </w:t>
            </w:r>
          </w:p>
        </w:tc>
        <w:tc>
          <w:tcPr>
            <w:tcW w:w="1201" w:type="dxa"/>
            <w:vMerge w:val="restart"/>
            <w:tcBorders>
              <w:top w:val="nil"/>
              <w:left w:val="single" w:sz="4" w:space="0" w:color="auto"/>
              <w:bottom w:val="nil"/>
              <w:right w:val="single" w:sz="4" w:space="0" w:color="auto"/>
            </w:tcBorders>
            <w:shd w:val="clear" w:color="auto" w:fill="auto"/>
            <w:hideMark/>
          </w:tcPr>
          <w:p w14:paraId="5E3C1737" w14:textId="5ACDCCDF" w:rsidR="00683F4A" w:rsidRPr="00CD56B9" w:rsidRDefault="00683F4A" w:rsidP="009657E1">
            <w:pPr>
              <w:spacing w:after="0"/>
              <w:jc w:val="left"/>
              <w:rPr>
                <w:rFonts w:ascii="Arial Narrow" w:eastAsia="Times New Roman" w:hAnsi="Arial Narrow"/>
                <w:sz w:val="20"/>
                <w:szCs w:val="20"/>
                <w:lang w:val="en-US" w:eastAsia="en-GB"/>
              </w:rPr>
            </w:pPr>
            <w:r w:rsidRPr="00CD56B9">
              <w:rPr>
                <w:rFonts w:ascii="Arial Narrow" w:eastAsia="Times New Roman" w:hAnsi="Arial Narrow"/>
                <w:sz w:val="20"/>
                <w:szCs w:val="20"/>
                <w:lang w:val="en-US" w:eastAsia="en-GB"/>
              </w:rPr>
              <w:t>MODPC Malawi Prisons, Law Commission</w:t>
            </w:r>
            <w:r w:rsidRPr="00CD56B9">
              <w:rPr>
                <w:rFonts w:ascii="Arial Narrow" w:eastAsia="Times New Roman" w:hAnsi="Arial Narrow"/>
                <w:sz w:val="20"/>
                <w:szCs w:val="20"/>
                <w:lang w:val="en-US" w:eastAsia="en-GB"/>
              </w:rPr>
              <w:br/>
              <w:t>Judiciary</w:t>
            </w:r>
            <w:r w:rsidRPr="00CD56B9">
              <w:rPr>
                <w:rFonts w:ascii="Arial Narrow" w:eastAsia="Times New Roman" w:hAnsi="Arial Narrow"/>
                <w:sz w:val="20"/>
                <w:szCs w:val="20"/>
                <w:lang w:val="en-US" w:eastAsia="en-GB"/>
              </w:rPr>
              <w:br/>
              <w:t>Parliaments</w:t>
            </w:r>
            <w:r w:rsidRPr="00CD56B9">
              <w:rPr>
                <w:rFonts w:ascii="Arial Narrow" w:eastAsia="Times New Roman" w:hAnsi="Arial Narrow"/>
                <w:sz w:val="20"/>
                <w:szCs w:val="20"/>
                <w:lang w:val="en-US" w:eastAsia="en-GB"/>
              </w:rPr>
              <w:br/>
              <w:t>ACB</w:t>
            </w:r>
            <w:r w:rsidRPr="00CD56B9">
              <w:rPr>
                <w:rFonts w:ascii="Arial Narrow" w:eastAsia="Times New Roman" w:hAnsi="Arial Narrow"/>
                <w:sz w:val="20"/>
                <w:szCs w:val="20"/>
                <w:lang w:val="en-US" w:eastAsia="en-GB"/>
              </w:rPr>
              <w:br/>
              <w:t>Human Rights Commission</w:t>
            </w:r>
            <w:r w:rsidRPr="00CD56B9">
              <w:rPr>
                <w:rFonts w:ascii="Arial Narrow" w:eastAsia="Times New Roman" w:hAnsi="Arial Narrow"/>
                <w:sz w:val="20"/>
                <w:szCs w:val="20"/>
                <w:lang w:val="en-US" w:eastAsia="en-GB"/>
              </w:rPr>
              <w:br/>
              <w:t>MOJ, Ombudsman</w:t>
            </w:r>
            <w:r w:rsidRPr="00CD56B9">
              <w:rPr>
                <w:rFonts w:ascii="Arial Narrow" w:eastAsia="Times New Roman" w:hAnsi="Arial Narrow"/>
                <w:sz w:val="20"/>
                <w:szCs w:val="20"/>
                <w:lang w:val="en-US" w:eastAsia="en-GB"/>
              </w:rPr>
              <w:br/>
              <w:t xml:space="preserve">MOGCCD, DCP, NSA, </w:t>
            </w:r>
            <w:r w:rsidR="003F4020" w:rsidRPr="00CD56B9">
              <w:rPr>
                <w:rFonts w:ascii="Arial Narrow" w:eastAsia="Times New Roman" w:hAnsi="Arial Narrow"/>
                <w:sz w:val="20"/>
                <w:szCs w:val="20"/>
                <w:lang w:val="en-US" w:eastAsia="en-GB"/>
              </w:rPr>
              <w:t>MoLG</w:t>
            </w:r>
            <w:r w:rsidR="003F4020">
              <w:rPr>
                <w:rFonts w:ascii="Arial Narrow" w:eastAsia="Times New Roman" w:hAnsi="Arial Narrow"/>
                <w:sz w:val="20"/>
                <w:szCs w:val="20"/>
                <w:lang w:val="en-US" w:eastAsia="en-GB"/>
              </w:rPr>
              <w:t>RD</w:t>
            </w:r>
            <w:r w:rsidRPr="00CD56B9">
              <w:rPr>
                <w:rFonts w:ascii="Arial Narrow" w:eastAsia="Times New Roman" w:hAnsi="Arial Narrow"/>
                <w:sz w:val="20"/>
                <w:szCs w:val="20"/>
                <w:lang w:val="en-US" w:eastAsia="en-GB"/>
              </w:rPr>
              <w:br/>
              <w:t xml:space="preserve">Malawi Police, </w:t>
            </w:r>
            <w:r w:rsidR="003F4020" w:rsidRPr="00CD56B9">
              <w:rPr>
                <w:rFonts w:ascii="Arial Narrow" w:eastAsia="Times New Roman" w:hAnsi="Arial Narrow"/>
                <w:sz w:val="20"/>
                <w:szCs w:val="20"/>
                <w:lang w:val="en-US" w:eastAsia="en-GB"/>
              </w:rPr>
              <w:t>Academia</w:t>
            </w:r>
          </w:p>
        </w:tc>
        <w:tc>
          <w:tcPr>
            <w:tcW w:w="123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2537811" w14:textId="77777777" w:rsidR="00683F4A" w:rsidRPr="00CD56B9" w:rsidRDefault="00683F4A" w:rsidP="009657E1">
            <w:pPr>
              <w:spacing w:after="0"/>
              <w:jc w:val="center"/>
              <w:rPr>
                <w:rFonts w:ascii="Arial Narrow" w:eastAsia="Times New Roman" w:hAnsi="Arial Narrow"/>
                <w:sz w:val="20"/>
                <w:szCs w:val="20"/>
                <w:lang w:val="en-US" w:eastAsia="en-GB"/>
              </w:rPr>
            </w:pPr>
            <w:r w:rsidRPr="00CD56B9">
              <w:rPr>
                <w:rFonts w:ascii="Arial Narrow" w:eastAsia="Times New Roman" w:hAnsi="Arial Narrow"/>
                <w:sz w:val="20"/>
                <w:szCs w:val="20"/>
                <w:lang w:val="en-US" w:eastAsia="en-GB"/>
              </w:rPr>
              <w:t> </w:t>
            </w:r>
          </w:p>
        </w:tc>
        <w:tc>
          <w:tcPr>
            <w:tcW w:w="95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1731EAE9" w14:textId="77777777" w:rsidR="00683F4A" w:rsidRPr="00CD56B9" w:rsidRDefault="00683F4A" w:rsidP="009657E1">
            <w:pPr>
              <w:spacing w:after="0"/>
              <w:jc w:val="right"/>
              <w:rPr>
                <w:rFonts w:ascii="Arial Narrow" w:eastAsia="Times New Roman" w:hAnsi="Arial Narrow"/>
                <w:sz w:val="20"/>
                <w:szCs w:val="20"/>
                <w:lang w:val="en-US" w:eastAsia="en-GB"/>
              </w:rPr>
            </w:pPr>
            <w:r w:rsidRPr="00CD56B9">
              <w:rPr>
                <w:rFonts w:ascii="Arial Narrow" w:eastAsia="Times New Roman" w:hAnsi="Arial Narrow"/>
                <w:sz w:val="20"/>
                <w:szCs w:val="20"/>
                <w:lang w:val="en-US" w:eastAsia="en-GB"/>
              </w:rPr>
              <w:t> </w:t>
            </w:r>
          </w:p>
        </w:tc>
        <w:tc>
          <w:tcPr>
            <w:tcW w:w="103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10DB21A" w14:textId="77777777" w:rsidR="00683F4A" w:rsidRPr="00CD56B9" w:rsidRDefault="00683F4A" w:rsidP="009657E1">
            <w:pPr>
              <w:spacing w:after="0"/>
              <w:jc w:val="right"/>
              <w:rPr>
                <w:rFonts w:ascii="Arial Narrow" w:eastAsia="Times New Roman" w:hAnsi="Arial Narrow"/>
                <w:sz w:val="20"/>
                <w:szCs w:val="20"/>
                <w:lang w:val="en-US" w:eastAsia="en-GB"/>
              </w:rPr>
            </w:pPr>
            <w:r w:rsidRPr="00CD56B9">
              <w:rPr>
                <w:rFonts w:ascii="Arial Narrow" w:eastAsia="Times New Roman" w:hAnsi="Arial Narrow"/>
                <w:sz w:val="20"/>
                <w:szCs w:val="20"/>
                <w:lang w:val="en-US" w:eastAsia="en-GB"/>
              </w:rPr>
              <w:t> </w:t>
            </w:r>
          </w:p>
        </w:tc>
        <w:tc>
          <w:tcPr>
            <w:tcW w:w="98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357677E5" w14:textId="77777777" w:rsidR="00683F4A" w:rsidRPr="00CD56B9" w:rsidRDefault="00683F4A" w:rsidP="009657E1">
            <w:pPr>
              <w:spacing w:after="0"/>
              <w:jc w:val="right"/>
              <w:rPr>
                <w:rFonts w:ascii="Arial Narrow" w:eastAsia="Times New Roman" w:hAnsi="Arial Narrow"/>
                <w:sz w:val="20"/>
                <w:szCs w:val="20"/>
                <w:lang w:val="en-US" w:eastAsia="en-GB"/>
              </w:rPr>
            </w:pPr>
            <w:r w:rsidRPr="00CD56B9">
              <w:rPr>
                <w:rFonts w:ascii="Arial Narrow" w:eastAsia="Times New Roman" w:hAnsi="Arial Narrow"/>
                <w:sz w:val="20"/>
                <w:szCs w:val="20"/>
                <w:lang w:val="en-US" w:eastAsia="en-GB"/>
              </w:rPr>
              <w:t>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1CE26E20" w14:textId="77777777" w:rsidR="00683F4A" w:rsidRPr="00CD56B9" w:rsidRDefault="00683F4A" w:rsidP="009657E1">
            <w:pPr>
              <w:spacing w:after="0"/>
              <w:jc w:val="right"/>
              <w:rPr>
                <w:rFonts w:ascii="Arial Narrow" w:eastAsia="Times New Roman" w:hAnsi="Arial Narrow"/>
                <w:sz w:val="20"/>
                <w:szCs w:val="20"/>
                <w:lang w:val="en-US" w:eastAsia="en-GB"/>
              </w:rPr>
            </w:pPr>
            <w:r w:rsidRPr="00CD56B9">
              <w:rPr>
                <w:rFonts w:ascii="Arial Narrow" w:eastAsia="Times New Roman" w:hAnsi="Arial Narrow"/>
                <w:sz w:val="20"/>
                <w:szCs w:val="20"/>
                <w:lang w:val="en-US" w:eastAsia="en-GB"/>
              </w:rPr>
              <w:t> </w:t>
            </w:r>
          </w:p>
        </w:tc>
      </w:tr>
      <w:tr w:rsidR="00683F4A" w:rsidRPr="00F72B0D" w14:paraId="45547A1A" w14:textId="77777777" w:rsidTr="009657E1">
        <w:trPr>
          <w:trHeight w:val="575"/>
          <w:jc w:val="center"/>
        </w:trPr>
        <w:tc>
          <w:tcPr>
            <w:tcW w:w="1529" w:type="dxa"/>
            <w:gridSpan w:val="2"/>
            <w:vMerge/>
            <w:tcBorders>
              <w:top w:val="nil"/>
              <w:left w:val="single" w:sz="8" w:space="0" w:color="auto"/>
              <w:bottom w:val="single" w:sz="4" w:space="0" w:color="auto"/>
              <w:right w:val="single" w:sz="4" w:space="0" w:color="auto"/>
            </w:tcBorders>
            <w:vAlign w:val="center"/>
            <w:hideMark/>
          </w:tcPr>
          <w:p w14:paraId="76973D58" w14:textId="77777777" w:rsidR="00683F4A" w:rsidRPr="00CD56B9" w:rsidRDefault="00683F4A" w:rsidP="009657E1">
            <w:pPr>
              <w:spacing w:after="0"/>
              <w:jc w:val="left"/>
              <w:rPr>
                <w:rFonts w:ascii="Arial Narrow" w:eastAsia="Times New Roman" w:hAnsi="Arial Narrow"/>
                <w:b/>
                <w:bCs/>
                <w:sz w:val="20"/>
                <w:szCs w:val="20"/>
                <w:lang w:val="en-US" w:eastAsia="en-GB"/>
              </w:rPr>
            </w:pPr>
          </w:p>
        </w:tc>
        <w:tc>
          <w:tcPr>
            <w:tcW w:w="1191" w:type="dxa"/>
            <w:vMerge/>
            <w:tcBorders>
              <w:top w:val="nil"/>
              <w:left w:val="single" w:sz="4" w:space="0" w:color="auto"/>
              <w:bottom w:val="nil"/>
              <w:right w:val="single" w:sz="4" w:space="0" w:color="auto"/>
            </w:tcBorders>
            <w:vAlign w:val="center"/>
            <w:hideMark/>
          </w:tcPr>
          <w:p w14:paraId="23194FA8" w14:textId="77777777" w:rsidR="00683F4A" w:rsidRPr="00CD56B9" w:rsidRDefault="00683F4A" w:rsidP="009657E1">
            <w:pPr>
              <w:spacing w:after="0"/>
              <w:jc w:val="left"/>
              <w:rPr>
                <w:rFonts w:ascii="Arial Narrow" w:eastAsia="Times New Roman" w:hAnsi="Arial Narrow"/>
                <w:sz w:val="20"/>
                <w:szCs w:val="20"/>
                <w:lang w:val="en-US" w:eastAsia="en-GB"/>
              </w:rPr>
            </w:pPr>
          </w:p>
        </w:tc>
        <w:tc>
          <w:tcPr>
            <w:tcW w:w="2003" w:type="dxa"/>
            <w:tcBorders>
              <w:top w:val="nil"/>
              <w:left w:val="nil"/>
              <w:bottom w:val="single" w:sz="4" w:space="0" w:color="auto"/>
              <w:right w:val="single" w:sz="4" w:space="0" w:color="auto"/>
            </w:tcBorders>
            <w:shd w:val="clear" w:color="auto" w:fill="auto"/>
            <w:hideMark/>
          </w:tcPr>
          <w:p w14:paraId="1D11AF15" w14:textId="7A583ADB" w:rsidR="00683F4A" w:rsidRPr="00CD56B9" w:rsidRDefault="003F4020" w:rsidP="009657E1">
            <w:pPr>
              <w:spacing w:after="0"/>
              <w:jc w:val="left"/>
              <w:rPr>
                <w:rFonts w:ascii="Arial Narrow" w:eastAsia="Times New Roman" w:hAnsi="Arial Narrow"/>
                <w:sz w:val="20"/>
                <w:szCs w:val="20"/>
                <w:lang w:val="en-US" w:eastAsia="en-GB"/>
              </w:rPr>
            </w:pPr>
            <w:r w:rsidRPr="00CD56B9">
              <w:rPr>
                <w:rFonts w:ascii="Arial Narrow" w:eastAsia="Times New Roman" w:hAnsi="Arial Narrow"/>
                <w:sz w:val="20"/>
                <w:szCs w:val="20"/>
                <w:lang w:val="en-US" w:eastAsia="en-GB"/>
              </w:rPr>
              <w:t>Proportion</w:t>
            </w:r>
            <w:r w:rsidR="00683F4A" w:rsidRPr="00CD56B9">
              <w:rPr>
                <w:rFonts w:ascii="Arial Narrow" w:eastAsia="Times New Roman" w:hAnsi="Arial Narrow"/>
                <w:sz w:val="20"/>
                <w:szCs w:val="20"/>
                <w:lang w:val="en-US" w:eastAsia="en-GB"/>
              </w:rPr>
              <w:t xml:space="preserve"> of children diverted from formal justice </w:t>
            </w:r>
            <w:r w:rsidRPr="00CD56B9">
              <w:rPr>
                <w:rFonts w:ascii="Arial Narrow" w:eastAsia="Times New Roman" w:hAnsi="Arial Narrow"/>
                <w:sz w:val="20"/>
                <w:szCs w:val="20"/>
                <w:lang w:val="en-US" w:eastAsia="en-GB"/>
              </w:rPr>
              <w:t>system (</w:t>
            </w:r>
            <w:r w:rsidR="00683F4A" w:rsidRPr="00CD56B9">
              <w:rPr>
                <w:rFonts w:ascii="Arial Narrow" w:eastAsia="Times New Roman" w:hAnsi="Arial Narrow"/>
                <w:sz w:val="20"/>
                <w:szCs w:val="20"/>
                <w:lang w:val="en-US" w:eastAsia="en-GB"/>
              </w:rPr>
              <w:t>2010:30% 2016: 90%)</w:t>
            </w:r>
          </w:p>
        </w:tc>
        <w:tc>
          <w:tcPr>
            <w:tcW w:w="1271" w:type="dxa"/>
            <w:tcBorders>
              <w:top w:val="nil"/>
              <w:left w:val="nil"/>
              <w:bottom w:val="single" w:sz="4" w:space="0" w:color="auto"/>
              <w:right w:val="single" w:sz="4" w:space="0" w:color="auto"/>
            </w:tcBorders>
            <w:shd w:val="clear" w:color="auto" w:fill="auto"/>
            <w:hideMark/>
          </w:tcPr>
          <w:p w14:paraId="4A76844E" w14:textId="77777777" w:rsidR="00683F4A" w:rsidRPr="003B552F" w:rsidRDefault="00683F4A" w:rsidP="009657E1">
            <w:pPr>
              <w:spacing w:after="0"/>
              <w:jc w:val="left"/>
              <w:rPr>
                <w:rFonts w:ascii="Arial Narrow" w:eastAsia="Times New Roman" w:hAnsi="Arial Narrow"/>
                <w:sz w:val="20"/>
                <w:szCs w:val="20"/>
                <w:lang w:eastAsia="en-GB"/>
              </w:rPr>
            </w:pPr>
            <w:r w:rsidRPr="003B552F">
              <w:rPr>
                <w:rFonts w:ascii="Arial Narrow" w:eastAsia="Times New Roman" w:hAnsi="Arial Narrow"/>
                <w:sz w:val="20"/>
                <w:szCs w:val="20"/>
                <w:lang w:eastAsia="en-GB"/>
              </w:rPr>
              <w:t>UNICEF Baseline assesment report</w:t>
            </w:r>
          </w:p>
        </w:tc>
        <w:tc>
          <w:tcPr>
            <w:tcW w:w="2217" w:type="dxa"/>
            <w:vMerge w:val="restart"/>
            <w:tcBorders>
              <w:top w:val="nil"/>
              <w:left w:val="single" w:sz="4" w:space="0" w:color="auto"/>
              <w:bottom w:val="single" w:sz="4" w:space="0" w:color="000000"/>
              <w:right w:val="single" w:sz="4" w:space="0" w:color="auto"/>
            </w:tcBorders>
            <w:shd w:val="clear" w:color="auto" w:fill="auto"/>
            <w:hideMark/>
          </w:tcPr>
          <w:p w14:paraId="3FBE8FB5" w14:textId="3E9670E7" w:rsidR="00683F4A" w:rsidRPr="00CD56B9" w:rsidRDefault="00683F4A" w:rsidP="009657E1">
            <w:pPr>
              <w:spacing w:after="0"/>
              <w:jc w:val="left"/>
              <w:rPr>
                <w:rFonts w:ascii="Arial Narrow" w:eastAsia="Times New Roman" w:hAnsi="Arial Narrow"/>
                <w:sz w:val="20"/>
                <w:szCs w:val="20"/>
                <w:lang w:val="en-US" w:eastAsia="en-GB"/>
              </w:rPr>
            </w:pPr>
            <w:r w:rsidRPr="00CD56B9">
              <w:rPr>
                <w:rFonts w:ascii="Arial Narrow" w:eastAsia="Times New Roman" w:hAnsi="Arial Narrow"/>
                <w:b/>
                <w:bCs/>
                <w:sz w:val="20"/>
                <w:szCs w:val="20"/>
                <w:lang w:val="en-US" w:eastAsia="en-GB"/>
              </w:rPr>
              <w:t>Assumptions:</w:t>
            </w:r>
            <w:r w:rsidRPr="00CD56B9">
              <w:rPr>
                <w:rFonts w:ascii="Arial Narrow" w:eastAsia="Times New Roman" w:hAnsi="Arial Narrow"/>
                <w:sz w:val="20"/>
                <w:szCs w:val="20"/>
                <w:lang w:val="en-US" w:eastAsia="en-GB"/>
              </w:rPr>
              <w:t xml:space="preserve"> Databases for recording cases for all protection services developed and functional. </w:t>
            </w:r>
            <w:r w:rsidRPr="00CD56B9">
              <w:rPr>
                <w:rFonts w:ascii="Arial Narrow" w:eastAsia="Times New Roman" w:hAnsi="Arial Narrow"/>
                <w:b/>
                <w:bCs/>
                <w:sz w:val="20"/>
                <w:szCs w:val="20"/>
                <w:lang w:val="en-US" w:eastAsia="en-GB"/>
              </w:rPr>
              <w:t>Risk:</w:t>
            </w:r>
            <w:r w:rsidRPr="00CD56B9">
              <w:rPr>
                <w:rFonts w:ascii="Arial Narrow" w:eastAsia="Times New Roman" w:hAnsi="Arial Narrow"/>
                <w:sz w:val="20"/>
                <w:szCs w:val="20"/>
                <w:lang w:val="en-US" w:eastAsia="en-GB"/>
              </w:rPr>
              <w:t xml:space="preserve"> Structures for </w:t>
            </w:r>
            <w:r w:rsidR="003F4020" w:rsidRPr="00CD56B9">
              <w:rPr>
                <w:rFonts w:ascii="Arial Narrow" w:eastAsia="Times New Roman" w:hAnsi="Arial Narrow"/>
                <w:sz w:val="20"/>
                <w:szCs w:val="20"/>
                <w:lang w:val="en-US" w:eastAsia="en-GB"/>
              </w:rPr>
              <w:t>reporting</w:t>
            </w:r>
            <w:r w:rsidRPr="00CD56B9">
              <w:rPr>
                <w:rFonts w:ascii="Arial Narrow" w:eastAsia="Times New Roman" w:hAnsi="Arial Narrow"/>
                <w:sz w:val="20"/>
                <w:szCs w:val="20"/>
                <w:lang w:val="en-US" w:eastAsia="en-GB"/>
              </w:rPr>
              <w:t xml:space="preserve"> not being friendly to women and children.</w:t>
            </w:r>
          </w:p>
        </w:tc>
        <w:tc>
          <w:tcPr>
            <w:tcW w:w="1201" w:type="dxa"/>
            <w:vMerge/>
            <w:tcBorders>
              <w:top w:val="nil"/>
              <w:left w:val="single" w:sz="4" w:space="0" w:color="auto"/>
              <w:bottom w:val="nil"/>
              <w:right w:val="single" w:sz="4" w:space="0" w:color="auto"/>
            </w:tcBorders>
            <w:vAlign w:val="center"/>
            <w:hideMark/>
          </w:tcPr>
          <w:p w14:paraId="0C9BF7C3" w14:textId="77777777" w:rsidR="00683F4A" w:rsidRPr="00CD56B9" w:rsidRDefault="00683F4A" w:rsidP="009657E1">
            <w:pPr>
              <w:spacing w:after="0"/>
              <w:jc w:val="left"/>
              <w:rPr>
                <w:rFonts w:ascii="Arial Narrow" w:eastAsia="Times New Roman" w:hAnsi="Arial Narrow"/>
                <w:sz w:val="20"/>
                <w:szCs w:val="20"/>
                <w:lang w:val="en-US" w:eastAsia="en-GB"/>
              </w:rPr>
            </w:pPr>
          </w:p>
        </w:tc>
        <w:tc>
          <w:tcPr>
            <w:tcW w:w="1230" w:type="dxa"/>
            <w:vMerge/>
            <w:tcBorders>
              <w:top w:val="single" w:sz="4" w:space="0" w:color="auto"/>
              <w:left w:val="single" w:sz="4" w:space="0" w:color="auto"/>
              <w:bottom w:val="single" w:sz="4" w:space="0" w:color="auto"/>
              <w:right w:val="single" w:sz="4" w:space="0" w:color="auto"/>
            </w:tcBorders>
            <w:vAlign w:val="center"/>
            <w:hideMark/>
          </w:tcPr>
          <w:p w14:paraId="567CA19F" w14:textId="77777777" w:rsidR="00683F4A" w:rsidRPr="00CD56B9" w:rsidRDefault="00683F4A" w:rsidP="009657E1">
            <w:pPr>
              <w:spacing w:after="0"/>
              <w:jc w:val="left"/>
              <w:rPr>
                <w:rFonts w:ascii="Arial Narrow" w:eastAsia="Times New Roman" w:hAnsi="Arial Narrow"/>
                <w:sz w:val="20"/>
                <w:szCs w:val="20"/>
                <w:lang w:val="en-US" w:eastAsia="en-GB"/>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14:paraId="065129EE" w14:textId="77777777" w:rsidR="00683F4A" w:rsidRPr="00CD56B9" w:rsidRDefault="00683F4A" w:rsidP="009657E1">
            <w:pPr>
              <w:spacing w:after="0"/>
              <w:jc w:val="left"/>
              <w:rPr>
                <w:rFonts w:ascii="Arial Narrow" w:eastAsia="Times New Roman" w:hAnsi="Arial Narrow"/>
                <w:sz w:val="20"/>
                <w:szCs w:val="20"/>
                <w:lang w:val="en-US" w:eastAsia="en-GB"/>
              </w:rPr>
            </w:pPr>
          </w:p>
        </w:tc>
        <w:tc>
          <w:tcPr>
            <w:tcW w:w="1037" w:type="dxa"/>
            <w:gridSpan w:val="3"/>
            <w:vMerge/>
            <w:tcBorders>
              <w:top w:val="single" w:sz="4" w:space="0" w:color="auto"/>
              <w:left w:val="single" w:sz="4" w:space="0" w:color="auto"/>
              <w:bottom w:val="single" w:sz="4" w:space="0" w:color="auto"/>
              <w:right w:val="single" w:sz="4" w:space="0" w:color="auto"/>
            </w:tcBorders>
            <w:vAlign w:val="center"/>
            <w:hideMark/>
          </w:tcPr>
          <w:p w14:paraId="72C248C7" w14:textId="77777777" w:rsidR="00683F4A" w:rsidRPr="00CD56B9" w:rsidRDefault="00683F4A" w:rsidP="009657E1">
            <w:pPr>
              <w:spacing w:after="0"/>
              <w:jc w:val="left"/>
              <w:rPr>
                <w:rFonts w:ascii="Arial Narrow" w:eastAsia="Times New Roman" w:hAnsi="Arial Narrow"/>
                <w:sz w:val="20"/>
                <w:szCs w:val="20"/>
                <w:lang w:val="en-US" w:eastAsia="en-GB"/>
              </w:rPr>
            </w:pPr>
          </w:p>
        </w:tc>
        <w:tc>
          <w:tcPr>
            <w:tcW w:w="986" w:type="dxa"/>
            <w:vMerge/>
            <w:tcBorders>
              <w:top w:val="single" w:sz="4" w:space="0" w:color="auto"/>
              <w:left w:val="single" w:sz="4" w:space="0" w:color="auto"/>
              <w:bottom w:val="single" w:sz="4" w:space="0" w:color="auto"/>
              <w:right w:val="single" w:sz="4" w:space="0" w:color="auto"/>
            </w:tcBorders>
            <w:vAlign w:val="center"/>
            <w:hideMark/>
          </w:tcPr>
          <w:p w14:paraId="226EF8C6" w14:textId="77777777" w:rsidR="00683F4A" w:rsidRPr="00CD56B9" w:rsidRDefault="00683F4A" w:rsidP="009657E1">
            <w:pPr>
              <w:spacing w:after="0"/>
              <w:jc w:val="left"/>
              <w:rPr>
                <w:rFonts w:ascii="Arial Narrow" w:eastAsia="Times New Roman" w:hAnsi="Arial Narrow"/>
                <w:sz w:val="20"/>
                <w:szCs w:val="20"/>
                <w:lang w:val="en-US" w:eastAsia="en-G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64A8EC9" w14:textId="77777777" w:rsidR="00683F4A" w:rsidRPr="00CD56B9" w:rsidRDefault="00683F4A" w:rsidP="009657E1">
            <w:pPr>
              <w:spacing w:after="0"/>
              <w:jc w:val="left"/>
              <w:rPr>
                <w:rFonts w:ascii="Arial Narrow" w:eastAsia="Times New Roman" w:hAnsi="Arial Narrow"/>
                <w:sz w:val="20"/>
                <w:szCs w:val="20"/>
                <w:lang w:val="en-US" w:eastAsia="en-GB"/>
              </w:rPr>
            </w:pPr>
          </w:p>
        </w:tc>
      </w:tr>
      <w:tr w:rsidR="00683F4A" w:rsidRPr="007D425D" w14:paraId="39EC4CD6" w14:textId="77777777" w:rsidTr="009657E1">
        <w:trPr>
          <w:trHeight w:val="396"/>
          <w:jc w:val="center"/>
        </w:trPr>
        <w:tc>
          <w:tcPr>
            <w:tcW w:w="1529" w:type="dxa"/>
            <w:gridSpan w:val="2"/>
            <w:vMerge/>
            <w:tcBorders>
              <w:top w:val="nil"/>
              <w:left w:val="single" w:sz="8" w:space="0" w:color="auto"/>
              <w:bottom w:val="single" w:sz="4" w:space="0" w:color="auto"/>
              <w:right w:val="single" w:sz="4" w:space="0" w:color="auto"/>
            </w:tcBorders>
            <w:vAlign w:val="center"/>
            <w:hideMark/>
          </w:tcPr>
          <w:p w14:paraId="54DD236B" w14:textId="77777777" w:rsidR="00683F4A" w:rsidRPr="00CD56B9" w:rsidRDefault="00683F4A" w:rsidP="009657E1">
            <w:pPr>
              <w:spacing w:after="0"/>
              <w:jc w:val="left"/>
              <w:rPr>
                <w:rFonts w:ascii="Arial Narrow" w:eastAsia="Times New Roman" w:hAnsi="Arial Narrow"/>
                <w:b/>
                <w:bCs/>
                <w:sz w:val="20"/>
                <w:szCs w:val="20"/>
                <w:lang w:val="en-US" w:eastAsia="en-GB"/>
              </w:rPr>
            </w:pPr>
          </w:p>
        </w:tc>
        <w:tc>
          <w:tcPr>
            <w:tcW w:w="1191" w:type="dxa"/>
            <w:vMerge/>
            <w:tcBorders>
              <w:top w:val="nil"/>
              <w:left w:val="single" w:sz="4" w:space="0" w:color="auto"/>
              <w:bottom w:val="nil"/>
              <w:right w:val="single" w:sz="4" w:space="0" w:color="auto"/>
            </w:tcBorders>
            <w:vAlign w:val="center"/>
            <w:hideMark/>
          </w:tcPr>
          <w:p w14:paraId="42A48FE5" w14:textId="77777777" w:rsidR="00683F4A" w:rsidRPr="00CD56B9" w:rsidRDefault="00683F4A" w:rsidP="009657E1">
            <w:pPr>
              <w:spacing w:after="0"/>
              <w:jc w:val="left"/>
              <w:rPr>
                <w:rFonts w:ascii="Arial Narrow" w:eastAsia="Times New Roman" w:hAnsi="Arial Narrow"/>
                <w:sz w:val="20"/>
                <w:szCs w:val="20"/>
                <w:lang w:val="en-US" w:eastAsia="en-GB"/>
              </w:rPr>
            </w:pPr>
          </w:p>
        </w:tc>
        <w:tc>
          <w:tcPr>
            <w:tcW w:w="2003" w:type="dxa"/>
            <w:tcBorders>
              <w:top w:val="nil"/>
              <w:left w:val="nil"/>
              <w:bottom w:val="nil"/>
              <w:right w:val="single" w:sz="4" w:space="0" w:color="auto"/>
            </w:tcBorders>
            <w:shd w:val="clear" w:color="auto" w:fill="auto"/>
            <w:hideMark/>
          </w:tcPr>
          <w:p w14:paraId="3E311DBB" w14:textId="77777777" w:rsidR="00683F4A" w:rsidRPr="00CD56B9" w:rsidRDefault="00683F4A" w:rsidP="009657E1">
            <w:pPr>
              <w:spacing w:after="0"/>
              <w:jc w:val="left"/>
              <w:rPr>
                <w:rFonts w:ascii="Arial Narrow" w:eastAsia="Times New Roman" w:hAnsi="Arial Narrow"/>
                <w:sz w:val="20"/>
                <w:szCs w:val="20"/>
                <w:lang w:val="en-US" w:eastAsia="en-GB"/>
              </w:rPr>
            </w:pPr>
            <w:r w:rsidRPr="00CD56B9">
              <w:rPr>
                <w:rFonts w:ascii="Arial Narrow" w:eastAsia="Times New Roman" w:hAnsi="Arial Narrow"/>
                <w:sz w:val="20"/>
                <w:szCs w:val="20"/>
                <w:lang w:val="en-US" w:eastAsia="en-GB"/>
              </w:rPr>
              <w:t>No. Of sittings of youth parliament (2010: 0; 2016:5)</w:t>
            </w:r>
          </w:p>
        </w:tc>
        <w:tc>
          <w:tcPr>
            <w:tcW w:w="1271" w:type="dxa"/>
            <w:tcBorders>
              <w:top w:val="nil"/>
              <w:left w:val="nil"/>
              <w:bottom w:val="nil"/>
              <w:right w:val="single" w:sz="4" w:space="0" w:color="auto"/>
            </w:tcBorders>
            <w:shd w:val="clear" w:color="auto" w:fill="auto"/>
            <w:hideMark/>
          </w:tcPr>
          <w:p w14:paraId="7D4E6B18" w14:textId="77777777" w:rsidR="00683F4A" w:rsidRPr="003B552F" w:rsidRDefault="00683F4A" w:rsidP="009657E1">
            <w:pPr>
              <w:spacing w:after="0"/>
              <w:jc w:val="left"/>
              <w:rPr>
                <w:rFonts w:ascii="Arial Narrow" w:eastAsia="Times New Roman" w:hAnsi="Arial Narrow"/>
                <w:sz w:val="20"/>
                <w:szCs w:val="20"/>
                <w:lang w:eastAsia="en-GB"/>
              </w:rPr>
            </w:pPr>
            <w:r w:rsidRPr="003B552F">
              <w:rPr>
                <w:rFonts w:ascii="Arial Narrow" w:eastAsia="Times New Roman" w:hAnsi="Arial Narrow"/>
                <w:sz w:val="20"/>
                <w:szCs w:val="20"/>
                <w:lang w:eastAsia="en-GB"/>
              </w:rPr>
              <w:t>National Assembly report</w:t>
            </w:r>
          </w:p>
        </w:tc>
        <w:tc>
          <w:tcPr>
            <w:tcW w:w="2217" w:type="dxa"/>
            <w:vMerge/>
            <w:tcBorders>
              <w:top w:val="nil"/>
              <w:left w:val="single" w:sz="4" w:space="0" w:color="auto"/>
              <w:bottom w:val="single" w:sz="4" w:space="0" w:color="000000"/>
              <w:right w:val="single" w:sz="4" w:space="0" w:color="auto"/>
            </w:tcBorders>
            <w:vAlign w:val="center"/>
            <w:hideMark/>
          </w:tcPr>
          <w:p w14:paraId="446F6198" w14:textId="77777777" w:rsidR="00683F4A" w:rsidRPr="003B552F" w:rsidRDefault="00683F4A" w:rsidP="009657E1">
            <w:pPr>
              <w:spacing w:after="0"/>
              <w:jc w:val="left"/>
              <w:rPr>
                <w:rFonts w:ascii="Arial Narrow" w:eastAsia="Times New Roman" w:hAnsi="Arial Narrow"/>
                <w:sz w:val="20"/>
                <w:szCs w:val="20"/>
                <w:lang w:eastAsia="en-GB"/>
              </w:rPr>
            </w:pPr>
          </w:p>
        </w:tc>
        <w:tc>
          <w:tcPr>
            <w:tcW w:w="1201" w:type="dxa"/>
            <w:vMerge/>
            <w:tcBorders>
              <w:top w:val="nil"/>
              <w:left w:val="single" w:sz="4" w:space="0" w:color="auto"/>
              <w:bottom w:val="nil"/>
              <w:right w:val="single" w:sz="4" w:space="0" w:color="auto"/>
            </w:tcBorders>
            <w:vAlign w:val="center"/>
            <w:hideMark/>
          </w:tcPr>
          <w:p w14:paraId="7FFFD104" w14:textId="77777777" w:rsidR="00683F4A" w:rsidRPr="003B552F" w:rsidRDefault="00683F4A" w:rsidP="009657E1">
            <w:pPr>
              <w:spacing w:after="0"/>
              <w:jc w:val="left"/>
              <w:rPr>
                <w:rFonts w:ascii="Arial Narrow" w:eastAsia="Times New Roman" w:hAnsi="Arial Narrow"/>
                <w:sz w:val="20"/>
                <w:szCs w:val="20"/>
                <w:lang w:eastAsia="en-GB"/>
              </w:rPr>
            </w:pPr>
          </w:p>
        </w:tc>
        <w:tc>
          <w:tcPr>
            <w:tcW w:w="1230" w:type="dxa"/>
            <w:vMerge/>
            <w:tcBorders>
              <w:top w:val="single" w:sz="4" w:space="0" w:color="auto"/>
              <w:left w:val="single" w:sz="4" w:space="0" w:color="auto"/>
              <w:bottom w:val="single" w:sz="4" w:space="0" w:color="auto"/>
              <w:right w:val="single" w:sz="4" w:space="0" w:color="auto"/>
            </w:tcBorders>
            <w:vAlign w:val="center"/>
            <w:hideMark/>
          </w:tcPr>
          <w:p w14:paraId="14028DA0" w14:textId="77777777" w:rsidR="00683F4A" w:rsidRPr="003B552F" w:rsidRDefault="00683F4A" w:rsidP="009657E1">
            <w:pPr>
              <w:spacing w:after="0"/>
              <w:jc w:val="left"/>
              <w:rPr>
                <w:rFonts w:ascii="Arial Narrow" w:eastAsia="Times New Roman" w:hAnsi="Arial Narrow"/>
                <w:sz w:val="20"/>
                <w:szCs w:val="20"/>
                <w:lang w:eastAsia="en-GB"/>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14:paraId="410000AD" w14:textId="77777777" w:rsidR="00683F4A" w:rsidRPr="003B552F" w:rsidRDefault="00683F4A" w:rsidP="009657E1">
            <w:pPr>
              <w:spacing w:after="0"/>
              <w:jc w:val="left"/>
              <w:rPr>
                <w:rFonts w:ascii="Arial Narrow" w:eastAsia="Times New Roman" w:hAnsi="Arial Narrow"/>
                <w:sz w:val="20"/>
                <w:szCs w:val="20"/>
                <w:lang w:eastAsia="en-GB"/>
              </w:rPr>
            </w:pPr>
          </w:p>
        </w:tc>
        <w:tc>
          <w:tcPr>
            <w:tcW w:w="1037" w:type="dxa"/>
            <w:gridSpan w:val="3"/>
            <w:vMerge/>
            <w:tcBorders>
              <w:top w:val="single" w:sz="4" w:space="0" w:color="auto"/>
              <w:left w:val="single" w:sz="4" w:space="0" w:color="auto"/>
              <w:bottom w:val="single" w:sz="4" w:space="0" w:color="auto"/>
              <w:right w:val="single" w:sz="4" w:space="0" w:color="auto"/>
            </w:tcBorders>
            <w:vAlign w:val="center"/>
            <w:hideMark/>
          </w:tcPr>
          <w:p w14:paraId="3826C69D" w14:textId="77777777" w:rsidR="00683F4A" w:rsidRPr="003B552F" w:rsidRDefault="00683F4A" w:rsidP="009657E1">
            <w:pPr>
              <w:spacing w:after="0"/>
              <w:jc w:val="left"/>
              <w:rPr>
                <w:rFonts w:ascii="Arial Narrow" w:eastAsia="Times New Roman" w:hAnsi="Arial Narrow"/>
                <w:sz w:val="20"/>
                <w:szCs w:val="20"/>
                <w:lang w:eastAsia="en-GB"/>
              </w:rPr>
            </w:pPr>
          </w:p>
        </w:tc>
        <w:tc>
          <w:tcPr>
            <w:tcW w:w="986" w:type="dxa"/>
            <w:vMerge/>
            <w:tcBorders>
              <w:top w:val="single" w:sz="4" w:space="0" w:color="auto"/>
              <w:left w:val="single" w:sz="4" w:space="0" w:color="auto"/>
              <w:bottom w:val="single" w:sz="4" w:space="0" w:color="auto"/>
              <w:right w:val="single" w:sz="4" w:space="0" w:color="auto"/>
            </w:tcBorders>
            <w:vAlign w:val="center"/>
            <w:hideMark/>
          </w:tcPr>
          <w:p w14:paraId="429E3FBD" w14:textId="77777777" w:rsidR="00683F4A" w:rsidRPr="003B552F" w:rsidRDefault="00683F4A" w:rsidP="009657E1">
            <w:pPr>
              <w:spacing w:after="0"/>
              <w:jc w:val="left"/>
              <w:rPr>
                <w:rFonts w:ascii="Arial Narrow" w:eastAsia="Times New Roman" w:hAnsi="Arial Narrow"/>
                <w:sz w:val="20"/>
                <w:szCs w:val="20"/>
                <w:lang w:eastAsia="en-G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C00132C" w14:textId="77777777" w:rsidR="00683F4A" w:rsidRPr="003B552F" w:rsidRDefault="00683F4A" w:rsidP="009657E1">
            <w:pPr>
              <w:spacing w:after="0"/>
              <w:jc w:val="left"/>
              <w:rPr>
                <w:rFonts w:ascii="Arial Narrow" w:eastAsia="Times New Roman" w:hAnsi="Arial Narrow"/>
                <w:sz w:val="20"/>
                <w:szCs w:val="20"/>
                <w:lang w:eastAsia="en-GB"/>
              </w:rPr>
            </w:pPr>
          </w:p>
        </w:tc>
      </w:tr>
      <w:tr w:rsidR="00683F4A" w:rsidRPr="007D425D" w14:paraId="7AEC0978" w14:textId="77777777" w:rsidTr="009657E1">
        <w:trPr>
          <w:trHeight w:val="168"/>
          <w:jc w:val="center"/>
        </w:trPr>
        <w:tc>
          <w:tcPr>
            <w:tcW w:w="1529" w:type="dxa"/>
            <w:gridSpan w:val="2"/>
            <w:vMerge w:val="restart"/>
            <w:tcBorders>
              <w:top w:val="nil"/>
              <w:left w:val="single" w:sz="8" w:space="0" w:color="auto"/>
              <w:bottom w:val="single" w:sz="4" w:space="0" w:color="000000"/>
              <w:right w:val="nil"/>
            </w:tcBorders>
            <w:shd w:val="clear" w:color="auto" w:fill="auto"/>
            <w:hideMark/>
          </w:tcPr>
          <w:p w14:paraId="394C7D04" w14:textId="77777777" w:rsidR="00683F4A" w:rsidRPr="003B552F" w:rsidRDefault="00683F4A" w:rsidP="009657E1">
            <w:pPr>
              <w:spacing w:after="0"/>
              <w:jc w:val="left"/>
              <w:rPr>
                <w:rFonts w:ascii="Arial Narrow" w:eastAsia="Times New Roman" w:hAnsi="Arial Narrow"/>
                <w:b/>
                <w:bCs/>
                <w:sz w:val="20"/>
                <w:szCs w:val="20"/>
                <w:lang w:eastAsia="en-GB"/>
              </w:rPr>
            </w:pPr>
            <w:r w:rsidRPr="003B552F">
              <w:rPr>
                <w:rFonts w:ascii="Arial Narrow" w:eastAsia="Times New Roman" w:hAnsi="Arial Narrow"/>
                <w:b/>
                <w:bCs/>
                <w:sz w:val="20"/>
                <w:szCs w:val="20"/>
                <w:lang w:eastAsia="en-GB"/>
              </w:rPr>
              <w:t>Annualized Key Results 2012</w:t>
            </w:r>
          </w:p>
        </w:tc>
        <w:tc>
          <w:tcPr>
            <w:tcW w:w="7883" w:type="dxa"/>
            <w:gridSpan w:val="5"/>
            <w:tcBorders>
              <w:top w:val="single" w:sz="4" w:space="0" w:color="auto"/>
              <w:left w:val="single" w:sz="4" w:space="0" w:color="auto"/>
              <w:bottom w:val="single" w:sz="4" w:space="0" w:color="auto"/>
              <w:right w:val="single" w:sz="4" w:space="0" w:color="auto"/>
            </w:tcBorders>
            <w:shd w:val="clear" w:color="auto" w:fill="auto"/>
            <w:hideMark/>
          </w:tcPr>
          <w:p w14:paraId="4664E309" w14:textId="77777777" w:rsidR="00683F4A" w:rsidRPr="00CD56B9" w:rsidRDefault="00683F4A" w:rsidP="009657E1">
            <w:pPr>
              <w:spacing w:after="0"/>
              <w:jc w:val="left"/>
              <w:rPr>
                <w:rFonts w:ascii="Arial Narrow" w:eastAsia="Times New Roman" w:hAnsi="Arial Narrow"/>
                <w:sz w:val="20"/>
                <w:szCs w:val="20"/>
                <w:lang w:val="en-US" w:eastAsia="en-GB"/>
              </w:rPr>
            </w:pPr>
            <w:r w:rsidRPr="00CD56B9">
              <w:rPr>
                <w:rFonts w:ascii="Arial Narrow" w:eastAsia="Times New Roman" w:hAnsi="Arial Narrow"/>
                <w:sz w:val="20"/>
                <w:szCs w:val="20"/>
                <w:lang w:val="en-US" w:eastAsia="en-GB"/>
              </w:rPr>
              <w:t xml:space="preserve">A: Coordinated framework of complaints and case handling institutions formulated (UNDP).    </w:t>
            </w:r>
          </w:p>
        </w:tc>
        <w:tc>
          <w:tcPr>
            <w:tcW w:w="1230" w:type="dxa"/>
            <w:tcBorders>
              <w:top w:val="nil"/>
              <w:left w:val="nil"/>
              <w:bottom w:val="single" w:sz="4" w:space="0" w:color="auto"/>
              <w:right w:val="single" w:sz="4" w:space="0" w:color="auto"/>
            </w:tcBorders>
            <w:shd w:val="clear" w:color="auto" w:fill="auto"/>
            <w:hideMark/>
          </w:tcPr>
          <w:p w14:paraId="2766AF48" w14:textId="77777777" w:rsidR="00683F4A" w:rsidRPr="003B552F" w:rsidRDefault="00683F4A" w:rsidP="009657E1">
            <w:pPr>
              <w:spacing w:after="0"/>
              <w:jc w:val="left"/>
              <w:rPr>
                <w:rFonts w:ascii="Arial Narrow" w:eastAsia="Times New Roman" w:hAnsi="Arial Narrow"/>
                <w:sz w:val="20"/>
                <w:szCs w:val="20"/>
                <w:lang w:eastAsia="en-GB"/>
              </w:rPr>
            </w:pPr>
            <w:r w:rsidRPr="003B552F">
              <w:rPr>
                <w:rFonts w:ascii="Arial Narrow" w:eastAsia="Times New Roman" w:hAnsi="Arial Narrow"/>
                <w:sz w:val="20"/>
                <w:szCs w:val="20"/>
                <w:lang w:eastAsia="en-GB"/>
              </w:rPr>
              <w:t>UNDP</w:t>
            </w:r>
          </w:p>
        </w:tc>
        <w:tc>
          <w:tcPr>
            <w:tcW w:w="953" w:type="dxa"/>
            <w:tcBorders>
              <w:top w:val="nil"/>
              <w:left w:val="nil"/>
              <w:bottom w:val="single" w:sz="4" w:space="0" w:color="auto"/>
              <w:right w:val="single" w:sz="4" w:space="0" w:color="auto"/>
            </w:tcBorders>
            <w:shd w:val="clear" w:color="auto" w:fill="auto"/>
            <w:hideMark/>
          </w:tcPr>
          <w:p w14:paraId="295F1CEC"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200,000 </w:t>
            </w:r>
          </w:p>
        </w:tc>
        <w:tc>
          <w:tcPr>
            <w:tcW w:w="1037" w:type="dxa"/>
            <w:gridSpan w:val="3"/>
            <w:tcBorders>
              <w:top w:val="nil"/>
              <w:left w:val="nil"/>
              <w:bottom w:val="single" w:sz="4" w:space="0" w:color="auto"/>
              <w:right w:val="single" w:sz="4" w:space="0" w:color="auto"/>
            </w:tcBorders>
            <w:shd w:val="clear" w:color="auto" w:fill="auto"/>
            <w:hideMark/>
          </w:tcPr>
          <w:p w14:paraId="40E55350"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w:t>
            </w:r>
          </w:p>
        </w:tc>
        <w:tc>
          <w:tcPr>
            <w:tcW w:w="986" w:type="dxa"/>
            <w:tcBorders>
              <w:top w:val="nil"/>
              <w:left w:val="nil"/>
              <w:bottom w:val="single" w:sz="4" w:space="0" w:color="auto"/>
              <w:right w:val="single" w:sz="4" w:space="0" w:color="auto"/>
            </w:tcBorders>
            <w:shd w:val="clear" w:color="auto" w:fill="auto"/>
            <w:hideMark/>
          </w:tcPr>
          <w:p w14:paraId="38BA0C23"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300,000 </w:t>
            </w:r>
          </w:p>
        </w:tc>
        <w:tc>
          <w:tcPr>
            <w:tcW w:w="1134" w:type="dxa"/>
            <w:tcBorders>
              <w:top w:val="nil"/>
              <w:left w:val="nil"/>
              <w:bottom w:val="single" w:sz="4" w:space="0" w:color="auto"/>
              <w:right w:val="single" w:sz="8" w:space="0" w:color="auto"/>
            </w:tcBorders>
            <w:shd w:val="clear" w:color="auto" w:fill="auto"/>
            <w:hideMark/>
          </w:tcPr>
          <w:p w14:paraId="54708004"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500,000 </w:t>
            </w:r>
          </w:p>
        </w:tc>
      </w:tr>
      <w:tr w:rsidR="00683F4A" w:rsidRPr="007D425D" w14:paraId="20A89343" w14:textId="77777777" w:rsidTr="009657E1">
        <w:trPr>
          <w:trHeight w:val="168"/>
          <w:jc w:val="center"/>
        </w:trPr>
        <w:tc>
          <w:tcPr>
            <w:tcW w:w="1529" w:type="dxa"/>
            <w:gridSpan w:val="2"/>
            <w:vMerge/>
            <w:tcBorders>
              <w:top w:val="nil"/>
              <w:left w:val="single" w:sz="8" w:space="0" w:color="auto"/>
              <w:bottom w:val="single" w:sz="4" w:space="0" w:color="000000"/>
              <w:right w:val="nil"/>
            </w:tcBorders>
            <w:vAlign w:val="center"/>
            <w:hideMark/>
          </w:tcPr>
          <w:p w14:paraId="4C342FA3" w14:textId="77777777" w:rsidR="00683F4A" w:rsidRPr="003B552F" w:rsidRDefault="00683F4A" w:rsidP="009657E1">
            <w:pPr>
              <w:spacing w:after="0"/>
              <w:jc w:val="left"/>
              <w:rPr>
                <w:rFonts w:ascii="Arial Narrow" w:eastAsia="Times New Roman" w:hAnsi="Arial Narrow"/>
                <w:b/>
                <w:bCs/>
                <w:sz w:val="20"/>
                <w:szCs w:val="20"/>
                <w:lang w:eastAsia="en-GB"/>
              </w:rPr>
            </w:pPr>
          </w:p>
        </w:tc>
        <w:tc>
          <w:tcPr>
            <w:tcW w:w="7883" w:type="dxa"/>
            <w:gridSpan w:val="5"/>
            <w:tcBorders>
              <w:top w:val="single" w:sz="4" w:space="0" w:color="auto"/>
              <w:left w:val="single" w:sz="4" w:space="0" w:color="auto"/>
              <w:bottom w:val="single" w:sz="4" w:space="0" w:color="auto"/>
              <w:right w:val="single" w:sz="4" w:space="0" w:color="auto"/>
            </w:tcBorders>
            <w:shd w:val="clear" w:color="auto" w:fill="auto"/>
            <w:hideMark/>
          </w:tcPr>
          <w:p w14:paraId="0914618D" w14:textId="77777777" w:rsidR="00683F4A" w:rsidRPr="00CD56B9" w:rsidRDefault="00683F4A" w:rsidP="009657E1">
            <w:pPr>
              <w:spacing w:after="0"/>
              <w:jc w:val="left"/>
              <w:rPr>
                <w:rFonts w:ascii="Arial Narrow" w:eastAsia="Times New Roman" w:hAnsi="Arial Narrow"/>
                <w:sz w:val="20"/>
                <w:szCs w:val="20"/>
                <w:lang w:val="en-US" w:eastAsia="en-GB"/>
              </w:rPr>
            </w:pPr>
            <w:r w:rsidRPr="00CD56B9">
              <w:rPr>
                <w:rFonts w:ascii="Arial Narrow" w:eastAsia="Times New Roman" w:hAnsi="Arial Narrow"/>
                <w:sz w:val="20"/>
                <w:szCs w:val="20"/>
                <w:lang w:val="en-US" w:eastAsia="en-GB"/>
              </w:rPr>
              <w:t xml:space="preserve">B: Child Court services strengthened in 7 districts and diversion programs rolled out to 28 districts (UNICEF).                     </w:t>
            </w:r>
          </w:p>
        </w:tc>
        <w:tc>
          <w:tcPr>
            <w:tcW w:w="1230" w:type="dxa"/>
            <w:tcBorders>
              <w:top w:val="nil"/>
              <w:left w:val="nil"/>
              <w:bottom w:val="single" w:sz="4" w:space="0" w:color="auto"/>
              <w:right w:val="single" w:sz="4" w:space="0" w:color="auto"/>
            </w:tcBorders>
            <w:shd w:val="clear" w:color="auto" w:fill="auto"/>
            <w:hideMark/>
          </w:tcPr>
          <w:p w14:paraId="6DEF0FD3" w14:textId="77777777" w:rsidR="00683F4A" w:rsidRPr="003B552F" w:rsidRDefault="00683F4A" w:rsidP="009657E1">
            <w:pPr>
              <w:spacing w:after="0"/>
              <w:jc w:val="left"/>
              <w:rPr>
                <w:rFonts w:ascii="Arial Narrow" w:eastAsia="Times New Roman" w:hAnsi="Arial Narrow"/>
                <w:sz w:val="20"/>
                <w:szCs w:val="20"/>
                <w:lang w:eastAsia="en-GB"/>
              </w:rPr>
            </w:pPr>
            <w:r w:rsidRPr="003B552F">
              <w:rPr>
                <w:rFonts w:ascii="Arial Narrow" w:eastAsia="Times New Roman" w:hAnsi="Arial Narrow"/>
                <w:sz w:val="20"/>
                <w:szCs w:val="20"/>
                <w:lang w:eastAsia="en-GB"/>
              </w:rPr>
              <w:t>UNICEF</w:t>
            </w:r>
          </w:p>
        </w:tc>
        <w:tc>
          <w:tcPr>
            <w:tcW w:w="953" w:type="dxa"/>
            <w:tcBorders>
              <w:top w:val="nil"/>
              <w:left w:val="nil"/>
              <w:bottom w:val="single" w:sz="4" w:space="0" w:color="auto"/>
              <w:right w:val="single" w:sz="4" w:space="0" w:color="auto"/>
            </w:tcBorders>
            <w:shd w:val="clear" w:color="auto" w:fill="auto"/>
            <w:hideMark/>
          </w:tcPr>
          <w:p w14:paraId="073EF4F0"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10,000 </w:t>
            </w:r>
          </w:p>
        </w:tc>
        <w:tc>
          <w:tcPr>
            <w:tcW w:w="1037" w:type="dxa"/>
            <w:gridSpan w:val="3"/>
            <w:tcBorders>
              <w:top w:val="nil"/>
              <w:left w:val="nil"/>
              <w:bottom w:val="single" w:sz="4" w:space="0" w:color="auto"/>
              <w:right w:val="single" w:sz="4" w:space="0" w:color="auto"/>
            </w:tcBorders>
            <w:shd w:val="clear" w:color="auto" w:fill="auto"/>
            <w:hideMark/>
          </w:tcPr>
          <w:p w14:paraId="1547423A"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200,000 </w:t>
            </w:r>
          </w:p>
        </w:tc>
        <w:tc>
          <w:tcPr>
            <w:tcW w:w="986" w:type="dxa"/>
            <w:tcBorders>
              <w:top w:val="nil"/>
              <w:left w:val="nil"/>
              <w:bottom w:val="single" w:sz="4" w:space="0" w:color="auto"/>
              <w:right w:val="single" w:sz="4" w:space="0" w:color="auto"/>
            </w:tcBorders>
            <w:shd w:val="clear" w:color="auto" w:fill="auto"/>
            <w:hideMark/>
          </w:tcPr>
          <w:p w14:paraId="69C476E5"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300,000 </w:t>
            </w:r>
          </w:p>
        </w:tc>
        <w:tc>
          <w:tcPr>
            <w:tcW w:w="1134" w:type="dxa"/>
            <w:tcBorders>
              <w:top w:val="nil"/>
              <w:left w:val="nil"/>
              <w:bottom w:val="single" w:sz="4" w:space="0" w:color="auto"/>
              <w:right w:val="single" w:sz="8" w:space="0" w:color="auto"/>
            </w:tcBorders>
            <w:shd w:val="clear" w:color="auto" w:fill="auto"/>
            <w:hideMark/>
          </w:tcPr>
          <w:p w14:paraId="31122880"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510,000 </w:t>
            </w:r>
          </w:p>
        </w:tc>
      </w:tr>
      <w:tr w:rsidR="00683F4A" w:rsidRPr="007D425D" w14:paraId="0D835F26" w14:textId="77777777" w:rsidTr="009657E1">
        <w:trPr>
          <w:trHeight w:val="179"/>
          <w:jc w:val="center"/>
        </w:trPr>
        <w:tc>
          <w:tcPr>
            <w:tcW w:w="1529" w:type="dxa"/>
            <w:gridSpan w:val="2"/>
            <w:vMerge/>
            <w:tcBorders>
              <w:top w:val="nil"/>
              <w:left w:val="single" w:sz="8" w:space="0" w:color="auto"/>
              <w:bottom w:val="single" w:sz="4" w:space="0" w:color="000000"/>
              <w:right w:val="nil"/>
            </w:tcBorders>
            <w:vAlign w:val="center"/>
            <w:hideMark/>
          </w:tcPr>
          <w:p w14:paraId="7E26463B" w14:textId="77777777" w:rsidR="00683F4A" w:rsidRPr="003B552F" w:rsidRDefault="00683F4A" w:rsidP="009657E1">
            <w:pPr>
              <w:spacing w:after="0"/>
              <w:jc w:val="left"/>
              <w:rPr>
                <w:rFonts w:ascii="Arial Narrow" w:eastAsia="Times New Roman" w:hAnsi="Arial Narrow"/>
                <w:b/>
                <w:bCs/>
                <w:sz w:val="20"/>
                <w:szCs w:val="20"/>
                <w:lang w:eastAsia="en-GB"/>
              </w:rPr>
            </w:pPr>
          </w:p>
        </w:tc>
        <w:tc>
          <w:tcPr>
            <w:tcW w:w="7883" w:type="dxa"/>
            <w:gridSpan w:val="5"/>
            <w:tcBorders>
              <w:top w:val="single" w:sz="4" w:space="0" w:color="auto"/>
              <w:left w:val="single" w:sz="4" w:space="0" w:color="auto"/>
              <w:bottom w:val="nil"/>
              <w:right w:val="single" w:sz="4" w:space="0" w:color="000000"/>
            </w:tcBorders>
            <w:shd w:val="clear" w:color="auto" w:fill="auto"/>
            <w:vAlign w:val="bottom"/>
            <w:hideMark/>
          </w:tcPr>
          <w:p w14:paraId="1D613DEC" w14:textId="77777777" w:rsidR="00683F4A" w:rsidRPr="00CD56B9" w:rsidRDefault="00683F4A" w:rsidP="009657E1">
            <w:pPr>
              <w:spacing w:after="0"/>
              <w:jc w:val="left"/>
              <w:rPr>
                <w:rFonts w:ascii="Arial Narrow" w:eastAsia="Times New Roman" w:hAnsi="Arial Narrow"/>
                <w:sz w:val="20"/>
                <w:szCs w:val="20"/>
                <w:lang w:val="en-US" w:eastAsia="en-GB"/>
              </w:rPr>
            </w:pPr>
            <w:r w:rsidRPr="00CD56B9">
              <w:rPr>
                <w:rFonts w:ascii="Arial Narrow" w:eastAsia="Times New Roman" w:hAnsi="Arial Narrow"/>
                <w:sz w:val="20"/>
                <w:szCs w:val="20"/>
                <w:lang w:val="en-US" w:eastAsia="en-GB"/>
              </w:rPr>
              <w:t xml:space="preserve">                                                                                 </w:t>
            </w:r>
            <w:r w:rsidRPr="00CD56B9">
              <w:rPr>
                <w:rFonts w:ascii="Arial Narrow" w:eastAsia="Times New Roman" w:hAnsi="Arial Narrow"/>
                <w:sz w:val="20"/>
                <w:szCs w:val="20"/>
                <w:lang w:val="en-US" w:eastAsia="en-GB"/>
              </w:rPr>
              <w:br/>
              <w:t>C: Youth Parliament integrated into the National Assembly and the 1st Session of the Youth Parliament held (UNICEF).</w:t>
            </w:r>
          </w:p>
        </w:tc>
        <w:tc>
          <w:tcPr>
            <w:tcW w:w="1230" w:type="dxa"/>
            <w:tcBorders>
              <w:top w:val="nil"/>
              <w:left w:val="nil"/>
              <w:bottom w:val="nil"/>
              <w:right w:val="single" w:sz="4" w:space="0" w:color="auto"/>
            </w:tcBorders>
            <w:shd w:val="clear" w:color="auto" w:fill="auto"/>
            <w:hideMark/>
          </w:tcPr>
          <w:p w14:paraId="36913D35" w14:textId="77777777" w:rsidR="00683F4A" w:rsidRPr="003B552F" w:rsidRDefault="00683F4A" w:rsidP="009657E1">
            <w:pPr>
              <w:spacing w:after="0"/>
              <w:jc w:val="left"/>
              <w:rPr>
                <w:rFonts w:ascii="Arial Narrow" w:eastAsia="Times New Roman" w:hAnsi="Arial Narrow"/>
                <w:sz w:val="20"/>
                <w:szCs w:val="20"/>
                <w:lang w:eastAsia="en-GB"/>
              </w:rPr>
            </w:pPr>
            <w:r w:rsidRPr="003B552F">
              <w:rPr>
                <w:rFonts w:ascii="Arial Narrow" w:eastAsia="Times New Roman" w:hAnsi="Arial Narrow"/>
                <w:sz w:val="20"/>
                <w:szCs w:val="20"/>
                <w:lang w:eastAsia="en-GB"/>
              </w:rPr>
              <w:t>UNICEF</w:t>
            </w:r>
          </w:p>
        </w:tc>
        <w:tc>
          <w:tcPr>
            <w:tcW w:w="953" w:type="dxa"/>
            <w:tcBorders>
              <w:top w:val="nil"/>
              <w:left w:val="nil"/>
              <w:bottom w:val="nil"/>
              <w:right w:val="single" w:sz="4" w:space="0" w:color="auto"/>
            </w:tcBorders>
            <w:shd w:val="clear" w:color="auto" w:fill="auto"/>
            <w:hideMark/>
          </w:tcPr>
          <w:p w14:paraId="7CE5F61D"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10,000 </w:t>
            </w:r>
          </w:p>
        </w:tc>
        <w:tc>
          <w:tcPr>
            <w:tcW w:w="1037" w:type="dxa"/>
            <w:gridSpan w:val="3"/>
            <w:tcBorders>
              <w:top w:val="nil"/>
              <w:left w:val="nil"/>
              <w:bottom w:val="nil"/>
              <w:right w:val="single" w:sz="4" w:space="0" w:color="auto"/>
            </w:tcBorders>
            <w:shd w:val="clear" w:color="auto" w:fill="auto"/>
            <w:hideMark/>
          </w:tcPr>
          <w:p w14:paraId="1D1FAAE7"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180,000 </w:t>
            </w:r>
          </w:p>
        </w:tc>
        <w:tc>
          <w:tcPr>
            <w:tcW w:w="986" w:type="dxa"/>
            <w:tcBorders>
              <w:top w:val="nil"/>
              <w:left w:val="nil"/>
              <w:bottom w:val="nil"/>
              <w:right w:val="single" w:sz="4" w:space="0" w:color="auto"/>
            </w:tcBorders>
            <w:shd w:val="clear" w:color="auto" w:fill="auto"/>
            <w:hideMark/>
          </w:tcPr>
          <w:p w14:paraId="62EC16D7"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300,000 </w:t>
            </w:r>
          </w:p>
        </w:tc>
        <w:tc>
          <w:tcPr>
            <w:tcW w:w="1134" w:type="dxa"/>
            <w:tcBorders>
              <w:top w:val="nil"/>
              <w:left w:val="nil"/>
              <w:bottom w:val="nil"/>
              <w:right w:val="single" w:sz="8" w:space="0" w:color="auto"/>
            </w:tcBorders>
            <w:shd w:val="clear" w:color="auto" w:fill="auto"/>
            <w:hideMark/>
          </w:tcPr>
          <w:p w14:paraId="1635156B"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490,000 </w:t>
            </w:r>
          </w:p>
        </w:tc>
      </w:tr>
      <w:tr w:rsidR="00683F4A" w:rsidRPr="007D425D" w14:paraId="48121C8B" w14:textId="77777777" w:rsidTr="009657E1">
        <w:trPr>
          <w:trHeight w:val="179"/>
          <w:jc w:val="center"/>
        </w:trPr>
        <w:tc>
          <w:tcPr>
            <w:tcW w:w="1529" w:type="dxa"/>
            <w:gridSpan w:val="2"/>
            <w:vMerge/>
            <w:tcBorders>
              <w:top w:val="nil"/>
              <w:left w:val="single" w:sz="8" w:space="0" w:color="auto"/>
              <w:bottom w:val="single" w:sz="4" w:space="0" w:color="000000"/>
              <w:right w:val="nil"/>
            </w:tcBorders>
            <w:vAlign w:val="center"/>
            <w:hideMark/>
          </w:tcPr>
          <w:p w14:paraId="03E5EDE7" w14:textId="77777777" w:rsidR="00683F4A" w:rsidRPr="003B552F" w:rsidRDefault="00683F4A" w:rsidP="009657E1">
            <w:pPr>
              <w:spacing w:after="0"/>
              <w:jc w:val="left"/>
              <w:rPr>
                <w:rFonts w:ascii="Arial Narrow" w:eastAsia="Times New Roman" w:hAnsi="Arial Narrow"/>
                <w:b/>
                <w:bCs/>
                <w:sz w:val="20"/>
                <w:szCs w:val="20"/>
                <w:lang w:eastAsia="en-GB"/>
              </w:rPr>
            </w:pPr>
          </w:p>
        </w:tc>
        <w:tc>
          <w:tcPr>
            <w:tcW w:w="7883" w:type="dxa"/>
            <w:gridSpan w:val="5"/>
            <w:tcBorders>
              <w:top w:val="single" w:sz="8" w:space="0" w:color="auto"/>
              <w:left w:val="single" w:sz="8" w:space="0" w:color="auto"/>
              <w:bottom w:val="single" w:sz="8" w:space="0" w:color="auto"/>
              <w:right w:val="single" w:sz="4" w:space="0" w:color="000000"/>
            </w:tcBorders>
            <w:shd w:val="clear" w:color="auto" w:fill="auto"/>
            <w:hideMark/>
          </w:tcPr>
          <w:p w14:paraId="26E47A21" w14:textId="77777777" w:rsidR="00683F4A" w:rsidRPr="00CD56B9" w:rsidRDefault="00683F4A" w:rsidP="009657E1">
            <w:pPr>
              <w:spacing w:after="0"/>
              <w:jc w:val="left"/>
              <w:rPr>
                <w:rFonts w:ascii="Arial Narrow" w:eastAsia="Times New Roman" w:hAnsi="Arial Narrow"/>
                <w:b/>
                <w:bCs/>
                <w:color w:val="FF0000"/>
                <w:sz w:val="20"/>
                <w:szCs w:val="20"/>
                <w:lang w:val="en-US" w:eastAsia="en-GB"/>
              </w:rPr>
            </w:pPr>
            <w:r w:rsidRPr="00CD56B9">
              <w:rPr>
                <w:rFonts w:ascii="Arial Narrow" w:eastAsia="Times New Roman" w:hAnsi="Arial Narrow"/>
                <w:b/>
                <w:bCs/>
                <w:color w:val="FF0000"/>
                <w:sz w:val="20"/>
                <w:szCs w:val="20"/>
                <w:lang w:val="en-US" w:eastAsia="en-GB"/>
              </w:rPr>
              <w:t>4.1.2-Total Budget for Annualised Key Results for 2012</w:t>
            </w:r>
          </w:p>
        </w:tc>
        <w:tc>
          <w:tcPr>
            <w:tcW w:w="1230" w:type="dxa"/>
            <w:tcBorders>
              <w:top w:val="single" w:sz="8" w:space="0" w:color="auto"/>
              <w:left w:val="nil"/>
              <w:bottom w:val="single" w:sz="8" w:space="0" w:color="auto"/>
              <w:right w:val="single" w:sz="4" w:space="0" w:color="auto"/>
            </w:tcBorders>
            <w:shd w:val="clear" w:color="auto" w:fill="auto"/>
            <w:hideMark/>
          </w:tcPr>
          <w:p w14:paraId="262E1B35" w14:textId="77777777" w:rsidR="00683F4A" w:rsidRPr="00CD56B9" w:rsidRDefault="00683F4A" w:rsidP="009657E1">
            <w:pPr>
              <w:spacing w:after="0"/>
              <w:jc w:val="left"/>
              <w:rPr>
                <w:rFonts w:ascii="Arial Narrow" w:eastAsia="Times New Roman" w:hAnsi="Arial Narrow"/>
                <w:sz w:val="20"/>
                <w:szCs w:val="20"/>
                <w:lang w:val="en-US" w:eastAsia="en-GB"/>
              </w:rPr>
            </w:pPr>
            <w:r w:rsidRPr="00CD56B9">
              <w:rPr>
                <w:rFonts w:ascii="Arial Narrow" w:eastAsia="Times New Roman" w:hAnsi="Arial Narrow"/>
                <w:sz w:val="20"/>
                <w:szCs w:val="20"/>
                <w:lang w:val="en-US" w:eastAsia="en-GB"/>
              </w:rPr>
              <w:t> </w:t>
            </w:r>
          </w:p>
        </w:tc>
        <w:tc>
          <w:tcPr>
            <w:tcW w:w="953" w:type="dxa"/>
            <w:tcBorders>
              <w:top w:val="single" w:sz="8" w:space="0" w:color="auto"/>
              <w:left w:val="nil"/>
              <w:bottom w:val="single" w:sz="8" w:space="0" w:color="auto"/>
              <w:right w:val="single" w:sz="4" w:space="0" w:color="auto"/>
            </w:tcBorders>
            <w:shd w:val="clear" w:color="auto" w:fill="auto"/>
            <w:hideMark/>
          </w:tcPr>
          <w:p w14:paraId="51D68437" w14:textId="77777777" w:rsidR="00683F4A" w:rsidRPr="003B552F" w:rsidRDefault="00683F4A" w:rsidP="009657E1">
            <w:pPr>
              <w:spacing w:after="0"/>
              <w:jc w:val="right"/>
              <w:rPr>
                <w:rFonts w:ascii="Arial Narrow" w:eastAsia="Times New Roman" w:hAnsi="Arial Narrow"/>
                <w:b/>
                <w:bCs/>
                <w:color w:val="FF0000"/>
                <w:sz w:val="20"/>
                <w:szCs w:val="20"/>
                <w:lang w:eastAsia="en-GB"/>
              </w:rPr>
            </w:pPr>
            <w:r w:rsidRPr="00CD56B9">
              <w:rPr>
                <w:rFonts w:ascii="Arial Narrow" w:eastAsia="Times New Roman" w:hAnsi="Arial Narrow"/>
                <w:b/>
                <w:bCs/>
                <w:color w:val="FF0000"/>
                <w:sz w:val="20"/>
                <w:szCs w:val="20"/>
                <w:lang w:val="en-US" w:eastAsia="en-GB"/>
              </w:rPr>
              <w:t xml:space="preserve">           </w:t>
            </w:r>
            <w:r w:rsidRPr="003B552F">
              <w:rPr>
                <w:rFonts w:ascii="Arial Narrow" w:eastAsia="Times New Roman" w:hAnsi="Arial Narrow"/>
                <w:b/>
                <w:bCs/>
                <w:color w:val="FF0000"/>
                <w:sz w:val="20"/>
                <w:szCs w:val="20"/>
                <w:lang w:eastAsia="en-GB"/>
              </w:rPr>
              <w:t xml:space="preserve">220,000 </w:t>
            </w:r>
          </w:p>
        </w:tc>
        <w:tc>
          <w:tcPr>
            <w:tcW w:w="1037" w:type="dxa"/>
            <w:gridSpan w:val="3"/>
            <w:tcBorders>
              <w:top w:val="single" w:sz="8" w:space="0" w:color="auto"/>
              <w:left w:val="nil"/>
              <w:bottom w:val="single" w:sz="8" w:space="0" w:color="auto"/>
              <w:right w:val="single" w:sz="4" w:space="0" w:color="auto"/>
            </w:tcBorders>
            <w:shd w:val="clear" w:color="auto" w:fill="auto"/>
            <w:hideMark/>
          </w:tcPr>
          <w:p w14:paraId="2D9B0228" w14:textId="77777777" w:rsidR="00683F4A" w:rsidRPr="003B552F" w:rsidRDefault="00683F4A" w:rsidP="009657E1">
            <w:pPr>
              <w:spacing w:after="0"/>
              <w:jc w:val="right"/>
              <w:rPr>
                <w:rFonts w:ascii="Arial Narrow" w:eastAsia="Times New Roman" w:hAnsi="Arial Narrow"/>
                <w:b/>
                <w:bCs/>
                <w:color w:val="FF0000"/>
                <w:sz w:val="20"/>
                <w:szCs w:val="20"/>
                <w:lang w:eastAsia="en-GB"/>
              </w:rPr>
            </w:pPr>
            <w:r w:rsidRPr="003B552F">
              <w:rPr>
                <w:rFonts w:ascii="Arial Narrow" w:eastAsia="Times New Roman" w:hAnsi="Arial Narrow"/>
                <w:b/>
                <w:bCs/>
                <w:color w:val="FF0000"/>
                <w:sz w:val="20"/>
                <w:szCs w:val="20"/>
                <w:lang w:eastAsia="en-GB"/>
              </w:rPr>
              <w:t xml:space="preserve">            380,000 </w:t>
            </w:r>
          </w:p>
        </w:tc>
        <w:tc>
          <w:tcPr>
            <w:tcW w:w="986" w:type="dxa"/>
            <w:tcBorders>
              <w:top w:val="single" w:sz="8" w:space="0" w:color="auto"/>
              <w:left w:val="nil"/>
              <w:bottom w:val="single" w:sz="8" w:space="0" w:color="auto"/>
              <w:right w:val="single" w:sz="4" w:space="0" w:color="auto"/>
            </w:tcBorders>
            <w:shd w:val="clear" w:color="auto" w:fill="auto"/>
            <w:hideMark/>
          </w:tcPr>
          <w:p w14:paraId="2EAE79A5" w14:textId="77777777" w:rsidR="00683F4A" w:rsidRPr="003B552F" w:rsidRDefault="00683F4A" w:rsidP="009657E1">
            <w:pPr>
              <w:spacing w:after="0"/>
              <w:jc w:val="right"/>
              <w:rPr>
                <w:rFonts w:ascii="Arial Narrow" w:eastAsia="Times New Roman" w:hAnsi="Arial Narrow"/>
                <w:b/>
                <w:bCs/>
                <w:color w:val="FF0000"/>
                <w:sz w:val="20"/>
                <w:szCs w:val="20"/>
                <w:lang w:eastAsia="en-GB"/>
              </w:rPr>
            </w:pPr>
            <w:r w:rsidRPr="003B552F">
              <w:rPr>
                <w:rFonts w:ascii="Arial Narrow" w:eastAsia="Times New Roman" w:hAnsi="Arial Narrow"/>
                <w:b/>
                <w:bCs/>
                <w:color w:val="FF0000"/>
                <w:sz w:val="20"/>
                <w:szCs w:val="20"/>
                <w:lang w:eastAsia="en-GB"/>
              </w:rPr>
              <w:t xml:space="preserve">           900,000 </w:t>
            </w:r>
          </w:p>
        </w:tc>
        <w:tc>
          <w:tcPr>
            <w:tcW w:w="1134" w:type="dxa"/>
            <w:tcBorders>
              <w:top w:val="single" w:sz="8" w:space="0" w:color="auto"/>
              <w:left w:val="nil"/>
              <w:bottom w:val="single" w:sz="8" w:space="0" w:color="auto"/>
              <w:right w:val="single" w:sz="8" w:space="0" w:color="auto"/>
            </w:tcBorders>
            <w:shd w:val="clear" w:color="auto" w:fill="auto"/>
            <w:hideMark/>
          </w:tcPr>
          <w:p w14:paraId="767D82DC" w14:textId="77777777" w:rsidR="00683F4A" w:rsidRPr="003B552F" w:rsidRDefault="00683F4A" w:rsidP="009657E1">
            <w:pPr>
              <w:spacing w:after="0"/>
              <w:jc w:val="right"/>
              <w:rPr>
                <w:rFonts w:ascii="Arial Narrow" w:eastAsia="Times New Roman" w:hAnsi="Arial Narrow"/>
                <w:b/>
                <w:bCs/>
                <w:color w:val="FF0000"/>
                <w:sz w:val="20"/>
                <w:szCs w:val="20"/>
                <w:lang w:eastAsia="en-GB"/>
              </w:rPr>
            </w:pPr>
            <w:r w:rsidRPr="003B552F">
              <w:rPr>
                <w:rFonts w:ascii="Arial Narrow" w:eastAsia="Times New Roman" w:hAnsi="Arial Narrow"/>
                <w:b/>
                <w:bCs/>
                <w:color w:val="FF0000"/>
                <w:sz w:val="20"/>
                <w:szCs w:val="20"/>
                <w:lang w:eastAsia="en-GB"/>
              </w:rPr>
              <w:t xml:space="preserve">          1,500,000 </w:t>
            </w:r>
          </w:p>
        </w:tc>
      </w:tr>
      <w:tr w:rsidR="00683F4A" w:rsidRPr="007D425D" w14:paraId="62D997EA" w14:textId="77777777" w:rsidTr="009657E1">
        <w:trPr>
          <w:trHeight w:val="168"/>
          <w:jc w:val="center"/>
        </w:trPr>
        <w:tc>
          <w:tcPr>
            <w:tcW w:w="1529" w:type="dxa"/>
            <w:gridSpan w:val="2"/>
            <w:vMerge w:val="restart"/>
            <w:tcBorders>
              <w:top w:val="nil"/>
              <w:left w:val="single" w:sz="8" w:space="0" w:color="auto"/>
              <w:bottom w:val="single" w:sz="4" w:space="0" w:color="000000"/>
              <w:right w:val="nil"/>
            </w:tcBorders>
            <w:shd w:val="clear" w:color="auto" w:fill="auto"/>
            <w:hideMark/>
          </w:tcPr>
          <w:p w14:paraId="79DDEC9D" w14:textId="77777777" w:rsidR="00683F4A" w:rsidRPr="003B552F" w:rsidRDefault="00683F4A" w:rsidP="009657E1">
            <w:pPr>
              <w:spacing w:after="0"/>
              <w:jc w:val="left"/>
              <w:rPr>
                <w:rFonts w:ascii="Arial Narrow" w:eastAsia="Times New Roman" w:hAnsi="Arial Narrow"/>
                <w:b/>
                <w:bCs/>
                <w:sz w:val="20"/>
                <w:szCs w:val="20"/>
                <w:lang w:eastAsia="en-GB"/>
              </w:rPr>
            </w:pPr>
            <w:r w:rsidRPr="003B552F">
              <w:rPr>
                <w:rFonts w:ascii="Arial Narrow" w:eastAsia="Times New Roman" w:hAnsi="Arial Narrow"/>
                <w:b/>
                <w:bCs/>
                <w:sz w:val="20"/>
                <w:szCs w:val="20"/>
                <w:lang w:eastAsia="en-GB"/>
              </w:rPr>
              <w:t>Annualized Key Results 2013</w:t>
            </w:r>
          </w:p>
        </w:tc>
        <w:tc>
          <w:tcPr>
            <w:tcW w:w="7883" w:type="dxa"/>
            <w:gridSpan w:val="5"/>
            <w:tcBorders>
              <w:top w:val="nil"/>
              <w:left w:val="single" w:sz="4" w:space="0" w:color="auto"/>
              <w:bottom w:val="single" w:sz="4" w:space="0" w:color="auto"/>
              <w:right w:val="single" w:sz="4" w:space="0" w:color="000000"/>
            </w:tcBorders>
            <w:shd w:val="clear" w:color="auto" w:fill="auto"/>
            <w:hideMark/>
          </w:tcPr>
          <w:p w14:paraId="51CB475C" w14:textId="77777777" w:rsidR="00683F4A" w:rsidRPr="00CD56B9" w:rsidRDefault="00683F4A" w:rsidP="009657E1">
            <w:pPr>
              <w:spacing w:after="0"/>
              <w:jc w:val="left"/>
              <w:rPr>
                <w:rFonts w:ascii="Arial Narrow" w:eastAsia="Times New Roman" w:hAnsi="Arial Narrow"/>
                <w:sz w:val="20"/>
                <w:szCs w:val="20"/>
                <w:lang w:val="en-US" w:eastAsia="en-GB"/>
              </w:rPr>
            </w:pPr>
            <w:r w:rsidRPr="00CD56B9">
              <w:rPr>
                <w:rFonts w:ascii="Arial Narrow" w:eastAsia="Times New Roman" w:hAnsi="Arial Narrow"/>
                <w:sz w:val="20"/>
                <w:szCs w:val="20"/>
                <w:lang w:val="en-US" w:eastAsia="en-GB"/>
              </w:rPr>
              <w:t xml:space="preserve">B: Child Court services strengthened in 7 districts and diversion programs rolled out to 28 districts (UNICEF).    </w:t>
            </w:r>
          </w:p>
        </w:tc>
        <w:tc>
          <w:tcPr>
            <w:tcW w:w="1230" w:type="dxa"/>
            <w:tcBorders>
              <w:top w:val="nil"/>
              <w:left w:val="nil"/>
              <w:bottom w:val="single" w:sz="4" w:space="0" w:color="auto"/>
              <w:right w:val="single" w:sz="4" w:space="0" w:color="auto"/>
            </w:tcBorders>
            <w:shd w:val="clear" w:color="auto" w:fill="auto"/>
            <w:hideMark/>
          </w:tcPr>
          <w:p w14:paraId="7E7D65DE" w14:textId="77777777" w:rsidR="00683F4A" w:rsidRPr="003B552F" w:rsidRDefault="00683F4A" w:rsidP="009657E1">
            <w:pPr>
              <w:spacing w:after="0"/>
              <w:jc w:val="left"/>
              <w:rPr>
                <w:rFonts w:ascii="Arial Narrow" w:eastAsia="Times New Roman" w:hAnsi="Arial Narrow"/>
                <w:sz w:val="20"/>
                <w:szCs w:val="20"/>
                <w:lang w:eastAsia="en-GB"/>
              </w:rPr>
            </w:pPr>
            <w:r w:rsidRPr="003B552F">
              <w:rPr>
                <w:rFonts w:ascii="Arial Narrow" w:eastAsia="Times New Roman" w:hAnsi="Arial Narrow"/>
                <w:sz w:val="20"/>
                <w:szCs w:val="20"/>
                <w:lang w:eastAsia="en-GB"/>
              </w:rPr>
              <w:t>UNICEF</w:t>
            </w:r>
          </w:p>
        </w:tc>
        <w:tc>
          <w:tcPr>
            <w:tcW w:w="953" w:type="dxa"/>
            <w:tcBorders>
              <w:top w:val="nil"/>
              <w:left w:val="nil"/>
              <w:bottom w:val="single" w:sz="4" w:space="0" w:color="auto"/>
              <w:right w:val="single" w:sz="4" w:space="0" w:color="auto"/>
            </w:tcBorders>
            <w:shd w:val="clear" w:color="auto" w:fill="auto"/>
            <w:hideMark/>
          </w:tcPr>
          <w:p w14:paraId="2BB9E07F"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10,000 </w:t>
            </w:r>
          </w:p>
        </w:tc>
        <w:tc>
          <w:tcPr>
            <w:tcW w:w="1037" w:type="dxa"/>
            <w:gridSpan w:val="3"/>
            <w:tcBorders>
              <w:top w:val="nil"/>
              <w:left w:val="nil"/>
              <w:bottom w:val="single" w:sz="4" w:space="0" w:color="auto"/>
              <w:right w:val="single" w:sz="4" w:space="0" w:color="auto"/>
            </w:tcBorders>
            <w:shd w:val="clear" w:color="auto" w:fill="auto"/>
            <w:hideMark/>
          </w:tcPr>
          <w:p w14:paraId="14E642E1"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200,000 </w:t>
            </w:r>
          </w:p>
        </w:tc>
        <w:tc>
          <w:tcPr>
            <w:tcW w:w="986" w:type="dxa"/>
            <w:tcBorders>
              <w:top w:val="nil"/>
              <w:left w:val="nil"/>
              <w:bottom w:val="single" w:sz="4" w:space="0" w:color="auto"/>
              <w:right w:val="single" w:sz="4" w:space="0" w:color="auto"/>
            </w:tcBorders>
            <w:shd w:val="clear" w:color="auto" w:fill="auto"/>
            <w:hideMark/>
          </w:tcPr>
          <w:p w14:paraId="60A063F0"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300,000 </w:t>
            </w:r>
          </w:p>
        </w:tc>
        <w:tc>
          <w:tcPr>
            <w:tcW w:w="1134" w:type="dxa"/>
            <w:tcBorders>
              <w:top w:val="nil"/>
              <w:left w:val="nil"/>
              <w:bottom w:val="single" w:sz="4" w:space="0" w:color="auto"/>
              <w:right w:val="single" w:sz="8" w:space="0" w:color="auto"/>
            </w:tcBorders>
            <w:shd w:val="clear" w:color="auto" w:fill="auto"/>
            <w:hideMark/>
          </w:tcPr>
          <w:p w14:paraId="0426E2DB"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510,000 </w:t>
            </w:r>
          </w:p>
        </w:tc>
      </w:tr>
      <w:tr w:rsidR="00683F4A" w:rsidRPr="007D425D" w14:paraId="0DBF1A4B" w14:textId="77777777" w:rsidTr="00683F4A">
        <w:trPr>
          <w:trHeight w:val="168"/>
          <w:jc w:val="center"/>
        </w:trPr>
        <w:tc>
          <w:tcPr>
            <w:tcW w:w="1529" w:type="dxa"/>
            <w:gridSpan w:val="2"/>
            <w:vMerge/>
            <w:tcBorders>
              <w:top w:val="nil"/>
              <w:left w:val="single" w:sz="8" w:space="0" w:color="auto"/>
              <w:bottom w:val="single" w:sz="4" w:space="0" w:color="000000"/>
              <w:right w:val="nil"/>
            </w:tcBorders>
            <w:vAlign w:val="center"/>
            <w:hideMark/>
          </w:tcPr>
          <w:p w14:paraId="50A5DA3A" w14:textId="77777777" w:rsidR="00683F4A" w:rsidRPr="003B552F" w:rsidRDefault="00683F4A" w:rsidP="009657E1">
            <w:pPr>
              <w:spacing w:after="0"/>
              <w:jc w:val="left"/>
              <w:rPr>
                <w:rFonts w:ascii="Arial Narrow" w:eastAsia="Times New Roman" w:hAnsi="Arial Narrow"/>
                <w:b/>
                <w:bCs/>
                <w:sz w:val="20"/>
                <w:szCs w:val="20"/>
                <w:lang w:eastAsia="en-GB"/>
              </w:rPr>
            </w:pPr>
          </w:p>
        </w:tc>
        <w:tc>
          <w:tcPr>
            <w:tcW w:w="7883"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5B1C455" w14:textId="77777777" w:rsidR="00683F4A" w:rsidRPr="00CD56B9" w:rsidRDefault="00683F4A" w:rsidP="009657E1">
            <w:pPr>
              <w:spacing w:after="0"/>
              <w:jc w:val="left"/>
              <w:rPr>
                <w:rFonts w:ascii="Arial Narrow" w:eastAsia="Times New Roman" w:hAnsi="Arial Narrow"/>
                <w:sz w:val="20"/>
                <w:szCs w:val="20"/>
                <w:lang w:val="en-US" w:eastAsia="en-GB"/>
              </w:rPr>
            </w:pPr>
            <w:r w:rsidRPr="00CD56B9">
              <w:rPr>
                <w:rFonts w:ascii="Arial Narrow" w:eastAsia="Times New Roman" w:hAnsi="Arial Narrow"/>
                <w:sz w:val="20"/>
                <w:szCs w:val="20"/>
                <w:lang w:val="en-US" w:eastAsia="en-GB"/>
              </w:rPr>
              <w:t>D: 2 institutions in the DGSWG develop institutional strategic plans (UNDP).</w:t>
            </w:r>
          </w:p>
        </w:tc>
        <w:tc>
          <w:tcPr>
            <w:tcW w:w="1230" w:type="dxa"/>
            <w:tcBorders>
              <w:top w:val="nil"/>
              <w:left w:val="nil"/>
              <w:bottom w:val="single" w:sz="4" w:space="0" w:color="auto"/>
              <w:right w:val="single" w:sz="4" w:space="0" w:color="auto"/>
            </w:tcBorders>
            <w:shd w:val="clear" w:color="auto" w:fill="auto"/>
            <w:hideMark/>
          </w:tcPr>
          <w:p w14:paraId="0FC59B84" w14:textId="77777777" w:rsidR="00683F4A" w:rsidRPr="003B552F" w:rsidRDefault="00683F4A" w:rsidP="009657E1">
            <w:pPr>
              <w:spacing w:after="0"/>
              <w:jc w:val="left"/>
              <w:rPr>
                <w:rFonts w:ascii="Arial Narrow" w:eastAsia="Times New Roman" w:hAnsi="Arial Narrow"/>
                <w:sz w:val="20"/>
                <w:szCs w:val="20"/>
                <w:lang w:eastAsia="en-GB"/>
              </w:rPr>
            </w:pPr>
            <w:r w:rsidRPr="003B552F">
              <w:rPr>
                <w:rFonts w:ascii="Arial Narrow" w:eastAsia="Times New Roman" w:hAnsi="Arial Narrow"/>
                <w:sz w:val="20"/>
                <w:szCs w:val="20"/>
                <w:lang w:eastAsia="en-GB"/>
              </w:rPr>
              <w:t>UNDP</w:t>
            </w:r>
          </w:p>
        </w:tc>
        <w:tc>
          <w:tcPr>
            <w:tcW w:w="953" w:type="dxa"/>
            <w:tcBorders>
              <w:top w:val="nil"/>
              <w:left w:val="nil"/>
              <w:bottom w:val="single" w:sz="4" w:space="0" w:color="auto"/>
              <w:right w:val="single" w:sz="4" w:space="0" w:color="auto"/>
            </w:tcBorders>
            <w:shd w:val="clear" w:color="auto" w:fill="auto"/>
            <w:hideMark/>
          </w:tcPr>
          <w:p w14:paraId="2AEBD7FE"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200,000 </w:t>
            </w:r>
          </w:p>
        </w:tc>
        <w:tc>
          <w:tcPr>
            <w:tcW w:w="1037" w:type="dxa"/>
            <w:gridSpan w:val="3"/>
            <w:tcBorders>
              <w:top w:val="nil"/>
              <w:left w:val="nil"/>
              <w:bottom w:val="single" w:sz="4" w:space="0" w:color="auto"/>
              <w:right w:val="single" w:sz="4" w:space="0" w:color="auto"/>
            </w:tcBorders>
            <w:shd w:val="clear" w:color="auto" w:fill="auto"/>
            <w:hideMark/>
          </w:tcPr>
          <w:p w14:paraId="34C9F83A"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w:t>
            </w:r>
          </w:p>
        </w:tc>
        <w:tc>
          <w:tcPr>
            <w:tcW w:w="986" w:type="dxa"/>
            <w:tcBorders>
              <w:top w:val="nil"/>
              <w:left w:val="nil"/>
              <w:bottom w:val="single" w:sz="4" w:space="0" w:color="auto"/>
              <w:right w:val="single" w:sz="4" w:space="0" w:color="auto"/>
            </w:tcBorders>
            <w:shd w:val="clear" w:color="auto" w:fill="auto"/>
            <w:hideMark/>
          </w:tcPr>
          <w:p w14:paraId="43449173"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150,000 </w:t>
            </w:r>
          </w:p>
        </w:tc>
        <w:tc>
          <w:tcPr>
            <w:tcW w:w="1134" w:type="dxa"/>
            <w:tcBorders>
              <w:top w:val="nil"/>
              <w:left w:val="nil"/>
              <w:bottom w:val="single" w:sz="4" w:space="0" w:color="auto"/>
              <w:right w:val="single" w:sz="8" w:space="0" w:color="auto"/>
            </w:tcBorders>
            <w:shd w:val="clear" w:color="auto" w:fill="auto"/>
            <w:hideMark/>
          </w:tcPr>
          <w:p w14:paraId="388CD473"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350,000 </w:t>
            </w:r>
          </w:p>
        </w:tc>
      </w:tr>
      <w:tr w:rsidR="00683F4A" w:rsidRPr="007D425D" w14:paraId="46D5CAC9" w14:textId="77777777" w:rsidTr="00683F4A">
        <w:trPr>
          <w:trHeight w:val="168"/>
          <w:jc w:val="center"/>
        </w:trPr>
        <w:tc>
          <w:tcPr>
            <w:tcW w:w="1529" w:type="dxa"/>
            <w:gridSpan w:val="2"/>
            <w:vMerge/>
            <w:tcBorders>
              <w:top w:val="nil"/>
              <w:left w:val="single" w:sz="8" w:space="0" w:color="auto"/>
              <w:bottom w:val="single" w:sz="4" w:space="0" w:color="000000"/>
              <w:right w:val="nil"/>
            </w:tcBorders>
            <w:vAlign w:val="center"/>
            <w:hideMark/>
          </w:tcPr>
          <w:p w14:paraId="776072E7" w14:textId="77777777" w:rsidR="00683F4A" w:rsidRPr="003B552F" w:rsidRDefault="00683F4A" w:rsidP="009657E1">
            <w:pPr>
              <w:spacing w:after="0"/>
              <w:jc w:val="left"/>
              <w:rPr>
                <w:rFonts w:ascii="Arial Narrow" w:eastAsia="Times New Roman" w:hAnsi="Arial Narrow"/>
                <w:b/>
                <w:bCs/>
                <w:sz w:val="20"/>
                <w:szCs w:val="20"/>
                <w:lang w:eastAsia="en-GB"/>
              </w:rPr>
            </w:pPr>
          </w:p>
        </w:tc>
        <w:tc>
          <w:tcPr>
            <w:tcW w:w="7883"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4A2508F2" w14:textId="77777777" w:rsidR="00683F4A" w:rsidRPr="00CD56B9" w:rsidRDefault="00683F4A" w:rsidP="009657E1">
            <w:pPr>
              <w:spacing w:after="0"/>
              <w:jc w:val="left"/>
              <w:rPr>
                <w:rFonts w:ascii="Arial Narrow" w:eastAsia="Times New Roman" w:hAnsi="Arial Narrow"/>
                <w:sz w:val="20"/>
                <w:szCs w:val="20"/>
                <w:lang w:val="en-US" w:eastAsia="en-GB"/>
              </w:rPr>
            </w:pPr>
            <w:r w:rsidRPr="00CD56B9">
              <w:rPr>
                <w:rFonts w:ascii="Arial Narrow" w:eastAsia="Times New Roman" w:hAnsi="Arial Narrow"/>
                <w:sz w:val="20"/>
                <w:szCs w:val="20"/>
                <w:lang w:val="en-US" w:eastAsia="en-GB"/>
              </w:rPr>
              <w:t>E: Justice and DA sub sector institutions using case and complaints handling framework (UNDP)</w:t>
            </w:r>
          </w:p>
        </w:tc>
        <w:tc>
          <w:tcPr>
            <w:tcW w:w="1230" w:type="dxa"/>
            <w:tcBorders>
              <w:top w:val="single" w:sz="4" w:space="0" w:color="auto"/>
              <w:left w:val="nil"/>
              <w:bottom w:val="single" w:sz="4" w:space="0" w:color="auto"/>
              <w:right w:val="single" w:sz="4" w:space="0" w:color="auto"/>
            </w:tcBorders>
            <w:shd w:val="clear" w:color="auto" w:fill="auto"/>
            <w:hideMark/>
          </w:tcPr>
          <w:p w14:paraId="09D4FDAA" w14:textId="77777777" w:rsidR="00683F4A" w:rsidRPr="003B552F" w:rsidRDefault="00683F4A" w:rsidP="009657E1">
            <w:pPr>
              <w:spacing w:after="0"/>
              <w:jc w:val="left"/>
              <w:rPr>
                <w:rFonts w:ascii="Arial Narrow" w:eastAsia="Times New Roman" w:hAnsi="Arial Narrow"/>
                <w:sz w:val="20"/>
                <w:szCs w:val="20"/>
                <w:lang w:eastAsia="en-GB"/>
              </w:rPr>
            </w:pPr>
            <w:r w:rsidRPr="003B552F">
              <w:rPr>
                <w:rFonts w:ascii="Arial Narrow" w:eastAsia="Times New Roman" w:hAnsi="Arial Narrow"/>
                <w:sz w:val="20"/>
                <w:szCs w:val="20"/>
                <w:lang w:eastAsia="en-GB"/>
              </w:rPr>
              <w:t>UNDP</w:t>
            </w:r>
          </w:p>
        </w:tc>
        <w:tc>
          <w:tcPr>
            <w:tcW w:w="953" w:type="dxa"/>
            <w:tcBorders>
              <w:top w:val="single" w:sz="4" w:space="0" w:color="auto"/>
              <w:left w:val="nil"/>
              <w:bottom w:val="single" w:sz="4" w:space="0" w:color="auto"/>
              <w:right w:val="single" w:sz="4" w:space="0" w:color="auto"/>
            </w:tcBorders>
            <w:shd w:val="clear" w:color="auto" w:fill="auto"/>
            <w:hideMark/>
          </w:tcPr>
          <w:p w14:paraId="4B141CC1"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100,000 </w:t>
            </w:r>
          </w:p>
        </w:tc>
        <w:tc>
          <w:tcPr>
            <w:tcW w:w="1037" w:type="dxa"/>
            <w:gridSpan w:val="3"/>
            <w:tcBorders>
              <w:top w:val="single" w:sz="4" w:space="0" w:color="auto"/>
              <w:left w:val="nil"/>
              <w:bottom w:val="single" w:sz="4" w:space="0" w:color="auto"/>
              <w:right w:val="single" w:sz="4" w:space="0" w:color="auto"/>
            </w:tcBorders>
            <w:shd w:val="clear" w:color="auto" w:fill="auto"/>
            <w:hideMark/>
          </w:tcPr>
          <w:p w14:paraId="5D9FE237"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w:t>
            </w:r>
          </w:p>
        </w:tc>
        <w:tc>
          <w:tcPr>
            <w:tcW w:w="986" w:type="dxa"/>
            <w:tcBorders>
              <w:top w:val="single" w:sz="4" w:space="0" w:color="auto"/>
              <w:left w:val="nil"/>
              <w:bottom w:val="single" w:sz="4" w:space="0" w:color="auto"/>
              <w:right w:val="single" w:sz="4" w:space="0" w:color="auto"/>
            </w:tcBorders>
            <w:shd w:val="clear" w:color="auto" w:fill="auto"/>
            <w:hideMark/>
          </w:tcPr>
          <w:p w14:paraId="59B64A78"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150,000 </w:t>
            </w:r>
          </w:p>
        </w:tc>
        <w:tc>
          <w:tcPr>
            <w:tcW w:w="1134" w:type="dxa"/>
            <w:tcBorders>
              <w:top w:val="single" w:sz="4" w:space="0" w:color="auto"/>
              <w:left w:val="nil"/>
              <w:bottom w:val="single" w:sz="4" w:space="0" w:color="auto"/>
              <w:right w:val="single" w:sz="8" w:space="0" w:color="auto"/>
            </w:tcBorders>
            <w:shd w:val="clear" w:color="auto" w:fill="auto"/>
            <w:hideMark/>
          </w:tcPr>
          <w:p w14:paraId="4153CC6A"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250,000 </w:t>
            </w:r>
          </w:p>
        </w:tc>
      </w:tr>
      <w:tr w:rsidR="00683F4A" w:rsidRPr="007D425D" w14:paraId="33F3D323" w14:textId="77777777" w:rsidTr="00683F4A">
        <w:trPr>
          <w:trHeight w:val="179"/>
          <w:jc w:val="center"/>
        </w:trPr>
        <w:tc>
          <w:tcPr>
            <w:tcW w:w="1529" w:type="dxa"/>
            <w:gridSpan w:val="2"/>
            <w:vMerge/>
            <w:tcBorders>
              <w:top w:val="nil"/>
              <w:left w:val="single" w:sz="8" w:space="0" w:color="auto"/>
              <w:bottom w:val="single" w:sz="4" w:space="0" w:color="000000"/>
              <w:right w:val="nil"/>
            </w:tcBorders>
            <w:vAlign w:val="center"/>
            <w:hideMark/>
          </w:tcPr>
          <w:p w14:paraId="12D1576A" w14:textId="77777777" w:rsidR="00683F4A" w:rsidRPr="003B552F" w:rsidRDefault="00683F4A" w:rsidP="009657E1">
            <w:pPr>
              <w:spacing w:after="0"/>
              <w:jc w:val="left"/>
              <w:rPr>
                <w:rFonts w:ascii="Arial Narrow" w:eastAsia="Times New Roman" w:hAnsi="Arial Narrow"/>
                <w:b/>
                <w:bCs/>
                <w:sz w:val="20"/>
                <w:szCs w:val="20"/>
                <w:lang w:eastAsia="en-GB"/>
              </w:rPr>
            </w:pPr>
          </w:p>
        </w:tc>
        <w:tc>
          <w:tcPr>
            <w:tcW w:w="7883" w:type="dxa"/>
            <w:gridSpan w:val="5"/>
            <w:tcBorders>
              <w:top w:val="single" w:sz="4" w:space="0" w:color="auto"/>
              <w:left w:val="single" w:sz="4" w:space="0" w:color="auto"/>
              <w:bottom w:val="single" w:sz="8" w:space="0" w:color="auto"/>
              <w:right w:val="single" w:sz="4" w:space="0" w:color="000000"/>
            </w:tcBorders>
            <w:shd w:val="clear" w:color="auto" w:fill="auto"/>
            <w:hideMark/>
          </w:tcPr>
          <w:p w14:paraId="0413418C" w14:textId="77777777" w:rsidR="00683F4A" w:rsidRPr="00CD56B9" w:rsidRDefault="00683F4A" w:rsidP="009657E1">
            <w:pPr>
              <w:spacing w:after="0"/>
              <w:jc w:val="left"/>
              <w:rPr>
                <w:rFonts w:ascii="Arial Narrow" w:eastAsia="Times New Roman" w:hAnsi="Arial Narrow"/>
                <w:sz w:val="20"/>
                <w:szCs w:val="20"/>
                <w:lang w:val="en-US" w:eastAsia="en-GB"/>
              </w:rPr>
            </w:pPr>
            <w:r w:rsidRPr="00CD56B9">
              <w:rPr>
                <w:rFonts w:ascii="Arial Narrow" w:eastAsia="Times New Roman" w:hAnsi="Arial Narrow"/>
                <w:sz w:val="20"/>
                <w:szCs w:val="20"/>
                <w:lang w:val="en-US" w:eastAsia="en-GB"/>
              </w:rPr>
              <w:t>F: Civil surveillance with participation of children established and functional to monitor implementation and policies and budget for children (UNICEF)</w:t>
            </w:r>
          </w:p>
        </w:tc>
        <w:tc>
          <w:tcPr>
            <w:tcW w:w="1230" w:type="dxa"/>
            <w:tcBorders>
              <w:top w:val="single" w:sz="4" w:space="0" w:color="auto"/>
              <w:left w:val="nil"/>
              <w:bottom w:val="single" w:sz="8" w:space="0" w:color="auto"/>
              <w:right w:val="single" w:sz="4" w:space="0" w:color="auto"/>
            </w:tcBorders>
            <w:shd w:val="clear" w:color="auto" w:fill="auto"/>
            <w:hideMark/>
          </w:tcPr>
          <w:p w14:paraId="71C648A3" w14:textId="77777777" w:rsidR="00683F4A" w:rsidRPr="003B552F" w:rsidRDefault="00683F4A" w:rsidP="009657E1">
            <w:pPr>
              <w:spacing w:after="0"/>
              <w:jc w:val="left"/>
              <w:rPr>
                <w:rFonts w:ascii="Arial Narrow" w:eastAsia="Times New Roman" w:hAnsi="Arial Narrow"/>
                <w:sz w:val="20"/>
                <w:szCs w:val="20"/>
                <w:lang w:eastAsia="en-GB"/>
              </w:rPr>
            </w:pPr>
            <w:r w:rsidRPr="003B552F">
              <w:rPr>
                <w:rFonts w:ascii="Arial Narrow" w:eastAsia="Times New Roman" w:hAnsi="Arial Narrow"/>
                <w:sz w:val="20"/>
                <w:szCs w:val="20"/>
                <w:lang w:eastAsia="en-GB"/>
              </w:rPr>
              <w:t>UNICEF</w:t>
            </w:r>
          </w:p>
        </w:tc>
        <w:tc>
          <w:tcPr>
            <w:tcW w:w="953" w:type="dxa"/>
            <w:tcBorders>
              <w:top w:val="single" w:sz="4" w:space="0" w:color="auto"/>
              <w:left w:val="nil"/>
              <w:bottom w:val="single" w:sz="8" w:space="0" w:color="auto"/>
              <w:right w:val="single" w:sz="4" w:space="0" w:color="auto"/>
            </w:tcBorders>
            <w:shd w:val="clear" w:color="auto" w:fill="auto"/>
            <w:hideMark/>
          </w:tcPr>
          <w:p w14:paraId="5EDD7891"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10,000 </w:t>
            </w:r>
          </w:p>
        </w:tc>
        <w:tc>
          <w:tcPr>
            <w:tcW w:w="1037" w:type="dxa"/>
            <w:gridSpan w:val="3"/>
            <w:tcBorders>
              <w:top w:val="single" w:sz="4" w:space="0" w:color="auto"/>
              <w:left w:val="nil"/>
              <w:bottom w:val="single" w:sz="8" w:space="0" w:color="auto"/>
              <w:right w:val="single" w:sz="4" w:space="0" w:color="auto"/>
            </w:tcBorders>
            <w:shd w:val="clear" w:color="auto" w:fill="auto"/>
            <w:hideMark/>
          </w:tcPr>
          <w:p w14:paraId="71674D7B"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180,000 </w:t>
            </w:r>
          </w:p>
        </w:tc>
        <w:tc>
          <w:tcPr>
            <w:tcW w:w="986" w:type="dxa"/>
            <w:tcBorders>
              <w:top w:val="single" w:sz="4" w:space="0" w:color="auto"/>
              <w:left w:val="nil"/>
              <w:bottom w:val="single" w:sz="8" w:space="0" w:color="auto"/>
              <w:right w:val="single" w:sz="4" w:space="0" w:color="auto"/>
            </w:tcBorders>
            <w:shd w:val="clear" w:color="auto" w:fill="auto"/>
            <w:hideMark/>
          </w:tcPr>
          <w:p w14:paraId="23145CB9"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300,000 </w:t>
            </w:r>
          </w:p>
        </w:tc>
        <w:tc>
          <w:tcPr>
            <w:tcW w:w="1134" w:type="dxa"/>
            <w:tcBorders>
              <w:top w:val="single" w:sz="4" w:space="0" w:color="auto"/>
              <w:left w:val="nil"/>
              <w:bottom w:val="single" w:sz="8" w:space="0" w:color="auto"/>
              <w:right w:val="single" w:sz="8" w:space="0" w:color="auto"/>
            </w:tcBorders>
            <w:shd w:val="clear" w:color="auto" w:fill="auto"/>
            <w:hideMark/>
          </w:tcPr>
          <w:p w14:paraId="5F35F48E"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490,000 </w:t>
            </w:r>
          </w:p>
        </w:tc>
      </w:tr>
      <w:tr w:rsidR="00683F4A" w:rsidRPr="007D425D" w14:paraId="7E1A3545" w14:textId="77777777" w:rsidTr="00683F4A">
        <w:trPr>
          <w:trHeight w:val="179"/>
          <w:jc w:val="center"/>
        </w:trPr>
        <w:tc>
          <w:tcPr>
            <w:tcW w:w="1529" w:type="dxa"/>
            <w:gridSpan w:val="2"/>
            <w:vMerge/>
            <w:tcBorders>
              <w:top w:val="nil"/>
              <w:left w:val="single" w:sz="8" w:space="0" w:color="auto"/>
              <w:bottom w:val="single" w:sz="4" w:space="0" w:color="000000"/>
              <w:right w:val="nil"/>
            </w:tcBorders>
            <w:vAlign w:val="center"/>
            <w:hideMark/>
          </w:tcPr>
          <w:p w14:paraId="2BF7C09B" w14:textId="77777777" w:rsidR="00683F4A" w:rsidRPr="003B552F" w:rsidRDefault="00683F4A" w:rsidP="009657E1">
            <w:pPr>
              <w:spacing w:after="0"/>
              <w:jc w:val="left"/>
              <w:rPr>
                <w:rFonts w:ascii="Arial Narrow" w:eastAsia="Times New Roman" w:hAnsi="Arial Narrow"/>
                <w:b/>
                <w:bCs/>
                <w:sz w:val="20"/>
                <w:szCs w:val="20"/>
                <w:lang w:eastAsia="en-GB"/>
              </w:rPr>
            </w:pPr>
          </w:p>
        </w:tc>
        <w:tc>
          <w:tcPr>
            <w:tcW w:w="7883" w:type="dxa"/>
            <w:gridSpan w:val="5"/>
            <w:tcBorders>
              <w:top w:val="single" w:sz="8" w:space="0" w:color="auto"/>
              <w:left w:val="single" w:sz="8" w:space="0" w:color="auto"/>
              <w:bottom w:val="single" w:sz="8" w:space="0" w:color="auto"/>
              <w:right w:val="single" w:sz="4" w:space="0" w:color="000000"/>
            </w:tcBorders>
            <w:shd w:val="clear" w:color="auto" w:fill="auto"/>
            <w:hideMark/>
          </w:tcPr>
          <w:p w14:paraId="5AA4BA72" w14:textId="77777777" w:rsidR="00683F4A" w:rsidRPr="00CD56B9" w:rsidRDefault="00683F4A" w:rsidP="009657E1">
            <w:pPr>
              <w:spacing w:after="0"/>
              <w:jc w:val="left"/>
              <w:rPr>
                <w:rFonts w:ascii="Arial Narrow" w:eastAsia="Times New Roman" w:hAnsi="Arial Narrow"/>
                <w:b/>
                <w:bCs/>
                <w:color w:val="FF0000"/>
                <w:sz w:val="20"/>
                <w:szCs w:val="20"/>
                <w:lang w:val="en-US" w:eastAsia="en-GB"/>
              </w:rPr>
            </w:pPr>
            <w:r w:rsidRPr="00CD56B9">
              <w:rPr>
                <w:rFonts w:ascii="Arial Narrow" w:eastAsia="Times New Roman" w:hAnsi="Arial Narrow"/>
                <w:b/>
                <w:bCs/>
                <w:color w:val="FF0000"/>
                <w:sz w:val="20"/>
                <w:szCs w:val="20"/>
                <w:lang w:val="en-US" w:eastAsia="en-GB"/>
              </w:rPr>
              <w:t>4.1.2-Total Budget for Annualised Key Results for 2013</w:t>
            </w:r>
          </w:p>
        </w:tc>
        <w:tc>
          <w:tcPr>
            <w:tcW w:w="1230" w:type="dxa"/>
            <w:tcBorders>
              <w:top w:val="single" w:sz="8" w:space="0" w:color="auto"/>
              <w:left w:val="nil"/>
              <w:bottom w:val="single" w:sz="8" w:space="0" w:color="auto"/>
              <w:right w:val="single" w:sz="4" w:space="0" w:color="auto"/>
            </w:tcBorders>
            <w:shd w:val="clear" w:color="auto" w:fill="auto"/>
            <w:hideMark/>
          </w:tcPr>
          <w:p w14:paraId="7C9193D5" w14:textId="77777777" w:rsidR="00683F4A" w:rsidRPr="00CD56B9" w:rsidRDefault="00683F4A" w:rsidP="009657E1">
            <w:pPr>
              <w:spacing w:after="0"/>
              <w:jc w:val="left"/>
              <w:rPr>
                <w:rFonts w:ascii="Arial Narrow" w:eastAsia="Times New Roman" w:hAnsi="Arial Narrow"/>
                <w:sz w:val="20"/>
                <w:szCs w:val="20"/>
                <w:lang w:val="en-US" w:eastAsia="en-GB"/>
              </w:rPr>
            </w:pPr>
            <w:r w:rsidRPr="00CD56B9">
              <w:rPr>
                <w:rFonts w:ascii="Arial Narrow" w:eastAsia="Times New Roman" w:hAnsi="Arial Narrow"/>
                <w:sz w:val="20"/>
                <w:szCs w:val="20"/>
                <w:lang w:val="en-US" w:eastAsia="en-GB"/>
              </w:rPr>
              <w:t> </w:t>
            </w:r>
          </w:p>
        </w:tc>
        <w:tc>
          <w:tcPr>
            <w:tcW w:w="953" w:type="dxa"/>
            <w:tcBorders>
              <w:top w:val="single" w:sz="8" w:space="0" w:color="auto"/>
              <w:left w:val="nil"/>
              <w:bottom w:val="single" w:sz="8" w:space="0" w:color="auto"/>
              <w:right w:val="single" w:sz="4" w:space="0" w:color="auto"/>
            </w:tcBorders>
            <w:shd w:val="clear" w:color="auto" w:fill="auto"/>
            <w:hideMark/>
          </w:tcPr>
          <w:p w14:paraId="77E14C36" w14:textId="77777777" w:rsidR="00683F4A" w:rsidRPr="003B552F" w:rsidRDefault="00683F4A" w:rsidP="009657E1">
            <w:pPr>
              <w:spacing w:after="0"/>
              <w:jc w:val="right"/>
              <w:rPr>
                <w:rFonts w:ascii="Arial Narrow" w:eastAsia="Times New Roman" w:hAnsi="Arial Narrow"/>
                <w:b/>
                <w:bCs/>
                <w:color w:val="FF0000"/>
                <w:sz w:val="20"/>
                <w:szCs w:val="20"/>
                <w:lang w:eastAsia="en-GB"/>
              </w:rPr>
            </w:pPr>
            <w:r w:rsidRPr="00CD56B9">
              <w:rPr>
                <w:rFonts w:ascii="Arial Narrow" w:eastAsia="Times New Roman" w:hAnsi="Arial Narrow"/>
                <w:b/>
                <w:bCs/>
                <w:color w:val="FF0000"/>
                <w:sz w:val="20"/>
                <w:szCs w:val="20"/>
                <w:lang w:val="en-US" w:eastAsia="en-GB"/>
              </w:rPr>
              <w:t xml:space="preserve">           </w:t>
            </w:r>
            <w:r w:rsidRPr="003B552F">
              <w:rPr>
                <w:rFonts w:ascii="Arial Narrow" w:eastAsia="Times New Roman" w:hAnsi="Arial Narrow"/>
                <w:b/>
                <w:bCs/>
                <w:color w:val="FF0000"/>
                <w:sz w:val="20"/>
                <w:szCs w:val="20"/>
                <w:lang w:eastAsia="en-GB"/>
              </w:rPr>
              <w:t xml:space="preserve">320,000 </w:t>
            </w:r>
          </w:p>
        </w:tc>
        <w:tc>
          <w:tcPr>
            <w:tcW w:w="1037" w:type="dxa"/>
            <w:gridSpan w:val="3"/>
            <w:tcBorders>
              <w:top w:val="single" w:sz="8" w:space="0" w:color="auto"/>
              <w:left w:val="nil"/>
              <w:bottom w:val="single" w:sz="8" w:space="0" w:color="auto"/>
              <w:right w:val="single" w:sz="4" w:space="0" w:color="auto"/>
            </w:tcBorders>
            <w:shd w:val="clear" w:color="auto" w:fill="auto"/>
            <w:hideMark/>
          </w:tcPr>
          <w:p w14:paraId="19359AF2" w14:textId="77777777" w:rsidR="00683F4A" w:rsidRPr="003B552F" w:rsidRDefault="00683F4A" w:rsidP="009657E1">
            <w:pPr>
              <w:spacing w:after="0"/>
              <w:jc w:val="right"/>
              <w:rPr>
                <w:rFonts w:ascii="Arial Narrow" w:eastAsia="Times New Roman" w:hAnsi="Arial Narrow"/>
                <w:b/>
                <w:bCs/>
                <w:color w:val="FF0000"/>
                <w:sz w:val="20"/>
                <w:szCs w:val="20"/>
                <w:lang w:eastAsia="en-GB"/>
              </w:rPr>
            </w:pPr>
            <w:r w:rsidRPr="003B552F">
              <w:rPr>
                <w:rFonts w:ascii="Arial Narrow" w:eastAsia="Times New Roman" w:hAnsi="Arial Narrow"/>
                <w:b/>
                <w:bCs/>
                <w:color w:val="FF0000"/>
                <w:sz w:val="20"/>
                <w:szCs w:val="20"/>
                <w:lang w:eastAsia="en-GB"/>
              </w:rPr>
              <w:t xml:space="preserve">            380,000 </w:t>
            </w:r>
          </w:p>
        </w:tc>
        <w:tc>
          <w:tcPr>
            <w:tcW w:w="986" w:type="dxa"/>
            <w:tcBorders>
              <w:top w:val="single" w:sz="8" w:space="0" w:color="auto"/>
              <w:left w:val="nil"/>
              <w:bottom w:val="single" w:sz="8" w:space="0" w:color="auto"/>
              <w:right w:val="single" w:sz="4" w:space="0" w:color="auto"/>
            </w:tcBorders>
            <w:shd w:val="clear" w:color="auto" w:fill="auto"/>
            <w:hideMark/>
          </w:tcPr>
          <w:p w14:paraId="3885FBF9" w14:textId="77777777" w:rsidR="00683F4A" w:rsidRPr="003B552F" w:rsidRDefault="00683F4A" w:rsidP="009657E1">
            <w:pPr>
              <w:spacing w:after="0"/>
              <w:jc w:val="right"/>
              <w:rPr>
                <w:rFonts w:ascii="Arial Narrow" w:eastAsia="Times New Roman" w:hAnsi="Arial Narrow"/>
                <w:b/>
                <w:bCs/>
                <w:color w:val="FF0000"/>
                <w:sz w:val="20"/>
                <w:szCs w:val="20"/>
                <w:lang w:eastAsia="en-GB"/>
              </w:rPr>
            </w:pPr>
            <w:r w:rsidRPr="003B552F">
              <w:rPr>
                <w:rFonts w:ascii="Arial Narrow" w:eastAsia="Times New Roman" w:hAnsi="Arial Narrow"/>
                <w:b/>
                <w:bCs/>
                <w:color w:val="FF0000"/>
                <w:sz w:val="20"/>
                <w:szCs w:val="20"/>
                <w:lang w:eastAsia="en-GB"/>
              </w:rPr>
              <w:t xml:space="preserve">           900,000 </w:t>
            </w:r>
          </w:p>
        </w:tc>
        <w:tc>
          <w:tcPr>
            <w:tcW w:w="1134" w:type="dxa"/>
            <w:tcBorders>
              <w:top w:val="single" w:sz="8" w:space="0" w:color="auto"/>
              <w:left w:val="nil"/>
              <w:bottom w:val="single" w:sz="8" w:space="0" w:color="auto"/>
              <w:right w:val="single" w:sz="8" w:space="0" w:color="auto"/>
            </w:tcBorders>
            <w:shd w:val="clear" w:color="auto" w:fill="auto"/>
            <w:hideMark/>
          </w:tcPr>
          <w:p w14:paraId="072052EE" w14:textId="77777777" w:rsidR="00683F4A" w:rsidRPr="003B552F" w:rsidRDefault="00683F4A" w:rsidP="009657E1">
            <w:pPr>
              <w:spacing w:after="0"/>
              <w:jc w:val="right"/>
              <w:rPr>
                <w:rFonts w:ascii="Arial Narrow" w:eastAsia="Times New Roman" w:hAnsi="Arial Narrow"/>
                <w:b/>
                <w:bCs/>
                <w:color w:val="FF0000"/>
                <w:sz w:val="20"/>
                <w:szCs w:val="20"/>
                <w:lang w:eastAsia="en-GB"/>
              </w:rPr>
            </w:pPr>
            <w:r w:rsidRPr="003B552F">
              <w:rPr>
                <w:rFonts w:ascii="Arial Narrow" w:eastAsia="Times New Roman" w:hAnsi="Arial Narrow"/>
                <w:b/>
                <w:bCs/>
                <w:color w:val="FF0000"/>
                <w:sz w:val="20"/>
                <w:szCs w:val="20"/>
                <w:lang w:eastAsia="en-GB"/>
              </w:rPr>
              <w:t xml:space="preserve">          1,600,000 </w:t>
            </w:r>
          </w:p>
        </w:tc>
      </w:tr>
      <w:tr w:rsidR="00683F4A" w:rsidRPr="007D425D" w14:paraId="31382A60" w14:textId="77777777" w:rsidTr="009657E1">
        <w:trPr>
          <w:trHeight w:val="168"/>
          <w:jc w:val="center"/>
        </w:trPr>
        <w:tc>
          <w:tcPr>
            <w:tcW w:w="1529" w:type="dxa"/>
            <w:gridSpan w:val="2"/>
            <w:vMerge w:val="restart"/>
            <w:tcBorders>
              <w:top w:val="nil"/>
              <w:left w:val="single" w:sz="8" w:space="0" w:color="auto"/>
              <w:bottom w:val="single" w:sz="4" w:space="0" w:color="000000"/>
              <w:right w:val="nil"/>
            </w:tcBorders>
            <w:shd w:val="clear" w:color="auto" w:fill="auto"/>
            <w:hideMark/>
          </w:tcPr>
          <w:p w14:paraId="4E7A9CD7" w14:textId="77777777" w:rsidR="00683F4A" w:rsidRPr="003B552F" w:rsidRDefault="00683F4A" w:rsidP="009657E1">
            <w:pPr>
              <w:spacing w:after="0"/>
              <w:jc w:val="left"/>
              <w:rPr>
                <w:rFonts w:ascii="Arial Narrow" w:eastAsia="Times New Roman" w:hAnsi="Arial Narrow"/>
                <w:b/>
                <w:bCs/>
                <w:sz w:val="20"/>
                <w:szCs w:val="20"/>
                <w:lang w:eastAsia="en-GB"/>
              </w:rPr>
            </w:pPr>
            <w:r w:rsidRPr="003B552F">
              <w:rPr>
                <w:rFonts w:ascii="Arial Narrow" w:eastAsia="Times New Roman" w:hAnsi="Arial Narrow"/>
                <w:b/>
                <w:bCs/>
                <w:sz w:val="20"/>
                <w:szCs w:val="20"/>
                <w:lang w:eastAsia="en-GB"/>
              </w:rPr>
              <w:t>Annualized Key Results 2014</w:t>
            </w:r>
          </w:p>
        </w:tc>
        <w:tc>
          <w:tcPr>
            <w:tcW w:w="7883" w:type="dxa"/>
            <w:gridSpan w:val="5"/>
            <w:tcBorders>
              <w:top w:val="nil"/>
              <w:left w:val="single" w:sz="4" w:space="0" w:color="auto"/>
              <w:bottom w:val="single" w:sz="4" w:space="0" w:color="auto"/>
              <w:right w:val="single" w:sz="4" w:space="0" w:color="000000"/>
            </w:tcBorders>
            <w:shd w:val="clear" w:color="auto" w:fill="auto"/>
            <w:hideMark/>
          </w:tcPr>
          <w:p w14:paraId="50DFB8D9" w14:textId="77777777" w:rsidR="00683F4A" w:rsidRPr="00CD56B9" w:rsidRDefault="00683F4A" w:rsidP="009657E1">
            <w:pPr>
              <w:spacing w:after="0"/>
              <w:jc w:val="left"/>
              <w:rPr>
                <w:rFonts w:ascii="Arial Narrow" w:eastAsia="Times New Roman" w:hAnsi="Arial Narrow"/>
                <w:sz w:val="20"/>
                <w:szCs w:val="20"/>
                <w:lang w:val="en-US" w:eastAsia="en-GB"/>
              </w:rPr>
            </w:pPr>
            <w:r w:rsidRPr="00CD56B9">
              <w:rPr>
                <w:rFonts w:ascii="Arial Narrow" w:eastAsia="Times New Roman" w:hAnsi="Arial Narrow"/>
                <w:sz w:val="20"/>
                <w:szCs w:val="20"/>
                <w:lang w:val="en-US" w:eastAsia="en-GB"/>
              </w:rPr>
              <w:t xml:space="preserve">B: Child Court services strengthened in 7 districts and diversion programs rolled out to 28 districts (UNICEF).    </w:t>
            </w:r>
          </w:p>
        </w:tc>
        <w:tc>
          <w:tcPr>
            <w:tcW w:w="1230" w:type="dxa"/>
            <w:tcBorders>
              <w:top w:val="nil"/>
              <w:left w:val="nil"/>
              <w:bottom w:val="single" w:sz="4" w:space="0" w:color="auto"/>
              <w:right w:val="single" w:sz="4" w:space="0" w:color="auto"/>
            </w:tcBorders>
            <w:shd w:val="clear" w:color="auto" w:fill="auto"/>
            <w:hideMark/>
          </w:tcPr>
          <w:p w14:paraId="31C34762" w14:textId="77777777" w:rsidR="00683F4A" w:rsidRPr="003B552F" w:rsidRDefault="00683F4A" w:rsidP="009657E1">
            <w:pPr>
              <w:spacing w:after="0"/>
              <w:jc w:val="left"/>
              <w:rPr>
                <w:rFonts w:ascii="Arial Narrow" w:eastAsia="Times New Roman" w:hAnsi="Arial Narrow"/>
                <w:sz w:val="20"/>
                <w:szCs w:val="20"/>
                <w:lang w:eastAsia="en-GB"/>
              </w:rPr>
            </w:pPr>
            <w:r w:rsidRPr="003B552F">
              <w:rPr>
                <w:rFonts w:ascii="Arial Narrow" w:eastAsia="Times New Roman" w:hAnsi="Arial Narrow"/>
                <w:sz w:val="20"/>
                <w:szCs w:val="20"/>
                <w:lang w:eastAsia="en-GB"/>
              </w:rPr>
              <w:t>UNICEF</w:t>
            </w:r>
          </w:p>
        </w:tc>
        <w:tc>
          <w:tcPr>
            <w:tcW w:w="953" w:type="dxa"/>
            <w:tcBorders>
              <w:top w:val="nil"/>
              <w:left w:val="nil"/>
              <w:bottom w:val="single" w:sz="4" w:space="0" w:color="auto"/>
              <w:right w:val="single" w:sz="4" w:space="0" w:color="auto"/>
            </w:tcBorders>
            <w:shd w:val="clear" w:color="auto" w:fill="auto"/>
            <w:hideMark/>
          </w:tcPr>
          <w:p w14:paraId="2B963951"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10,000 </w:t>
            </w:r>
          </w:p>
        </w:tc>
        <w:tc>
          <w:tcPr>
            <w:tcW w:w="1037" w:type="dxa"/>
            <w:gridSpan w:val="3"/>
            <w:tcBorders>
              <w:top w:val="nil"/>
              <w:left w:val="nil"/>
              <w:bottom w:val="single" w:sz="4" w:space="0" w:color="auto"/>
              <w:right w:val="single" w:sz="4" w:space="0" w:color="auto"/>
            </w:tcBorders>
            <w:shd w:val="clear" w:color="auto" w:fill="auto"/>
            <w:hideMark/>
          </w:tcPr>
          <w:p w14:paraId="3D21B38A"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180,000 </w:t>
            </w:r>
          </w:p>
        </w:tc>
        <w:tc>
          <w:tcPr>
            <w:tcW w:w="986" w:type="dxa"/>
            <w:tcBorders>
              <w:top w:val="nil"/>
              <w:left w:val="nil"/>
              <w:bottom w:val="single" w:sz="4" w:space="0" w:color="auto"/>
              <w:right w:val="single" w:sz="4" w:space="0" w:color="auto"/>
            </w:tcBorders>
            <w:shd w:val="clear" w:color="auto" w:fill="auto"/>
            <w:hideMark/>
          </w:tcPr>
          <w:p w14:paraId="50F18A2D"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300,000 </w:t>
            </w:r>
          </w:p>
        </w:tc>
        <w:tc>
          <w:tcPr>
            <w:tcW w:w="1134" w:type="dxa"/>
            <w:tcBorders>
              <w:top w:val="nil"/>
              <w:left w:val="nil"/>
              <w:bottom w:val="single" w:sz="4" w:space="0" w:color="auto"/>
              <w:right w:val="single" w:sz="8" w:space="0" w:color="auto"/>
            </w:tcBorders>
            <w:shd w:val="clear" w:color="auto" w:fill="auto"/>
            <w:hideMark/>
          </w:tcPr>
          <w:p w14:paraId="5D4EC067"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490,000 </w:t>
            </w:r>
          </w:p>
        </w:tc>
      </w:tr>
      <w:tr w:rsidR="00683F4A" w:rsidRPr="007D425D" w14:paraId="00FD0884" w14:textId="77777777" w:rsidTr="009657E1">
        <w:trPr>
          <w:trHeight w:val="168"/>
          <w:jc w:val="center"/>
        </w:trPr>
        <w:tc>
          <w:tcPr>
            <w:tcW w:w="1529" w:type="dxa"/>
            <w:gridSpan w:val="2"/>
            <w:vMerge/>
            <w:tcBorders>
              <w:top w:val="nil"/>
              <w:left w:val="single" w:sz="8" w:space="0" w:color="auto"/>
              <w:bottom w:val="single" w:sz="4" w:space="0" w:color="000000"/>
              <w:right w:val="nil"/>
            </w:tcBorders>
            <w:vAlign w:val="center"/>
            <w:hideMark/>
          </w:tcPr>
          <w:p w14:paraId="52BE817C" w14:textId="77777777" w:rsidR="00683F4A" w:rsidRPr="003B552F" w:rsidRDefault="00683F4A" w:rsidP="009657E1">
            <w:pPr>
              <w:spacing w:after="0"/>
              <w:jc w:val="left"/>
              <w:rPr>
                <w:rFonts w:ascii="Arial Narrow" w:eastAsia="Times New Roman" w:hAnsi="Arial Narrow"/>
                <w:b/>
                <w:bCs/>
                <w:sz w:val="20"/>
                <w:szCs w:val="20"/>
                <w:lang w:eastAsia="en-GB"/>
              </w:rPr>
            </w:pPr>
          </w:p>
        </w:tc>
        <w:tc>
          <w:tcPr>
            <w:tcW w:w="7883"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717A5F5D" w14:textId="77777777" w:rsidR="00683F4A" w:rsidRPr="00CD56B9" w:rsidRDefault="00683F4A" w:rsidP="009657E1">
            <w:pPr>
              <w:spacing w:after="0"/>
              <w:jc w:val="left"/>
              <w:rPr>
                <w:rFonts w:ascii="Arial Narrow" w:eastAsia="Times New Roman" w:hAnsi="Arial Narrow"/>
                <w:sz w:val="20"/>
                <w:szCs w:val="20"/>
                <w:lang w:val="en-US" w:eastAsia="en-GB"/>
              </w:rPr>
            </w:pPr>
            <w:r w:rsidRPr="00CD56B9">
              <w:rPr>
                <w:rFonts w:ascii="Arial Narrow" w:eastAsia="Times New Roman" w:hAnsi="Arial Narrow"/>
                <w:sz w:val="20"/>
                <w:szCs w:val="20"/>
                <w:lang w:val="en-US" w:eastAsia="en-GB"/>
              </w:rPr>
              <w:t>E: Additional 2 institutions in the DGSWG develop institutional strategic plans (UNDP).</w:t>
            </w:r>
          </w:p>
        </w:tc>
        <w:tc>
          <w:tcPr>
            <w:tcW w:w="1230" w:type="dxa"/>
            <w:tcBorders>
              <w:top w:val="nil"/>
              <w:left w:val="nil"/>
              <w:bottom w:val="single" w:sz="4" w:space="0" w:color="auto"/>
              <w:right w:val="single" w:sz="4" w:space="0" w:color="auto"/>
            </w:tcBorders>
            <w:shd w:val="clear" w:color="auto" w:fill="auto"/>
            <w:hideMark/>
          </w:tcPr>
          <w:p w14:paraId="7EA97382" w14:textId="77777777" w:rsidR="00683F4A" w:rsidRPr="003B552F" w:rsidRDefault="00683F4A" w:rsidP="009657E1">
            <w:pPr>
              <w:spacing w:after="0"/>
              <w:jc w:val="left"/>
              <w:rPr>
                <w:rFonts w:ascii="Arial Narrow" w:eastAsia="Times New Roman" w:hAnsi="Arial Narrow"/>
                <w:sz w:val="20"/>
                <w:szCs w:val="20"/>
                <w:lang w:eastAsia="en-GB"/>
              </w:rPr>
            </w:pPr>
            <w:r w:rsidRPr="003B552F">
              <w:rPr>
                <w:rFonts w:ascii="Arial Narrow" w:eastAsia="Times New Roman" w:hAnsi="Arial Narrow"/>
                <w:sz w:val="20"/>
                <w:szCs w:val="20"/>
                <w:lang w:eastAsia="en-GB"/>
              </w:rPr>
              <w:t>UNDP</w:t>
            </w:r>
          </w:p>
        </w:tc>
        <w:tc>
          <w:tcPr>
            <w:tcW w:w="953" w:type="dxa"/>
            <w:tcBorders>
              <w:top w:val="nil"/>
              <w:left w:val="nil"/>
              <w:bottom w:val="single" w:sz="4" w:space="0" w:color="auto"/>
              <w:right w:val="single" w:sz="4" w:space="0" w:color="auto"/>
            </w:tcBorders>
            <w:shd w:val="clear" w:color="auto" w:fill="auto"/>
            <w:hideMark/>
          </w:tcPr>
          <w:p w14:paraId="45C144D4"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300,000 </w:t>
            </w:r>
          </w:p>
        </w:tc>
        <w:tc>
          <w:tcPr>
            <w:tcW w:w="1037" w:type="dxa"/>
            <w:gridSpan w:val="3"/>
            <w:tcBorders>
              <w:top w:val="nil"/>
              <w:left w:val="nil"/>
              <w:bottom w:val="single" w:sz="4" w:space="0" w:color="auto"/>
              <w:right w:val="single" w:sz="4" w:space="0" w:color="auto"/>
            </w:tcBorders>
            <w:shd w:val="clear" w:color="auto" w:fill="auto"/>
            <w:hideMark/>
          </w:tcPr>
          <w:p w14:paraId="227A4392"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w:t>
            </w:r>
          </w:p>
        </w:tc>
        <w:tc>
          <w:tcPr>
            <w:tcW w:w="986" w:type="dxa"/>
            <w:tcBorders>
              <w:top w:val="nil"/>
              <w:left w:val="nil"/>
              <w:bottom w:val="single" w:sz="4" w:space="0" w:color="auto"/>
              <w:right w:val="single" w:sz="4" w:space="0" w:color="auto"/>
            </w:tcBorders>
            <w:shd w:val="clear" w:color="auto" w:fill="auto"/>
            <w:hideMark/>
          </w:tcPr>
          <w:p w14:paraId="477F079D"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300,000 </w:t>
            </w:r>
          </w:p>
        </w:tc>
        <w:tc>
          <w:tcPr>
            <w:tcW w:w="1134" w:type="dxa"/>
            <w:tcBorders>
              <w:top w:val="nil"/>
              <w:left w:val="nil"/>
              <w:bottom w:val="single" w:sz="4" w:space="0" w:color="auto"/>
              <w:right w:val="single" w:sz="8" w:space="0" w:color="auto"/>
            </w:tcBorders>
            <w:shd w:val="clear" w:color="auto" w:fill="auto"/>
            <w:hideMark/>
          </w:tcPr>
          <w:p w14:paraId="6F53E820"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600,000 </w:t>
            </w:r>
          </w:p>
        </w:tc>
      </w:tr>
      <w:tr w:rsidR="00683F4A" w:rsidRPr="007D425D" w14:paraId="4EB48E9D" w14:textId="77777777" w:rsidTr="009657E1">
        <w:trPr>
          <w:trHeight w:val="179"/>
          <w:jc w:val="center"/>
        </w:trPr>
        <w:tc>
          <w:tcPr>
            <w:tcW w:w="1529" w:type="dxa"/>
            <w:gridSpan w:val="2"/>
            <w:vMerge/>
            <w:tcBorders>
              <w:top w:val="nil"/>
              <w:left w:val="single" w:sz="8" w:space="0" w:color="auto"/>
              <w:bottom w:val="single" w:sz="4" w:space="0" w:color="000000"/>
              <w:right w:val="nil"/>
            </w:tcBorders>
            <w:vAlign w:val="center"/>
            <w:hideMark/>
          </w:tcPr>
          <w:p w14:paraId="063C7138" w14:textId="77777777" w:rsidR="00683F4A" w:rsidRPr="003B552F" w:rsidRDefault="00683F4A" w:rsidP="009657E1">
            <w:pPr>
              <w:spacing w:after="0"/>
              <w:jc w:val="left"/>
              <w:rPr>
                <w:rFonts w:ascii="Arial Narrow" w:eastAsia="Times New Roman" w:hAnsi="Arial Narrow"/>
                <w:b/>
                <w:bCs/>
                <w:sz w:val="20"/>
                <w:szCs w:val="20"/>
                <w:lang w:eastAsia="en-GB"/>
              </w:rPr>
            </w:pPr>
          </w:p>
        </w:tc>
        <w:tc>
          <w:tcPr>
            <w:tcW w:w="7883" w:type="dxa"/>
            <w:gridSpan w:val="5"/>
            <w:tcBorders>
              <w:top w:val="single" w:sz="4" w:space="0" w:color="auto"/>
              <w:left w:val="single" w:sz="4" w:space="0" w:color="auto"/>
              <w:bottom w:val="nil"/>
              <w:right w:val="single" w:sz="4" w:space="0" w:color="000000"/>
            </w:tcBorders>
            <w:shd w:val="clear" w:color="auto" w:fill="auto"/>
            <w:hideMark/>
          </w:tcPr>
          <w:p w14:paraId="57D02CD6" w14:textId="77777777" w:rsidR="00683F4A" w:rsidRPr="003B552F" w:rsidRDefault="00683F4A" w:rsidP="009657E1">
            <w:pPr>
              <w:spacing w:after="0"/>
              <w:jc w:val="left"/>
              <w:rPr>
                <w:rFonts w:ascii="Arial Narrow" w:eastAsia="Times New Roman" w:hAnsi="Arial Narrow"/>
                <w:sz w:val="20"/>
                <w:szCs w:val="20"/>
                <w:lang w:eastAsia="en-GB"/>
              </w:rPr>
            </w:pPr>
            <w:r w:rsidRPr="00CD56B9">
              <w:rPr>
                <w:rFonts w:ascii="Arial Narrow" w:eastAsia="Times New Roman" w:hAnsi="Arial Narrow"/>
                <w:sz w:val="20"/>
                <w:szCs w:val="20"/>
                <w:lang w:val="en-US" w:eastAsia="en-GB"/>
              </w:rPr>
              <w:t xml:space="preserve">G: Resolutions from the 2nd Session of the Youth Parliament influence parliamentary debates and policy decisions.  </w:t>
            </w:r>
            <w:r w:rsidRPr="003B552F">
              <w:rPr>
                <w:rFonts w:ascii="Arial Narrow" w:eastAsia="Times New Roman" w:hAnsi="Arial Narrow"/>
                <w:sz w:val="20"/>
                <w:szCs w:val="20"/>
                <w:lang w:eastAsia="en-GB"/>
              </w:rPr>
              <w:t xml:space="preserve">(UNICEF).      </w:t>
            </w:r>
          </w:p>
        </w:tc>
        <w:tc>
          <w:tcPr>
            <w:tcW w:w="1230" w:type="dxa"/>
            <w:tcBorders>
              <w:top w:val="nil"/>
              <w:left w:val="nil"/>
              <w:bottom w:val="nil"/>
              <w:right w:val="single" w:sz="4" w:space="0" w:color="auto"/>
            </w:tcBorders>
            <w:shd w:val="clear" w:color="auto" w:fill="auto"/>
            <w:hideMark/>
          </w:tcPr>
          <w:p w14:paraId="6854FB9E" w14:textId="77777777" w:rsidR="00683F4A" w:rsidRPr="003B552F" w:rsidRDefault="00683F4A" w:rsidP="009657E1">
            <w:pPr>
              <w:spacing w:after="0"/>
              <w:jc w:val="left"/>
              <w:rPr>
                <w:rFonts w:ascii="Arial Narrow" w:eastAsia="Times New Roman" w:hAnsi="Arial Narrow"/>
                <w:sz w:val="20"/>
                <w:szCs w:val="20"/>
                <w:lang w:eastAsia="en-GB"/>
              </w:rPr>
            </w:pPr>
            <w:r w:rsidRPr="003B552F">
              <w:rPr>
                <w:rFonts w:ascii="Arial Narrow" w:eastAsia="Times New Roman" w:hAnsi="Arial Narrow"/>
                <w:sz w:val="20"/>
                <w:szCs w:val="20"/>
                <w:lang w:eastAsia="en-GB"/>
              </w:rPr>
              <w:t>UNICEF</w:t>
            </w:r>
          </w:p>
        </w:tc>
        <w:tc>
          <w:tcPr>
            <w:tcW w:w="953" w:type="dxa"/>
            <w:tcBorders>
              <w:top w:val="nil"/>
              <w:left w:val="nil"/>
              <w:bottom w:val="nil"/>
              <w:right w:val="single" w:sz="4" w:space="0" w:color="auto"/>
            </w:tcBorders>
            <w:shd w:val="clear" w:color="auto" w:fill="auto"/>
            <w:hideMark/>
          </w:tcPr>
          <w:p w14:paraId="1F45D03D"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10,000 </w:t>
            </w:r>
          </w:p>
        </w:tc>
        <w:tc>
          <w:tcPr>
            <w:tcW w:w="1037" w:type="dxa"/>
            <w:gridSpan w:val="3"/>
            <w:tcBorders>
              <w:top w:val="nil"/>
              <w:left w:val="nil"/>
              <w:bottom w:val="nil"/>
              <w:right w:val="single" w:sz="4" w:space="0" w:color="auto"/>
            </w:tcBorders>
            <w:shd w:val="clear" w:color="auto" w:fill="auto"/>
            <w:hideMark/>
          </w:tcPr>
          <w:p w14:paraId="545286F4"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200,000 </w:t>
            </w:r>
          </w:p>
        </w:tc>
        <w:tc>
          <w:tcPr>
            <w:tcW w:w="986" w:type="dxa"/>
            <w:tcBorders>
              <w:top w:val="nil"/>
              <w:left w:val="nil"/>
              <w:bottom w:val="nil"/>
              <w:right w:val="single" w:sz="4" w:space="0" w:color="auto"/>
            </w:tcBorders>
            <w:shd w:val="clear" w:color="auto" w:fill="auto"/>
            <w:hideMark/>
          </w:tcPr>
          <w:p w14:paraId="7D1033D3"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300,000 </w:t>
            </w:r>
          </w:p>
        </w:tc>
        <w:tc>
          <w:tcPr>
            <w:tcW w:w="1134" w:type="dxa"/>
            <w:tcBorders>
              <w:top w:val="nil"/>
              <w:left w:val="nil"/>
              <w:bottom w:val="nil"/>
              <w:right w:val="single" w:sz="8" w:space="0" w:color="auto"/>
            </w:tcBorders>
            <w:shd w:val="clear" w:color="auto" w:fill="auto"/>
            <w:hideMark/>
          </w:tcPr>
          <w:p w14:paraId="71A12926"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510,000 </w:t>
            </w:r>
          </w:p>
        </w:tc>
      </w:tr>
      <w:tr w:rsidR="00683F4A" w:rsidRPr="007D425D" w14:paraId="2CA736B4" w14:textId="77777777" w:rsidTr="009657E1">
        <w:trPr>
          <w:trHeight w:val="179"/>
          <w:jc w:val="center"/>
        </w:trPr>
        <w:tc>
          <w:tcPr>
            <w:tcW w:w="1529" w:type="dxa"/>
            <w:gridSpan w:val="2"/>
            <w:vMerge/>
            <w:tcBorders>
              <w:top w:val="nil"/>
              <w:left w:val="single" w:sz="8" w:space="0" w:color="auto"/>
              <w:bottom w:val="single" w:sz="4" w:space="0" w:color="000000"/>
              <w:right w:val="nil"/>
            </w:tcBorders>
            <w:vAlign w:val="center"/>
            <w:hideMark/>
          </w:tcPr>
          <w:p w14:paraId="7FD007F4" w14:textId="77777777" w:rsidR="00683F4A" w:rsidRPr="003B552F" w:rsidRDefault="00683F4A" w:rsidP="009657E1">
            <w:pPr>
              <w:spacing w:after="0"/>
              <w:jc w:val="left"/>
              <w:rPr>
                <w:rFonts w:ascii="Arial Narrow" w:eastAsia="Times New Roman" w:hAnsi="Arial Narrow"/>
                <w:b/>
                <w:bCs/>
                <w:sz w:val="20"/>
                <w:szCs w:val="20"/>
                <w:lang w:eastAsia="en-GB"/>
              </w:rPr>
            </w:pPr>
          </w:p>
        </w:tc>
        <w:tc>
          <w:tcPr>
            <w:tcW w:w="7883" w:type="dxa"/>
            <w:gridSpan w:val="5"/>
            <w:tcBorders>
              <w:top w:val="single" w:sz="8" w:space="0" w:color="auto"/>
              <w:left w:val="single" w:sz="8" w:space="0" w:color="auto"/>
              <w:bottom w:val="single" w:sz="8" w:space="0" w:color="auto"/>
              <w:right w:val="single" w:sz="4" w:space="0" w:color="000000"/>
            </w:tcBorders>
            <w:shd w:val="clear" w:color="auto" w:fill="auto"/>
            <w:hideMark/>
          </w:tcPr>
          <w:p w14:paraId="6ACE238F" w14:textId="77777777" w:rsidR="00683F4A" w:rsidRPr="00CD56B9" w:rsidRDefault="00683F4A" w:rsidP="009657E1">
            <w:pPr>
              <w:spacing w:after="0"/>
              <w:jc w:val="left"/>
              <w:rPr>
                <w:rFonts w:ascii="Arial Narrow" w:eastAsia="Times New Roman" w:hAnsi="Arial Narrow"/>
                <w:b/>
                <w:bCs/>
                <w:color w:val="FF0000"/>
                <w:sz w:val="20"/>
                <w:szCs w:val="20"/>
                <w:lang w:val="en-US" w:eastAsia="en-GB"/>
              </w:rPr>
            </w:pPr>
            <w:r w:rsidRPr="00CD56B9">
              <w:rPr>
                <w:rFonts w:ascii="Arial Narrow" w:eastAsia="Times New Roman" w:hAnsi="Arial Narrow"/>
                <w:b/>
                <w:bCs/>
                <w:color w:val="FF0000"/>
                <w:sz w:val="20"/>
                <w:szCs w:val="20"/>
                <w:lang w:val="en-US" w:eastAsia="en-GB"/>
              </w:rPr>
              <w:t>4.1.2-Total Budget for Annualised Key Results for 2014</w:t>
            </w:r>
          </w:p>
        </w:tc>
        <w:tc>
          <w:tcPr>
            <w:tcW w:w="1230" w:type="dxa"/>
            <w:tcBorders>
              <w:top w:val="single" w:sz="8" w:space="0" w:color="auto"/>
              <w:left w:val="nil"/>
              <w:bottom w:val="single" w:sz="8" w:space="0" w:color="auto"/>
              <w:right w:val="single" w:sz="4" w:space="0" w:color="auto"/>
            </w:tcBorders>
            <w:shd w:val="clear" w:color="auto" w:fill="auto"/>
            <w:hideMark/>
          </w:tcPr>
          <w:p w14:paraId="013711F9" w14:textId="77777777" w:rsidR="00683F4A" w:rsidRPr="00CD56B9" w:rsidRDefault="00683F4A" w:rsidP="009657E1">
            <w:pPr>
              <w:spacing w:after="0"/>
              <w:jc w:val="left"/>
              <w:rPr>
                <w:rFonts w:ascii="Arial Narrow" w:eastAsia="Times New Roman" w:hAnsi="Arial Narrow"/>
                <w:b/>
                <w:bCs/>
                <w:color w:val="FF0000"/>
                <w:sz w:val="20"/>
                <w:szCs w:val="20"/>
                <w:lang w:val="en-US" w:eastAsia="en-GB"/>
              </w:rPr>
            </w:pPr>
            <w:r w:rsidRPr="00CD56B9">
              <w:rPr>
                <w:rFonts w:ascii="Arial Narrow" w:eastAsia="Times New Roman" w:hAnsi="Arial Narrow"/>
                <w:b/>
                <w:bCs/>
                <w:color w:val="FF0000"/>
                <w:sz w:val="20"/>
                <w:szCs w:val="20"/>
                <w:lang w:val="en-US" w:eastAsia="en-GB"/>
              </w:rPr>
              <w:t> </w:t>
            </w:r>
          </w:p>
        </w:tc>
        <w:tc>
          <w:tcPr>
            <w:tcW w:w="953" w:type="dxa"/>
            <w:tcBorders>
              <w:top w:val="single" w:sz="8" w:space="0" w:color="auto"/>
              <w:left w:val="nil"/>
              <w:bottom w:val="single" w:sz="8" w:space="0" w:color="auto"/>
              <w:right w:val="single" w:sz="4" w:space="0" w:color="auto"/>
            </w:tcBorders>
            <w:shd w:val="clear" w:color="auto" w:fill="auto"/>
            <w:hideMark/>
          </w:tcPr>
          <w:p w14:paraId="38B93C06" w14:textId="77777777" w:rsidR="00683F4A" w:rsidRPr="003B552F" w:rsidRDefault="00683F4A" w:rsidP="009657E1">
            <w:pPr>
              <w:spacing w:after="0"/>
              <w:jc w:val="right"/>
              <w:rPr>
                <w:rFonts w:ascii="Arial Narrow" w:eastAsia="Times New Roman" w:hAnsi="Arial Narrow"/>
                <w:b/>
                <w:bCs/>
                <w:color w:val="FF0000"/>
                <w:sz w:val="20"/>
                <w:szCs w:val="20"/>
                <w:lang w:eastAsia="en-GB"/>
              </w:rPr>
            </w:pPr>
            <w:r w:rsidRPr="00CD56B9">
              <w:rPr>
                <w:rFonts w:ascii="Arial Narrow" w:eastAsia="Times New Roman" w:hAnsi="Arial Narrow"/>
                <w:b/>
                <w:bCs/>
                <w:color w:val="FF0000"/>
                <w:sz w:val="20"/>
                <w:szCs w:val="20"/>
                <w:lang w:val="en-US" w:eastAsia="en-GB"/>
              </w:rPr>
              <w:t xml:space="preserve">           </w:t>
            </w:r>
            <w:r w:rsidRPr="003B552F">
              <w:rPr>
                <w:rFonts w:ascii="Arial Narrow" w:eastAsia="Times New Roman" w:hAnsi="Arial Narrow"/>
                <w:b/>
                <w:bCs/>
                <w:color w:val="FF0000"/>
                <w:sz w:val="20"/>
                <w:szCs w:val="20"/>
                <w:lang w:eastAsia="en-GB"/>
              </w:rPr>
              <w:t xml:space="preserve">320,000 </w:t>
            </w:r>
          </w:p>
        </w:tc>
        <w:tc>
          <w:tcPr>
            <w:tcW w:w="1037" w:type="dxa"/>
            <w:gridSpan w:val="3"/>
            <w:tcBorders>
              <w:top w:val="single" w:sz="8" w:space="0" w:color="auto"/>
              <w:left w:val="nil"/>
              <w:bottom w:val="single" w:sz="8" w:space="0" w:color="auto"/>
              <w:right w:val="single" w:sz="4" w:space="0" w:color="auto"/>
            </w:tcBorders>
            <w:shd w:val="clear" w:color="auto" w:fill="auto"/>
            <w:hideMark/>
          </w:tcPr>
          <w:p w14:paraId="35407F5C" w14:textId="77777777" w:rsidR="00683F4A" w:rsidRPr="003B552F" w:rsidRDefault="00683F4A" w:rsidP="009657E1">
            <w:pPr>
              <w:spacing w:after="0"/>
              <w:jc w:val="right"/>
              <w:rPr>
                <w:rFonts w:ascii="Arial Narrow" w:eastAsia="Times New Roman" w:hAnsi="Arial Narrow"/>
                <w:b/>
                <w:bCs/>
                <w:color w:val="FF0000"/>
                <w:sz w:val="20"/>
                <w:szCs w:val="20"/>
                <w:lang w:eastAsia="en-GB"/>
              </w:rPr>
            </w:pPr>
            <w:r w:rsidRPr="003B552F">
              <w:rPr>
                <w:rFonts w:ascii="Arial Narrow" w:eastAsia="Times New Roman" w:hAnsi="Arial Narrow"/>
                <w:b/>
                <w:bCs/>
                <w:color w:val="FF0000"/>
                <w:sz w:val="20"/>
                <w:szCs w:val="20"/>
                <w:lang w:eastAsia="en-GB"/>
              </w:rPr>
              <w:t xml:space="preserve">            380,000 </w:t>
            </w:r>
          </w:p>
        </w:tc>
        <w:tc>
          <w:tcPr>
            <w:tcW w:w="986" w:type="dxa"/>
            <w:tcBorders>
              <w:top w:val="single" w:sz="8" w:space="0" w:color="auto"/>
              <w:left w:val="nil"/>
              <w:bottom w:val="single" w:sz="8" w:space="0" w:color="auto"/>
              <w:right w:val="single" w:sz="4" w:space="0" w:color="auto"/>
            </w:tcBorders>
            <w:shd w:val="clear" w:color="auto" w:fill="auto"/>
            <w:hideMark/>
          </w:tcPr>
          <w:p w14:paraId="0662AED0" w14:textId="77777777" w:rsidR="00683F4A" w:rsidRPr="003B552F" w:rsidRDefault="00683F4A" w:rsidP="009657E1">
            <w:pPr>
              <w:spacing w:after="0"/>
              <w:jc w:val="right"/>
              <w:rPr>
                <w:rFonts w:ascii="Arial Narrow" w:eastAsia="Times New Roman" w:hAnsi="Arial Narrow"/>
                <w:b/>
                <w:bCs/>
                <w:color w:val="FF0000"/>
                <w:sz w:val="20"/>
                <w:szCs w:val="20"/>
                <w:lang w:eastAsia="en-GB"/>
              </w:rPr>
            </w:pPr>
            <w:r w:rsidRPr="003B552F">
              <w:rPr>
                <w:rFonts w:ascii="Arial Narrow" w:eastAsia="Times New Roman" w:hAnsi="Arial Narrow"/>
                <w:b/>
                <w:bCs/>
                <w:color w:val="FF0000"/>
                <w:sz w:val="20"/>
                <w:szCs w:val="20"/>
                <w:lang w:eastAsia="en-GB"/>
              </w:rPr>
              <w:t xml:space="preserve">           900,000 </w:t>
            </w:r>
          </w:p>
        </w:tc>
        <w:tc>
          <w:tcPr>
            <w:tcW w:w="1134" w:type="dxa"/>
            <w:tcBorders>
              <w:top w:val="single" w:sz="8" w:space="0" w:color="auto"/>
              <w:left w:val="nil"/>
              <w:bottom w:val="single" w:sz="8" w:space="0" w:color="auto"/>
              <w:right w:val="single" w:sz="8" w:space="0" w:color="auto"/>
            </w:tcBorders>
            <w:shd w:val="clear" w:color="auto" w:fill="auto"/>
            <w:hideMark/>
          </w:tcPr>
          <w:p w14:paraId="12D9127E" w14:textId="77777777" w:rsidR="00683F4A" w:rsidRPr="003B552F" w:rsidRDefault="00683F4A" w:rsidP="009657E1">
            <w:pPr>
              <w:spacing w:after="0"/>
              <w:jc w:val="right"/>
              <w:rPr>
                <w:rFonts w:ascii="Arial Narrow" w:eastAsia="Times New Roman" w:hAnsi="Arial Narrow"/>
                <w:b/>
                <w:bCs/>
                <w:color w:val="FF0000"/>
                <w:sz w:val="20"/>
                <w:szCs w:val="20"/>
                <w:lang w:eastAsia="en-GB"/>
              </w:rPr>
            </w:pPr>
            <w:r w:rsidRPr="003B552F">
              <w:rPr>
                <w:rFonts w:ascii="Arial Narrow" w:eastAsia="Times New Roman" w:hAnsi="Arial Narrow"/>
                <w:b/>
                <w:bCs/>
                <w:color w:val="FF0000"/>
                <w:sz w:val="20"/>
                <w:szCs w:val="20"/>
                <w:lang w:eastAsia="en-GB"/>
              </w:rPr>
              <w:t xml:space="preserve">          1,600,000 </w:t>
            </w:r>
          </w:p>
        </w:tc>
      </w:tr>
      <w:tr w:rsidR="00683F4A" w:rsidRPr="007D425D" w14:paraId="5AA1AC28" w14:textId="77777777" w:rsidTr="009657E1">
        <w:trPr>
          <w:trHeight w:val="168"/>
          <w:jc w:val="center"/>
        </w:trPr>
        <w:tc>
          <w:tcPr>
            <w:tcW w:w="1529" w:type="dxa"/>
            <w:gridSpan w:val="2"/>
            <w:vMerge w:val="restart"/>
            <w:tcBorders>
              <w:top w:val="nil"/>
              <w:left w:val="single" w:sz="8" w:space="0" w:color="auto"/>
              <w:bottom w:val="single" w:sz="4" w:space="0" w:color="000000"/>
              <w:right w:val="single" w:sz="4" w:space="0" w:color="auto"/>
            </w:tcBorders>
            <w:shd w:val="clear" w:color="auto" w:fill="auto"/>
            <w:hideMark/>
          </w:tcPr>
          <w:p w14:paraId="25EA6372" w14:textId="77777777" w:rsidR="00683F4A" w:rsidRPr="003B552F" w:rsidRDefault="00683F4A" w:rsidP="009657E1">
            <w:pPr>
              <w:spacing w:after="0"/>
              <w:jc w:val="left"/>
              <w:rPr>
                <w:rFonts w:ascii="Arial Narrow" w:eastAsia="Times New Roman" w:hAnsi="Arial Narrow"/>
                <w:b/>
                <w:bCs/>
                <w:sz w:val="20"/>
                <w:szCs w:val="20"/>
                <w:lang w:eastAsia="en-GB"/>
              </w:rPr>
            </w:pPr>
            <w:r w:rsidRPr="003B552F">
              <w:rPr>
                <w:rFonts w:ascii="Arial Narrow" w:eastAsia="Times New Roman" w:hAnsi="Arial Narrow"/>
                <w:b/>
                <w:bCs/>
                <w:sz w:val="20"/>
                <w:szCs w:val="20"/>
                <w:lang w:eastAsia="en-GB"/>
              </w:rPr>
              <w:t>Annualized Key Results 2015</w:t>
            </w:r>
          </w:p>
        </w:tc>
        <w:tc>
          <w:tcPr>
            <w:tcW w:w="7883" w:type="dxa"/>
            <w:gridSpan w:val="5"/>
            <w:tcBorders>
              <w:top w:val="nil"/>
              <w:left w:val="nil"/>
              <w:bottom w:val="single" w:sz="4" w:space="0" w:color="auto"/>
              <w:right w:val="single" w:sz="4" w:space="0" w:color="000000"/>
            </w:tcBorders>
            <w:shd w:val="clear" w:color="auto" w:fill="auto"/>
            <w:hideMark/>
          </w:tcPr>
          <w:p w14:paraId="2BF5CDE7" w14:textId="77777777" w:rsidR="00683F4A" w:rsidRPr="00CD56B9" w:rsidRDefault="00683F4A" w:rsidP="009657E1">
            <w:pPr>
              <w:spacing w:after="0"/>
              <w:jc w:val="left"/>
              <w:rPr>
                <w:rFonts w:ascii="Arial Narrow" w:eastAsia="Times New Roman" w:hAnsi="Arial Narrow"/>
                <w:sz w:val="20"/>
                <w:szCs w:val="20"/>
                <w:lang w:val="en-US" w:eastAsia="en-GB"/>
              </w:rPr>
            </w:pPr>
            <w:r w:rsidRPr="00CD56B9">
              <w:rPr>
                <w:rFonts w:ascii="Arial Narrow" w:eastAsia="Times New Roman" w:hAnsi="Arial Narrow"/>
                <w:sz w:val="20"/>
                <w:szCs w:val="20"/>
                <w:lang w:val="en-US" w:eastAsia="en-GB"/>
              </w:rPr>
              <w:t xml:space="preserve">B: Child Court services strengthened in 7 districts and diversion programs rolled out to 28 districts (UNICEF).    </w:t>
            </w:r>
          </w:p>
        </w:tc>
        <w:tc>
          <w:tcPr>
            <w:tcW w:w="1230" w:type="dxa"/>
            <w:tcBorders>
              <w:top w:val="nil"/>
              <w:left w:val="nil"/>
              <w:bottom w:val="single" w:sz="4" w:space="0" w:color="auto"/>
              <w:right w:val="single" w:sz="4" w:space="0" w:color="auto"/>
            </w:tcBorders>
            <w:shd w:val="clear" w:color="auto" w:fill="auto"/>
            <w:hideMark/>
          </w:tcPr>
          <w:p w14:paraId="0FE8E752" w14:textId="77777777" w:rsidR="00683F4A" w:rsidRPr="003B552F" w:rsidRDefault="00683F4A" w:rsidP="009657E1">
            <w:pPr>
              <w:spacing w:after="0"/>
              <w:jc w:val="left"/>
              <w:rPr>
                <w:rFonts w:ascii="Arial Narrow" w:eastAsia="Times New Roman" w:hAnsi="Arial Narrow"/>
                <w:sz w:val="20"/>
                <w:szCs w:val="20"/>
                <w:lang w:eastAsia="en-GB"/>
              </w:rPr>
            </w:pPr>
            <w:r w:rsidRPr="003B552F">
              <w:rPr>
                <w:rFonts w:ascii="Arial Narrow" w:eastAsia="Times New Roman" w:hAnsi="Arial Narrow"/>
                <w:sz w:val="20"/>
                <w:szCs w:val="20"/>
                <w:lang w:eastAsia="en-GB"/>
              </w:rPr>
              <w:t>UNICEF</w:t>
            </w:r>
          </w:p>
        </w:tc>
        <w:tc>
          <w:tcPr>
            <w:tcW w:w="953" w:type="dxa"/>
            <w:tcBorders>
              <w:top w:val="nil"/>
              <w:left w:val="nil"/>
              <w:bottom w:val="single" w:sz="4" w:space="0" w:color="auto"/>
              <w:right w:val="single" w:sz="4" w:space="0" w:color="auto"/>
            </w:tcBorders>
            <w:shd w:val="clear" w:color="auto" w:fill="auto"/>
            <w:hideMark/>
          </w:tcPr>
          <w:p w14:paraId="74FEE471"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10,000 </w:t>
            </w:r>
          </w:p>
        </w:tc>
        <w:tc>
          <w:tcPr>
            <w:tcW w:w="1037" w:type="dxa"/>
            <w:gridSpan w:val="3"/>
            <w:tcBorders>
              <w:top w:val="nil"/>
              <w:left w:val="nil"/>
              <w:bottom w:val="single" w:sz="4" w:space="0" w:color="auto"/>
              <w:right w:val="single" w:sz="4" w:space="0" w:color="auto"/>
            </w:tcBorders>
            <w:shd w:val="clear" w:color="auto" w:fill="auto"/>
            <w:hideMark/>
          </w:tcPr>
          <w:p w14:paraId="718EB0F8"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180,000 </w:t>
            </w:r>
          </w:p>
        </w:tc>
        <w:tc>
          <w:tcPr>
            <w:tcW w:w="986" w:type="dxa"/>
            <w:tcBorders>
              <w:top w:val="nil"/>
              <w:left w:val="nil"/>
              <w:bottom w:val="single" w:sz="4" w:space="0" w:color="auto"/>
              <w:right w:val="single" w:sz="4" w:space="0" w:color="auto"/>
            </w:tcBorders>
            <w:shd w:val="clear" w:color="auto" w:fill="auto"/>
            <w:hideMark/>
          </w:tcPr>
          <w:p w14:paraId="0A2805EB"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300,000 </w:t>
            </w:r>
          </w:p>
        </w:tc>
        <w:tc>
          <w:tcPr>
            <w:tcW w:w="1134" w:type="dxa"/>
            <w:tcBorders>
              <w:top w:val="nil"/>
              <w:left w:val="nil"/>
              <w:bottom w:val="single" w:sz="4" w:space="0" w:color="auto"/>
              <w:right w:val="single" w:sz="8" w:space="0" w:color="auto"/>
            </w:tcBorders>
            <w:shd w:val="clear" w:color="auto" w:fill="auto"/>
            <w:hideMark/>
          </w:tcPr>
          <w:p w14:paraId="3C77CA89"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490,000 </w:t>
            </w:r>
          </w:p>
        </w:tc>
      </w:tr>
      <w:tr w:rsidR="00683F4A" w:rsidRPr="007D425D" w14:paraId="7B587D1B" w14:textId="77777777" w:rsidTr="009657E1">
        <w:trPr>
          <w:trHeight w:val="168"/>
          <w:jc w:val="center"/>
        </w:trPr>
        <w:tc>
          <w:tcPr>
            <w:tcW w:w="1529" w:type="dxa"/>
            <w:gridSpan w:val="2"/>
            <w:vMerge/>
            <w:tcBorders>
              <w:top w:val="nil"/>
              <w:left w:val="single" w:sz="8" w:space="0" w:color="auto"/>
              <w:bottom w:val="single" w:sz="4" w:space="0" w:color="000000"/>
              <w:right w:val="single" w:sz="4" w:space="0" w:color="auto"/>
            </w:tcBorders>
            <w:vAlign w:val="center"/>
            <w:hideMark/>
          </w:tcPr>
          <w:p w14:paraId="075651D4" w14:textId="77777777" w:rsidR="00683F4A" w:rsidRPr="003B552F" w:rsidRDefault="00683F4A" w:rsidP="009657E1">
            <w:pPr>
              <w:spacing w:after="0"/>
              <w:jc w:val="left"/>
              <w:rPr>
                <w:rFonts w:ascii="Arial Narrow" w:eastAsia="Times New Roman" w:hAnsi="Arial Narrow"/>
                <w:b/>
                <w:bCs/>
                <w:sz w:val="20"/>
                <w:szCs w:val="20"/>
                <w:lang w:eastAsia="en-GB"/>
              </w:rPr>
            </w:pPr>
          </w:p>
        </w:tc>
        <w:tc>
          <w:tcPr>
            <w:tcW w:w="7883" w:type="dxa"/>
            <w:gridSpan w:val="5"/>
            <w:tcBorders>
              <w:top w:val="single" w:sz="4" w:space="0" w:color="auto"/>
              <w:left w:val="nil"/>
              <w:bottom w:val="single" w:sz="4" w:space="0" w:color="auto"/>
              <w:right w:val="single" w:sz="4" w:space="0" w:color="000000"/>
            </w:tcBorders>
            <w:shd w:val="clear" w:color="auto" w:fill="auto"/>
            <w:hideMark/>
          </w:tcPr>
          <w:p w14:paraId="158DD695" w14:textId="77777777" w:rsidR="00683F4A" w:rsidRPr="00CD56B9" w:rsidRDefault="00683F4A" w:rsidP="009657E1">
            <w:pPr>
              <w:spacing w:after="0"/>
              <w:jc w:val="left"/>
              <w:rPr>
                <w:rFonts w:ascii="Arial Narrow" w:eastAsia="Times New Roman" w:hAnsi="Arial Narrow"/>
                <w:sz w:val="20"/>
                <w:szCs w:val="20"/>
                <w:lang w:val="en-US" w:eastAsia="en-GB"/>
              </w:rPr>
            </w:pPr>
            <w:r w:rsidRPr="00CD56B9">
              <w:rPr>
                <w:rFonts w:ascii="Arial Narrow" w:eastAsia="Times New Roman" w:hAnsi="Arial Narrow"/>
                <w:sz w:val="20"/>
                <w:szCs w:val="20"/>
                <w:lang w:val="en-US" w:eastAsia="en-GB"/>
              </w:rPr>
              <w:t>D: Additional 2 institutions in the DGSWG develop institutional strategic plans (UNDP).</w:t>
            </w:r>
          </w:p>
        </w:tc>
        <w:tc>
          <w:tcPr>
            <w:tcW w:w="1230" w:type="dxa"/>
            <w:tcBorders>
              <w:top w:val="nil"/>
              <w:left w:val="nil"/>
              <w:bottom w:val="single" w:sz="4" w:space="0" w:color="auto"/>
              <w:right w:val="single" w:sz="4" w:space="0" w:color="auto"/>
            </w:tcBorders>
            <w:shd w:val="clear" w:color="auto" w:fill="auto"/>
            <w:hideMark/>
          </w:tcPr>
          <w:p w14:paraId="7D6DDE2D" w14:textId="77777777" w:rsidR="00683F4A" w:rsidRPr="003B552F" w:rsidRDefault="00683F4A" w:rsidP="009657E1">
            <w:pPr>
              <w:spacing w:after="0"/>
              <w:jc w:val="left"/>
              <w:rPr>
                <w:rFonts w:ascii="Arial Narrow" w:eastAsia="Times New Roman" w:hAnsi="Arial Narrow"/>
                <w:sz w:val="20"/>
                <w:szCs w:val="20"/>
                <w:lang w:eastAsia="en-GB"/>
              </w:rPr>
            </w:pPr>
            <w:r w:rsidRPr="003B552F">
              <w:rPr>
                <w:rFonts w:ascii="Arial Narrow" w:eastAsia="Times New Roman" w:hAnsi="Arial Narrow"/>
                <w:sz w:val="20"/>
                <w:szCs w:val="20"/>
                <w:lang w:eastAsia="en-GB"/>
              </w:rPr>
              <w:t>UNDP</w:t>
            </w:r>
          </w:p>
        </w:tc>
        <w:tc>
          <w:tcPr>
            <w:tcW w:w="953" w:type="dxa"/>
            <w:tcBorders>
              <w:top w:val="nil"/>
              <w:left w:val="nil"/>
              <w:bottom w:val="single" w:sz="4" w:space="0" w:color="auto"/>
              <w:right w:val="single" w:sz="4" w:space="0" w:color="auto"/>
            </w:tcBorders>
            <w:shd w:val="clear" w:color="auto" w:fill="auto"/>
            <w:hideMark/>
          </w:tcPr>
          <w:p w14:paraId="7AF1728F"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300,000 </w:t>
            </w:r>
          </w:p>
        </w:tc>
        <w:tc>
          <w:tcPr>
            <w:tcW w:w="1037" w:type="dxa"/>
            <w:gridSpan w:val="3"/>
            <w:tcBorders>
              <w:top w:val="nil"/>
              <w:left w:val="nil"/>
              <w:bottom w:val="single" w:sz="4" w:space="0" w:color="auto"/>
              <w:right w:val="single" w:sz="4" w:space="0" w:color="auto"/>
            </w:tcBorders>
            <w:shd w:val="clear" w:color="auto" w:fill="auto"/>
            <w:hideMark/>
          </w:tcPr>
          <w:p w14:paraId="1BC4CEDD"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w:t>
            </w:r>
          </w:p>
        </w:tc>
        <w:tc>
          <w:tcPr>
            <w:tcW w:w="986" w:type="dxa"/>
            <w:tcBorders>
              <w:top w:val="nil"/>
              <w:left w:val="nil"/>
              <w:bottom w:val="single" w:sz="4" w:space="0" w:color="auto"/>
              <w:right w:val="single" w:sz="4" w:space="0" w:color="auto"/>
            </w:tcBorders>
            <w:shd w:val="clear" w:color="auto" w:fill="auto"/>
            <w:hideMark/>
          </w:tcPr>
          <w:p w14:paraId="6840B1F3"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300,000 </w:t>
            </w:r>
          </w:p>
        </w:tc>
        <w:tc>
          <w:tcPr>
            <w:tcW w:w="1134" w:type="dxa"/>
            <w:tcBorders>
              <w:top w:val="nil"/>
              <w:left w:val="nil"/>
              <w:bottom w:val="single" w:sz="4" w:space="0" w:color="auto"/>
              <w:right w:val="single" w:sz="8" w:space="0" w:color="auto"/>
            </w:tcBorders>
            <w:shd w:val="clear" w:color="auto" w:fill="auto"/>
            <w:hideMark/>
          </w:tcPr>
          <w:p w14:paraId="14F7A3ED"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600,000 </w:t>
            </w:r>
          </w:p>
        </w:tc>
      </w:tr>
      <w:tr w:rsidR="00683F4A" w:rsidRPr="007D425D" w14:paraId="52757BCD" w14:textId="77777777" w:rsidTr="009657E1">
        <w:trPr>
          <w:trHeight w:val="179"/>
          <w:jc w:val="center"/>
        </w:trPr>
        <w:tc>
          <w:tcPr>
            <w:tcW w:w="1529" w:type="dxa"/>
            <w:gridSpan w:val="2"/>
            <w:vMerge/>
            <w:tcBorders>
              <w:top w:val="nil"/>
              <w:left w:val="single" w:sz="8" w:space="0" w:color="auto"/>
              <w:bottom w:val="single" w:sz="4" w:space="0" w:color="000000"/>
              <w:right w:val="single" w:sz="4" w:space="0" w:color="auto"/>
            </w:tcBorders>
            <w:vAlign w:val="center"/>
            <w:hideMark/>
          </w:tcPr>
          <w:p w14:paraId="0CC475FD" w14:textId="77777777" w:rsidR="00683F4A" w:rsidRPr="003B552F" w:rsidRDefault="00683F4A" w:rsidP="009657E1">
            <w:pPr>
              <w:spacing w:after="0"/>
              <w:jc w:val="left"/>
              <w:rPr>
                <w:rFonts w:ascii="Arial Narrow" w:eastAsia="Times New Roman" w:hAnsi="Arial Narrow"/>
                <w:b/>
                <w:bCs/>
                <w:sz w:val="20"/>
                <w:szCs w:val="20"/>
                <w:lang w:eastAsia="en-GB"/>
              </w:rPr>
            </w:pPr>
          </w:p>
        </w:tc>
        <w:tc>
          <w:tcPr>
            <w:tcW w:w="7883" w:type="dxa"/>
            <w:gridSpan w:val="5"/>
            <w:tcBorders>
              <w:top w:val="single" w:sz="4" w:space="0" w:color="auto"/>
              <w:left w:val="nil"/>
              <w:bottom w:val="nil"/>
              <w:right w:val="single" w:sz="4" w:space="0" w:color="000000"/>
            </w:tcBorders>
            <w:shd w:val="clear" w:color="auto" w:fill="auto"/>
            <w:hideMark/>
          </w:tcPr>
          <w:p w14:paraId="67EF2414" w14:textId="77777777" w:rsidR="00683F4A" w:rsidRPr="003B552F" w:rsidRDefault="00683F4A" w:rsidP="009657E1">
            <w:pPr>
              <w:spacing w:after="0"/>
              <w:jc w:val="left"/>
              <w:rPr>
                <w:rFonts w:ascii="Arial Narrow" w:eastAsia="Times New Roman" w:hAnsi="Arial Narrow"/>
                <w:sz w:val="20"/>
                <w:szCs w:val="20"/>
                <w:lang w:eastAsia="en-GB"/>
              </w:rPr>
            </w:pPr>
            <w:r w:rsidRPr="00CD56B9">
              <w:rPr>
                <w:rFonts w:ascii="Arial Narrow" w:eastAsia="Times New Roman" w:hAnsi="Arial Narrow"/>
                <w:sz w:val="20"/>
                <w:szCs w:val="20"/>
                <w:lang w:val="en-US" w:eastAsia="en-GB"/>
              </w:rPr>
              <w:t xml:space="preserve">H: Resolutions from the 2nd Session of the Youth Parliament influence parliamentary debates and policy decisions.  </w:t>
            </w:r>
            <w:r w:rsidRPr="003B552F">
              <w:rPr>
                <w:rFonts w:ascii="Arial Narrow" w:eastAsia="Times New Roman" w:hAnsi="Arial Narrow"/>
                <w:sz w:val="20"/>
                <w:szCs w:val="20"/>
                <w:lang w:eastAsia="en-GB"/>
              </w:rPr>
              <w:t xml:space="preserve">(UNICEF).      </w:t>
            </w:r>
          </w:p>
        </w:tc>
        <w:tc>
          <w:tcPr>
            <w:tcW w:w="1230" w:type="dxa"/>
            <w:tcBorders>
              <w:top w:val="nil"/>
              <w:left w:val="nil"/>
              <w:bottom w:val="nil"/>
              <w:right w:val="single" w:sz="4" w:space="0" w:color="auto"/>
            </w:tcBorders>
            <w:shd w:val="clear" w:color="auto" w:fill="auto"/>
            <w:hideMark/>
          </w:tcPr>
          <w:p w14:paraId="5C4803CE" w14:textId="77777777" w:rsidR="00683F4A" w:rsidRPr="003B552F" w:rsidRDefault="00683F4A" w:rsidP="009657E1">
            <w:pPr>
              <w:spacing w:after="0"/>
              <w:jc w:val="left"/>
              <w:rPr>
                <w:rFonts w:ascii="Arial Narrow" w:eastAsia="Times New Roman" w:hAnsi="Arial Narrow"/>
                <w:sz w:val="20"/>
                <w:szCs w:val="20"/>
                <w:lang w:eastAsia="en-GB"/>
              </w:rPr>
            </w:pPr>
            <w:r w:rsidRPr="003B552F">
              <w:rPr>
                <w:rFonts w:ascii="Arial Narrow" w:eastAsia="Times New Roman" w:hAnsi="Arial Narrow"/>
                <w:sz w:val="20"/>
                <w:szCs w:val="20"/>
                <w:lang w:eastAsia="en-GB"/>
              </w:rPr>
              <w:t>UNICEF</w:t>
            </w:r>
          </w:p>
        </w:tc>
        <w:tc>
          <w:tcPr>
            <w:tcW w:w="953" w:type="dxa"/>
            <w:tcBorders>
              <w:top w:val="nil"/>
              <w:left w:val="nil"/>
              <w:bottom w:val="nil"/>
              <w:right w:val="single" w:sz="4" w:space="0" w:color="auto"/>
            </w:tcBorders>
            <w:shd w:val="clear" w:color="auto" w:fill="auto"/>
            <w:hideMark/>
          </w:tcPr>
          <w:p w14:paraId="51C6EF4B"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10,000 </w:t>
            </w:r>
          </w:p>
        </w:tc>
        <w:tc>
          <w:tcPr>
            <w:tcW w:w="1037" w:type="dxa"/>
            <w:gridSpan w:val="3"/>
            <w:tcBorders>
              <w:top w:val="nil"/>
              <w:left w:val="nil"/>
              <w:bottom w:val="nil"/>
              <w:right w:val="single" w:sz="4" w:space="0" w:color="auto"/>
            </w:tcBorders>
            <w:shd w:val="clear" w:color="auto" w:fill="auto"/>
            <w:hideMark/>
          </w:tcPr>
          <w:p w14:paraId="57D6FAF1"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200,000 </w:t>
            </w:r>
          </w:p>
        </w:tc>
        <w:tc>
          <w:tcPr>
            <w:tcW w:w="986" w:type="dxa"/>
            <w:tcBorders>
              <w:top w:val="nil"/>
              <w:left w:val="nil"/>
              <w:bottom w:val="nil"/>
              <w:right w:val="single" w:sz="4" w:space="0" w:color="auto"/>
            </w:tcBorders>
            <w:shd w:val="clear" w:color="auto" w:fill="auto"/>
            <w:hideMark/>
          </w:tcPr>
          <w:p w14:paraId="6D65E290"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300,000 </w:t>
            </w:r>
          </w:p>
        </w:tc>
        <w:tc>
          <w:tcPr>
            <w:tcW w:w="1134" w:type="dxa"/>
            <w:tcBorders>
              <w:top w:val="nil"/>
              <w:left w:val="nil"/>
              <w:bottom w:val="nil"/>
              <w:right w:val="single" w:sz="8" w:space="0" w:color="auto"/>
            </w:tcBorders>
            <w:shd w:val="clear" w:color="auto" w:fill="auto"/>
            <w:hideMark/>
          </w:tcPr>
          <w:p w14:paraId="78B1A78B"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510,000 </w:t>
            </w:r>
          </w:p>
        </w:tc>
      </w:tr>
      <w:tr w:rsidR="00683F4A" w:rsidRPr="007D425D" w14:paraId="3F030C2C" w14:textId="77777777" w:rsidTr="009657E1">
        <w:trPr>
          <w:trHeight w:val="179"/>
          <w:jc w:val="center"/>
        </w:trPr>
        <w:tc>
          <w:tcPr>
            <w:tcW w:w="1529" w:type="dxa"/>
            <w:gridSpan w:val="2"/>
            <w:tcBorders>
              <w:top w:val="nil"/>
              <w:left w:val="single" w:sz="8" w:space="0" w:color="auto"/>
              <w:bottom w:val="nil"/>
              <w:right w:val="single" w:sz="4" w:space="0" w:color="auto"/>
            </w:tcBorders>
            <w:shd w:val="clear" w:color="auto" w:fill="auto"/>
            <w:hideMark/>
          </w:tcPr>
          <w:p w14:paraId="001B4E81" w14:textId="77777777" w:rsidR="00683F4A" w:rsidRPr="003B552F" w:rsidRDefault="00683F4A" w:rsidP="009657E1">
            <w:pPr>
              <w:spacing w:after="0"/>
              <w:jc w:val="left"/>
              <w:rPr>
                <w:rFonts w:ascii="Arial Narrow" w:eastAsia="Times New Roman" w:hAnsi="Arial Narrow"/>
                <w:b/>
                <w:bCs/>
                <w:sz w:val="20"/>
                <w:szCs w:val="20"/>
                <w:lang w:eastAsia="en-GB"/>
              </w:rPr>
            </w:pPr>
            <w:r w:rsidRPr="003B552F">
              <w:rPr>
                <w:rFonts w:ascii="Arial Narrow" w:eastAsia="Times New Roman" w:hAnsi="Arial Narrow"/>
                <w:b/>
                <w:bCs/>
                <w:sz w:val="20"/>
                <w:szCs w:val="20"/>
                <w:lang w:eastAsia="en-GB"/>
              </w:rPr>
              <w:t> </w:t>
            </w:r>
          </w:p>
        </w:tc>
        <w:tc>
          <w:tcPr>
            <w:tcW w:w="7883" w:type="dxa"/>
            <w:gridSpan w:val="5"/>
            <w:tcBorders>
              <w:top w:val="single" w:sz="8" w:space="0" w:color="auto"/>
              <w:left w:val="single" w:sz="8" w:space="0" w:color="auto"/>
              <w:bottom w:val="single" w:sz="8" w:space="0" w:color="auto"/>
              <w:right w:val="single" w:sz="4" w:space="0" w:color="000000"/>
            </w:tcBorders>
            <w:shd w:val="clear" w:color="auto" w:fill="auto"/>
            <w:hideMark/>
          </w:tcPr>
          <w:p w14:paraId="329F54F9" w14:textId="77777777" w:rsidR="00683F4A" w:rsidRPr="00CD56B9" w:rsidRDefault="00683F4A" w:rsidP="009657E1">
            <w:pPr>
              <w:spacing w:after="0"/>
              <w:jc w:val="left"/>
              <w:rPr>
                <w:rFonts w:ascii="Arial Narrow" w:eastAsia="Times New Roman" w:hAnsi="Arial Narrow"/>
                <w:b/>
                <w:bCs/>
                <w:color w:val="FF0000"/>
                <w:sz w:val="20"/>
                <w:szCs w:val="20"/>
                <w:lang w:val="en-US" w:eastAsia="en-GB"/>
              </w:rPr>
            </w:pPr>
            <w:r w:rsidRPr="00CD56B9">
              <w:rPr>
                <w:rFonts w:ascii="Arial Narrow" w:eastAsia="Times New Roman" w:hAnsi="Arial Narrow"/>
                <w:b/>
                <w:bCs/>
                <w:color w:val="FF0000"/>
                <w:sz w:val="20"/>
                <w:szCs w:val="20"/>
                <w:lang w:val="en-US" w:eastAsia="en-GB"/>
              </w:rPr>
              <w:t>4.1.2-Total Budget for Annualised Key Results for 2015</w:t>
            </w:r>
          </w:p>
        </w:tc>
        <w:tc>
          <w:tcPr>
            <w:tcW w:w="1230" w:type="dxa"/>
            <w:tcBorders>
              <w:top w:val="single" w:sz="8" w:space="0" w:color="auto"/>
              <w:left w:val="nil"/>
              <w:bottom w:val="single" w:sz="8" w:space="0" w:color="auto"/>
              <w:right w:val="single" w:sz="4" w:space="0" w:color="auto"/>
            </w:tcBorders>
            <w:shd w:val="clear" w:color="auto" w:fill="auto"/>
            <w:hideMark/>
          </w:tcPr>
          <w:p w14:paraId="258BB172" w14:textId="77777777" w:rsidR="00683F4A" w:rsidRPr="00CD56B9" w:rsidRDefault="00683F4A" w:rsidP="009657E1">
            <w:pPr>
              <w:spacing w:after="0"/>
              <w:jc w:val="left"/>
              <w:rPr>
                <w:rFonts w:ascii="Arial Narrow" w:eastAsia="Times New Roman" w:hAnsi="Arial Narrow"/>
                <w:sz w:val="20"/>
                <w:szCs w:val="20"/>
                <w:lang w:val="en-US" w:eastAsia="en-GB"/>
              </w:rPr>
            </w:pPr>
            <w:r w:rsidRPr="00CD56B9">
              <w:rPr>
                <w:rFonts w:ascii="Arial Narrow" w:eastAsia="Times New Roman" w:hAnsi="Arial Narrow"/>
                <w:sz w:val="20"/>
                <w:szCs w:val="20"/>
                <w:lang w:val="en-US" w:eastAsia="en-GB"/>
              </w:rPr>
              <w:t> </w:t>
            </w:r>
          </w:p>
        </w:tc>
        <w:tc>
          <w:tcPr>
            <w:tcW w:w="953" w:type="dxa"/>
            <w:tcBorders>
              <w:top w:val="single" w:sz="8" w:space="0" w:color="auto"/>
              <w:left w:val="nil"/>
              <w:bottom w:val="single" w:sz="8" w:space="0" w:color="auto"/>
              <w:right w:val="single" w:sz="4" w:space="0" w:color="auto"/>
            </w:tcBorders>
            <w:shd w:val="clear" w:color="auto" w:fill="auto"/>
            <w:hideMark/>
          </w:tcPr>
          <w:p w14:paraId="7B23343C" w14:textId="77777777" w:rsidR="00683F4A" w:rsidRPr="003B552F" w:rsidRDefault="00683F4A" w:rsidP="009657E1">
            <w:pPr>
              <w:spacing w:after="0"/>
              <w:jc w:val="right"/>
              <w:rPr>
                <w:rFonts w:ascii="Arial Narrow" w:eastAsia="Times New Roman" w:hAnsi="Arial Narrow"/>
                <w:b/>
                <w:bCs/>
                <w:color w:val="FF0000"/>
                <w:sz w:val="20"/>
                <w:szCs w:val="20"/>
                <w:lang w:eastAsia="en-GB"/>
              </w:rPr>
            </w:pPr>
            <w:r w:rsidRPr="00CD56B9">
              <w:rPr>
                <w:rFonts w:ascii="Arial Narrow" w:eastAsia="Times New Roman" w:hAnsi="Arial Narrow"/>
                <w:b/>
                <w:bCs/>
                <w:color w:val="FF0000"/>
                <w:sz w:val="20"/>
                <w:szCs w:val="20"/>
                <w:lang w:val="en-US" w:eastAsia="en-GB"/>
              </w:rPr>
              <w:t xml:space="preserve">           </w:t>
            </w:r>
            <w:r w:rsidRPr="003B552F">
              <w:rPr>
                <w:rFonts w:ascii="Arial Narrow" w:eastAsia="Times New Roman" w:hAnsi="Arial Narrow"/>
                <w:b/>
                <w:bCs/>
                <w:color w:val="FF0000"/>
                <w:sz w:val="20"/>
                <w:szCs w:val="20"/>
                <w:lang w:eastAsia="en-GB"/>
              </w:rPr>
              <w:t xml:space="preserve">320,000 </w:t>
            </w:r>
          </w:p>
        </w:tc>
        <w:tc>
          <w:tcPr>
            <w:tcW w:w="1037" w:type="dxa"/>
            <w:gridSpan w:val="3"/>
            <w:tcBorders>
              <w:top w:val="single" w:sz="8" w:space="0" w:color="auto"/>
              <w:left w:val="nil"/>
              <w:bottom w:val="single" w:sz="8" w:space="0" w:color="auto"/>
              <w:right w:val="single" w:sz="4" w:space="0" w:color="auto"/>
            </w:tcBorders>
            <w:shd w:val="clear" w:color="auto" w:fill="auto"/>
            <w:hideMark/>
          </w:tcPr>
          <w:p w14:paraId="1097C920" w14:textId="77777777" w:rsidR="00683F4A" w:rsidRPr="003B552F" w:rsidRDefault="00683F4A" w:rsidP="009657E1">
            <w:pPr>
              <w:spacing w:after="0"/>
              <w:jc w:val="right"/>
              <w:rPr>
                <w:rFonts w:ascii="Arial Narrow" w:eastAsia="Times New Roman" w:hAnsi="Arial Narrow"/>
                <w:b/>
                <w:bCs/>
                <w:color w:val="FF0000"/>
                <w:sz w:val="20"/>
                <w:szCs w:val="20"/>
                <w:lang w:eastAsia="en-GB"/>
              </w:rPr>
            </w:pPr>
            <w:r w:rsidRPr="003B552F">
              <w:rPr>
                <w:rFonts w:ascii="Arial Narrow" w:eastAsia="Times New Roman" w:hAnsi="Arial Narrow"/>
                <w:b/>
                <w:bCs/>
                <w:color w:val="FF0000"/>
                <w:sz w:val="20"/>
                <w:szCs w:val="20"/>
                <w:lang w:eastAsia="en-GB"/>
              </w:rPr>
              <w:t xml:space="preserve">            380,000 </w:t>
            </w:r>
          </w:p>
        </w:tc>
        <w:tc>
          <w:tcPr>
            <w:tcW w:w="986" w:type="dxa"/>
            <w:tcBorders>
              <w:top w:val="single" w:sz="8" w:space="0" w:color="auto"/>
              <w:left w:val="nil"/>
              <w:bottom w:val="single" w:sz="8" w:space="0" w:color="auto"/>
              <w:right w:val="single" w:sz="4" w:space="0" w:color="auto"/>
            </w:tcBorders>
            <w:shd w:val="clear" w:color="auto" w:fill="auto"/>
            <w:hideMark/>
          </w:tcPr>
          <w:p w14:paraId="2A0B96AF" w14:textId="77777777" w:rsidR="00683F4A" w:rsidRPr="003B552F" w:rsidRDefault="00683F4A" w:rsidP="009657E1">
            <w:pPr>
              <w:spacing w:after="0"/>
              <w:jc w:val="right"/>
              <w:rPr>
                <w:rFonts w:ascii="Arial Narrow" w:eastAsia="Times New Roman" w:hAnsi="Arial Narrow"/>
                <w:b/>
                <w:bCs/>
                <w:color w:val="FF0000"/>
                <w:sz w:val="20"/>
                <w:szCs w:val="20"/>
                <w:lang w:eastAsia="en-GB"/>
              </w:rPr>
            </w:pPr>
            <w:r w:rsidRPr="003B552F">
              <w:rPr>
                <w:rFonts w:ascii="Arial Narrow" w:eastAsia="Times New Roman" w:hAnsi="Arial Narrow"/>
                <w:b/>
                <w:bCs/>
                <w:color w:val="FF0000"/>
                <w:sz w:val="20"/>
                <w:szCs w:val="20"/>
                <w:lang w:eastAsia="en-GB"/>
              </w:rPr>
              <w:t xml:space="preserve">           900,000 </w:t>
            </w:r>
          </w:p>
        </w:tc>
        <w:tc>
          <w:tcPr>
            <w:tcW w:w="1134" w:type="dxa"/>
            <w:tcBorders>
              <w:top w:val="single" w:sz="8" w:space="0" w:color="auto"/>
              <w:left w:val="nil"/>
              <w:bottom w:val="single" w:sz="8" w:space="0" w:color="auto"/>
              <w:right w:val="single" w:sz="8" w:space="0" w:color="auto"/>
            </w:tcBorders>
            <w:shd w:val="clear" w:color="auto" w:fill="auto"/>
            <w:hideMark/>
          </w:tcPr>
          <w:p w14:paraId="19A08B0C" w14:textId="77777777" w:rsidR="00683F4A" w:rsidRPr="003B552F" w:rsidRDefault="00683F4A" w:rsidP="009657E1">
            <w:pPr>
              <w:spacing w:after="0"/>
              <w:jc w:val="right"/>
              <w:rPr>
                <w:rFonts w:ascii="Arial Narrow" w:eastAsia="Times New Roman" w:hAnsi="Arial Narrow"/>
                <w:b/>
                <w:bCs/>
                <w:color w:val="FF0000"/>
                <w:sz w:val="20"/>
                <w:szCs w:val="20"/>
                <w:lang w:eastAsia="en-GB"/>
              </w:rPr>
            </w:pPr>
            <w:r w:rsidRPr="003B552F">
              <w:rPr>
                <w:rFonts w:ascii="Arial Narrow" w:eastAsia="Times New Roman" w:hAnsi="Arial Narrow"/>
                <w:b/>
                <w:bCs/>
                <w:color w:val="FF0000"/>
                <w:sz w:val="20"/>
                <w:szCs w:val="20"/>
                <w:lang w:eastAsia="en-GB"/>
              </w:rPr>
              <w:t xml:space="preserve">          1,600,000 </w:t>
            </w:r>
          </w:p>
        </w:tc>
      </w:tr>
      <w:tr w:rsidR="00683F4A" w:rsidRPr="007D425D" w14:paraId="45D9D22E" w14:textId="77777777" w:rsidTr="009657E1">
        <w:trPr>
          <w:trHeight w:val="168"/>
          <w:jc w:val="center"/>
        </w:trPr>
        <w:tc>
          <w:tcPr>
            <w:tcW w:w="1529" w:type="dxa"/>
            <w:gridSpan w:val="2"/>
            <w:vMerge w:val="restart"/>
            <w:tcBorders>
              <w:top w:val="single" w:sz="4" w:space="0" w:color="auto"/>
              <w:left w:val="single" w:sz="8" w:space="0" w:color="auto"/>
              <w:bottom w:val="single" w:sz="4" w:space="0" w:color="000000"/>
              <w:right w:val="single" w:sz="4" w:space="0" w:color="auto"/>
            </w:tcBorders>
            <w:shd w:val="clear" w:color="auto" w:fill="auto"/>
            <w:hideMark/>
          </w:tcPr>
          <w:p w14:paraId="72F6D264" w14:textId="77777777" w:rsidR="00683F4A" w:rsidRPr="003B552F" w:rsidRDefault="00683F4A" w:rsidP="009657E1">
            <w:pPr>
              <w:spacing w:after="0"/>
              <w:jc w:val="left"/>
              <w:rPr>
                <w:rFonts w:ascii="Arial Narrow" w:eastAsia="Times New Roman" w:hAnsi="Arial Narrow"/>
                <w:b/>
                <w:bCs/>
                <w:sz w:val="20"/>
                <w:szCs w:val="20"/>
                <w:lang w:eastAsia="en-GB"/>
              </w:rPr>
            </w:pPr>
            <w:r w:rsidRPr="003B552F">
              <w:rPr>
                <w:rFonts w:ascii="Arial Narrow" w:eastAsia="Times New Roman" w:hAnsi="Arial Narrow"/>
                <w:b/>
                <w:bCs/>
                <w:sz w:val="20"/>
                <w:szCs w:val="20"/>
                <w:lang w:eastAsia="en-GB"/>
              </w:rPr>
              <w:t>Annualized Key Results 2016</w:t>
            </w:r>
          </w:p>
        </w:tc>
        <w:tc>
          <w:tcPr>
            <w:tcW w:w="7883" w:type="dxa"/>
            <w:gridSpan w:val="5"/>
            <w:tcBorders>
              <w:top w:val="nil"/>
              <w:left w:val="nil"/>
              <w:bottom w:val="single" w:sz="4" w:space="0" w:color="auto"/>
              <w:right w:val="single" w:sz="4" w:space="0" w:color="000000"/>
            </w:tcBorders>
            <w:shd w:val="clear" w:color="auto" w:fill="auto"/>
            <w:hideMark/>
          </w:tcPr>
          <w:p w14:paraId="01F24170" w14:textId="77777777" w:rsidR="00683F4A" w:rsidRPr="00CD56B9" w:rsidRDefault="00683F4A" w:rsidP="009657E1">
            <w:pPr>
              <w:spacing w:after="0"/>
              <w:jc w:val="left"/>
              <w:rPr>
                <w:rFonts w:ascii="Arial Narrow" w:eastAsia="Times New Roman" w:hAnsi="Arial Narrow"/>
                <w:sz w:val="20"/>
                <w:szCs w:val="20"/>
                <w:lang w:val="en-US" w:eastAsia="en-GB"/>
              </w:rPr>
            </w:pPr>
            <w:r w:rsidRPr="00CD56B9">
              <w:rPr>
                <w:rFonts w:ascii="Arial Narrow" w:eastAsia="Times New Roman" w:hAnsi="Arial Narrow"/>
                <w:sz w:val="20"/>
                <w:szCs w:val="20"/>
                <w:lang w:val="en-US" w:eastAsia="en-GB"/>
              </w:rPr>
              <w:t xml:space="preserve">B: Child Court services strengthened in 7 districts and diversion programs rolled out to 28 districts (UNICEF).    </w:t>
            </w:r>
          </w:p>
        </w:tc>
        <w:tc>
          <w:tcPr>
            <w:tcW w:w="1230" w:type="dxa"/>
            <w:tcBorders>
              <w:top w:val="nil"/>
              <w:left w:val="nil"/>
              <w:bottom w:val="single" w:sz="4" w:space="0" w:color="auto"/>
              <w:right w:val="single" w:sz="4" w:space="0" w:color="auto"/>
            </w:tcBorders>
            <w:shd w:val="clear" w:color="auto" w:fill="auto"/>
            <w:hideMark/>
          </w:tcPr>
          <w:p w14:paraId="45C529F2" w14:textId="77777777" w:rsidR="00683F4A" w:rsidRPr="003B552F" w:rsidRDefault="00683F4A" w:rsidP="009657E1">
            <w:pPr>
              <w:spacing w:after="0"/>
              <w:jc w:val="left"/>
              <w:rPr>
                <w:rFonts w:ascii="Arial Narrow" w:eastAsia="Times New Roman" w:hAnsi="Arial Narrow"/>
                <w:sz w:val="20"/>
                <w:szCs w:val="20"/>
                <w:lang w:eastAsia="en-GB"/>
              </w:rPr>
            </w:pPr>
            <w:r w:rsidRPr="003B552F">
              <w:rPr>
                <w:rFonts w:ascii="Arial Narrow" w:eastAsia="Times New Roman" w:hAnsi="Arial Narrow"/>
                <w:sz w:val="20"/>
                <w:szCs w:val="20"/>
                <w:lang w:eastAsia="en-GB"/>
              </w:rPr>
              <w:t>UNICEF</w:t>
            </w:r>
          </w:p>
        </w:tc>
        <w:tc>
          <w:tcPr>
            <w:tcW w:w="953" w:type="dxa"/>
            <w:tcBorders>
              <w:top w:val="nil"/>
              <w:left w:val="nil"/>
              <w:bottom w:val="single" w:sz="4" w:space="0" w:color="auto"/>
              <w:right w:val="single" w:sz="4" w:space="0" w:color="auto"/>
            </w:tcBorders>
            <w:shd w:val="clear" w:color="auto" w:fill="auto"/>
            <w:hideMark/>
          </w:tcPr>
          <w:p w14:paraId="37E714F7"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10,000 </w:t>
            </w:r>
          </w:p>
        </w:tc>
        <w:tc>
          <w:tcPr>
            <w:tcW w:w="1037" w:type="dxa"/>
            <w:gridSpan w:val="3"/>
            <w:tcBorders>
              <w:top w:val="nil"/>
              <w:left w:val="nil"/>
              <w:bottom w:val="single" w:sz="4" w:space="0" w:color="auto"/>
              <w:right w:val="single" w:sz="4" w:space="0" w:color="auto"/>
            </w:tcBorders>
            <w:shd w:val="clear" w:color="auto" w:fill="auto"/>
            <w:hideMark/>
          </w:tcPr>
          <w:p w14:paraId="371C0F5D"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180,000 </w:t>
            </w:r>
          </w:p>
        </w:tc>
        <w:tc>
          <w:tcPr>
            <w:tcW w:w="986" w:type="dxa"/>
            <w:tcBorders>
              <w:top w:val="nil"/>
              <w:left w:val="nil"/>
              <w:bottom w:val="single" w:sz="4" w:space="0" w:color="auto"/>
              <w:right w:val="single" w:sz="4" w:space="0" w:color="auto"/>
            </w:tcBorders>
            <w:shd w:val="clear" w:color="auto" w:fill="auto"/>
            <w:hideMark/>
          </w:tcPr>
          <w:p w14:paraId="4A862F23"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300,000 </w:t>
            </w:r>
          </w:p>
        </w:tc>
        <w:tc>
          <w:tcPr>
            <w:tcW w:w="1134" w:type="dxa"/>
            <w:tcBorders>
              <w:top w:val="nil"/>
              <w:left w:val="nil"/>
              <w:bottom w:val="single" w:sz="4" w:space="0" w:color="auto"/>
              <w:right w:val="single" w:sz="8" w:space="0" w:color="auto"/>
            </w:tcBorders>
            <w:shd w:val="clear" w:color="auto" w:fill="auto"/>
            <w:hideMark/>
          </w:tcPr>
          <w:p w14:paraId="18CB2F14"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490,000 </w:t>
            </w:r>
          </w:p>
        </w:tc>
      </w:tr>
      <w:tr w:rsidR="00683F4A" w:rsidRPr="007D425D" w14:paraId="2823735C" w14:textId="77777777" w:rsidTr="009657E1">
        <w:trPr>
          <w:trHeight w:val="168"/>
          <w:jc w:val="center"/>
        </w:trPr>
        <w:tc>
          <w:tcPr>
            <w:tcW w:w="1529" w:type="dxa"/>
            <w:gridSpan w:val="2"/>
            <w:vMerge/>
            <w:tcBorders>
              <w:top w:val="single" w:sz="4" w:space="0" w:color="auto"/>
              <w:left w:val="single" w:sz="8" w:space="0" w:color="auto"/>
              <w:bottom w:val="single" w:sz="4" w:space="0" w:color="000000"/>
              <w:right w:val="single" w:sz="4" w:space="0" w:color="auto"/>
            </w:tcBorders>
            <w:vAlign w:val="center"/>
            <w:hideMark/>
          </w:tcPr>
          <w:p w14:paraId="5061063A" w14:textId="77777777" w:rsidR="00683F4A" w:rsidRPr="003B552F" w:rsidRDefault="00683F4A" w:rsidP="009657E1">
            <w:pPr>
              <w:spacing w:after="0"/>
              <w:jc w:val="left"/>
              <w:rPr>
                <w:rFonts w:ascii="Arial Narrow" w:eastAsia="Times New Roman" w:hAnsi="Arial Narrow"/>
                <w:b/>
                <w:bCs/>
                <w:sz w:val="20"/>
                <w:szCs w:val="20"/>
                <w:lang w:eastAsia="en-GB"/>
              </w:rPr>
            </w:pPr>
          </w:p>
        </w:tc>
        <w:tc>
          <w:tcPr>
            <w:tcW w:w="7883" w:type="dxa"/>
            <w:gridSpan w:val="5"/>
            <w:tcBorders>
              <w:top w:val="single" w:sz="4" w:space="0" w:color="auto"/>
              <w:left w:val="nil"/>
              <w:bottom w:val="single" w:sz="4" w:space="0" w:color="auto"/>
              <w:right w:val="single" w:sz="4" w:space="0" w:color="000000"/>
            </w:tcBorders>
            <w:shd w:val="clear" w:color="auto" w:fill="auto"/>
            <w:hideMark/>
          </w:tcPr>
          <w:p w14:paraId="3538BEE8" w14:textId="77777777" w:rsidR="00683F4A" w:rsidRPr="003B552F" w:rsidRDefault="00683F4A" w:rsidP="009657E1">
            <w:pPr>
              <w:spacing w:after="0"/>
              <w:jc w:val="left"/>
              <w:rPr>
                <w:rFonts w:ascii="Arial Narrow" w:eastAsia="Times New Roman" w:hAnsi="Arial Narrow"/>
                <w:sz w:val="20"/>
                <w:szCs w:val="20"/>
                <w:lang w:eastAsia="en-GB"/>
              </w:rPr>
            </w:pPr>
            <w:r w:rsidRPr="00CD56B9">
              <w:rPr>
                <w:rFonts w:ascii="Arial Narrow" w:eastAsia="Times New Roman" w:hAnsi="Arial Narrow"/>
                <w:sz w:val="20"/>
                <w:szCs w:val="20"/>
                <w:lang w:val="en-US" w:eastAsia="en-GB"/>
              </w:rPr>
              <w:t xml:space="preserve">G: Resolutions from the 2nd Session of the Youth Parliament influence parliamentary debates and policy decisions.  </w:t>
            </w:r>
            <w:r w:rsidRPr="003B552F">
              <w:rPr>
                <w:rFonts w:ascii="Arial Narrow" w:eastAsia="Times New Roman" w:hAnsi="Arial Narrow"/>
                <w:sz w:val="20"/>
                <w:szCs w:val="20"/>
                <w:lang w:eastAsia="en-GB"/>
              </w:rPr>
              <w:t xml:space="preserve">(UNICEF).      </w:t>
            </w:r>
          </w:p>
        </w:tc>
        <w:tc>
          <w:tcPr>
            <w:tcW w:w="1230" w:type="dxa"/>
            <w:tcBorders>
              <w:top w:val="nil"/>
              <w:left w:val="nil"/>
              <w:bottom w:val="single" w:sz="4" w:space="0" w:color="auto"/>
              <w:right w:val="single" w:sz="4" w:space="0" w:color="auto"/>
            </w:tcBorders>
            <w:shd w:val="clear" w:color="auto" w:fill="auto"/>
            <w:hideMark/>
          </w:tcPr>
          <w:p w14:paraId="5D0089F8" w14:textId="77777777" w:rsidR="00683F4A" w:rsidRPr="003B552F" w:rsidRDefault="00683F4A" w:rsidP="009657E1">
            <w:pPr>
              <w:spacing w:after="0"/>
              <w:jc w:val="left"/>
              <w:rPr>
                <w:rFonts w:ascii="Arial Narrow" w:eastAsia="Times New Roman" w:hAnsi="Arial Narrow"/>
                <w:sz w:val="20"/>
                <w:szCs w:val="20"/>
                <w:lang w:eastAsia="en-GB"/>
              </w:rPr>
            </w:pPr>
            <w:r w:rsidRPr="003B552F">
              <w:rPr>
                <w:rFonts w:ascii="Arial Narrow" w:eastAsia="Times New Roman" w:hAnsi="Arial Narrow"/>
                <w:sz w:val="20"/>
                <w:szCs w:val="20"/>
                <w:lang w:eastAsia="en-GB"/>
              </w:rPr>
              <w:t>UNICEF</w:t>
            </w:r>
          </w:p>
        </w:tc>
        <w:tc>
          <w:tcPr>
            <w:tcW w:w="953" w:type="dxa"/>
            <w:tcBorders>
              <w:top w:val="nil"/>
              <w:left w:val="nil"/>
              <w:bottom w:val="single" w:sz="4" w:space="0" w:color="auto"/>
              <w:right w:val="single" w:sz="4" w:space="0" w:color="auto"/>
            </w:tcBorders>
            <w:shd w:val="clear" w:color="auto" w:fill="auto"/>
            <w:hideMark/>
          </w:tcPr>
          <w:p w14:paraId="78B9D811"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10,000 </w:t>
            </w:r>
          </w:p>
        </w:tc>
        <w:tc>
          <w:tcPr>
            <w:tcW w:w="1037" w:type="dxa"/>
            <w:gridSpan w:val="3"/>
            <w:tcBorders>
              <w:top w:val="nil"/>
              <w:left w:val="nil"/>
              <w:bottom w:val="single" w:sz="4" w:space="0" w:color="auto"/>
              <w:right w:val="single" w:sz="4" w:space="0" w:color="auto"/>
            </w:tcBorders>
            <w:shd w:val="clear" w:color="auto" w:fill="auto"/>
            <w:hideMark/>
          </w:tcPr>
          <w:p w14:paraId="0CA2F060"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200,000 </w:t>
            </w:r>
          </w:p>
        </w:tc>
        <w:tc>
          <w:tcPr>
            <w:tcW w:w="986" w:type="dxa"/>
            <w:tcBorders>
              <w:top w:val="nil"/>
              <w:left w:val="nil"/>
              <w:bottom w:val="single" w:sz="4" w:space="0" w:color="auto"/>
              <w:right w:val="single" w:sz="4" w:space="0" w:color="auto"/>
            </w:tcBorders>
            <w:shd w:val="clear" w:color="auto" w:fill="auto"/>
            <w:hideMark/>
          </w:tcPr>
          <w:p w14:paraId="61EC5170"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300,000 </w:t>
            </w:r>
          </w:p>
        </w:tc>
        <w:tc>
          <w:tcPr>
            <w:tcW w:w="1134" w:type="dxa"/>
            <w:tcBorders>
              <w:top w:val="nil"/>
              <w:left w:val="nil"/>
              <w:bottom w:val="single" w:sz="4" w:space="0" w:color="auto"/>
              <w:right w:val="single" w:sz="8" w:space="0" w:color="auto"/>
            </w:tcBorders>
            <w:shd w:val="clear" w:color="auto" w:fill="auto"/>
            <w:hideMark/>
          </w:tcPr>
          <w:p w14:paraId="41FD293A"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510,000 </w:t>
            </w:r>
          </w:p>
        </w:tc>
      </w:tr>
      <w:tr w:rsidR="00683F4A" w:rsidRPr="007D425D" w14:paraId="5AD94B91" w14:textId="77777777" w:rsidTr="009657E1">
        <w:trPr>
          <w:trHeight w:val="179"/>
          <w:jc w:val="center"/>
        </w:trPr>
        <w:tc>
          <w:tcPr>
            <w:tcW w:w="1529" w:type="dxa"/>
            <w:gridSpan w:val="2"/>
            <w:vMerge/>
            <w:tcBorders>
              <w:top w:val="single" w:sz="4" w:space="0" w:color="auto"/>
              <w:left w:val="single" w:sz="8" w:space="0" w:color="auto"/>
              <w:bottom w:val="single" w:sz="4" w:space="0" w:color="000000"/>
              <w:right w:val="single" w:sz="4" w:space="0" w:color="auto"/>
            </w:tcBorders>
            <w:vAlign w:val="center"/>
            <w:hideMark/>
          </w:tcPr>
          <w:p w14:paraId="730D495D" w14:textId="77777777" w:rsidR="00683F4A" w:rsidRPr="003B552F" w:rsidRDefault="00683F4A" w:rsidP="009657E1">
            <w:pPr>
              <w:spacing w:after="0"/>
              <w:jc w:val="left"/>
              <w:rPr>
                <w:rFonts w:ascii="Arial Narrow" w:eastAsia="Times New Roman" w:hAnsi="Arial Narrow"/>
                <w:b/>
                <w:bCs/>
                <w:sz w:val="20"/>
                <w:szCs w:val="20"/>
                <w:lang w:eastAsia="en-GB"/>
              </w:rPr>
            </w:pPr>
          </w:p>
        </w:tc>
        <w:tc>
          <w:tcPr>
            <w:tcW w:w="7883" w:type="dxa"/>
            <w:gridSpan w:val="5"/>
            <w:tcBorders>
              <w:top w:val="single" w:sz="4" w:space="0" w:color="auto"/>
              <w:left w:val="nil"/>
              <w:bottom w:val="nil"/>
              <w:right w:val="single" w:sz="4" w:space="0" w:color="000000"/>
            </w:tcBorders>
            <w:shd w:val="clear" w:color="auto" w:fill="auto"/>
            <w:hideMark/>
          </w:tcPr>
          <w:p w14:paraId="5FC476C9" w14:textId="77777777" w:rsidR="00683F4A" w:rsidRPr="00CD56B9" w:rsidRDefault="00683F4A" w:rsidP="009657E1">
            <w:pPr>
              <w:spacing w:after="0"/>
              <w:jc w:val="left"/>
              <w:rPr>
                <w:rFonts w:ascii="Arial Narrow" w:eastAsia="Times New Roman" w:hAnsi="Arial Narrow"/>
                <w:sz w:val="20"/>
                <w:szCs w:val="20"/>
                <w:lang w:val="en-US" w:eastAsia="en-GB"/>
              </w:rPr>
            </w:pPr>
            <w:r w:rsidRPr="00CD56B9">
              <w:rPr>
                <w:rFonts w:ascii="Arial Narrow" w:eastAsia="Times New Roman" w:hAnsi="Arial Narrow"/>
                <w:sz w:val="20"/>
                <w:szCs w:val="20"/>
                <w:lang w:val="en-US" w:eastAsia="en-GB"/>
              </w:rPr>
              <w:t>I: Follow up survey on Democratic Governance  conducted  (UNDP)</w:t>
            </w:r>
          </w:p>
        </w:tc>
        <w:tc>
          <w:tcPr>
            <w:tcW w:w="1230" w:type="dxa"/>
            <w:tcBorders>
              <w:top w:val="nil"/>
              <w:left w:val="nil"/>
              <w:bottom w:val="nil"/>
              <w:right w:val="single" w:sz="4" w:space="0" w:color="auto"/>
            </w:tcBorders>
            <w:shd w:val="clear" w:color="auto" w:fill="auto"/>
            <w:hideMark/>
          </w:tcPr>
          <w:p w14:paraId="0F0DDC8E" w14:textId="77777777" w:rsidR="00683F4A" w:rsidRPr="003B552F" w:rsidRDefault="00683F4A" w:rsidP="009657E1">
            <w:pPr>
              <w:spacing w:after="0"/>
              <w:jc w:val="left"/>
              <w:rPr>
                <w:rFonts w:ascii="Arial Narrow" w:eastAsia="Times New Roman" w:hAnsi="Arial Narrow"/>
                <w:sz w:val="20"/>
                <w:szCs w:val="20"/>
                <w:lang w:eastAsia="en-GB"/>
              </w:rPr>
            </w:pPr>
            <w:r w:rsidRPr="003B552F">
              <w:rPr>
                <w:rFonts w:ascii="Arial Narrow" w:eastAsia="Times New Roman" w:hAnsi="Arial Narrow"/>
                <w:sz w:val="20"/>
                <w:szCs w:val="20"/>
                <w:lang w:eastAsia="en-GB"/>
              </w:rPr>
              <w:t>UNDP</w:t>
            </w:r>
          </w:p>
        </w:tc>
        <w:tc>
          <w:tcPr>
            <w:tcW w:w="953" w:type="dxa"/>
            <w:tcBorders>
              <w:top w:val="nil"/>
              <w:left w:val="nil"/>
              <w:bottom w:val="nil"/>
              <w:right w:val="single" w:sz="4" w:space="0" w:color="auto"/>
            </w:tcBorders>
            <w:shd w:val="clear" w:color="auto" w:fill="auto"/>
            <w:hideMark/>
          </w:tcPr>
          <w:p w14:paraId="21D2FDC4"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200,000 </w:t>
            </w:r>
          </w:p>
        </w:tc>
        <w:tc>
          <w:tcPr>
            <w:tcW w:w="1037" w:type="dxa"/>
            <w:gridSpan w:val="3"/>
            <w:tcBorders>
              <w:top w:val="nil"/>
              <w:left w:val="nil"/>
              <w:bottom w:val="nil"/>
              <w:right w:val="single" w:sz="4" w:space="0" w:color="auto"/>
            </w:tcBorders>
            <w:shd w:val="clear" w:color="auto" w:fill="auto"/>
            <w:hideMark/>
          </w:tcPr>
          <w:p w14:paraId="365E1B4D"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w:t>
            </w:r>
          </w:p>
        </w:tc>
        <w:tc>
          <w:tcPr>
            <w:tcW w:w="986" w:type="dxa"/>
            <w:tcBorders>
              <w:top w:val="nil"/>
              <w:left w:val="nil"/>
              <w:bottom w:val="nil"/>
              <w:right w:val="single" w:sz="4" w:space="0" w:color="auto"/>
            </w:tcBorders>
            <w:shd w:val="clear" w:color="auto" w:fill="auto"/>
            <w:hideMark/>
          </w:tcPr>
          <w:p w14:paraId="534A1D4E"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300,000 </w:t>
            </w:r>
          </w:p>
        </w:tc>
        <w:tc>
          <w:tcPr>
            <w:tcW w:w="1134" w:type="dxa"/>
            <w:tcBorders>
              <w:top w:val="nil"/>
              <w:left w:val="nil"/>
              <w:bottom w:val="nil"/>
              <w:right w:val="single" w:sz="8" w:space="0" w:color="auto"/>
            </w:tcBorders>
            <w:shd w:val="clear" w:color="auto" w:fill="auto"/>
            <w:hideMark/>
          </w:tcPr>
          <w:p w14:paraId="5D532C59"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500,000 </w:t>
            </w:r>
          </w:p>
        </w:tc>
      </w:tr>
      <w:tr w:rsidR="00683F4A" w:rsidRPr="007D425D" w14:paraId="5D3CC976" w14:textId="77777777" w:rsidTr="009657E1">
        <w:trPr>
          <w:trHeight w:val="179"/>
          <w:jc w:val="center"/>
        </w:trPr>
        <w:tc>
          <w:tcPr>
            <w:tcW w:w="1529" w:type="dxa"/>
            <w:gridSpan w:val="2"/>
            <w:tcBorders>
              <w:top w:val="nil"/>
              <w:left w:val="single" w:sz="8" w:space="0" w:color="auto"/>
              <w:bottom w:val="single" w:sz="4" w:space="0" w:color="auto"/>
              <w:right w:val="single" w:sz="4" w:space="0" w:color="auto"/>
            </w:tcBorders>
            <w:shd w:val="clear" w:color="auto" w:fill="auto"/>
            <w:hideMark/>
          </w:tcPr>
          <w:p w14:paraId="5D34CF78" w14:textId="77777777" w:rsidR="00683F4A" w:rsidRPr="003B552F" w:rsidRDefault="00683F4A" w:rsidP="009657E1">
            <w:pPr>
              <w:spacing w:after="0"/>
              <w:jc w:val="left"/>
              <w:rPr>
                <w:rFonts w:ascii="Arial Narrow" w:eastAsia="Times New Roman" w:hAnsi="Arial Narrow"/>
                <w:b/>
                <w:bCs/>
                <w:sz w:val="20"/>
                <w:szCs w:val="20"/>
                <w:lang w:eastAsia="en-GB"/>
              </w:rPr>
            </w:pPr>
            <w:r w:rsidRPr="003B552F">
              <w:rPr>
                <w:rFonts w:ascii="Arial Narrow" w:eastAsia="Times New Roman" w:hAnsi="Arial Narrow"/>
                <w:b/>
                <w:bCs/>
                <w:sz w:val="20"/>
                <w:szCs w:val="20"/>
                <w:lang w:eastAsia="en-GB"/>
              </w:rPr>
              <w:t> </w:t>
            </w:r>
          </w:p>
        </w:tc>
        <w:tc>
          <w:tcPr>
            <w:tcW w:w="7883" w:type="dxa"/>
            <w:gridSpan w:val="5"/>
            <w:tcBorders>
              <w:top w:val="single" w:sz="8" w:space="0" w:color="auto"/>
              <w:left w:val="single" w:sz="8" w:space="0" w:color="auto"/>
              <w:bottom w:val="single" w:sz="8" w:space="0" w:color="auto"/>
              <w:right w:val="single" w:sz="4" w:space="0" w:color="000000"/>
            </w:tcBorders>
            <w:shd w:val="clear" w:color="auto" w:fill="auto"/>
            <w:hideMark/>
          </w:tcPr>
          <w:p w14:paraId="4E08079C" w14:textId="77777777" w:rsidR="00683F4A" w:rsidRPr="00CD56B9" w:rsidRDefault="00683F4A" w:rsidP="009657E1">
            <w:pPr>
              <w:spacing w:after="0"/>
              <w:jc w:val="left"/>
              <w:rPr>
                <w:rFonts w:ascii="Arial Narrow" w:eastAsia="Times New Roman" w:hAnsi="Arial Narrow"/>
                <w:b/>
                <w:bCs/>
                <w:color w:val="FF0000"/>
                <w:sz w:val="20"/>
                <w:szCs w:val="20"/>
                <w:lang w:val="en-US" w:eastAsia="en-GB"/>
              </w:rPr>
            </w:pPr>
            <w:r w:rsidRPr="00CD56B9">
              <w:rPr>
                <w:rFonts w:ascii="Arial Narrow" w:eastAsia="Times New Roman" w:hAnsi="Arial Narrow"/>
                <w:b/>
                <w:bCs/>
                <w:color w:val="FF0000"/>
                <w:sz w:val="20"/>
                <w:szCs w:val="20"/>
                <w:lang w:val="en-US" w:eastAsia="en-GB"/>
              </w:rPr>
              <w:t>4.1.2-Total Budget for Annualised Key Results for 2015</w:t>
            </w:r>
          </w:p>
        </w:tc>
        <w:tc>
          <w:tcPr>
            <w:tcW w:w="1230" w:type="dxa"/>
            <w:tcBorders>
              <w:top w:val="single" w:sz="8" w:space="0" w:color="auto"/>
              <w:left w:val="nil"/>
              <w:bottom w:val="single" w:sz="8" w:space="0" w:color="auto"/>
              <w:right w:val="single" w:sz="4" w:space="0" w:color="auto"/>
            </w:tcBorders>
            <w:shd w:val="clear" w:color="auto" w:fill="auto"/>
            <w:hideMark/>
          </w:tcPr>
          <w:p w14:paraId="2518BD6C" w14:textId="77777777" w:rsidR="00683F4A" w:rsidRPr="00CD56B9" w:rsidRDefault="00683F4A" w:rsidP="009657E1">
            <w:pPr>
              <w:spacing w:after="0"/>
              <w:jc w:val="left"/>
              <w:rPr>
                <w:rFonts w:ascii="Arial Narrow" w:eastAsia="Times New Roman" w:hAnsi="Arial Narrow"/>
                <w:b/>
                <w:bCs/>
                <w:color w:val="FF0000"/>
                <w:sz w:val="20"/>
                <w:szCs w:val="20"/>
                <w:lang w:val="en-US" w:eastAsia="en-GB"/>
              </w:rPr>
            </w:pPr>
            <w:r w:rsidRPr="00CD56B9">
              <w:rPr>
                <w:rFonts w:ascii="Arial Narrow" w:eastAsia="Times New Roman" w:hAnsi="Arial Narrow"/>
                <w:b/>
                <w:bCs/>
                <w:color w:val="FF0000"/>
                <w:sz w:val="20"/>
                <w:szCs w:val="20"/>
                <w:lang w:val="en-US" w:eastAsia="en-GB"/>
              </w:rPr>
              <w:t> </w:t>
            </w:r>
          </w:p>
        </w:tc>
        <w:tc>
          <w:tcPr>
            <w:tcW w:w="953" w:type="dxa"/>
            <w:tcBorders>
              <w:top w:val="single" w:sz="8" w:space="0" w:color="auto"/>
              <w:left w:val="nil"/>
              <w:bottom w:val="single" w:sz="8" w:space="0" w:color="auto"/>
              <w:right w:val="single" w:sz="4" w:space="0" w:color="auto"/>
            </w:tcBorders>
            <w:shd w:val="clear" w:color="auto" w:fill="auto"/>
            <w:hideMark/>
          </w:tcPr>
          <w:p w14:paraId="4127923B" w14:textId="77777777" w:rsidR="00683F4A" w:rsidRPr="003B552F" w:rsidRDefault="00683F4A" w:rsidP="009657E1">
            <w:pPr>
              <w:spacing w:after="0"/>
              <w:jc w:val="right"/>
              <w:rPr>
                <w:rFonts w:ascii="Arial Narrow" w:eastAsia="Times New Roman" w:hAnsi="Arial Narrow"/>
                <w:b/>
                <w:bCs/>
                <w:color w:val="FF0000"/>
                <w:sz w:val="20"/>
                <w:szCs w:val="20"/>
                <w:lang w:eastAsia="en-GB"/>
              </w:rPr>
            </w:pPr>
            <w:r w:rsidRPr="00CD56B9">
              <w:rPr>
                <w:rFonts w:ascii="Arial Narrow" w:eastAsia="Times New Roman" w:hAnsi="Arial Narrow"/>
                <w:b/>
                <w:bCs/>
                <w:color w:val="FF0000"/>
                <w:sz w:val="20"/>
                <w:szCs w:val="20"/>
                <w:lang w:val="en-US" w:eastAsia="en-GB"/>
              </w:rPr>
              <w:t xml:space="preserve">           </w:t>
            </w:r>
            <w:r w:rsidRPr="003B552F">
              <w:rPr>
                <w:rFonts w:ascii="Arial Narrow" w:eastAsia="Times New Roman" w:hAnsi="Arial Narrow"/>
                <w:b/>
                <w:bCs/>
                <w:color w:val="FF0000"/>
                <w:sz w:val="20"/>
                <w:szCs w:val="20"/>
                <w:lang w:eastAsia="en-GB"/>
              </w:rPr>
              <w:t xml:space="preserve">220,000 </w:t>
            </w:r>
          </w:p>
        </w:tc>
        <w:tc>
          <w:tcPr>
            <w:tcW w:w="1037" w:type="dxa"/>
            <w:gridSpan w:val="3"/>
            <w:tcBorders>
              <w:top w:val="single" w:sz="8" w:space="0" w:color="auto"/>
              <w:left w:val="nil"/>
              <w:bottom w:val="single" w:sz="8" w:space="0" w:color="auto"/>
              <w:right w:val="single" w:sz="4" w:space="0" w:color="auto"/>
            </w:tcBorders>
            <w:shd w:val="clear" w:color="auto" w:fill="auto"/>
            <w:hideMark/>
          </w:tcPr>
          <w:p w14:paraId="2621AB8A" w14:textId="77777777" w:rsidR="00683F4A" w:rsidRPr="003B552F" w:rsidRDefault="00683F4A" w:rsidP="009657E1">
            <w:pPr>
              <w:spacing w:after="0"/>
              <w:jc w:val="right"/>
              <w:rPr>
                <w:rFonts w:ascii="Arial Narrow" w:eastAsia="Times New Roman" w:hAnsi="Arial Narrow"/>
                <w:b/>
                <w:bCs/>
                <w:color w:val="FF0000"/>
                <w:sz w:val="20"/>
                <w:szCs w:val="20"/>
                <w:lang w:eastAsia="en-GB"/>
              </w:rPr>
            </w:pPr>
            <w:r w:rsidRPr="003B552F">
              <w:rPr>
                <w:rFonts w:ascii="Arial Narrow" w:eastAsia="Times New Roman" w:hAnsi="Arial Narrow"/>
                <w:b/>
                <w:bCs/>
                <w:color w:val="FF0000"/>
                <w:sz w:val="20"/>
                <w:szCs w:val="20"/>
                <w:lang w:eastAsia="en-GB"/>
              </w:rPr>
              <w:t xml:space="preserve">            380,000 </w:t>
            </w:r>
          </w:p>
        </w:tc>
        <w:tc>
          <w:tcPr>
            <w:tcW w:w="986" w:type="dxa"/>
            <w:tcBorders>
              <w:top w:val="single" w:sz="8" w:space="0" w:color="auto"/>
              <w:left w:val="nil"/>
              <w:bottom w:val="single" w:sz="8" w:space="0" w:color="auto"/>
              <w:right w:val="single" w:sz="4" w:space="0" w:color="auto"/>
            </w:tcBorders>
            <w:shd w:val="clear" w:color="auto" w:fill="auto"/>
            <w:hideMark/>
          </w:tcPr>
          <w:p w14:paraId="74BE9942" w14:textId="77777777" w:rsidR="00683F4A" w:rsidRPr="003B552F" w:rsidRDefault="00683F4A" w:rsidP="009657E1">
            <w:pPr>
              <w:spacing w:after="0"/>
              <w:jc w:val="right"/>
              <w:rPr>
                <w:rFonts w:ascii="Arial Narrow" w:eastAsia="Times New Roman" w:hAnsi="Arial Narrow"/>
                <w:b/>
                <w:bCs/>
                <w:color w:val="FF0000"/>
                <w:sz w:val="20"/>
                <w:szCs w:val="20"/>
                <w:lang w:eastAsia="en-GB"/>
              </w:rPr>
            </w:pPr>
            <w:r w:rsidRPr="003B552F">
              <w:rPr>
                <w:rFonts w:ascii="Arial Narrow" w:eastAsia="Times New Roman" w:hAnsi="Arial Narrow"/>
                <w:b/>
                <w:bCs/>
                <w:color w:val="FF0000"/>
                <w:sz w:val="20"/>
                <w:szCs w:val="20"/>
                <w:lang w:eastAsia="en-GB"/>
              </w:rPr>
              <w:t xml:space="preserve">           900,000 </w:t>
            </w:r>
          </w:p>
        </w:tc>
        <w:tc>
          <w:tcPr>
            <w:tcW w:w="1134" w:type="dxa"/>
            <w:tcBorders>
              <w:top w:val="single" w:sz="8" w:space="0" w:color="auto"/>
              <w:left w:val="nil"/>
              <w:bottom w:val="single" w:sz="8" w:space="0" w:color="auto"/>
              <w:right w:val="single" w:sz="8" w:space="0" w:color="auto"/>
            </w:tcBorders>
            <w:shd w:val="clear" w:color="auto" w:fill="auto"/>
            <w:hideMark/>
          </w:tcPr>
          <w:p w14:paraId="4F0A67CB" w14:textId="77777777" w:rsidR="00683F4A" w:rsidRPr="003B552F" w:rsidRDefault="00683F4A" w:rsidP="009657E1">
            <w:pPr>
              <w:spacing w:after="0"/>
              <w:jc w:val="right"/>
              <w:rPr>
                <w:rFonts w:ascii="Arial Narrow" w:eastAsia="Times New Roman" w:hAnsi="Arial Narrow"/>
                <w:b/>
                <w:bCs/>
                <w:color w:val="FF0000"/>
                <w:sz w:val="20"/>
                <w:szCs w:val="20"/>
                <w:lang w:eastAsia="en-GB"/>
              </w:rPr>
            </w:pPr>
            <w:r w:rsidRPr="003B552F">
              <w:rPr>
                <w:rFonts w:ascii="Arial Narrow" w:eastAsia="Times New Roman" w:hAnsi="Arial Narrow"/>
                <w:b/>
                <w:bCs/>
                <w:color w:val="FF0000"/>
                <w:sz w:val="20"/>
                <w:szCs w:val="20"/>
                <w:lang w:eastAsia="en-GB"/>
              </w:rPr>
              <w:t xml:space="preserve">          1,500,000 </w:t>
            </w:r>
          </w:p>
        </w:tc>
      </w:tr>
      <w:tr w:rsidR="00683F4A" w:rsidRPr="007D425D" w14:paraId="4A9B4711" w14:textId="77777777" w:rsidTr="009657E1">
        <w:trPr>
          <w:trHeight w:val="168"/>
          <w:jc w:val="center"/>
        </w:trPr>
        <w:tc>
          <w:tcPr>
            <w:tcW w:w="1529" w:type="dxa"/>
            <w:gridSpan w:val="2"/>
            <w:tcBorders>
              <w:top w:val="nil"/>
              <w:left w:val="single" w:sz="8" w:space="0" w:color="auto"/>
              <w:bottom w:val="single" w:sz="4" w:space="0" w:color="auto"/>
              <w:right w:val="single" w:sz="4" w:space="0" w:color="auto"/>
            </w:tcBorders>
            <w:shd w:val="clear" w:color="000000" w:fill="969696"/>
            <w:hideMark/>
          </w:tcPr>
          <w:p w14:paraId="0009913B" w14:textId="77777777" w:rsidR="00683F4A" w:rsidRPr="003B552F" w:rsidRDefault="00683F4A" w:rsidP="009657E1">
            <w:pPr>
              <w:spacing w:after="0"/>
              <w:jc w:val="left"/>
              <w:rPr>
                <w:rFonts w:ascii="Arial Narrow" w:eastAsia="Times New Roman" w:hAnsi="Arial Narrow"/>
                <w:b/>
                <w:bCs/>
                <w:sz w:val="20"/>
                <w:szCs w:val="20"/>
                <w:lang w:eastAsia="en-GB"/>
              </w:rPr>
            </w:pPr>
            <w:r w:rsidRPr="003B552F">
              <w:rPr>
                <w:rFonts w:ascii="Arial Narrow" w:eastAsia="Times New Roman" w:hAnsi="Arial Narrow"/>
                <w:b/>
                <w:bCs/>
                <w:sz w:val="20"/>
                <w:szCs w:val="20"/>
                <w:lang w:eastAsia="en-GB"/>
              </w:rPr>
              <w:t> </w:t>
            </w:r>
          </w:p>
        </w:tc>
        <w:tc>
          <w:tcPr>
            <w:tcW w:w="7883" w:type="dxa"/>
            <w:gridSpan w:val="5"/>
            <w:tcBorders>
              <w:top w:val="single" w:sz="8" w:space="0" w:color="auto"/>
              <w:left w:val="nil"/>
              <w:bottom w:val="single" w:sz="4" w:space="0" w:color="auto"/>
              <w:right w:val="single" w:sz="4" w:space="0" w:color="000000"/>
            </w:tcBorders>
            <w:shd w:val="clear" w:color="000000" w:fill="969696"/>
            <w:hideMark/>
          </w:tcPr>
          <w:p w14:paraId="0A15445A" w14:textId="77777777" w:rsidR="00683F4A" w:rsidRPr="003B552F" w:rsidRDefault="00683F4A" w:rsidP="009657E1">
            <w:pPr>
              <w:spacing w:after="0"/>
              <w:jc w:val="left"/>
              <w:rPr>
                <w:rFonts w:ascii="Arial Narrow" w:eastAsia="Times New Roman" w:hAnsi="Arial Narrow"/>
                <w:b/>
                <w:bCs/>
                <w:sz w:val="20"/>
                <w:szCs w:val="20"/>
                <w:lang w:eastAsia="en-GB"/>
              </w:rPr>
            </w:pPr>
            <w:r w:rsidRPr="003B552F">
              <w:rPr>
                <w:rFonts w:ascii="Arial Narrow" w:eastAsia="Times New Roman" w:hAnsi="Arial Narrow"/>
                <w:b/>
                <w:bCs/>
                <w:sz w:val="20"/>
                <w:szCs w:val="20"/>
                <w:lang w:eastAsia="en-GB"/>
              </w:rPr>
              <w:t>TOTAL- OUTPUT 4.1.2</w:t>
            </w:r>
          </w:p>
        </w:tc>
        <w:tc>
          <w:tcPr>
            <w:tcW w:w="1230" w:type="dxa"/>
            <w:tcBorders>
              <w:top w:val="nil"/>
              <w:left w:val="nil"/>
              <w:bottom w:val="single" w:sz="4" w:space="0" w:color="auto"/>
              <w:right w:val="single" w:sz="4" w:space="0" w:color="auto"/>
            </w:tcBorders>
            <w:shd w:val="clear" w:color="000000" w:fill="969696"/>
            <w:hideMark/>
          </w:tcPr>
          <w:p w14:paraId="6CEBE1D9" w14:textId="77777777" w:rsidR="00683F4A" w:rsidRPr="003B552F" w:rsidRDefault="00683F4A" w:rsidP="009657E1">
            <w:pPr>
              <w:spacing w:after="0"/>
              <w:jc w:val="left"/>
              <w:rPr>
                <w:rFonts w:ascii="Arial Narrow" w:eastAsia="Times New Roman" w:hAnsi="Arial Narrow"/>
                <w:b/>
                <w:bCs/>
                <w:sz w:val="20"/>
                <w:szCs w:val="20"/>
                <w:lang w:eastAsia="en-GB"/>
              </w:rPr>
            </w:pPr>
            <w:r w:rsidRPr="003B552F">
              <w:rPr>
                <w:rFonts w:ascii="Arial Narrow" w:eastAsia="Times New Roman" w:hAnsi="Arial Narrow"/>
                <w:b/>
                <w:bCs/>
                <w:sz w:val="20"/>
                <w:szCs w:val="20"/>
                <w:lang w:eastAsia="en-GB"/>
              </w:rPr>
              <w:t> </w:t>
            </w:r>
          </w:p>
        </w:tc>
        <w:tc>
          <w:tcPr>
            <w:tcW w:w="953" w:type="dxa"/>
            <w:tcBorders>
              <w:top w:val="nil"/>
              <w:left w:val="nil"/>
              <w:bottom w:val="single" w:sz="4" w:space="0" w:color="auto"/>
              <w:right w:val="single" w:sz="4" w:space="0" w:color="auto"/>
            </w:tcBorders>
            <w:shd w:val="clear" w:color="000000" w:fill="969696"/>
            <w:hideMark/>
          </w:tcPr>
          <w:p w14:paraId="30442F53" w14:textId="77777777" w:rsidR="00683F4A" w:rsidRPr="003B552F" w:rsidRDefault="00683F4A" w:rsidP="009657E1">
            <w:pPr>
              <w:spacing w:after="0"/>
              <w:jc w:val="right"/>
              <w:rPr>
                <w:rFonts w:ascii="Arial Narrow" w:eastAsia="Times New Roman" w:hAnsi="Arial Narrow"/>
                <w:b/>
                <w:bCs/>
                <w:sz w:val="20"/>
                <w:szCs w:val="20"/>
                <w:lang w:eastAsia="en-GB"/>
              </w:rPr>
            </w:pPr>
            <w:r w:rsidRPr="003B552F">
              <w:rPr>
                <w:rFonts w:ascii="Arial Narrow" w:eastAsia="Times New Roman" w:hAnsi="Arial Narrow"/>
                <w:b/>
                <w:bCs/>
                <w:sz w:val="20"/>
                <w:szCs w:val="20"/>
                <w:lang w:eastAsia="en-GB"/>
              </w:rPr>
              <w:t xml:space="preserve">        1,400,000 </w:t>
            </w:r>
          </w:p>
        </w:tc>
        <w:tc>
          <w:tcPr>
            <w:tcW w:w="1037" w:type="dxa"/>
            <w:gridSpan w:val="3"/>
            <w:tcBorders>
              <w:top w:val="nil"/>
              <w:left w:val="nil"/>
              <w:bottom w:val="single" w:sz="4" w:space="0" w:color="auto"/>
              <w:right w:val="single" w:sz="4" w:space="0" w:color="auto"/>
            </w:tcBorders>
            <w:shd w:val="clear" w:color="000000" w:fill="969696"/>
            <w:hideMark/>
          </w:tcPr>
          <w:p w14:paraId="42D83D5F" w14:textId="77777777" w:rsidR="00683F4A" w:rsidRPr="003B552F" w:rsidRDefault="00683F4A" w:rsidP="009657E1">
            <w:pPr>
              <w:spacing w:after="0"/>
              <w:jc w:val="right"/>
              <w:rPr>
                <w:rFonts w:ascii="Arial Narrow" w:eastAsia="Times New Roman" w:hAnsi="Arial Narrow"/>
                <w:b/>
                <w:bCs/>
                <w:sz w:val="20"/>
                <w:szCs w:val="20"/>
                <w:lang w:eastAsia="en-GB"/>
              </w:rPr>
            </w:pPr>
            <w:r w:rsidRPr="003B552F">
              <w:rPr>
                <w:rFonts w:ascii="Arial Narrow" w:eastAsia="Times New Roman" w:hAnsi="Arial Narrow"/>
                <w:b/>
                <w:bCs/>
                <w:sz w:val="20"/>
                <w:szCs w:val="20"/>
                <w:lang w:eastAsia="en-GB"/>
              </w:rPr>
              <w:t xml:space="preserve">         1,900,000 </w:t>
            </w:r>
          </w:p>
        </w:tc>
        <w:tc>
          <w:tcPr>
            <w:tcW w:w="986" w:type="dxa"/>
            <w:tcBorders>
              <w:top w:val="nil"/>
              <w:left w:val="nil"/>
              <w:bottom w:val="single" w:sz="4" w:space="0" w:color="auto"/>
              <w:right w:val="single" w:sz="4" w:space="0" w:color="auto"/>
            </w:tcBorders>
            <w:shd w:val="clear" w:color="000000" w:fill="969696"/>
            <w:hideMark/>
          </w:tcPr>
          <w:p w14:paraId="7CB74484" w14:textId="77777777" w:rsidR="00683F4A" w:rsidRPr="003B552F" w:rsidRDefault="00683F4A" w:rsidP="009657E1">
            <w:pPr>
              <w:spacing w:after="0"/>
              <w:jc w:val="right"/>
              <w:rPr>
                <w:rFonts w:ascii="Arial Narrow" w:eastAsia="Times New Roman" w:hAnsi="Arial Narrow"/>
                <w:b/>
                <w:bCs/>
                <w:sz w:val="20"/>
                <w:szCs w:val="20"/>
                <w:lang w:eastAsia="en-GB"/>
              </w:rPr>
            </w:pPr>
            <w:r w:rsidRPr="003B552F">
              <w:rPr>
                <w:rFonts w:ascii="Arial Narrow" w:eastAsia="Times New Roman" w:hAnsi="Arial Narrow"/>
                <w:b/>
                <w:bCs/>
                <w:sz w:val="20"/>
                <w:szCs w:val="20"/>
                <w:lang w:eastAsia="en-GB"/>
              </w:rPr>
              <w:t xml:space="preserve">        4,500,000 </w:t>
            </w:r>
          </w:p>
        </w:tc>
        <w:tc>
          <w:tcPr>
            <w:tcW w:w="1134" w:type="dxa"/>
            <w:tcBorders>
              <w:top w:val="nil"/>
              <w:left w:val="nil"/>
              <w:bottom w:val="single" w:sz="4" w:space="0" w:color="auto"/>
              <w:right w:val="single" w:sz="8" w:space="0" w:color="auto"/>
            </w:tcBorders>
            <w:shd w:val="clear" w:color="000000" w:fill="969696"/>
            <w:hideMark/>
          </w:tcPr>
          <w:p w14:paraId="1DCC8872" w14:textId="77777777" w:rsidR="00683F4A" w:rsidRPr="003B552F" w:rsidRDefault="00683F4A" w:rsidP="009657E1">
            <w:pPr>
              <w:spacing w:after="0"/>
              <w:jc w:val="right"/>
              <w:rPr>
                <w:rFonts w:ascii="Arial Narrow" w:eastAsia="Times New Roman" w:hAnsi="Arial Narrow"/>
                <w:b/>
                <w:bCs/>
                <w:sz w:val="20"/>
                <w:szCs w:val="20"/>
                <w:lang w:eastAsia="en-GB"/>
              </w:rPr>
            </w:pPr>
            <w:r w:rsidRPr="003B552F">
              <w:rPr>
                <w:rFonts w:ascii="Arial Narrow" w:eastAsia="Times New Roman" w:hAnsi="Arial Narrow"/>
                <w:b/>
                <w:bCs/>
                <w:sz w:val="20"/>
                <w:szCs w:val="20"/>
                <w:lang w:eastAsia="en-GB"/>
              </w:rPr>
              <w:t xml:space="preserve">          7,800,000 </w:t>
            </w:r>
          </w:p>
        </w:tc>
      </w:tr>
    </w:tbl>
    <w:p w14:paraId="42024638" w14:textId="77777777" w:rsidR="00683F4A" w:rsidRDefault="00683F4A" w:rsidP="00683F4A">
      <w:pPr>
        <w:rPr>
          <w:lang w:val="en-US"/>
        </w:rPr>
        <w:sectPr w:rsidR="00683F4A" w:rsidSect="00BF7CA6">
          <w:pgSz w:w="16838" w:h="11906" w:orient="landscape"/>
          <w:pgMar w:top="1134" w:right="1701" w:bottom="1134" w:left="1701" w:header="708" w:footer="708" w:gutter="0"/>
          <w:cols w:space="708"/>
          <w:docGrid w:linePitch="360"/>
        </w:sectPr>
      </w:pPr>
    </w:p>
    <w:tbl>
      <w:tblPr>
        <w:tblW w:w="14752" w:type="dxa"/>
        <w:jc w:val="center"/>
        <w:tblLayout w:type="fixed"/>
        <w:tblLook w:val="04A0" w:firstRow="1" w:lastRow="0" w:firstColumn="1" w:lastColumn="0" w:noHBand="0" w:noVBand="1"/>
      </w:tblPr>
      <w:tblGrid>
        <w:gridCol w:w="1487"/>
        <w:gridCol w:w="83"/>
        <w:gridCol w:w="1150"/>
        <w:gridCol w:w="2003"/>
        <w:gridCol w:w="1271"/>
        <w:gridCol w:w="2217"/>
        <w:gridCol w:w="1201"/>
        <w:gridCol w:w="1230"/>
        <w:gridCol w:w="953"/>
        <w:gridCol w:w="39"/>
        <w:gridCol w:w="992"/>
        <w:gridCol w:w="6"/>
        <w:gridCol w:w="986"/>
        <w:gridCol w:w="1134"/>
      </w:tblGrid>
      <w:tr w:rsidR="00683F4A" w:rsidRPr="007D425D" w14:paraId="1C71AE2C" w14:textId="77777777" w:rsidTr="009657E1">
        <w:trPr>
          <w:trHeight w:val="168"/>
          <w:jc w:val="center"/>
        </w:trPr>
        <w:tc>
          <w:tcPr>
            <w:tcW w:w="1487" w:type="dxa"/>
            <w:vMerge w:val="restart"/>
            <w:tcBorders>
              <w:top w:val="single" w:sz="4" w:space="0" w:color="auto"/>
              <w:left w:val="single" w:sz="8" w:space="0" w:color="auto"/>
              <w:bottom w:val="single" w:sz="4" w:space="0" w:color="000000"/>
              <w:right w:val="single" w:sz="4" w:space="0" w:color="auto"/>
            </w:tcBorders>
            <w:shd w:val="clear" w:color="auto" w:fill="FBD4B4"/>
            <w:hideMark/>
          </w:tcPr>
          <w:p w14:paraId="6C4CB386" w14:textId="77777777" w:rsidR="00683F4A" w:rsidRPr="003B552F" w:rsidRDefault="00683F4A" w:rsidP="009657E1">
            <w:pPr>
              <w:spacing w:after="0"/>
              <w:jc w:val="center"/>
              <w:rPr>
                <w:rFonts w:ascii="Arial Narrow" w:eastAsia="Times New Roman" w:hAnsi="Arial Narrow"/>
                <w:color w:val="000000"/>
                <w:sz w:val="20"/>
                <w:szCs w:val="20"/>
                <w:lang w:eastAsia="en-GB"/>
              </w:rPr>
            </w:pPr>
            <w:r w:rsidRPr="003B552F">
              <w:rPr>
                <w:rFonts w:ascii="Arial Narrow" w:eastAsia="Times New Roman" w:hAnsi="Arial Narrow"/>
                <w:color w:val="000000"/>
                <w:sz w:val="20"/>
                <w:szCs w:val="20"/>
                <w:lang w:eastAsia="en-GB"/>
              </w:rPr>
              <w:lastRenderedPageBreak/>
              <w:t> </w:t>
            </w:r>
          </w:p>
        </w:tc>
        <w:tc>
          <w:tcPr>
            <w:tcW w:w="1233" w:type="dxa"/>
            <w:gridSpan w:val="2"/>
            <w:vMerge w:val="restart"/>
            <w:tcBorders>
              <w:top w:val="single" w:sz="4" w:space="0" w:color="auto"/>
              <w:left w:val="single" w:sz="4" w:space="0" w:color="auto"/>
              <w:bottom w:val="single" w:sz="4" w:space="0" w:color="000000"/>
              <w:right w:val="single" w:sz="4" w:space="0" w:color="auto"/>
            </w:tcBorders>
            <w:shd w:val="clear" w:color="auto" w:fill="FBD4B4"/>
            <w:hideMark/>
          </w:tcPr>
          <w:p w14:paraId="55900C12" w14:textId="77777777" w:rsidR="00683F4A" w:rsidRPr="003B552F" w:rsidRDefault="00683F4A" w:rsidP="009657E1">
            <w:pPr>
              <w:spacing w:after="0"/>
              <w:jc w:val="center"/>
              <w:rPr>
                <w:rFonts w:ascii="Arial Narrow" w:eastAsia="Times New Roman" w:hAnsi="Arial Narrow"/>
                <w:b/>
                <w:bCs/>
                <w:sz w:val="20"/>
                <w:szCs w:val="20"/>
                <w:lang w:eastAsia="en-GB"/>
              </w:rPr>
            </w:pPr>
            <w:r w:rsidRPr="003B552F">
              <w:rPr>
                <w:rFonts w:ascii="Arial Narrow" w:eastAsia="Times New Roman" w:hAnsi="Arial Narrow"/>
                <w:b/>
                <w:bCs/>
                <w:sz w:val="20"/>
                <w:szCs w:val="20"/>
                <w:lang w:eastAsia="en-GB"/>
              </w:rPr>
              <w:t>UN Agency</w:t>
            </w:r>
          </w:p>
        </w:tc>
        <w:tc>
          <w:tcPr>
            <w:tcW w:w="2003" w:type="dxa"/>
            <w:vMerge w:val="restart"/>
            <w:tcBorders>
              <w:top w:val="single" w:sz="4" w:space="0" w:color="auto"/>
              <w:left w:val="single" w:sz="4" w:space="0" w:color="auto"/>
              <w:bottom w:val="single" w:sz="4" w:space="0" w:color="000000"/>
              <w:right w:val="single" w:sz="4" w:space="0" w:color="auto"/>
            </w:tcBorders>
            <w:shd w:val="clear" w:color="auto" w:fill="FBD4B4"/>
            <w:hideMark/>
          </w:tcPr>
          <w:p w14:paraId="122BFA10" w14:textId="77777777" w:rsidR="00683F4A" w:rsidRPr="003B552F" w:rsidRDefault="00683F4A" w:rsidP="009657E1">
            <w:pPr>
              <w:spacing w:after="0"/>
              <w:jc w:val="center"/>
              <w:rPr>
                <w:rFonts w:ascii="Arial Narrow" w:eastAsia="Times New Roman" w:hAnsi="Arial Narrow"/>
                <w:b/>
                <w:bCs/>
                <w:sz w:val="20"/>
                <w:szCs w:val="20"/>
                <w:lang w:eastAsia="en-GB"/>
              </w:rPr>
            </w:pPr>
            <w:r w:rsidRPr="003B552F">
              <w:rPr>
                <w:rFonts w:ascii="Arial Narrow" w:eastAsia="Times New Roman" w:hAnsi="Arial Narrow"/>
                <w:b/>
                <w:bCs/>
                <w:sz w:val="20"/>
                <w:szCs w:val="20"/>
                <w:lang w:eastAsia="en-GB"/>
              </w:rPr>
              <w:t>Indicators, Baseline and Targets</w:t>
            </w:r>
          </w:p>
        </w:tc>
        <w:tc>
          <w:tcPr>
            <w:tcW w:w="1271" w:type="dxa"/>
            <w:vMerge w:val="restart"/>
            <w:tcBorders>
              <w:top w:val="single" w:sz="4" w:space="0" w:color="auto"/>
              <w:left w:val="single" w:sz="4" w:space="0" w:color="auto"/>
              <w:bottom w:val="single" w:sz="4" w:space="0" w:color="000000"/>
              <w:right w:val="single" w:sz="4" w:space="0" w:color="auto"/>
            </w:tcBorders>
            <w:shd w:val="clear" w:color="auto" w:fill="FBD4B4"/>
            <w:hideMark/>
          </w:tcPr>
          <w:p w14:paraId="3C250464" w14:textId="77777777" w:rsidR="00683F4A" w:rsidRPr="003B552F" w:rsidRDefault="00683F4A" w:rsidP="009657E1">
            <w:pPr>
              <w:spacing w:after="0"/>
              <w:jc w:val="center"/>
              <w:rPr>
                <w:rFonts w:ascii="Arial Narrow" w:eastAsia="Times New Roman" w:hAnsi="Arial Narrow"/>
                <w:b/>
                <w:bCs/>
                <w:sz w:val="20"/>
                <w:szCs w:val="20"/>
                <w:lang w:eastAsia="en-GB"/>
              </w:rPr>
            </w:pPr>
            <w:r w:rsidRPr="003B552F">
              <w:rPr>
                <w:rFonts w:ascii="Arial Narrow" w:eastAsia="Times New Roman" w:hAnsi="Arial Narrow"/>
                <w:b/>
                <w:bCs/>
                <w:sz w:val="20"/>
                <w:szCs w:val="20"/>
                <w:lang w:eastAsia="en-GB"/>
              </w:rPr>
              <w:t>Means of Verification</w:t>
            </w:r>
          </w:p>
        </w:tc>
        <w:tc>
          <w:tcPr>
            <w:tcW w:w="2217" w:type="dxa"/>
            <w:vMerge w:val="restart"/>
            <w:tcBorders>
              <w:top w:val="single" w:sz="4" w:space="0" w:color="auto"/>
              <w:left w:val="single" w:sz="4" w:space="0" w:color="auto"/>
              <w:bottom w:val="single" w:sz="4" w:space="0" w:color="000000"/>
              <w:right w:val="single" w:sz="4" w:space="0" w:color="auto"/>
            </w:tcBorders>
            <w:shd w:val="clear" w:color="auto" w:fill="FBD4B4"/>
            <w:hideMark/>
          </w:tcPr>
          <w:p w14:paraId="73263C3A" w14:textId="77777777" w:rsidR="00683F4A" w:rsidRPr="003B552F" w:rsidRDefault="00683F4A" w:rsidP="009657E1">
            <w:pPr>
              <w:spacing w:after="0"/>
              <w:jc w:val="center"/>
              <w:rPr>
                <w:rFonts w:ascii="Arial Narrow" w:eastAsia="Times New Roman" w:hAnsi="Arial Narrow"/>
                <w:b/>
                <w:bCs/>
                <w:sz w:val="20"/>
                <w:szCs w:val="20"/>
                <w:lang w:eastAsia="en-GB"/>
              </w:rPr>
            </w:pPr>
            <w:r w:rsidRPr="003B552F">
              <w:rPr>
                <w:rFonts w:ascii="Arial Narrow" w:eastAsia="Times New Roman" w:hAnsi="Arial Narrow"/>
                <w:b/>
                <w:bCs/>
                <w:sz w:val="20"/>
                <w:szCs w:val="20"/>
                <w:lang w:eastAsia="en-GB"/>
              </w:rPr>
              <w:t>Risk and assumptions</w:t>
            </w:r>
          </w:p>
        </w:tc>
        <w:tc>
          <w:tcPr>
            <w:tcW w:w="1201" w:type="dxa"/>
            <w:vMerge w:val="restart"/>
            <w:tcBorders>
              <w:top w:val="single" w:sz="4" w:space="0" w:color="auto"/>
              <w:left w:val="single" w:sz="4" w:space="0" w:color="auto"/>
              <w:bottom w:val="single" w:sz="4" w:space="0" w:color="000000"/>
              <w:right w:val="single" w:sz="4" w:space="0" w:color="auto"/>
            </w:tcBorders>
            <w:shd w:val="clear" w:color="auto" w:fill="FBD4B4"/>
            <w:hideMark/>
          </w:tcPr>
          <w:p w14:paraId="1CE17D5A" w14:textId="77777777" w:rsidR="00683F4A" w:rsidRPr="003B552F" w:rsidRDefault="00683F4A" w:rsidP="009657E1">
            <w:pPr>
              <w:spacing w:after="0"/>
              <w:jc w:val="center"/>
              <w:rPr>
                <w:rFonts w:ascii="Arial Narrow" w:eastAsia="Times New Roman" w:hAnsi="Arial Narrow"/>
                <w:b/>
                <w:bCs/>
                <w:sz w:val="20"/>
                <w:szCs w:val="20"/>
                <w:lang w:eastAsia="en-GB"/>
              </w:rPr>
            </w:pPr>
            <w:r w:rsidRPr="003B552F">
              <w:rPr>
                <w:rFonts w:ascii="Arial Narrow" w:eastAsia="Times New Roman" w:hAnsi="Arial Narrow"/>
                <w:b/>
                <w:bCs/>
                <w:sz w:val="20"/>
                <w:szCs w:val="20"/>
                <w:lang w:eastAsia="en-GB"/>
              </w:rPr>
              <w:t>Key Partners</w:t>
            </w:r>
          </w:p>
        </w:tc>
        <w:tc>
          <w:tcPr>
            <w:tcW w:w="1230" w:type="dxa"/>
            <w:tcBorders>
              <w:top w:val="single" w:sz="4" w:space="0" w:color="auto"/>
              <w:left w:val="nil"/>
              <w:bottom w:val="nil"/>
              <w:right w:val="single" w:sz="4" w:space="0" w:color="auto"/>
            </w:tcBorders>
            <w:shd w:val="clear" w:color="auto" w:fill="FBD4B4"/>
            <w:hideMark/>
          </w:tcPr>
          <w:p w14:paraId="119297FA" w14:textId="77777777" w:rsidR="00683F4A" w:rsidRPr="003B552F" w:rsidRDefault="00683F4A" w:rsidP="009657E1">
            <w:pPr>
              <w:spacing w:after="0"/>
              <w:jc w:val="center"/>
              <w:rPr>
                <w:rFonts w:ascii="Arial Narrow" w:eastAsia="Times New Roman" w:hAnsi="Arial Narrow"/>
                <w:b/>
                <w:bCs/>
                <w:sz w:val="20"/>
                <w:szCs w:val="20"/>
                <w:lang w:eastAsia="en-GB"/>
              </w:rPr>
            </w:pPr>
            <w:r w:rsidRPr="003B552F">
              <w:rPr>
                <w:rFonts w:ascii="Arial Narrow" w:eastAsia="Times New Roman" w:hAnsi="Arial Narrow"/>
                <w:b/>
                <w:bCs/>
                <w:sz w:val="20"/>
                <w:szCs w:val="20"/>
                <w:lang w:eastAsia="en-GB"/>
              </w:rPr>
              <w:t> </w:t>
            </w:r>
          </w:p>
        </w:tc>
        <w:tc>
          <w:tcPr>
            <w:tcW w:w="4110" w:type="dxa"/>
            <w:gridSpan w:val="6"/>
            <w:tcBorders>
              <w:top w:val="single" w:sz="4" w:space="0" w:color="auto"/>
              <w:left w:val="nil"/>
              <w:bottom w:val="single" w:sz="4" w:space="0" w:color="auto"/>
              <w:right w:val="single" w:sz="8" w:space="0" w:color="000000"/>
            </w:tcBorders>
            <w:shd w:val="clear" w:color="auto" w:fill="FBD4B4"/>
            <w:hideMark/>
          </w:tcPr>
          <w:p w14:paraId="3FDD00BA" w14:textId="77777777" w:rsidR="00683F4A" w:rsidRPr="003B552F" w:rsidRDefault="00683F4A" w:rsidP="009657E1">
            <w:pPr>
              <w:spacing w:after="0"/>
              <w:jc w:val="center"/>
              <w:rPr>
                <w:rFonts w:ascii="Arial Narrow" w:eastAsia="Times New Roman" w:hAnsi="Arial Narrow"/>
                <w:b/>
                <w:bCs/>
                <w:sz w:val="20"/>
                <w:szCs w:val="20"/>
                <w:lang w:eastAsia="en-GB"/>
              </w:rPr>
            </w:pPr>
            <w:r w:rsidRPr="003B552F">
              <w:rPr>
                <w:rFonts w:ascii="Arial Narrow" w:eastAsia="Times New Roman" w:hAnsi="Arial Narrow"/>
                <w:b/>
                <w:bCs/>
                <w:sz w:val="20"/>
                <w:szCs w:val="20"/>
                <w:lang w:eastAsia="en-GB"/>
              </w:rPr>
              <w:t xml:space="preserve"> Indicative Resources (USD) </w:t>
            </w:r>
          </w:p>
        </w:tc>
      </w:tr>
      <w:tr w:rsidR="00683F4A" w:rsidRPr="007D425D" w14:paraId="7DA16B31" w14:textId="77777777" w:rsidTr="009657E1">
        <w:trPr>
          <w:trHeight w:val="356"/>
          <w:jc w:val="center"/>
        </w:trPr>
        <w:tc>
          <w:tcPr>
            <w:tcW w:w="1487" w:type="dxa"/>
            <w:vMerge/>
            <w:tcBorders>
              <w:top w:val="nil"/>
              <w:left w:val="single" w:sz="8" w:space="0" w:color="auto"/>
              <w:bottom w:val="single" w:sz="4" w:space="0" w:color="000000"/>
              <w:right w:val="single" w:sz="4" w:space="0" w:color="auto"/>
            </w:tcBorders>
            <w:shd w:val="clear" w:color="auto" w:fill="FBD4B4"/>
            <w:vAlign w:val="center"/>
            <w:hideMark/>
          </w:tcPr>
          <w:p w14:paraId="50339637" w14:textId="77777777" w:rsidR="00683F4A" w:rsidRPr="003B552F" w:rsidRDefault="00683F4A" w:rsidP="009657E1">
            <w:pPr>
              <w:spacing w:after="0"/>
              <w:jc w:val="left"/>
              <w:rPr>
                <w:rFonts w:ascii="Arial Narrow" w:eastAsia="Times New Roman" w:hAnsi="Arial Narrow"/>
                <w:sz w:val="20"/>
                <w:szCs w:val="20"/>
                <w:lang w:eastAsia="en-GB"/>
              </w:rPr>
            </w:pPr>
          </w:p>
        </w:tc>
        <w:tc>
          <w:tcPr>
            <w:tcW w:w="1233" w:type="dxa"/>
            <w:gridSpan w:val="2"/>
            <w:vMerge/>
            <w:tcBorders>
              <w:top w:val="nil"/>
              <w:left w:val="single" w:sz="4" w:space="0" w:color="auto"/>
              <w:bottom w:val="single" w:sz="4" w:space="0" w:color="000000"/>
              <w:right w:val="single" w:sz="4" w:space="0" w:color="auto"/>
            </w:tcBorders>
            <w:vAlign w:val="center"/>
            <w:hideMark/>
          </w:tcPr>
          <w:p w14:paraId="661699B7" w14:textId="77777777" w:rsidR="00683F4A" w:rsidRPr="003B552F" w:rsidRDefault="00683F4A" w:rsidP="009657E1">
            <w:pPr>
              <w:spacing w:after="0"/>
              <w:jc w:val="left"/>
              <w:rPr>
                <w:rFonts w:ascii="Arial Narrow" w:eastAsia="Times New Roman" w:hAnsi="Arial Narrow"/>
                <w:b/>
                <w:bCs/>
                <w:sz w:val="20"/>
                <w:szCs w:val="20"/>
                <w:lang w:eastAsia="en-GB"/>
              </w:rPr>
            </w:pPr>
          </w:p>
        </w:tc>
        <w:tc>
          <w:tcPr>
            <w:tcW w:w="2003" w:type="dxa"/>
            <w:vMerge/>
            <w:tcBorders>
              <w:top w:val="nil"/>
              <w:left w:val="single" w:sz="4" w:space="0" w:color="auto"/>
              <w:bottom w:val="single" w:sz="4" w:space="0" w:color="000000"/>
              <w:right w:val="single" w:sz="4" w:space="0" w:color="auto"/>
            </w:tcBorders>
            <w:vAlign w:val="center"/>
            <w:hideMark/>
          </w:tcPr>
          <w:p w14:paraId="0C13E43D" w14:textId="77777777" w:rsidR="00683F4A" w:rsidRPr="003B552F" w:rsidRDefault="00683F4A" w:rsidP="009657E1">
            <w:pPr>
              <w:spacing w:after="0"/>
              <w:jc w:val="left"/>
              <w:rPr>
                <w:rFonts w:ascii="Arial Narrow" w:eastAsia="Times New Roman" w:hAnsi="Arial Narrow"/>
                <w:b/>
                <w:bCs/>
                <w:sz w:val="20"/>
                <w:szCs w:val="20"/>
                <w:lang w:eastAsia="en-GB"/>
              </w:rPr>
            </w:pPr>
          </w:p>
        </w:tc>
        <w:tc>
          <w:tcPr>
            <w:tcW w:w="1271" w:type="dxa"/>
            <w:vMerge/>
            <w:tcBorders>
              <w:top w:val="nil"/>
              <w:left w:val="single" w:sz="4" w:space="0" w:color="auto"/>
              <w:bottom w:val="single" w:sz="4" w:space="0" w:color="000000"/>
              <w:right w:val="single" w:sz="4" w:space="0" w:color="auto"/>
            </w:tcBorders>
            <w:vAlign w:val="center"/>
            <w:hideMark/>
          </w:tcPr>
          <w:p w14:paraId="7227BB12" w14:textId="77777777" w:rsidR="00683F4A" w:rsidRPr="003B552F" w:rsidRDefault="00683F4A" w:rsidP="009657E1">
            <w:pPr>
              <w:spacing w:after="0"/>
              <w:jc w:val="left"/>
              <w:rPr>
                <w:rFonts w:ascii="Arial Narrow" w:eastAsia="Times New Roman" w:hAnsi="Arial Narrow"/>
                <w:b/>
                <w:bCs/>
                <w:sz w:val="20"/>
                <w:szCs w:val="20"/>
                <w:lang w:eastAsia="en-GB"/>
              </w:rPr>
            </w:pPr>
          </w:p>
        </w:tc>
        <w:tc>
          <w:tcPr>
            <w:tcW w:w="2217" w:type="dxa"/>
            <w:vMerge/>
            <w:tcBorders>
              <w:top w:val="nil"/>
              <w:left w:val="single" w:sz="4" w:space="0" w:color="auto"/>
              <w:bottom w:val="single" w:sz="4" w:space="0" w:color="000000"/>
              <w:right w:val="single" w:sz="4" w:space="0" w:color="auto"/>
            </w:tcBorders>
            <w:vAlign w:val="center"/>
            <w:hideMark/>
          </w:tcPr>
          <w:p w14:paraId="7940833E" w14:textId="77777777" w:rsidR="00683F4A" w:rsidRPr="003B552F" w:rsidRDefault="00683F4A" w:rsidP="009657E1">
            <w:pPr>
              <w:spacing w:after="0"/>
              <w:jc w:val="left"/>
              <w:rPr>
                <w:rFonts w:ascii="Arial Narrow" w:eastAsia="Times New Roman" w:hAnsi="Arial Narrow"/>
                <w:b/>
                <w:bCs/>
                <w:sz w:val="20"/>
                <w:szCs w:val="20"/>
                <w:lang w:eastAsia="en-GB"/>
              </w:rPr>
            </w:pPr>
          </w:p>
        </w:tc>
        <w:tc>
          <w:tcPr>
            <w:tcW w:w="1201" w:type="dxa"/>
            <w:vMerge/>
            <w:tcBorders>
              <w:top w:val="nil"/>
              <w:left w:val="single" w:sz="4" w:space="0" w:color="auto"/>
              <w:bottom w:val="single" w:sz="4" w:space="0" w:color="000000"/>
              <w:right w:val="single" w:sz="4" w:space="0" w:color="auto"/>
            </w:tcBorders>
            <w:vAlign w:val="center"/>
            <w:hideMark/>
          </w:tcPr>
          <w:p w14:paraId="3AF7DC55" w14:textId="77777777" w:rsidR="00683F4A" w:rsidRPr="003B552F" w:rsidRDefault="00683F4A" w:rsidP="009657E1">
            <w:pPr>
              <w:spacing w:after="0"/>
              <w:jc w:val="left"/>
              <w:rPr>
                <w:rFonts w:ascii="Arial Narrow" w:eastAsia="Times New Roman" w:hAnsi="Arial Narrow"/>
                <w:b/>
                <w:bCs/>
                <w:sz w:val="20"/>
                <w:szCs w:val="20"/>
                <w:lang w:eastAsia="en-GB"/>
              </w:rPr>
            </w:pPr>
          </w:p>
        </w:tc>
        <w:tc>
          <w:tcPr>
            <w:tcW w:w="1230" w:type="dxa"/>
            <w:tcBorders>
              <w:top w:val="single" w:sz="4" w:space="0" w:color="auto"/>
              <w:left w:val="nil"/>
              <w:bottom w:val="single" w:sz="4" w:space="0" w:color="auto"/>
              <w:right w:val="single" w:sz="4" w:space="0" w:color="auto"/>
            </w:tcBorders>
            <w:shd w:val="clear" w:color="auto" w:fill="FBD4B4"/>
            <w:hideMark/>
          </w:tcPr>
          <w:p w14:paraId="51CC77A1" w14:textId="77777777" w:rsidR="00683F4A" w:rsidRPr="003B552F" w:rsidRDefault="00683F4A" w:rsidP="009657E1">
            <w:pPr>
              <w:spacing w:after="0"/>
              <w:jc w:val="center"/>
              <w:rPr>
                <w:rFonts w:ascii="Arial Narrow" w:eastAsia="Times New Roman" w:hAnsi="Arial Narrow"/>
                <w:b/>
                <w:bCs/>
                <w:sz w:val="20"/>
                <w:szCs w:val="20"/>
                <w:lang w:eastAsia="en-GB"/>
              </w:rPr>
            </w:pPr>
            <w:r w:rsidRPr="003B552F">
              <w:rPr>
                <w:rFonts w:ascii="Arial Narrow" w:eastAsia="Times New Roman" w:hAnsi="Arial Narrow"/>
                <w:b/>
                <w:bCs/>
                <w:sz w:val="20"/>
                <w:szCs w:val="20"/>
                <w:lang w:eastAsia="en-GB"/>
              </w:rPr>
              <w:t>Agency</w:t>
            </w:r>
          </w:p>
        </w:tc>
        <w:tc>
          <w:tcPr>
            <w:tcW w:w="992" w:type="dxa"/>
            <w:gridSpan w:val="2"/>
            <w:tcBorders>
              <w:top w:val="nil"/>
              <w:left w:val="nil"/>
              <w:bottom w:val="single" w:sz="4" w:space="0" w:color="auto"/>
              <w:right w:val="single" w:sz="4" w:space="0" w:color="auto"/>
            </w:tcBorders>
            <w:shd w:val="clear" w:color="auto" w:fill="FBD4B4"/>
            <w:hideMark/>
          </w:tcPr>
          <w:p w14:paraId="2C1631A8" w14:textId="77777777" w:rsidR="00683F4A" w:rsidRPr="003B552F" w:rsidRDefault="00683F4A" w:rsidP="009657E1">
            <w:pPr>
              <w:spacing w:after="0"/>
              <w:jc w:val="center"/>
              <w:rPr>
                <w:rFonts w:ascii="Arial Narrow" w:eastAsia="Times New Roman" w:hAnsi="Arial Narrow"/>
                <w:b/>
                <w:bCs/>
                <w:sz w:val="20"/>
                <w:szCs w:val="20"/>
                <w:lang w:eastAsia="en-GB"/>
              </w:rPr>
            </w:pPr>
            <w:r w:rsidRPr="003B552F">
              <w:rPr>
                <w:rFonts w:ascii="Arial Narrow" w:eastAsia="Times New Roman" w:hAnsi="Arial Narrow"/>
                <w:b/>
                <w:bCs/>
                <w:sz w:val="20"/>
                <w:szCs w:val="20"/>
                <w:lang w:eastAsia="en-GB"/>
              </w:rPr>
              <w:t xml:space="preserve"> Core </w:t>
            </w:r>
          </w:p>
        </w:tc>
        <w:tc>
          <w:tcPr>
            <w:tcW w:w="992" w:type="dxa"/>
            <w:tcBorders>
              <w:top w:val="nil"/>
              <w:left w:val="nil"/>
              <w:bottom w:val="single" w:sz="4" w:space="0" w:color="auto"/>
              <w:right w:val="single" w:sz="4" w:space="0" w:color="auto"/>
            </w:tcBorders>
            <w:shd w:val="clear" w:color="auto" w:fill="FBD4B4"/>
            <w:hideMark/>
          </w:tcPr>
          <w:p w14:paraId="6A7BCF86" w14:textId="77777777" w:rsidR="00683F4A" w:rsidRPr="003B552F" w:rsidRDefault="00683F4A" w:rsidP="009657E1">
            <w:pPr>
              <w:spacing w:after="0"/>
              <w:jc w:val="center"/>
              <w:rPr>
                <w:rFonts w:ascii="Arial Narrow" w:eastAsia="Times New Roman" w:hAnsi="Arial Narrow"/>
                <w:b/>
                <w:bCs/>
                <w:sz w:val="20"/>
                <w:szCs w:val="20"/>
                <w:lang w:eastAsia="en-GB"/>
              </w:rPr>
            </w:pPr>
            <w:r w:rsidRPr="003B552F">
              <w:rPr>
                <w:rFonts w:ascii="Arial Narrow" w:eastAsia="Times New Roman" w:hAnsi="Arial Narrow"/>
                <w:b/>
                <w:bCs/>
                <w:sz w:val="20"/>
                <w:szCs w:val="20"/>
                <w:lang w:eastAsia="en-GB"/>
              </w:rPr>
              <w:t xml:space="preserve"> Non-Core </w:t>
            </w:r>
          </w:p>
        </w:tc>
        <w:tc>
          <w:tcPr>
            <w:tcW w:w="992" w:type="dxa"/>
            <w:gridSpan w:val="2"/>
            <w:tcBorders>
              <w:top w:val="nil"/>
              <w:left w:val="nil"/>
              <w:bottom w:val="single" w:sz="4" w:space="0" w:color="auto"/>
              <w:right w:val="single" w:sz="4" w:space="0" w:color="auto"/>
            </w:tcBorders>
            <w:shd w:val="clear" w:color="auto" w:fill="FBD4B4"/>
            <w:hideMark/>
          </w:tcPr>
          <w:p w14:paraId="2AD52B30" w14:textId="77777777" w:rsidR="00683F4A" w:rsidRPr="003B552F" w:rsidRDefault="00683F4A" w:rsidP="009657E1">
            <w:pPr>
              <w:spacing w:after="0"/>
              <w:jc w:val="center"/>
              <w:rPr>
                <w:rFonts w:ascii="Arial Narrow" w:eastAsia="Times New Roman" w:hAnsi="Arial Narrow"/>
                <w:b/>
                <w:bCs/>
                <w:sz w:val="20"/>
                <w:szCs w:val="20"/>
                <w:lang w:eastAsia="en-GB"/>
              </w:rPr>
            </w:pPr>
            <w:r w:rsidRPr="003B552F">
              <w:rPr>
                <w:rFonts w:ascii="Arial Narrow" w:eastAsia="Times New Roman" w:hAnsi="Arial Narrow"/>
                <w:b/>
                <w:bCs/>
                <w:sz w:val="20"/>
                <w:szCs w:val="20"/>
                <w:lang w:eastAsia="en-GB"/>
              </w:rPr>
              <w:t xml:space="preserve"> Gap </w:t>
            </w:r>
          </w:p>
        </w:tc>
        <w:tc>
          <w:tcPr>
            <w:tcW w:w="1134" w:type="dxa"/>
            <w:tcBorders>
              <w:top w:val="nil"/>
              <w:left w:val="nil"/>
              <w:bottom w:val="single" w:sz="4" w:space="0" w:color="auto"/>
              <w:right w:val="single" w:sz="8" w:space="0" w:color="auto"/>
            </w:tcBorders>
            <w:shd w:val="clear" w:color="auto" w:fill="FBD4B4"/>
            <w:hideMark/>
          </w:tcPr>
          <w:p w14:paraId="4EE68C4E" w14:textId="77777777" w:rsidR="00683F4A" w:rsidRPr="003B552F" w:rsidRDefault="00683F4A" w:rsidP="009657E1">
            <w:pPr>
              <w:spacing w:after="0"/>
              <w:jc w:val="center"/>
              <w:rPr>
                <w:rFonts w:ascii="Arial Narrow" w:eastAsia="Times New Roman" w:hAnsi="Arial Narrow"/>
                <w:b/>
                <w:bCs/>
                <w:sz w:val="20"/>
                <w:szCs w:val="20"/>
                <w:lang w:eastAsia="en-GB"/>
              </w:rPr>
            </w:pPr>
            <w:r w:rsidRPr="003B552F">
              <w:rPr>
                <w:rFonts w:ascii="Arial Narrow" w:eastAsia="Times New Roman" w:hAnsi="Arial Narrow"/>
                <w:b/>
                <w:bCs/>
                <w:sz w:val="20"/>
                <w:szCs w:val="20"/>
                <w:lang w:eastAsia="en-GB"/>
              </w:rPr>
              <w:t xml:space="preserve"> Total </w:t>
            </w:r>
          </w:p>
        </w:tc>
      </w:tr>
      <w:tr w:rsidR="00683F4A" w:rsidRPr="00F72B0D" w14:paraId="15D1794E" w14:textId="77777777" w:rsidTr="009657E1">
        <w:trPr>
          <w:trHeight w:val="1724"/>
          <w:jc w:val="center"/>
        </w:trPr>
        <w:tc>
          <w:tcPr>
            <w:tcW w:w="1570" w:type="dxa"/>
            <w:gridSpan w:val="2"/>
            <w:vMerge w:val="restart"/>
            <w:tcBorders>
              <w:top w:val="nil"/>
              <w:left w:val="single" w:sz="8" w:space="0" w:color="auto"/>
              <w:bottom w:val="single" w:sz="4" w:space="0" w:color="auto"/>
              <w:right w:val="single" w:sz="4" w:space="0" w:color="auto"/>
            </w:tcBorders>
            <w:shd w:val="clear" w:color="auto" w:fill="auto"/>
            <w:hideMark/>
          </w:tcPr>
          <w:p w14:paraId="349A355B" w14:textId="77777777" w:rsidR="00683F4A" w:rsidRPr="00CD56B9" w:rsidRDefault="00683F4A" w:rsidP="009657E1">
            <w:pPr>
              <w:spacing w:after="0"/>
              <w:jc w:val="left"/>
              <w:rPr>
                <w:rFonts w:ascii="Arial Narrow" w:eastAsia="Times New Roman" w:hAnsi="Arial Narrow"/>
                <w:b/>
                <w:bCs/>
                <w:sz w:val="20"/>
                <w:szCs w:val="20"/>
                <w:lang w:val="en-US" w:eastAsia="en-GB"/>
              </w:rPr>
            </w:pPr>
            <w:r w:rsidRPr="00CD56B9">
              <w:rPr>
                <w:rFonts w:ascii="Arial Narrow" w:eastAsia="Times New Roman" w:hAnsi="Arial Narrow"/>
                <w:b/>
                <w:bCs/>
                <w:sz w:val="20"/>
                <w:szCs w:val="20"/>
                <w:lang w:val="en-US" w:eastAsia="en-GB"/>
              </w:rPr>
              <w:t>Output 4.1.3 City and District Councils, Area and Village Development Committees (VDC) in targeted districts have capacity to conduct participatory planning, budgeting and manage integrated rural development in line with the national decentralization policy</w:t>
            </w:r>
          </w:p>
        </w:tc>
        <w:tc>
          <w:tcPr>
            <w:tcW w:w="1150" w:type="dxa"/>
            <w:vMerge w:val="restart"/>
            <w:tcBorders>
              <w:top w:val="nil"/>
              <w:left w:val="single" w:sz="4" w:space="0" w:color="auto"/>
              <w:bottom w:val="single" w:sz="4" w:space="0" w:color="000000"/>
              <w:right w:val="single" w:sz="4" w:space="0" w:color="auto"/>
            </w:tcBorders>
            <w:shd w:val="clear" w:color="auto" w:fill="auto"/>
            <w:hideMark/>
          </w:tcPr>
          <w:p w14:paraId="1AFDB5F5" w14:textId="77777777" w:rsidR="00683F4A" w:rsidRPr="00CD56B9" w:rsidRDefault="00683F4A" w:rsidP="009657E1">
            <w:pPr>
              <w:spacing w:after="0"/>
              <w:jc w:val="left"/>
              <w:rPr>
                <w:rFonts w:ascii="Arial Narrow" w:eastAsia="Times New Roman" w:hAnsi="Arial Narrow"/>
                <w:sz w:val="20"/>
                <w:szCs w:val="20"/>
                <w:lang w:val="en-US" w:eastAsia="en-GB"/>
              </w:rPr>
            </w:pPr>
            <w:r w:rsidRPr="00CD56B9">
              <w:rPr>
                <w:rFonts w:ascii="Arial Narrow" w:eastAsia="Times New Roman" w:hAnsi="Arial Narrow"/>
                <w:sz w:val="20"/>
                <w:szCs w:val="20"/>
                <w:lang w:val="en-US" w:eastAsia="en-GB"/>
              </w:rPr>
              <w:t>UNDP</w:t>
            </w:r>
            <w:r w:rsidRPr="00CD56B9">
              <w:rPr>
                <w:rFonts w:ascii="Arial Narrow" w:eastAsia="Times New Roman" w:hAnsi="Arial Narrow"/>
                <w:sz w:val="20"/>
                <w:szCs w:val="20"/>
                <w:lang w:val="en-US" w:eastAsia="en-GB"/>
              </w:rPr>
              <w:br/>
              <w:t>UNICEF</w:t>
            </w:r>
            <w:r w:rsidRPr="00CD56B9">
              <w:rPr>
                <w:rFonts w:ascii="Arial Narrow" w:eastAsia="Times New Roman" w:hAnsi="Arial Narrow"/>
                <w:sz w:val="20"/>
                <w:szCs w:val="20"/>
                <w:lang w:val="en-US" w:eastAsia="en-GB"/>
              </w:rPr>
              <w:br/>
              <w:t>UNCDF, UNFPA, ILO, UNOHCHR</w:t>
            </w:r>
          </w:p>
        </w:tc>
        <w:tc>
          <w:tcPr>
            <w:tcW w:w="2003" w:type="dxa"/>
            <w:tcBorders>
              <w:top w:val="nil"/>
              <w:left w:val="nil"/>
              <w:bottom w:val="single" w:sz="4" w:space="0" w:color="auto"/>
              <w:right w:val="single" w:sz="4" w:space="0" w:color="auto"/>
            </w:tcBorders>
            <w:shd w:val="clear" w:color="auto" w:fill="auto"/>
            <w:hideMark/>
          </w:tcPr>
          <w:p w14:paraId="123A3FF0" w14:textId="77777777" w:rsidR="00683F4A" w:rsidRPr="00CD56B9" w:rsidRDefault="00683F4A" w:rsidP="009657E1">
            <w:pPr>
              <w:spacing w:after="0"/>
              <w:jc w:val="left"/>
              <w:rPr>
                <w:rFonts w:ascii="Arial Narrow" w:eastAsia="Times New Roman" w:hAnsi="Arial Narrow"/>
                <w:sz w:val="20"/>
                <w:szCs w:val="20"/>
                <w:lang w:val="en-US" w:eastAsia="en-GB"/>
              </w:rPr>
            </w:pPr>
            <w:r w:rsidRPr="00CD56B9">
              <w:rPr>
                <w:rFonts w:ascii="Arial Narrow" w:eastAsia="Times New Roman" w:hAnsi="Arial Narrow"/>
                <w:sz w:val="20"/>
                <w:szCs w:val="20"/>
                <w:lang w:val="en-US" w:eastAsia="en-GB"/>
              </w:rPr>
              <w:t>Number of Districts developing and implementing local economic development (LED) strategy  (Baseline: 0, Target: 28)</w:t>
            </w:r>
          </w:p>
        </w:tc>
        <w:tc>
          <w:tcPr>
            <w:tcW w:w="1271" w:type="dxa"/>
            <w:tcBorders>
              <w:top w:val="nil"/>
              <w:left w:val="nil"/>
              <w:bottom w:val="single" w:sz="4" w:space="0" w:color="auto"/>
              <w:right w:val="single" w:sz="4" w:space="0" w:color="auto"/>
            </w:tcBorders>
            <w:shd w:val="clear" w:color="auto" w:fill="auto"/>
            <w:hideMark/>
          </w:tcPr>
          <w:p w14:paraId="5FB39C0C" w14:textId="77777777" w:rsidR="00683F4A" w:rsidRPr="003B552F" w:rsidRDefault="00683F4A" w:rsidP="009657E1">
            <w:pPr>
              <w:spacing w:after="0"/>
              <w:jc w:val="left"/>
              <w:rPr>
                <w:rFonts w:ascii="Arial Narrow" w:eastAsia="Times New Roman" w:hAnsi="Arial Narrow"/>
                <w:b/>
                <w:bCs/>
                <w:sz w:val="20"/>
                <w:szCs w:val="20"/>
                <w:lang w:eastAsia="en-GB"/>
              </w:rPr>
            </w:pPr>
            <w:r w:rsidRPr="003B552F">
              <w:rPr>
                <w:rFonts w:ascii="Arial Narrow" w:eastAsia="Times New Roman" w:hAnsi="Arial Narrow"/>
                <w:b/>
                <w:bCs/>
                <w:sz w:val="20"/>
                <w:szCs w:val="20"/>
                <w:lang w:eastAsia="en-GB"/>
              </w:rPr>
              <w:t>Reports from MoLGRD</w:t>
            </w:r>
          </w:p>
        </w:tc>
        <w:tc>
          <w:tcPr>
            <w:tcW w:w="2217" w:type="dxa"/>
            <w:tcBorders>
              <w:top w:val="nil"/>
              <w:left w:val="nil"/>
              <w:bottom w:val="single" w:sz="4" w:space="0" w:color="auto"/>
              <w:right w:val="single" w:sz="4" w:space="0" w:color="auto"/>
            </w:tcBorders>
            <w:shd w:val="clear" w:color="auto" w:fill="auto"/>
            <w:hideMark/>
          </w:tcPr>
          <w:p w14:paraId="08766B9A" w14:textId="2C761EFE" w:rsidR="00683F4A" w:rsidRPr="00CD56B9" w:rsidRDefault="00683F4A" w:rsidP="009657E1">
            <w:pPr>
              <w:spacing w:after="0"/>
              <w:jc w:val="left"/>
              <w:rPr>
                <w:rFonts w:ascii="Arial Narrow" w:eastAsia="Times New Roman" w:hAnsi="Arial Narrow"/>
                <w:sz w:val="20"/>
                <w:szCs w:val="20"/>
                <w:lang w:val="en-US" w:eastAsia="en-GB"/>
              </w:rPr>
            </w:pPr>
            <w:r w:rsidRPr="00CD56B9">
              <w:rPr>
                <w:rFonts w:ascii="Arial Narrow" w:eastAsia="Times New Roman" w:hAnsi="Arial Narrow"/>
                <w:b/>
                <w:bCs/>
                <w:sz w:val="20"/>
                <w:szCs w:val="20"/>
                <w:lang w:val="en-US" w:eastAsia="en-GB"/>
              </w:rPr>
              <w:t>Assumption:</w:t>
            </w:r>
            <w:r w:rsidRPr="00CD56B9">
              <w:rPr>
                <w:rFonts w:ascii="Arial Narrow" w:eastAsia="Times New Roman" w:hAnsi="Arial Narrow"/>
                <w:sz w:val="20"/>
                <w:szCs w:val="20"/>
                <w:lang w:val="en-US" w:eastAsia="en-GB"/>
              </w:rPr>
              <w:t xml:space="preserve"> Resource availability; Good donor/government working relationships; Political will; government willingness to devolve authority to the lower levels; strong coordination structures at national and District levels                                </w:t>
            </w:r>
            <w:r w:rsidR="003F4020" w:rsidRPr="00CD56B9">
              <w:rPr>
                <w:rFonts w:ascii="Arial Narrow" w:eastAsia="Times New Roman" w:hAnsi="Arial Narrow"/>
                <w:sz w:val="20"/>
                <w:szCs w:val="20"/>
                <w:lang w:val="en-US" w:eastAsia="en-GB"/>
              </w:rPr>
              <w:t>Assumption</w:t>
            </w:r>
            <w:r w:rsidRPr="00CD56B9">
              <w:rPr>
                <w:rFonts w:ascii="Arial Narrow" w:eastAsia="Times New Roman" w:hAnsi="Arial Narrow"/>
                <w:sz w:val="20"/>
                <w:szCs w:val="20"/>
                <w:lang w:val="en-US" w:eastAsia="en-GB"/>
              </w:rPr>
              <w:t xml:space="preserve">: That the pilot will be successful and that additional resources will be available for the up-scaling of LED initiative </w:t>
            </w:r>
          </w:p>
        </w:tc>
        <w:tc>
          <w:tcPr>
            <w:tcW w:w="1201" w:type="dxa"/>
            <w:vMerge w:val="restart"/>
            <w:tcBorders>
              <w:top w:val="nil"/>
              <w:left w:val="single" w:sz="4" w:space="0" w:color="auto"/>
              <w:bottom w:val="single" w:sz="4" w:space="0" w:color="000000"/>
              <w:right w:val="single" w:sz="4" w:space="0" w:color="auto"/>
            </w:tcBorders>
            <w:shd w:val="clear" w:color="auto" w:fill="auto"/>
            <w:hideMark/>
          </w:tcPr>
          <w:p w14:paraId="420AB45C" w14:textId="77777777" w:rsidR="00683F4A" w:rsidRPr="00CD56B9" w:rsidRDefault="00683F4A" w:rsidP="009657E1">
            <w:pPr>
              <w:spacing w:after="0"/>
              <w:jc w:val="left"/>
              <w:rPr>
                <w:rFonts w:ascii="Arial Narrow" w:eastAsia="Times New Roman" w:hAnsi="Arial Narrow"/>
                <w:sz w:val="20"/>
                <w:szCs w:val="20"/>
                <w:lang w:val="en-US" w:eastAsia="en-GB"/>
              </w:rPr>
            </w:pPr>
            <w:r w:rsidRPr="00CD56B9">
              <w:rPr>
                <w:rFonts w:ascii="Arial Narrow" w:eastAsia="Times New Roman" w:hAnsi="Arial Narrow"/>
                <w:sz w:val="20"/>
                <w:szCs w:val="20"/>
                <w:lang w:val="en-US" w:eastAsia="en-GB"/>
              </w:rPr>
              <w:t>MODP, MGCCD, OPC, DCP</w:t>
            </w:r>
            <w:r w:rsidRPr="00CD56B9">
              <w:rPr>
                <w:rFonts w:ascii="Arial Narrow" w:eastAsia="Times New Roman" w:hAnsi="Arial Narrow"/>
                <w:sz w:val="20"/>
                <w:szCs w:val="20"/>
                <w:lang w:val="en-US" w:eastAsia="en-GB"/>
              </w:rPr>
              <w:br/>
              <w:t>NLGFC</w:t>
            </w:r>
            <w:r w:rsidRPr="00CD56B9">
              <w:rPr>
                <w:rFonts w:ascii="Arial Narrow" w:eastAsia="Times New Roman" w:hAnsi="Arial Narrow"/>
                <w:sz w:val="20"/>
                <w:szCs w:val="20"/>
                <w:lang w:val="en-US" w:eastAsia="en-GB"/>
              </w:rPr>
              <w:br/>
              <w:t>MALGA</w:t>
            </w:r>
            <w:r w:rsidRPr="00CD56B9">
              <w:rPr>
                <w:rFonts w:ascii="Arial Narrow" w:eastAsia="Times New Roman" w:hAnsi="Arial Narrow"/>
                <w:sz w:val="20"/>
                <w:szCs w:val="20"/>
                <w:lang w:val="en-US" w:eastAsia="en-GB"/>
              </w:rPr>
              <w:br/>
              <w:t>MoLGRD</w:t>
            </w:r>
            <w:r w:rsidRPr="00CD56B9">
              <w:rPr>
                <w:rFonts w:ascii="Arial Narrow" w:eastAsia="Times New Roman" w:hAnsi="Arial Narrow"/>
                <w:sz w:val="20"/>
                <w:szCs w:val="20"/>
                <w:lang w:val="en-US" w:eastAsia="en-GB"/>
              </w:rPr>
              <w:br/>
              <w:t>District Councils</w:t>
            </w:r>
            <w:r w:rsidRPr="00CD56B9">
              <w:rPr>
                <w:rFonts w:ascii="Arial Narrow" w:eastAsia="Times New Roman" w:hAnsi="Arial Narrow"/>
                <w:sz w:val="20"/>
                <w:szCs w:val="20"/>
                <w:lang w:val="en-US" w:eastAsia="en-GB"/>
              </w:rPr>
              <w:br/>
              <w:t>Academia</w:t>
            </w:r>
          </w:p>
        </w:tc>
        <w:tc>
          <w:tcPr>
            <w:tcW w:w="1230" w:type="dxa"/>
            <w:vMerge w:val="restart"/>
            <w:tcBorders>
              <w:top w:val="nil"/>
              <w:left w:val="single" w:sz="4" w:space="0" w:color="auto"/>
              <w:bottom w:val="single" w:sz="4" w:space="0" w:color="000000"/>
              <w:right w:val="single" w:sz="4" w:space="0" w:color="auto"/>
            </w:tcBorders>
            <w:shd w:val="clear" w:color="auto" w:fill="auto"/>
            <w:hideMark/>
          </w:tcPr>
          <w:p w14:paraId="2FB5F6DA" w14:textId="77777777" w:rsidR="00683F4A" w:rsidRPr="00CD56B9" w:rsidRDefault="00683F4A" w:rsidP="009657E1">
            <w:pPr>
              <w:spacing w:after="0"/>
              <w:jc w:val="center"/>
              <w:rPr>
                <w:rFonts w:ascii="Arial Narrow" w:eastAsia="Times New Roman" w:hAnsi="Arial Narrow"/>
                <w:sz w:val="20"/>
                <w:szCs w:val="20"/>
                <w:lang w:val="en-US" w:eastAsia="en-GB"/>
              </w:rPr>
            </w:pPr>
            <w:r w:rsidRPr="00CD56B9">
              <w:rPr>
                <w:rFonts w:ascii="Arial Narrow" w:eastAsia="Times New Roman" w:hAnsi="Arial Narrow"/>
                <w:sz w:val="20"/>
                <w:szCs w:val="20"/>
                <w:lang w:val="en-US" w:eastAsia="en-GB"/>
              </w:rPr>
              <w:t> </w:t>
            </w:r>
          </w:p>
        </w:tc>
        <w:tc>
          <w:tcPr>
            <w:tcW w:w="953" w:type="dxa"/>
            <w:vMerge w:val="restart"/>
            <w:tcBorders>
              <w:top w:val="nil"/>
              <w:left w:val="single" w:sz="4" w:space="0" w:color="auto"/>
              <w:bottom w:val="single" w:sz="4" w:space="0" w:color="000000"/>
              <w:right w:val="single" w:sz="4" w:space="0" w:color="auto"/>
            </w:tcBorders>
            <w:shd w:val="clear" w:color="auto" w:fill="auto"/>
            <w:hideMark/>
          </w:tcPr>
          <w:p w14:paraId="72CBE355" w14:textId="77777777" w:rsidR="00683F4A" w:rsidRPr="00CD56B9" w:rsidRDefault="00683F4A" w:rsidP="009657E1">
            <w:pPr>
              <w:spacing w:after="0"/>
              <w:jc w:val="right"/>
              <w:rPr>
                <w:rFonts w:ascii="Arial Narrow" w:eastAsia="Times New Roman" w:hAnsi="Arial Narrow"/>
                <w:sz w:val="20"/>
                <w:szCs w:val="20"/>
                <w:lang w:val="en-US" w:eastAsia="en-GB"/>
              </w:rPr>
            </w:pPr>
            <w:r w:rsidRPr="00CD56B9">
              <w:rPr>
                <w:rFonts w:ascii="Arial Narrow" w:eastAsia="Times New Roman" w:hAnsi="Arial Narrow"/>
                <w:sz w:val="20"/>
                <w:szCs w:val="20"/>
                <w:lang w:val="en-US" w:eastAsia="en-GB"/>
              </w:rPr>
              <w:t> </w:t>
            </w:r>
          </w:p>
        </w:tc>
        <w:tc>
          <w:tcPr>
            <w:tcW w:w="1037" w:type="dxa"/>
            <w:gridSpan w:val="3"/>
            <w:vMerge w:val="restart"/>
            <w:tcBorders>
              <w:top w:val="nil"/>
              <w:left w:val="single" w:sz="4" w:space="0" w:color="auto"/>
              <w:bottom w:val="single" w:sz="4" w:space="0" w:color="000000"/>
              <w:right w:val="single" w:sz="4" w:space="0" w:color="auto"/>
            </w:tcBorders>
            <w:shd w:val="clear" w:color="auto" w:fill="auto"/>
            <w:noWrap/>
            <w:hideMark/>
          </w:tcPr>
          <w:p w14:paraId="12DD216D" w14:textId="77777777" w:rsidR="00683F4A" w:rsidRPr="00CD56B9" w:rsidRDefault="00683F4A" w:rsidP="009657E1">
            <w:pPr>
              <w:spacing w:after="0"/>
              <w:jc w:val="right"/>
              <w:rPr>
                <w:rFonts w:ascii="Arial Narrow" w:eastAsia="Times New Roman" w:hAnsi="Arial Narrow"/>
                <w:sz w:val="20"/>
                <w:szCs w:val="20"/>
                <w:lang w:val="en-US" w:eastAsia="en-GB"/>
              </w:rPr>
            </w:pPr>
            <w:r w:rsidRPr="00CD56B9">
              <w:rPr>
                <w:rFonts w:ascii="Arial Narrow" w:eastAsia="Times New Roman" w:hAnsi="Arial Narrow"/>
                <w:sz w:val="20"/>
                <w:szCs w:val="20"/>
                <w:lang w:val="en-US" w:eastAsia="en-GB"/>
              </w:rPr>
              <w:t> </w:t>
            </w:r>
          </w:p>
        </w:tc>
        <w:tc>
          <w:tcPr>
            <w:tcW w:w="986" w:type="dxa"/>
            <w:vMerge w:val="restart"/>
            <w:tcBorders>
              <w:top w:val="nil"/>
              <w:left w:val="single" w:sz="4" w:space="0" w:color="auto"/>
              <w:bottom w:val="single" w:sz="4" w:space="0" w:color="000000"/>
              <w:right w:val="single" w:sz="4" w:space="0" w:color="auto"/>
            </w:tcBorders>
            <w:shd w:val="clear" w:color="auto" w:fill="auto"/>
            <w:noWrap/>
            <w:hideMark/>
          </w:tcPr>
          <w:p w14:paraId="48581BA7" w14:textId="77777777" w:rsidR="00683F4A" w:rsidRPr="00CD56B9" w:rsidRDefault="00683F4A" w:rsidP="009657E1">
            <w:pPr>
              <w:spacing w:after="0"/>
              <w:jc w:val="right"/>
              <w:rPr>
                <w:rFonts w:ascii="Arial Narrow" w:eastAsia="Times New Roman" w:hAnsi="Arial Narrow"/>
                <w:sz w:val="20"/>
                <w:szCs w:val="20"/>
                <w:lang w:val="en-US" w:eastAsia="en-GB"/>
              </w:rPr>
            </w:pPr>
            <w:r w:rsidRPr="00CD56B9">
              <w:rPr>
                <w:rFonts w:ascii="Arial Narrow" w:eastAsia="Times New Roman" w:hAnsi="Arial Narrow"/>
                <w:sz w:val="20"/>
                <w:szCs w:val="20"/>
                <w:lang w:val="en-US" w:eastAsia="en-GB"/>
              </w:rPr>
              <w:t> </w:t>
            </w:r>
          </w:p>
        </w:tc>
        <w:tc>
          <w:tcPr>
            <w:tcW w:w="1134" w:type="dxa"/>
            <w:vMerge w:val="restart"/>
            <w:tcBorders>
              <w:top w:val="nil"/>
              <w:left w:val="single" w:sz="4" w:space="0" w:color="auto"/>
              <w:bottom w:val="single" w:sz="4" w:space="0" w:color="000000"/>
              <w:right w:val="single" w:sz="8" w:space="0" w:color="auto"/>
            </w:tcBorders>
            <w:shd w:val="clear" w:color="auto" w:fill="auto"/>
            <w:noWrap/>
            <w:hideMark/>
          </w:tcPr>
          <w:p w14:paraId="7729B353" w14:textId="77777777" w:rsidR="00683F4A" w:rsidRPr="00CD56B9" w:rsidRDefault="00683F4A" w:rsidP="009657E1">
            <w:pPr>
              <w:spacing w:after="0"/>
              <w:jc w:val="right"/>
              <w:rPr>
                <w:rFonts w:ascii="Arial Narrow" w:eastAsia="Times New Roman" w:hAnsi="Arial Narrow"/>
                <w:sz w:val="20"/>
                <w:szCs w:val="20"/>
                <w:lang w:val="en-US" w:eastAsia="en-GB"/>
              </w:rPr>
            </w:pPr>
            <w:r w:rsidRPr="00CD56B9">
              <w:rPr>
                <w:rFonts w:ascii="Arial Narrow" w:eastAsia="Times New Roman" w:hAnsi="Arial Narrow"/>
                <w:sz w:val="20"/>
                <w:szCs w:val="20"/>
                <w:lang w:val="en-US" w:eastAsia="en-GB"/>
              </w:rPr>
              <w:t> </w:t>
            </w:r>
          </w:p>
        </w:tc>
      </w:tr>
      <w:tr w:rsidR="00683F4A" w:rsidRPr="00F72B0D" w14:paraId="4697D28A" w14:textId="77777777" w:rsidTr="009657E1">
        <w:trPr>
          <w:trHeight w:val="1010"/>
          <w:jc w:val="center"/>
        </w:trPr>
        <w:tc>
          <w:tcPr>
            <w:tcW w:w="1570" w:type="dxa"/>
            <w:gridSpan w:val="2"/>
            <w:vMerge/>
            <w:tcBorders>
              <w:top w:val="nil"/>
              <w:left w:val="single" w:sz="8" w:space="0" w:color="auto"/>
              <w:bottom w:val="single" w:sz="4" w:space="0" w:color="auto"/>
              <w:right w:val="single" w:sz="4" w:space="0" w:color="auto"/>
            </w:tcBorders>
            <w:vAlign w:val="center"/>
            <w:hideMark/>
          </w:tcPr>
          <w:p w14:paraId="20276C72" w14:textId="77777777" w:rsidR="00683F4A" w:rsidRPr="00CD56B9" w:rsidRDefault="00683F4A" w:rsidP="009657E1">
            <w:pPr>
              <w:spacing w:after="0"/>
              <w:jc w:val="left"/>
              <w:rPr>
                <w:rFonts w:ascii="Arial Narrow" w:eastAsia="Times New Roman" w:hAnsi="Arial Narrow"/>
                <w:b/>
                <w:bCs/>
                <w:sz w:val="20"/>
                <w:szCs w:val="20"/>
                <w:lang w:val="en-US" w:eastAsia="en-GB"/>
              </w:rPr>
            </w:pPr>
          </w:p>
        </w:tc>
        <w:tc>
          <w:tcPr>
            <w:tcW w:w="1150" w:type="dxa"/>
            <w:vMerge/>
            <w:tcBorders>
              <w:top w:val="nil"/>
              <w:left w:val="single" w:sz="4" w:space="0" w:color="auto"/>
              <w:bottom w:val="single" w:sz="4" w:space="0" w:color="000000"/>
              <w:right w:val="single" w:sz="4" w:space="0" w:color="auto"/>
            </w:tcBorders>
            <w:vAlign w:val="center"/>
            <w:hideMark/>
          </w:tcPr>
          <w:p w14:paraId="2378135A" w14:textId="77777777" w:rsidR="00683F4A" w:rsidRPr="00CD56B9" w:rsidRDefault="00683F4A" w:rsidP="009657E1">
            <w:pPr>
              <w:spacing w:after="0"/>
              <w:jc w:val="left"/>
              <w:rPr>
                <w:rFonts w:ascii="Arial Narrow" w:eastAsia="Times New Roman" w:hAnsi="Arial Narrow"/>
                <w:sz w:val="20"/>
                <w:szCs w:val="20"/>
                <w:lang w:val="en-US" w:eastAsia="en-GB"/>
              </w:rPr>
            </w:pPr>
          </w:p>
        </w:tc>
        <w:tc>
          <w:tcPr>
            <w:tcW w:w="2003" w:type="dxa"/>
            <w:tcBorders>
              <w:top w:val="nil"/>
              <w:left w:val="nil"/>
              <w:bottom w:val="single" w:sz="4" w:space="0" w:color="auto"/>
              <w:right w:val="single" w:sz="4" w:space="0" w:color="auto"/>
            </w:tcBorders>
            <w:shd w:val="clear" w:color="auto" w:fill="auto"/>
            <w:hideMark/>
          </w:tcPr>
          <w:p w14:paraId="508B378A" w14:textId="77777777" w:rsidR="00683F4A" w:rsidRPr="00CD56B9" w:rsidRDefault="00683F4A" w:rsidP="009657E1">
            <w:pPr>
              <w:spacing w:after="0"/>
              <w:jc w:val="left"/>
              <w:rPr>
                <w:rFonts w:ascii="Arial Narrow" w:eastAsia="Times New Roman" w:hAnsi="Arial Narrow"/>
                <w:sz w:val="20"/>
                <w:szCs w:val="20"/>
                <w:lang w:val="en-US" w:eastAsia="en-GB"/>
              </w:rPr>
            </w:pPr>
            <w:r w:rsidRPr="00CD56B9">
              <w:rPr>
                <w:rFonts w:ascii="Arial Narrow" w:eastAsia="Times New Roman" w:hAnsi="Arial Narrow"/>
                <w:sz w:val="20"/>
                <w:szCs w:val="20"/>
                <w:lang w:val="en-US" w:eastAsia="en-GB"/>
              </w:rPr>
              <w:t xml:space="preserve">Number of Councils trained in the IRD strategy and policy (Baseline: 0, Target:28) </w:t>
            </w:r>
          </w:p>
        </w:tc>
        <w:tc>
          <w:tcPr>
            <w:tcW w:w="1271" w:type="dxa"/>
            <w:tcBorders>
              <w:top w:val="nil"/>
              <w:left w:val="nil"/>
              <w:bottom w:val="single" w:sz="4" w:space="0" w:color="auto"/>
              <w:right w:val="single" w:sz="4" w:space="0" w:color="auto"/>
            </w:tcBorders>
            <w:shd w:val="clear" w:color="auto" w:fill="auto"/>
            <w:noWrap/>
            <w:hideMark/>
          </w:tcPr>
          <w:p w14:paraId="07DE8CCB" w14:textId="77777777" w:rsidR="00683F4A" w:rsidRPr="003B552F" w:rsidRDefault="00683F4A" w:rsidP="009657E1">
            <w:pPr>
              <w:spacing w:after="0"/>
              <w:jc w:val="left"/>
              <w:rPr>
                <w:rFonts w:ascii="Arial Narrow" w:eastAsia="Times New Roman" w:hAnsi="Arial Narrow"/>
                <w:b/>
                <w:bCs/>
                <w:sz w:val="20"/>
                <w:szCs w:val="20"/>
                <w:lang w:eastAsia="en-GB"/>
              </w:rPr>
            </w:pPr>
            <w:r w:rsidRPr="003B552F">
              <w:rPr>
                <w:rFonts w:ascii="Arial Narrow" w:eastAsia="Times New Roman" w:hAnsi="Arial Narrow"/>
                <w:b/>
                <w:bCs/>
                <w:sz w:val="20"/>
                <w:szCs w:val="20"/>
                <w:lang w:eastAsia="en-GB"/>
              </w:rPr>
              <w:t>Reports from MoLGRD</w:t>
            </w:r>
          </w:p>
        </w:tc>
        <w:tc>
          <w:tcPr>
            <w:tcW w:w="2217" w:type="dxa"/>
            <w:tcBorders>
              <w:top w:val="nil"/>
              <w:left w:val="nil"/>
              <w:bottom w:val="single" w:sz="4" w:space="0" w:color="auto"/>
              <w:right w:val="single" w:sz="4" w:space="0" w:color="auto"/>
            </w:tcBorders>
            <w:shd w:val="clear" w:color="auto" w:fill="auto"/>
            <w:hideMark/>
          </w:tcPr>
          <w:p w14:paraId="7FCBEB2F" w14:textId="5E90EAAA" w:rsidR="00683F4A" w:rsidRPr="00CD56B9" w:rsidRDefault="00683F4A" w:rsidP="009657E1">
            <w:pPr>
              <w:spacing w:after="0"/>
              <w:jc w:val="left"/>
              <w:rPr>
                <w:rFonts w:ascii="Arial Narrow" w:eastAsia="Times New Roman" w:hAnsi="Arial Narrow"/>
                <w:sz w:val="20"/>
                <w:szCs w:val="20"/>
                <w:lang w:val="en-US" w:eastAsia="en-GB"/>
              </w:rPr>
            </w:pPr>
            <w:r w:rsidRPr="00CD56B9">
              <w:rPr>
                <w:rFonts w:ascii="Arial Narrow" w:eastAsia="Times New Roman" w:hAnsi="Arial Narrow"/>
                <w:b/>
                <w:bCs/>
                <w:sz w:val="20"/>
                <w:szCs w:val="20"/>
                <w:lang w:val="en-US" w:eastAsia="en-GB"/>
              </w:rPr>
              <w:t>Risks:</w:t>
            </w:r>
            <w:r w:rsidRPr="00CD56B9">
              <w:rPr>
                <w:rFonts w:ascii="Arial Narrow" w:eastAsia="Times New Roman" w:hAnsi="Arial Narrow"/>
                <w:sz w:val="20"/>
                <w:szCs w:val="20"/>
                <w:lang w:val="en-US" w:eastAsia="en-GB"/>
              </w:rPr>
              <w:t xml:space="preserve"> Resource availability; Good donor/government working relationships; weak coordination structures at national and District levels                                                           </w:t>
            </w:r>
            <w:r w:rsidRPr="00CD56B9">
              <w:rPr>
                <w:rFonts w:ascii="Arial Narrow" w:eastAsia="Times New Roman" w:hAnsi="Arial Narrow"/>
                <w:b/>
                <w:bCs/>
                <w:sz w:val="20"/>
                <w:szCs w:val="20"/>
                <w:lang w:val="en-US" w:eastAsia="en-GB"/>
              </w:rPr>
              <w:t>Assumption</w:t>
            </w:r>
            <w:r w:rsidRPr="00CD56B9">
              <w:rPr>
                <w:rFonts w:ascii="Arial Narrow" w:eastAsia="Times New Roman" w:hAnsi="Arial Narrow"/>
                <w:sz w:val="20"/>
                <w:szCs w:val="20"/>
                <w:lang w:val="en-US" w:eastAsia="en-GB"/>
              </w:rPr>
              <w:t xml:space="preserve">: Government </w:t>
            </w:r>
            <w:r w:rsidR="003F4020" w:rsidRPr="00CD56B9">
              <w:rPr>
                <w:rFonts w:ascii="Arial Narrow" w:eastAsia="Times New Roman" w:hAnsi="Arial Narrow"/>
                <w:sz w:val="20"/>
                <w:szCs w:val="20"/>
                <w:lang w:val="en-US" w:eastAsia="en-GB"/>
              </w:rPr>
              <w:t>commitment</w:t>
            </w:r>
            <w:r w:rsidRPr="00CD56B9">
              <w:rPr>
                <w:rFonts w:ascii="Arial Narrow" w:eastAsia="Times New Roman" w:hAnsi="Arial Narrow"/>
                <w:sz w:val="20"/>
                <w:szCs w:val="20"/>
                <w:lang w:val="en-US" w:eastAsia="en-GB"/>
              </w:rPr>
              <w:t xml:space="preserve"> to IRD </w:t>
            </w:r>
          </w:p>
        </w:tc>
        <w:tc>
          <w:tcPr>
            <w:tcW w:w="1201" w:type="dxa"/>
            <w:vMerge/>
            <w:tcBorders>
              <w:top w:val="nil"/>
              <w:left w:val="single" w:sz="4" w:space="0" w:color="auto"/>
              <w:bottom w:val="single" w:sz="4" w:space="0" w:color="000000"/>
              <w:right w:val="single" w:sz="4" w:space="0" w:color="auto"/>
            </w:tcBorders>
            <w:vAlign w:val="center"/>
            <w:hideMark/>
          </w:tcPr>
          <w:p w14:paraId="4D0A670E" w14:textId="77777777" w:rsidR="00683F4A" w:rsidRPr="00CD56B9" w:rsidRDefault="00683F4A" w:rsidP="009657E1">
            <w:pPr>
              <w:spacing w:after="0"/>
              <w:jc w:val="left"/>
              <w:rPr>
                <w:rFonts w:ascii="Arial Narrow" w:eastAsia="Times New Roman" w:hAnsi="Arial Narrow"/>
                <w:sz w:val="20"/>
                <w:szCs w:val="20"/>
                <w:lang w:val="en-US" w:eastAsia="en-GB"/>
              </w:rPr>
            </w:pPr>
          </w:p>
        </w:tc>
        <w:tc>
          <w:tcPr>
            <w:tcW w:w="1230" w:type="dxa"/>
            <w:vMerge/>
            <w:tcBorders>
              <w:top w:val="nil"/>
              <w:left w:val="single" w:sz="4" w:space="0" w:color="auto"/>
              <w:bottom w:val="single" w:sz="4" w:space="0" w:color="000000"/>
              <w:right w:val="single" w:sz="4" w:space="0" w:color="auto"/>
            </w:tcBorders>
            <w:vAlign w:val="center"/>
            <w:hideMark/>
          </w:tcPr>
          <w:p w14:paraId="23205D07" w14:textId="77777777" w:rsidR="00683F4A" w:rsidRPr="00CD56B9" w:rsidRDefault="00683F4A" w:rsidP="009657E1">
            <w:pPr>
              <w:spacing w:after="0"/>
              <w:jc w:val="left"/>
              <w:rPr>
                <w:rFonts w:ascii="Arial Narrow" w:eastAsia="Times New Roman" w:hAnsi="Arial Narrow"/>
                <w:sz w:val="20"/>
                <w:szCs w:val="20"/>
                <w:lang w:val="en-US" w:eastAsia="en-GB"/>
              </w:rPr>
            </w:pPr>
          </w:p>
        </w:tc>
        <w:tc>
          <w:tcPr>
            <w:tcW w:w="953" w:type="dxa"/>
            <w:vMerge/>
            <w:tcBorders>
              <w:top w:val="nil"/>
              <w:left w:val="single" w:sz="4" w:space="0" w:color="auto"/>
              <w:bottom w:val="single" w:sz="4" w:space="0" w:color="000000"/>
              <w:right w:val="single" w:sz="4" w:space="0" w:color="auto"/>
            </w:tcBorders>
            <w:vAlign w:val="center"/>
            <w:hideMark/>
          </w:tcPr>
          <w:p w14:paraId="2B9DA053" w14:textId="77777777" w:rsidR="00683F4A" w:rsidRPr="00CD56B9" w:rsidRDefault="00683F4A" w:rsidP="009657E1">
            <w:pPr>
              <w:spacing w:after="0"/>
              <w:jc w:val="left"/>
              <w:rPr>
                <w:rFonts w:ascii="Arial Narrow" w:eastAsia="Times New Roman" w:hAnsi="Arial Narrow"/>
                <w:sz w:val="20"/>
                <w:szCs w:val="20"/>
                <w:lang w:val="en-US" w:eastAsia="en-GB"/>
              </w:rPr>
            </w:pPr>
          </w:p>
        </w:tc>
        <w:tc>
          <w:tcPr>
            <w:tcW w:w="1037" w:type="dxa"/>
            <w:gridSpan w:val="3"/>
            <w:vMerge/>
            <w:tcBorders>
              <w:top w:val="nil"/>
              <w:left w:val="single" w:sz="4" w:space="0" w:color="auto"/>
              <w:bottom w:val="single" w:sz="4" w:space="0" w:color="000000"/>
              <w:right w:val="single" w:sz="4" w:space="0" w:color="auto"/>
            </w:tcBorders>
            <w:vAlign w:val="center"/>
            <w:hideMark/>
          </w:tcPr>
          <w:p w14:paraId="591C4E44" w14:textId="77777777" w:rsidR="00683F4A" w:rsidRPr="00CD56B9" w:rsidRDefault="00683F4A" w:rsidP="009657E1">
            <w:pPr>
              <w:spacing w:after="0"/>
              <w:jc w:val="left"/>
              <w:rPr>
                <w:rFonts w:ascii="Arial Narrow" w:eastAsia="Times New Roman" w:hAnsi="Arial Narrow"/>
                <w:sz w:val="20"/>
                <w:szCs w:val="20"/>
                <w:lang w:val="en-US" w:eastAsia="en-GB"/>
              </w:rPr>
            </w:pPr>
          </w:p>
        </w:tc>
        <w:tc>
          <w:tcPr>
            <w:tcW w:w="986" w:type="dxa"/>
            <w:vMerge/>
            <w:tcBorders>
              <w:top w:val="nil"/>
              <w:left w:val="single" w:sz="4" w:space="0" w:color="auto"/>
              <w:bottom w:val="single" w:sz="4" w:space="0" w:color="000000"/>
              <w:right w:val="single" w:sz="4" w:space="0" w:color="auto"/>
            </w:tcBorders>
            <w:vAlign w:val="center"/>
            <w:hideMark/>
          </w:tcPr>
          <w:p w14:paraId="2DF376CC" w14:textId="77777777" w:rsidR="00683F4A" w:rsidRPr="00CD56B9" w:rsidRDefault="00683F4A" w:rsidP="009657E1">
            <w:pPr>
              <w:spacing w:after="0"/>
              <w:jc w:val="left"/>
              <w:rPr>
                <w:rFonts w:ascii="Arial Narrow" w:eastAsia="Times New Roman" w:hAnsi="Arial Narrow"/>
                <w:sz w:val="20"/>
                <w:szCs w:val="20"/>
                <w:lang w:val="en-US" w:eastAsia="en-GB"/>
              </w:rPr>
            </w:pPr>
          </w:p>
        </w:tc>
        <w:tc>
          <w:tcPr>
            <w:tcW w:w="1134" w:type="dxa"/>
            <w:vMerge/>
            <w:tcBorders>
              <w:top w:val="nil"/>
              <w:left w:val="single" w:sz="4" w:space="0" w:color="auto"/>
              <w:bottom w:val="single" w:sz="4" w:space="0" w:color="000000"/>
              <w:right w:val="single" w:sz="8" w:space="0" w:color="auto"/>
            </w:tcBorders>
            <w:vAlign w:val="center"/>
            <w:hideMark/>
          </w:tcPr>
          <w:p w14:paraId="70213FC1" w14:textId="77777777" w:rsidR="00683F4A" w:rsidRPr="00CD56B9" w:rsidRDefault="00683F4A" w:rsidP="009657E1">
            <w:pPr>
              <w:spacing w:after="0"/>
              <w:jc w:val="left"/>
              <w:rPr>
                <w:rFonts w:ascii="Arial Narrow" w:eastAsia="Times New Roman" w:hAnsi="Arial Narrow"/>
                <w:sz w:val="20"/>
                <w:szCs w:val="20"/>
                <w:lang w:val="en-US" w:eastAsia="en-GB"/>
              </w:rPr>
            </w:pPr>
          </w:p>
        </w:tc>
      </w:tr>
      <w:tr w:rsidR="00683F4A" w:rsidRPr="007D425D" w14:paraId="1EAE9461" w14:textId="77777777" w:rsidTr="009657E1">
        <w:trPr>
          <w:trHeight w:val="842"/>
          <w:jc w:val="center"/>
        </w:trPr>
        <w:tc>
          <w:tcPr>
            <w:tcW w:w="1570" w:type="dxa"/>
            <w:gridSpan w:val="2"/>
            <w:vMerge/>
            <w:tcBorders>
              <w:top w:val="nil"/>
              <w:left w:val="single" w:sz="8" w:space="0" w:color="auto"/>
              <w:bottom w:val="single" w:sz="4" w:space="0" w:color="auto"/>
              <w:right w:val="single" w:sz="4" w:space="0" w:color="auto"/>
            </w:tcBorders>
            <w:vAlign w:val="center"/>
            <w:hideMark/>
          </w:tcPr>
          <w:p w14:paraId="4974C2B0" w14:textId="77777777" w:rsidR="00683F4A" w:rsidRPr="00CD56B9" w:rsidRDefault="00683F4A" w:rsidP="009657E1">
            <w:pPr>
              <w:spacing w:after="0"/>
              <w:jc w:val="left"/>
              <w:rPr>
                <w:rFonts w:ascii="Arial Narrow" w:eastAsia="Times New Roman" w:hAnsi="Arial Narrow"/>
                <w:b/>
                <w:bCs/>
                <w:sz w:val="20"/>
                <w:szCs w:val="20"/>
                <w:lang w:val="en-US" w:eastAsia="en-GB"/>
              </w:rPr>
            </w:pPr>
          </w:p>
        </w:tc>
        <w:tc>
          <w:tcPr>
            <w:tcW w:w="1150" w:type="dxa"/>
            <w:vMerge/>
            <w:tcBorders>
              <w:top w:val="nil"/>
              <w:left w:val="single" w:sz="4" w:space="0" w:color="auto"/>
              <w:bottom w:val="single" w:sz="4" w:space="0" w:color="000000"/>
              <w:right w:val="single" w:sz="4" w:space="0" w:color="auto"/>
            </w:tcBorders>
            <w:vAlign w:val="center"/>
            <w:hideMark/>
          </w:tcPr>
          <w:p w14:paraId="1F5DA983" w14:textId="77777777" w:rsidR="00683F4A" w:rsidRPr="00CD56B9" w:rsidRDefault="00683F4A" w:rsidP="009657E1">
            <w:pPr>
              <w:spacing w:after="0"/>
              <w:jc w:val="left"/>
              <w:rPr>
                <w:rFonts w:ascii="Arial Narrow" w:eastAsia="Times New Roman" w:hAnsi="Arial Narrow"/>
                <w:sz w:val="20"/>
                <w:szCs w:val="20"/>
                <w:lang w:val="en-US" w:eastAsia="en-GB"/>
              </w:rPr>
            </w:pPr>
          </w:p>
        </w:tc>
        <w:tc>
          <w:tcPr>
            <w:tcW w:w="2003" w:type="dxa"/>
            <w:tcBorders>
              <w:top w:val="nil"/>
              <w:left w:val="nil"/>
              <w:bottom w:val="single" w:sz="4" w:space="0" w:color="auto"/>
              <w:right w:val="single" w:sz="4" w:space="0" w:color="auto"/>
            </w:tcBorders>
            <w:shd w:val="clear" w:color="auto" w:fill="auto"/>
            <w:hideMark/>
          </w:tcPr>
          <w:p w14:paraId="673CDCAE" w14:textId="788763E8" w:rsidR="00683F4A" w:rsidRPr="003B552F" w:rsidRDefault="00683F4A" w:rsidP="009657E1">
            <w:pPr>
              <w:spacing w:after="0"/>
              <w:jc w:val="left"/>
              <w:rPr>
                <w:rFonts w:ascii="Arial Narrow" w:eastAsia="Times New Roman" w:hAnsi="Arial Narrow"/>
                <w:sz w:val="20"/>
                <w:szCs w:val="20"/>
                <w:lang w:eastAsia="en-GB"/>
              </w:rPr>
            </w:pPr>
            <w:r w:rsidRPr="00CD56B9">
              <w:rPr>
                <w:rFonts w:ascii="Arial Narrow" w:eastAsia="Times New Roman" w:hAnsi="Arial Narrow"/>
                <w:sz w:val="20"/>
                <w:szCs w:val="20"/>
                <w:lang w:val="en-US" w:eastAsia="en-GB"/>
              </w:rPr>
              <w:t xml:space="preserve">Percentage of Net Government Revenues allocated to the District Councils through the General </w:t>
            </w:r>
            <w:r w:rsidR="003F4020" w:rsidRPr="00CD56B9">
              <w:rPr>
                <w:rFonts w:ascii="Arial Narrow" w:eastAsia="Times New Roman" w:hAnsi="Arial Narrow"/>
                <w:sz w:val="20"/>
                <w:szCs w:val="20"/>
                <w:lang w:val="en-US" w:eastAsia="en-GB"/>
              </w:rPr>
              <w:t>Resource</w:t>
            </w:r>
            <w:r w:rsidRPr="00CD56B9">
              <w:rPr>
                <w:rFonts w:ascii="Arial Narrow" w:eastAsia="Times New Roman" w:hAnsi="Arial Narrow"/>
                <w:sz w:val="20"/>
                <w:szCs w:val="20"/>
                <w:lang w:val="en-US" w:eastAsia="en-GB"/>
              </w:rPr>
              <w:t xml:space="preserve"> Fund. </w:t>
            </w:r>
            <w:r w:rsidRPr="003B552F">
              <w:rPr>
                <w:rFonts w:ascii="Arial Narrow" w:eastAsia="Times New Roman" w:hAnsi="Arial Narrow"/>
                <w:sz w:val="20"/>
                <w:szCs w:val="20"/>
                <w:lang w:eastAsia="en-GB"/>
              </w:rPr>
              <w:t>(Baseline:0.23 ; Target 5)</w:t>
            </w:r>
          </w:p>
        </w:tc>
        <w:tc>
          <w:tcPr>
            <w:tcW w:w="1271" w:type="dxa"/>
            <w:tcBorders>
              <w:top w:val="nil"/>
              <w:left w:val="nil"/>
              <w:bottom w:val="single" w:sz="4" w:space="0" w:color="auto"/>
              <w:right w:val="single" w:sz="4" w:space="0" w:color="auto"/>
            </w:tcBorders>
            <w:shd w:val="clear" w:color="auto" w:fill="auto"/>
            <w:hideMark/>
          </w:tcPr>
          <w:p w14:paraId="24EAF41A" w14:textId="77777777" w:rsidR="00683F4A" w:rsidRPr="00CD56B9" w:rsidRDefault="00683F4A" w:rsidP="009657E1">
            <w:pPr>
              <w:spacing w:after="0"/>
              <w:jc w:val="left"/>
              <w:rPr>
                <w:rFonts w:ascii="Arial Narrow" w:eastAsia="Times New Roman" w:hAnsi="Arial Narrow"/>
                <w:b/>
                <w:bCs/>
                <w:sz w:val="20"/>
                <w:szCs w:val="20"/>
                <w:lang w:val="en-US" w:eastAsia="en-GB"/>
              </w:rPr>
            </w:pPr>
            <w:r w:rsidRPr="00CD56B9">
              <w:rPr>
                <w:rFonts w:ascii="Arial Narrow" w:eastAsia="Times New Roman" w:hAnsi="Arial Narrow"/>
                <w:b/>
                <w:bCs/>
                <w:sz w:val="20"/>
                <w:szCs w:val="20"/>
                <w:lang w:val="en-US" w:eastAsia="en-GB"/>
              </w:rPr>
              <w:t>National Local Governance Finance Committee</w:t>
            </w:r>
          </w:p>
        </w:tc>
        <w:tc>
          <w:tcPr>
            <w:tcW w:w="2217" w:type="dxa"/>
            <w:tcBorders>
              <w:top w:val="nil"/>
              <w:left w:val="nil"/>
              <w:bottom w:val="single" w:sz="4" w:space="0" w:color="auto"/>
              <w:right w:val="single" w:sz="4" w:space="0" w:color="auto"/>
            </w:tcBorders>
            <w:shd w:val="clear" w:color="auto" w:fill="auto"/>
            <w:hideMark/>
          </w:tcPr>
          <w:p w14:paraId="64A34AB5" w14:textId="77777777" w:rsidR="00683F4A" w:rsidRPr="003B552F" w:rsidRDefault="00683F4A" w:rsidP="009657E1">
            <w:pPr>
              <w:spacing w:after="0"/>
              <w:jc w:val="left"/>
              <w:rPr>
                <w:rFonts w:ascii="Arial Narrow" w:eastAsia="Times New Roman" w:hAnsi="Arial Narrow"/>
                <w:sz w:val="20"/>
                <w:szCs w:val="20"/>
                <w:lang w:eastAsia="en-GB"/>
              </w:rPr>
            </w:pPr>
            <w:r w:rsidRPr="00CD56B9">
              <w:rPr>
                <w:rFonts w:ascii="Arial Narrow" w:eastAsia="Times New Roman" w:hAnsi="Arial Narrow"/>
                <w:b/>
                <w:bCs/>
                <w:sz w:val="20"/>
                <w:szCs w:val="20"/>
                <w:lang w:val="en-US" w:eastAsia="en-GB"/>
              </w:rPr>
              <w:t>Risk:</w:t>
            </w:r>
            <w:r w:rsidRPr="00CD56B9">
              <w:rPr>
                <w:rFonts w:ascii="Arial Narrow" w:eastAsia="Times New Roman" w:hAnsi="Arial Narrow"/>
                <w:sz w:val="20"/>
                <w:szCs w:val="20"/>
                <w:lang w:val="en-US" w:eastAsia="en-GB"/>
              </w:rPr>
              <w:t xml:space="preserve"> Government reversing commitment to devolution.                                                </w:t>
            </w:r>
            <w:r w:rsidRPr="003B552F">
              <w:rPr>
                <w:rFonts w:ascii="Arial Narrow" w:eastAsia="Times New Roman" w:hAnsi="Arial Narrow"/>
                <w:b/>
                <w:bCs/>
                <w:sz w:val="20"/>
                <w:szCs w:val="20"/>
                <w:lang w:eastAsia="en-GB"/>
              </w:rPr>
              <w:t xml:space="preserve">Assumption: </w:t>
            </w:r>
            <w:r w:rsidRPr="003B552F">
              <w:rPr>
                <w:rFonts w:ascii="Arial Narrow" w:eastAsia="Times New Roman" w:hAnsi="Arial Narrow"/>
                <w:sz w:val="20"/>
                <w:szCs w:val="20"/>
                <w:lang w:eastAsia="en-GB"/>
              </w:rPr>
              <w:t xml:space="preserve">Government continued commitment to fiscal devolution </w:t>
            </w:r>
          </w:p>
        </w:tc>
        <w:tc>
          <w:tcPr>
            <w:tcW w:w="1201" w:type="dxa"/>
            <w:vMerge/>
            <w:tcBorders>
              <w:top w:val="nil"/>
              <w:left w:val="single" w:sz="4" w:space="0" w:color="auto"/>
              <w:bottom w:val="single" w:sz="4" w:space="0" w:color="000000"/>
              <w:right w:val="single" w:sz="4" w:space="0" w:color="auto"/>
            </w:tcBorders>
            <w:vAlign w:val="center"/>
            <w:hideMark/>
          </w:tcPr>
          <w:p w14:paraId="6775E39C" w14:textId="77777777" w:rsidR="00683F4A" w:rsidRPr="003B552F" w:rsidRDefault="00683F4A" w:rsidP="009657E1">
            <w:pPr>
              <w:spacing w:after="0"/>
              <w:jc w:val="left"/>
              <w:rPr>
                <w:rFonts w:ascii="Arial Narrow" w:eastAsia="Times New Roman" w:hAnsi="Arial Narrow"/>
                <w:sz w:val="20"/>
                <w:szCs w:val="20"/>
                <w:lang w:eastAsia="en-GB"/>
              </w:rPr>
            </w:pPr>
          </w:p>
        </w:tc>
        <w:tc>
          <w:tcPr>
            <w:tcW w:w="1230" w:type="dxa"/>
            <w:vMerge/>
            <w:tcBorders>
              <w:top w:val="nil"/>
              <w:left w:val="single" w:sz="4" w:space="0" w:color="auto"/>
              <w:bottom w:val="single" w:sz="4" w:space="0" w:color="000000"/>
              <w:right w:val="single" w:sz="4" w:space="0" w:color="auto"/>
            </w:tcBorders>
            <w:vAlign w:val="center"/>
            <w:hideMark/>
          </w:tcPr>
          <w:p w14:paraId="30A9BA0E" w14:textId="77777777" w:rsidR="00683F4A" w:rsidRPr="003B552F" w:rsidRDefault="00683F4A" w:rsidP="009657E1">
            <w:pPr>
              <w:spacing w:after="0"/>
              <w:jc w:val="left"/>
              <w:rPr>
                <w:rFonts w:ascii="Arial Narrow" w:eastAsia="Times New Roman" w:hAnsi="Arial Narrow"/>
                <w:sz w:val="20"/>
                <w:szCs w:val="20"/>
                <w:lang w:eastAsia="en-GB"/>
              </w:rPr>
            </w:pPr>
          </w:p>
        </w:tc>
        <w:tc>
          <w:tcPr>
            <w:tcW w:w="953" w:type="dxa"/>
            <w:vMerge/>
            <w:tcBorders>
              <w:top w:val="nil"/>
              <w:left w:val="single" w:sz="4" w:space="0" w:color="auto"/>
              <w:bottom w:val="single" w:sz="4" w:space="0" w:color="000000"/>
              <w:right w:val="single" w:sz="4" w:space="0" w:color="auto"/>
            </w:tcBorders>
            <w:vAlign w:val="center"/>
            <w:hideMark/>
          </w:tcPr>
          <w:p w14:paraId="7A537184" w14:textId="77777777" w:rsidR="00683F4A" w:rsidRPr="003B552F" w:rsidRDefault="00683F4A" w:rsidP="009657E1">
            <w:pPr>
              <w:spacing w:after="0"/>
              <w:jc w:val="left"/>
              <w:rPr>
                <w:rFonts w:ascii="Arial Narrow" w:eastAsia="Times New Roman" w:hAnsi="Arial Narrow"/>
                <w:sz w:val="20"/>
                <w:szCs w:val="20"/>
                <w:lang w:eastAsia="en-GB"/>
              </w:rPr>
            </w:pPr>
          </w:p>
        </w:tc>
        <w:tc>
          <w:tcPr>
            <w:tcW w:w="1037" w:type="dxa"/>
            <w:gridSpan w:val="3"/>
            <w:vMerge/>
            <w:tcBorders>
              <w:top w:val="nil"/>
              <w:left w:val="single" w:sz="4" w:space="0" w:color="auto"/>
              <w:bottom w:val="single" w:sz="4" w:space="0" w:color="000000"/>
              <w:right w:val="single" w:sz="4" w:space="0" w:color="auto"/>
            </w:tcBorders>
            <w:vAlign w:val="center"/>
            <w:hideMark/>
          </w:tcPr>
          <w:p w14:paraId="6E36CB43" w14:textId="77777777" w:rsidR="00683F4A" w:rsidRPr="003B552F" w:rsidRDefault="00683F4A" w:rsidP="009657E1">
            <w:pPr>
              <w:spacing w:after="0"/>
              <w:jc w:val="left"/>
              <w:rPr>
                <w:rFonts w:ascii="Arial Narrow" w:eastAsia="Times New Roman" w:hAnsi="Arial Narrow"/>
                <w:sz w:val="20"/>
                <w:szCs w:val="20"/>
                <w:lang w:eastAsia="en-GB"/>
              </w:rPr>
            </w:pPr>
          </w:p>
        </w:tc>
        <w:tc>
          <w:tcPr>
            <w:tcW w:w="986" w:type="dxa"/>
            <w:vMerge/>
            <w:tcBorders>
              <w:top w:val="nil"/>
              <w:left w:val="single" w:sz="4" w:space="0" w:color="auto"/>
              <w:bottom w:val="single" w:sz="4" w:space="0" w:color="000000"/>
              <w:right w:val="single" w:sz="4" w:space="0" w:color="auto"/>
            </w:tcBorders>
            <w:vAlign w:val="center"/>
            <w:hideMark/>
          </w:tcPr>
          <w:p w14:paraId="4720C259" w14:textId="77777777" w:rsidR="00683F4A" w:rsidRPr="003B552F" w:rsidRDefault="00683F4A" w:rsidP="009657E1">
            <w:pPr>
              <w:spacing w:after="0"/>
              <w:jc w:val="left"/>
              <w:rPr>
                <w:rFonts w:ascii="Arial Narrow" w:eastAsia="Times New Roman" w:hAnsi="Arial Narrow"/>
                <w:sz w:val="20"/>
                <w:szCs w:val="20"/>
                <w:lang w:eastAsia="en-GB"/>
              </w:rPr>
            </w:pPr>
          </w:p>
        </w:tc>
        <w:tc>
          <w:tcPr>
            <w:tcW w:w="1134" w:type="dxa"/>
            <w:vMerge/>
            <w:tcBorders>
              <w:top w:val="nil"/>
              <w:left w:val="single" w:sz="4" w:space="0" w:color="auto"/>
              <w:bottom w:val="single" w:sz="4" w:space="0" w:color="000000"/>
              <w:right w:val="single" w:sz="8" w:space="0" w:color="auto"/>
            </w:tcBorders>
            <w:vAlign w:val="center"/>
            <w:hideMark/>
          </w:tcPr>
          <w:p w14:paraId="4ECCB7A8" w14:textId="77777777" w:rsidR="00683F4A" w:rsidRPr="003B552F" w:rsidRDefault="00683F4A" w:rsidP="009657E1">
            <w:pPr>
              <w:spacing w:after="0"/>
              <w:jc w:val="left"/>
              <w:rPr>
                <w:rFonts w:ascii="Arial Narrow" w:eastAsia="Times New Roman" w:hAnsi="Arial Narrow"/>
                <w:sz w:val="20"/>
                <w:szCs w:val="20"/>
                <w:lang w:eastAsia="en-GB"/>
              </w:rPr>
            </w:pPr>
          </w:p>
        </w:tc>
      </w:tr>
      <w:tr w:rsidR="00683F4A" w:rsidRPr="007D425D" w14:paraId="271FF224" w14:textId="77777777" w:rsidTr="009657E1">
        <w:trPr>
          <w:trHeight w:val="168"/>
          <w:jc w:val="center"/>
        </w:trPr>
        <w:tc>
          <w:tcPr>
            <w:tcW w:w="1570" w:type="dxa"/>
            <w:gridSpan w:val="2"/>
            <w:vMerge w:val="restart"/>
            <w:tcBorders>
              <w:top w:val="nil"/>
              <w:left w:val="single" w:sz="8" w:space="0" w:color="auto"/>
              <w:bottom w:val="single" w:sz="4" w:space="0" w:color="000000"/>
              <w:right w:val="single" w:sz="4" w:space="0" w:color="auto"/>
            </w:tcBorders>
            <w:shd w:val="clear" w:color="auto" w:fill="auto"/>
            <w:hideMark/>
          </w:tcPr>
          <w:p w14:paraId="2A7F19BE" w14:textId="77777777" w:rsidR="00683F4A" w:rsidRPr="003B552F" w:rsidRDefault="00683F4A" w:rsidP="009657E1">
            <w:pPr>
              <w:spacing w:after="0"/>
              <w:jc w:val="left"/>
              <w:rPr>
                <w:rFonts w:ascii="Arial Narrow" w:eastAsia="Times New Roman" w:hAnsi="Arial Narrow"/>
                <w:b/>
                <w:bCs/>
                <w:sz w:val="20"/>
                <w:szCs w:val="20"/>
                <w:lang w:eastAsia="en-GB"/>
              </w:rPr>
            </w:pPr>
            <w:r w:rsidRPr="003B552F">
              <w:rPr>
                <w:rFonts w:ascii="Arial Narrow" w:eastAsia="Times New Roman" w:hAnsi="Arial Narrow"/>
                <w:b/>
                <w:bCs/>
                <w:sz w:val="20"/>
                <w:szCs w:val="20"/>
                <w:lang w:eastAsia="en-GB"/>
              </w:rPr>
              <w:t>Annualized Key Results 2012</w:t>
            </w:r>
          </w:p>
        </w:tc>
        <w:tc>
          <w:tcPr>
            <w:tcW w:w="7842" w:type="dxa"/>
            <w:gridSpan w:val="5"/>
            <w:tcBorders>
              <w:top w:val="single" w:sz="4" w:space="0" w:color="auto"/>
              <w:left w:val="nil"/>
              <w:bottom w:val="single" w:sz="4" w:space="0" w:color="auto"/>
              <w:right w:val="single" w:sz="4" w:space="0" w:color="000000"/>
            </w:tcBorders>
            <w:shd w:val="clear" w:color="auto" w:fill="auto"/>
            <w:hideMark/>
          </w:tcPr>
          <w:p w14:paraId="690B52F5" w14:textId="77777777" w:rsidR="00683F4A" w:rsidRPr="00CD56B9" w:rsidRDefault="00683F4A" w:rsidP="009657E1">
            <w:pPr>
              <w:spacing w:after="0"/>
              <w:jc w:val="left"/>
              <w:rPr>
                <w:rFonts w:ascii="Arial Narrow" w:eastAsia="Times New Roman" w:hAnsi="Arial Narrow"/>
                <w:sz w:val="20"/>
                <w:szCs w:val="20"/>
                <w:lang w:val="en-US" w:eastAsia="en-GB"/>
              </w:rPr>
            </w:pPr>
            <w:r w:rsidRPr="00CD56B9">
              <w:rPr>
                <w:rFonts w:ascii="Arial Narrow" w:eastAsia="Times New Roman" w:hAnsi="Arial Narrow"/>
                <w:sz w:val="20"/>
                <w:szCs w:val="20"/>
                <w:lang w:val="en-US" w:eastAsia="en-GB"/>
              </w:rPr>
              <w:t>A.  LED strategy for each of the 2 pilot LED districts developed/Policy framework for LED developed (UNCDF)</w:t>
            </w:r>
          </w:p>
        </w:tc>
        <w:tc>
          <w:tcPr>
            <w:tcW w:w="1230" w:type="dxa"/>
            <w:tcBorders>
              <w:top w:val="nil"/>
              <w:left w:val="nil"/>
              <w:bottom w:val="single" w:sz="4" w:space="0" w:color="auto"/>
              <w:right w:val="single" w:sz="4" w:space="0" w:color="auto"/>
            </w:tcBorders>
            <w:shd w:val="clear" w:color="auto" w:fill="auto"/>
            <w:hideMark/>
          </w:tcPr>
          <w:p w14:paraId="727A5F09" w14:textId="77777777" w:rsidR="00683F4A" w:rsidRPr="003B552F" w:rsidRDefault="00683F4A" w:rsidP="009657E1">
            <w:pPr>
              <w:spacing w:after="0"/>
              <w:jc w:val="left"/>
              <w:rPr>
                <w:rFonts w:ascii="Arial Narrow" w:eastAsia="Times New Roman" w:hAnsi="Arial Narrow"/>
                <w:sz w:val="20"/>
                <w:szCs w:val="20"/>
                <w:lang w:eastAsia="en-GB"/>
              </w:rPr>
            </w:pPr>
            <w:r w:rsidRPr="003B552F">
              <w:rPr>
                <w:rFonts w:ascii="Arial Narrow" w:eastAsia="Times New Roman" w:hAnsi="Arial Narrow"/>
                <w:sz w:val="20"/>
                <w:szCs w:val="20"/>
                <w:lang w:eastAsia="en-GB"/>
              </w:rPr>
              <w:t>UNCDF</w:t>
            </w:r>
          </w:p>
        </w:tc>
        <w:tc>
          <w:tcPr>
            <w:tcW w:w="953" w:type="dxa"/>
            <w:tcBorders>
              <w:top w:val="nil"/>
              <w:left w:val="nil"/>
              <w:bottom w:val="single" w:sz="4" w:space="0" w:color="auto"/>
              <w:right w:val="single" w:sz="4" w:space="0" w:color="auto"/>
            </w:tcBorders>
            <w:shd w:val="clear" w:color="auto" w:fill="auto"/>
            <w:hideMark/>
          </w:tcPr>
          <w:p w14:paraId="5B9CDAE6"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100,000 </w:t>
            </w:r>
          </w:p>
        </w:tc>
        <w:tc>
          <w:tcPr>
            <w:tcW w:w="1037" w:type="dxa"/>
            <w:gridSpan w:val="3"/>
            <w:tcBorders>
              <w:top w:val="nil"/>
              <w:left w:val="nil"/>
              <w:bottom w:val="single" w:sz="4" w:space="0" w:color="auto"/>
              <w:right w:val="single" w:sz="4" w:space="0" w:color="auto"/>
            </w:tcBorders>
            <w:shd w:val="clear" w:color="auto" w:fill="auto"/>
            <w:hideMark/>
          </w:tcPr>
          <w:p w14:paraId="2B86827F"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w:t>
            </w:r>
          </w:p>
        </w:tc>
        <w:tc>
          <w:tcPr>
            <w:tcW w:w="986" w:type="dxa"/>
            <w:tcBorders>
              <w:top w:val="nil"/>
              <w:left w:val="nil"/>
              <w:bottom w:val="single" w:sz="4" w:space="0" w:color="auto"/>
              <w:right w:val="single" w:sz="4" w:space="0" w:color="auto"/>
            </w:tcBorders>
            <w:shd w:val="clear" w:color="auto" w:fill="auto"/>
            <w:hideMark/>
          </w:tcPr>
          <w:p w14:paraId="62490CEA"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300,000 </w:t>
            </w:r>
          </w:p>
        </w:tc>
        <w:tc>
          <w:tcPr>
            <w:tcW w:w="1134" w:type="dxa"/>
            <w:tcBorders>
              <w:top w:val="nil"/>
              <w:left w:val="nil"/>
              <w:bottom w:val="single" w:sz="4" w:space="0" w:color="auto"/>
              <w:right w:val="single" w:sz="8" w:space="0" w:color="auto"/>
            </w:tcBorders>
            <w:shd w:val="clear" w:color="auto" w:fill="auto"/>
            <w:hideMark/>
          </w:tcPr>
          <w:p w14:paraId="2781517D"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400,000 </w:t>
            </w:r>
          </w:p>
        </w:tc>
      </w:tr>
      <w:tr w:rsidR="00683F4A" w:rsidRPr="007D425D" w14:paraId="16895713" w14:textId="77777777" w:rsidTr="009657E1">
        <w:trPr>
          <w:trHeight w:val="168"/>
          <w:jc w:val="center"/>
        </w:trPr>
        <w:tc>
          <w:tcPr>
            <w:tcW w:w="1570" w:type="dxa"/>
            <w:gridSpan w:val="2"/>
            <w:vMerge/>
            <w:tcBorders>
              <w:top w:val="nil"/>
              <w:left w:val="single" w:sz="8" w:space="0" w:color="auto"/>
              <w:bottom w:val="single" w:sz="4" w:space="0" w:color="000000"/>
              <w:right w:val="single" w:sz="4" w:space="0" w:color="auto"/>
            </w:tcBorders>
            <w:vAlign w:val="center"/>
            <w:hideMark/>
          </w:tcPr>
          <w:p w14:paraId="0F991EBB" w14:textId="77777777" w:rsidR="00683F4A" w:rsidRPr="003B552F" w:rsidRDefault="00683F4A" w:rsidP="009657E1">
            <w:pPr>
              <w:spacing w:after="0"/>
              <w:jc w:val="left"/>
              <w:rPr>
                <w:rFonts w:ascii="Arial Narrow" w:eastAsia="Times New Roman" w:hAnsi="Arial Narrow"/>
                <w:b/>
                <w:bCs/>
                <w:sz w:val="20"/>
                <w:szCs w:val="20"/>
                <w:lang w:eastAsia="en-GB"/>
              </w:rPr>
            </w:pPr>
          </w:p>
        </w:tc>
        <w:tc>
          <w:tcPr>
            <w:tcW w:w="7842" w:type="dxa"/>
            <w:gridSpan w:val="5"/>
            <w:tcBorders>
              <w:top w:val="single" w:sz="4" w:space="0" w:color="auto"/>
              <w:left w:val="nil"/>
              <w:bottom w:val="single" w:sz="4" w:space="0" w:color="auto"/>
              <w:right w:val="single" w:sz="4" w:space="0" w:color="000000"/>
            </w:tcBorders>
            <w:shd w:val="clear" w:color="auto" w:fill="auto"/>
            <w:hideMark/>
          </w:tcPr>
          <w:p w14:paraId="003CA2A3" w14:textId="02F8B833" w:rsidR="00683F4A" w:rsidRPr="00CD56B9" w:rsidRDefault="00683F4A" w:rsidP="009657E1">
            <w:pPr>
              <w:spacing w:after="0"/>
              <w:jc w:val="left"/>
              <w:rPr>
                <w:rFonts w:ascii="Arial Narrow" w:eastAsia="Times New Roman" w:hAnsi="Arial Narrow"/>
                <w:sz w:val="20"/>
                <w:szCs w:val="20"/>
                <w:lang w:val="en-US" w:eastAsia="en-GB"/>
              </w:rPr>
            </w:pPr>
            <w:r w:rsidRPr="00CD56B9">
              <w:rPr>
                <w:rFonts w:ascii="Arial Narrow" w:eastAsia="Times New Roman" w:hAnsi="Arial Narrow"/>
                <w:sz w:val="20"/>
                <w:szCs w:val="20"/>
                <w:lang w:val="en-US" w:eastAsia="en-GB"/>
              </w:rPr>
              <w:t xml:space="preserve">B: Fiscal </w:t>
            </w:r>
            <w:r w:rsidR="003F4020" w:rsidRPr="00CD56B9">
              <w:rPr>
                <w:rFonts w:ascii="Arial Narrow" w:eastAsia="Times New Roman" w:hAnsi="Arial Narrow"/>
                <w:sz w:val="20"/>
                <w:szCs w:val="20"/>
                <w:lang w:val="en-US" w:eastAsia="en-GB"/>
              </w:rPr>
              <w:t>decentralization</w:t>
            </w:r>
            <w:r w:rsidRPr="00CD56B9">
              <w:rPr>
                <w:rFonts w:ascii="Arial Narrow" w:eastAsia="Times New Roman" w:hAnsi="Arial Narrow"/>
                <w:sz w:val="20"/>
                <w:szCs w:val="20"/>
                <w:lang w:val="en-US" w:eastAsia="en-GB"/>
              </w:rPr>
              <w:t xml:space="preserve">, sector devolution policy and guidelines </w:t>
            </w:r>
            <w:r w:rsidR="003F4020" w:rsidRPr="00CD56B9">
              <w:rPr>
                <w:rFonts w:ascii="Arial Narrow" w:eastAsia="Times New Roman" w:hAnsi="Arial Narrow"/>
                <w:sz w:val="20"/>
                <w:szCs w:val="20"/>
                <w:lang w:val="en-US" w:eastAsia="en-GB"/>
              </w:rPr>
              <w:t>finalized</w:t>
            </w:r>
            <w:r w:rsidRPr="00CD56B9">
              <w:rPr>
                <w:rFonts w:ascii="Arial Narrow" w:eastAsia="Times New Roman" w:hAnsi="Arial Narrow"/>
                <w:sz w:val="20"/>
                <w:szCs w:val="20"/>
                <w:lang w:val="en-US" w:eastAsia="en-GB"/>
              </w:rPr>
              <w:t xml:space="preserve"> (UNDP)</w:t>
            </w:r>
          </w:p>
        </w:tc>
        <w:tc>
          <w:tcPr>
            <w:tcW w:w="1230" w:type="dxa"/>
            <w:tcBorders>
              <w:top w:val="nil"/>
              <w:left w:val="nil"/>
              <w:bottom w:val="single" w:sz="4" w:space="0" w:color="auto"/>
              <w:right w:val="single" w:sz="4" w:space="0" w:color="auto"/>
            </w:tcBorders>
            <w:shd w:val="clear" w:color="auto" w:fill="auto"/>
            <w:hideMark/>
          </w:tcPr>
          <w:p w14:paraId="3137EB42" w14:textId="77777777" w:rsidR="00683F4A" w:rsidRPr="003B552F" w:rsidRDefault="00683F4A" w:rsidP="009657E1">
            <w:pPr>
              <w:spacing w:after="0"/>
              <w:jc w:val="left"/>
              <w:rPr>
                <w:rFonts w:ascii="Arial Narrow" w:eastAsia="Times New Roman" w:hAnsi="Arial Narrow"/>
                <w:sz w:val="20"/>
                <w:szCs w:val="20"/>
                <w:lang w:eastAsia="en-GB"/>
              </w:rPr>
            </w:pPr>
            <w:r w:rsidRPr="003B552F">
              <w:rPr>
                <w:rFonts w:ascii="Arial Narrow" w:eastAsia="Times New Roman" w:hAnsi="Arial Narrow"/>
                <w:sz w:val="20"/>
                <w:szCs w:val="20"/>
                <w:lang w:eastAsia="en-GB"/>
              </w:rPr>
              <w:t>UNDP</w:t>
            </w:r>
          </w:p>
        </w:tc>
        <w:tc>
          <w:tcPr>
            <w:tcW w:w="953" w:type="dxa"/>
            <w:tcBorders>
              <w:top w:val="nil"/>
              <w:left w:val="nil"/>
              <w:bottom w:val="single" w:sz="4" w:space="0" w:color="auto"/>
              <w:right w:val="single" w:sz="4" w:space="0" w:color="auto"/>
            </w:tcBorders>
            <w:shd w:val="clear" w:color="auto" w:fill="auto"/>
            <w:hideMark/>
          </w:tcPr>
          <w:p w14:paraId="4949049D"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100,000 </w:t>
            </w:r>
          </w:p>
        </w:tc>
        <w:tc>
          <w:tcPr>
            <w:tcW w:w="1037" w:type="dxa"/>
            <w:gridSpan w:val="3"/>
            <w:tcBorders>
              <w:top w:val="nil"/>
              <w:left w:val="nil"/>
              <w:bottom w:val="single" w:sz="4" w:space="0" w:color="auto"/>
              <w:right w:val="single" w:sz="4" w:space="0" w:color="auto"/>
            </w:tcBorders>
            <w:shd w:val="clear" w:color="auto" w:fill="auto"/>
            <w:hideMark/>
          </w:tcPr>
          <w:p w14:paraId="1142E7C2"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w:t>
            </w:r>
          </w:p>
        </w:tc>
        <w:tc>
          <w:tcPr>
            <w:tcW w:w="986" w:type="dxa"/>
            <w:tcBorders>
              <w:top w:val="nil"/>
              <w:left w:val="nil"/>
              <w:bottom w:val="single" w:sz="4" w:space="0" w:color="auto"/>
              <w:right w:val="single" w:sz="4" w:space="0" w:color="auto"/>
            </w:tcBorders>
            <w:shd w:val="clear" w:color="auto" w:fill="auto"/>
            <w:hideMark/>
          </w:tcPr>
          <w:p w14:paraId="4EC1C675"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400,000 </w:t>
            </w:r>
          </w:p>
        </w:tc>
        <w:tc>
          <w:tcPr>
            <w:tcW w:w="1134" w:type="dxa"/>
            <w:tcBorders>
              <w:top w:val="nil"/>
              <w:left w:val="nil"/>
              <w:bottom w:val="single" w:sz="4" w:space="0" w:color="auto"/>
              <w:right w:val="single" w:sz="8" w:space="0" w:color="auto"/>
            </w:tcBorders>
            <w:shd w:val="clear" w:color="auto" w:fill="auto"/>
            <w:hideMark/>
          </w:tcPr>
          <w:p w14:paraId="7AE74D31"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500,000 </w:t>
            </w:r>
          </w:p>
        </w:tc>
      </w:tr>
      <w:tr w:rsidR="00683F4A" w:rsidRPr="007D425D" w14:paraId="747D43AD" w14:textId="77777777" w:rsidTr="009657E1">
        <w:trPr>
          <w:trHeight w:val="168"/>
          <w:jc w:val="center"/>
        </w:trPr>
        <w:tc>
          <w:tcPr>
            <w:tcW w:w="1570" w:type="dxa"/>
            <w:gridSpan w:val="2"/>
            <w:vMerge/>
            <w:tcBorders>
              <w:top w:val="nil"/>
              <w:left w:val="single" w:sz="8" w:space="0" w:color="auto"/>
              <w:bottom w:val="single" w:sz="4" w:space="0" w:color="000000"/>
              <w:right w:val="single" w:sz="4" w:space="0" w:color="auto"/>
            </w:tcBorders>
            <w:vAlign w:val="center"/>
            <w:hideMark/>
          </w:tcPr>
          <w:p w14:paraId="2DDE3A90" w14:textId="77777777" w:rsidR="00683F4A" w:rsidRPr="003B552F" w:rsidRDefault="00683F4A" w:rsidP="009657E1">
            <w:pPr>
              <w:spacing w:after="0"/>
              <w:jc w:val="left"/>
              <w:rPr>
                <w:rFonts w:ascii="Arial Narrow" w:eastAsia="Times New Roman" w:hAnsi="Arial Narrow"/>
                <w:b/>
                <w:bCs/>
                <w:sz w:val="20"/>
                <w:szCs w:val="20"/>
                <w:lang w:eastAsia="en-GB"/>
              </w:rPr>
            </w:pPr>
          </w:p>
        </w:tc>
        <w:tc>
          <w:tcPr>
            <w:tcW w:w="7842" w:type="dxa"/>
            <w:gridSpan w:val="5"/>
            <w:tcBorders>
              <w:top w:val="single" w:sz="4" w:space="0" w:color="auto"/>
              <w:left w:val="nil"/>
              <w:bottom w:val="single" w:sz="4" w:space="0" w:color="auto"/>
              <w:right w:val="single" w:sz="4" w:space="0" w:color="000000"/>
            </w:tcBorders>
            <w:shd w:val="clear" w:color="auto" w:fill="auto"/>
            <w:hideMark/>
          </w:tcPr>
          <w:p w14:paraId="417964CE" w14:textId="77777777" w:rsidR="00683F4A" w:rsidRPr="00CD56B9" w:rsidRDefault="00683F4A" w:rsidP="009657E1">
            <w:pPr>
              <w:spacing w:after="0"/>
              <w:jc w:val="left"/>
              <w:rPr>
                <w:rFonts w:ascii="Arial Narrow" w:eastAsia="Times New Roman" w:hAnsi="Arial Narrow"/>
                <w:sz w:val="20"/>
                <w:szCs w:val="20"/>
                <w:lang w:val="en-US" w:eastAsia="en-GB"/>
              </w:rPr>
            </w:pPr>
            <w:r w:rsidRPr="00CD56B9">
              <w:rPr>
                <w:rFonts w:ascii="Arial Narrow" w:eastAsia="Times New Roman" w:hAnsi="Arial Narrow"/>
                <w:sz w:val="20"/>
                <w:szCs w:val="20"/>
                <w:lang w:val="en-US" w:eastAsia="en-GB"/>
              </w:rPr>
              <w:t>C: IRD Sector Strategy &amp; M&amp;E framework in place (UNDP)</w:t>
            </w:r>
          </w:p>
        </w:tc>
        <w:tc>
          <w:tcPr>
            <w:tcW w:w="1230" w:type="dxa"/>
            <w:tcBorders>
              <w:top w:val="nil"/>
              <w:left w:val="nil"/>
              <w:bottom w:val="single" w:sz="4" w:space="0" w:color="auto"/>
              <w:right w:val="single" w:sz="4" w:space="0" w:color="auto"/>
            </w:tcBorders>
            <w:shd w:val="clear" w:color="auto" w:fill="auto"/>
            <w:hideMark/>
          </w:tcPr>
          <w:p w14:paraId="691CF90B" w14:textId="77777777" w:rsidR="00683F4A" w:rsidRPr="003B552F" w:rsidRDefault="00683F4A" w:rsidP="009657E1">
            <w:pPr>
              <w:spacing w:after="0"/>
              <w:jc w:val="left"/>
              <w:rPr>
                <w:rFonts w:ascii="Arial Narrow" w:eastAsia="Times New Roman" w:hAnsi="Arial Narrow"/>
                <w:sz w:val="20"/>
                <w:szCs w:val="20"/>
                <w:lang w:eastAsia="en-GB"/>
              </w:rPr>
            </w:pPr>
            <w:r w:rsidRPr="003B552F">
              <w:rPr>
                <w:rFonts w:ascii="Arial Narrow" w:eastAsia="Times New Roman" w:hAnsi="Arial Narrow"/>
                <w:sz w:val="20"/>
                <w:szCs w:val="20"/>
                <w:lang w:eastAsia="en-GB"/>
              </w:rPr>
              <w:t>UNDP</w:t>
            </w:r>
          </w:p>
        </w:tc>
        <w:tc>
          <w:tcPr>
            <w:tcW w:w="953" w:type="dxa"/>
            <w:tcBorders>
              <w:top w:val="nil"/>
              <w:left w:val="nil"/>
              <w:bottom w:val="single" w:sz="4" w:space="0" w:color="auto"/>
              <w:right w:val="single" w:sz="4" w:space="0" w:color="auto"/>
            </w:tcBorders>
            <w:shd w:val="clear" w:color="auto" w:fill="auto"/>
            <w:hideMark/>
          </w:tcPr>
          <w:p w14:paraId="178AFC68"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150,000 </w:t>
            </w:r>
          </w:p>
        </w:tc>
        <w:tc>
          <w:tcPr>
            <w:tcW w:w="1037" w:type="dxa"/>
            <w:gridSpan w:val="3"/>
            <w:tcBorders>
              <w:top w:val="nil"/>
              <w:left w:val="nil"/>
              <w:bottom w:val="single" w:sz="4" w:space="0" w:color="auto"/>
              <w:right w:val="single" w:sz="4" w:space="0" w:color="auto"/>
            </w:tcBorders>
            <w:shd w:val="clear" w:color="auto" w:fill="auto"/>
            <w:hideMark/>
          </w:tcPr>
          <w:p w14:paraId="4A01DA5A"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300,000 </w:t>
            </w:r>
          </w:p>
        </w:tc>
        <w:tc>
          <w:tcPr>
            <w:tcW w:w="986" w:type="dxa"/>
            <w:tcBorders>
              <w:top w:val="nil"/>
              <w:left w:val="nil"/>
              <w:bottom w:val="single" w:sz="4" w:space="0" w:color="auto"/>
              <w:right w:val="single" w:sz="4" w:space="0" w:color="auto"/>
            </w:tcBorders>
            <w:shd w:val="clear" w:color="auto" w:fill="auto"/>
            <w:hideMark/>
          </w:tcPr>
          <w:p w14:paraId="44228DDB"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200,000 </w:t>
            </w:r>
          </w:p>
        </w:tc>
        <w:tc>
          <w:tcPr>
            <w:tcW w:w="1134" w:type="dxa"/>
            <w:tcBorders>
              <w:top w:val="nil"/>
              <w:left w:val="nil"/>
              <w:bottom w:val="single" w:sz="4" w:space="0" w:color="auto"/>
              <w:right w:val="single" w:sz="8" w:space="0" w:color="auto"/>
            </w:tcBorders>
            <w:shd w:val="clear" w:color="auto" w:fill="auto"/>
            <w:hideMark/>
          </w:tcPr>
          <w:p w14:paraId="7CA8D841"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650,000 </w:t>
            </w:r>
          </w:p>
        </w:tc>
      </w:tr>
      <w:tr w:rsidR="00683F4A" w:rsidRPr="007D425D" w14:paraId="745E15D1" w14:textId="77777777" w:rsidTr="009657E1">
        <w:trPr>
          <w:trHeight w:val="179"/>
          <w:jc w:val="center"/>
        </w:trPr>
        <w:tc>
          <w:tcPr>
            <w:tcW w:w="1570" w:type="dxa"/>
            <w:gridSpan w:val="2"/>
            <w:vMerge/>
            <w:tcBorders>
              <w:top w:val="nil"/>
              <w:left w:val="single" w:sz="8" w:space="0" w:color="auto"/>
              <w:bottom w:val="single" w:sz="4" w:space="0" w:color="000000"/>
              <w:right w:val="single" w:sz="4" w:space="0" w:color="auto"/>
            </w:tcBorders>
            <w:vAlign w:val="center"/>
            <w:hideMark/>
          </w:tcPr>
          <w:p w14:paraId="049A2CAD" w14:textId="77777777" w:rsidR="00683F4A" w:rsidRPr="003B552F" w:rsidRDefault="00683F4A" w:rsidP="009657E1">
            <w:pPr>
              <w:spacing w:after="0"/>
              <w:jc w:val="left"/>
              <w:rPr>
                <w:rFonts w:ascii="Arial Narrow" w:eastAsia="Times New Roman" w:hAnsi="Arial Narrow"/>
                <w:b/>
                <w:bCs/>
                <w:sz w:val="20"/>
                <w:szCs w:val="20"/>
                <w:lang w:eastAsia="en-GB"/>
              </w:rPr>
            </w:pPr>
          </w:p>
        </w:tc>
        <w:tc>
          <w:tcPr>
            <w:tcW w:w="7842" w:type="dxa"/>
            <w:gridSpan w:val="5"/>
            <w:tcBorders>
              <w:top w:val="single" w:sz="4" w:space="0" w:color="auto"/>
              <w:left w:val="nil"/>
              <w:bottom w:val="nil"/>
              <w:right w:val="single" w:sz="4" w:space="0" w:color="000000"/>
            </w:tcBorders>
            <w:shd w:val="clear" w:color="auto" w:fill="auto"/>
            <w:vAlign w:val="bottom"/>
            <w:hideMark/>
          </w:tcPr>
          <w:p w14:paraId="29B0A0D2" w14:textId="77777777" w:rsidR="00683F4A" w:rsidRPr="00CD56B9" w:rsidRDefault="00683F4A" w:rsidP="009657E1">
            <w:pPr>
              <w:spacing w:after="0"/>
              <w:jc w:val="left"/>
              <w:rPr>
                <w:rFonts w:ascii="Arial Narrow" w:eastAsia="Times New Roman" w:hAnsi="Arial Narrow"/>
                <w:sz w:val="20"/>
                <w:szCs w:val="20"/>
                <w:lang w:val="en-US" w:eastAsia="en-GB"/>
              </w:rPr>
            </w:pPr>
            <w:r w:rsidRPr="00CD56B9">
              <w:rPr>
                <w:rFonts w:ascii="Arial Narrow" w:eastAsia="Times New Roman" w:hAnsi="Arial Narrow"/>
                <w:sz w:val="20"/>
                <w:szCs w:val="20"/>
                <w:lang w:val="en-US" w:eastAsia="en-GB"/>
              </w:rPr>
              <w:t>D: Children's councils at district level established and integrated within local development planning framework in 5 districts (UNICEF).</w:t>
            </w:r>
          </w:p>
        </w:tc>
        <w:tc>
          <w:tcPr>
            <w:tcW w:w="1230" w:type="dxa"/>
            <w:tcBorders>
              <w:top w:val="nil"/>
              <w:left w:val="nil"/>
              <w:bottom w:val="nil"/>
              <w:right w:val="single" w:sz="4" w:space="0" w:color="auto"/>
            </w:tcBorders>
            <w:shd w:val="clear" w:color="auto" w:fill="auto"/>
            <w:vAlign w:val="bottom"/>
            <w:hideMark/>
          </w:tcPr>
          <w:p w14:paraId="78166610" w14:textId="77777777" w:rsidR="00683F4A" w:rsidRPr="003B552F" w:rsidRDefault="00683F4A" w:rsidP="009657E1">
            <w:pPr>
              <w:spacing w:after="0"/>
              <w:jc w:val="left"/>
              <w:rPr>
                <w:rFonts w:ascii="Arial Narrow" w:eastAsia="Times New Roman" w:hAnsi="Arial Narrow"/>
                <w:sz w:val="20"/>
                <w:szCs w:val="20"/>
                <w:lang w:eastAsia="en-GB"/>
              </w:rPr>
            </w:pPr>
            <w:r w:rsidRPr="003B552F">
              <w:rPr>
                <w:rFonts w:ascii="Arial Narrow" w:eastAsia="Times New Roman" w:hAnsi="Arial Narrow"/>
                <w:sz w:val="20"/>
                <w:szCs w:val="20"/>
                <w:lang w:eastAsia="en-GB"/>
              </w:rPr>
              <w:t>UNICEF</w:t>
            </w:r>
          </w:p>
        </w:tc>
        <w:tc>
          <w:tcPr>
            <w:tcW w:w="953" w:type="dxa"/>
            <w:tcBorders>
              <w:top w:val="nil"/>
              <w:left w:val="nil"/>
              <w:bottom w:val="nil"/>
              <w:right w:val="single" w:sz="4" w:space="0" w:color="auto"/>
            </w:tcBorders>
            <w:shd w:val="clear" w:color="auto" w:fill="auto"/>
            <w:noWrap/>
            <w:hideMark/>
          </w:tcPr>
          <w:p w14:paraId="0E56627C"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50,234 </w:t>
            </w:r>
          </w:p>
        </w:tc>
        <w:tc>
          <w:tcPr>
            <w:tcW w:w="1037" w:type="dxa"/>
            <w:gridSpan w:val="3"/>
            <w:tcBorders>
              <w:top w:val="nil"/>
              <w:left w:val="nil"/>
              <w:bottom w:val="nil"/>
              <w:right w:val="single" w:sz="4" w:space="0" w:color="auto"/>
            </w:tcBorders>
            <w:shd w:val="clear" w:color="auto" w:fill="auto"/>
            <w:noWrap/>
            <w:hideMark/>
          </w:tcPr>
          <w:p w14:paraId="230CED77"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w:t>
            </w:r>
          </w:p>
        </w:tc>
        <w:tc>
          <w:tcPr>
            <w:tcW w:w="986" w:type="dxa"/>
            <w:tcBorders>
              <w:top w:val="nil"/>
              <w:left w:val="nil"/>
              <w:bottom w:val="nil"/>
              <w:right w:val="single" w:sz="4" w:space="0" w:color="auto"/>
            </w:tcBorders>
            <w:shd w:val="clear" w:color="auto" w:fill="auto"/>
            <w:noWrap/>
            <w:hideMark/>
          </w:tcPr>
          <w:p w14:paraId="41FEAD78"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43,334 </w:t>
            </w:r>
          </w:p>
        </w:tc>
        <w:tc>
          <w:tcPr>
            <w:tcW w:w="1134" w:type="dxa"/>
            <w:tcBorders>
              <w:top w:val="nil"/>
              <w:left w:val="nil"/>
              <w:bottom w:val="nil"/>
              <w:right w:val="single" w:sz="8" w:space="0" w:color="auto"/>
            </w:tcBorders>
            <w:shd w:val="clear" w:color="auto" w:fill="auto"/>
            <w:hideMark/>
          </w:tcPr>
          <w:p w14:paraId="6251BA1F"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93,568 </w:t>
            </w:r>
          </w:p>
        </w:tc>
      </w:tr>
      <w:tr w:rsidR="00683F4A" w:rsidRPr="007D425D" w14:paraId="0D9CC332" w14:textId="77777777" w:rsidTr="00683F4A">
        <w:trPr>
          <w:trHeight w:val="179"/>
          <w:jc w:val="center"/>
        </w:trPr>
        <w:tc>
          <w:tcPr>
            <w:tcW w:w="1570" w:type="dxa"/>
            <w:gridSpan w:val="2"/>
            <w:tcBorders>
              <w:top w:val="nil"/>
              <w:left w:val="single" w:sz="8" w:space="0" w:color="auto"/>
              <w:bottom w:val="single" w:sz="4" w:space="0" w:color="auto"/>
              <w:right w:val="single" w:sz="4" w:space="0" w:color="auto"/>
            </w:tcBorders>
            <w:shd w:val="clear" w:color="auto" w:fill="auto"/>
            <w:hideMark/>
          </w:tcPr>
          <w:p w14:paraId="5877FBF8" w14:textId="77777777" w:rsidR="00683F4A" w:rsidRPr="003B552F" w:rsidRDefault="00683F4A" w:rsidP="009657E1">
            <w:pPr>
              <w:spacing w:after="0"/>
              <w:jc w:val="left"/>
              <w:rPr>
                <w:rFonts w:ascii="Arial Narrow" w:eastAsia="Times New Roman" w:hAnsi="Arial Narrow"/>
                <w:b/>
                <w:bCs/>
                <w:sz w:val="20"/>
                <w:szCs w:val="20"/>
                <w:lang w:eastAsia="en-GB"/>
              </w:rPr>
            </w:pPr>
            <w:r w:rsidRPr="003B552F">
              <w:rPr>
                <w:rFonts w:ascii="Arial Narrow" w:eastAsia="Times New Roman" w:hAnsi="Arial Narrow"/>
                <w:b/>
                <w:bCs/>
                <w:sz w:val="20"/>
                <w:szCs w:val="20"/>
                <w:lang w:eastAsia="en-GB"/>
              </w:rPr>
              <w:lastRenderedPageBreak/>
              <w:t> </w:t>
            </w:r>
          </w:p>
        </w:tc>
        <w:tc>
          <w:tcPr>
            <w:tcW w:w="7842" w:type="dxa"/>
            <w:gridSpan w:val="5"/>
            <w:tcBorders>
              <w:top w:val="single" w:sz="8" w:space="0" w:color="auto"/>
              <w:left w:val="single" w:sz="8" w:space="0" w:color="auto"/>
              <w:bottom w:val="single" w:sz="4" w:space="0" w:color="auto"/>
              <w:right w:val="single" w:sz="4" w:space="0" w:color="000000"/>
            </w:tcBorders>
            <w:shd w:val="clear" w:color="auto" w:fill="auto"/>
            <w:hideMark/>
          </w:tcPr>
          <w:p w14:paraId="0E0A3B7A" w14:textId="1ABF2644" w:rsidR="00683F4A" w:rsidRPr="00CD56B9" w:rsidRDefault="00683F4A" w:rsidP="009657E1">
            <w:pPr>
              <w:spacing w:after="0"/>
              <w:jc w:val="left"/>
              <w:rPr>
                <w:rFonts w:ascii="Arial Narrow" w:eastAsia="Times New Roman" w:hAnsi="Arial Narrow"/>
                <w:b/>
                <w:bCs/>
                <w:color w:val="FF0000"/>
                <w:sz w:val="20"/>
                <w:szCs w:val="20"/>
                <w:lang w:val="en-US" w:eastAsia="en-GB"/>
              </w:rPr>
            </w:pPr>
            <w:r w:rsidRPr="00CD56B9">
              <w:rPr>
                <w:rFonts w:ascii="Arial Narrow" w:eastAsia="Times New Roman" w:hAnsi="Arial Narrow"/>
                <w:b/>
                <w:bCs/>
                <w:color w:val="FF0000"/>
                <w:sz w:val="20"/>
                <w:szCs w:val="20"/>
                <w:lang w:val="en-US" w:eastAsia="en-GB"/>
              </w:rPr>
              <w:t xml:space="preserve">4.1.3-Total Budget for </w:t>
            </w:r>
            <w:r w:rsidR="003F4020" w:rsidRPr="00CD56B9">
              <w:rPr>
                <w:rFonts w:ascii="Arial Narrow" w:eastAsia="Times New Roman" w:hAnsi="Arial Narrow"/>
                <w:b/>
                <w:bCs/>
                <w:color w:val="FF0000"/>
                <w:sz w:val="20"/>
                <w:szCs w:val="20"/>
                <w:lang w:val="en-US" w:eastAsia="en-GB"/>
              </w:rPr>
              <w:t>Annualized</w:t>
            </w:r>
            <w:r w:rsidRPr="00CD56B9">
              <w:rPr>
                <w:rFonts w:ascii="Arial Narrow" w:eastAsia="Times New Roman" w:hAnsi="Arial Narrow"/>
                <w:b/>
                <w:bCs/>
                <w:color w:val="FF0000"/>
                <w:sz w:val="20"/>
                <w:szCs w:val="20"/>
                <w:lang w:val="en-US" w:eastAsia="en-GB"/>
              </w:rPr>
              <w:t xml:space="preserve"> Key Results for 2012</w:t>
            </w:r>
          </w:p>
        </w:tc>
        <w:tc>
          <w:tcPr>
            <w:tcW w:w="1230" w:type="dxa"/>
            <w:tcBorders>
              <w:top w:val="single" w:sz="8" w:space="0" w:color="auto"/>
              <w:left w:val="nil"/>
              <w:bottom w:val="single" w:sz="8" w:space="0" w:color="auto"/>
              <w:right w:val="single" w:sz="4" w:space="0" w:color="auto"/>
            </w:tcBorders>
            <w:shd w:val="clear" w:color="auto" w:fill="auto"/>
            <w:vAlign w:val="bottom"/>
            <w:hideMark/>
          </w:tcPr>
          <w:p w14:paraId="39987DC1" w14:textId="77777777" w:rsidR="00683F4A" w:rsidRPr="00CD56B9" w:rsidRDefault="00683F4A" w:rsidP="009657E1">
            <w:pPr>
              <w:spacing w:after="0"/>
              <w:jc w:val="left"/>
              <w:rPr>
                <w:rFonts w:ascii="Arial Narrow" w:eastAsia="Times New Roman" w:hAnsi="Arial Narrow"/>
                <w:b/>
                <w:bCs/>
                <w:color w:val="FF0000"/>
                <w:sz w:val="20"/>
                <w:szCs w:val="20"/>
                <w:lang w:val="en-US" w:eastAsia="en-GB"/>
              </w:rPr>
            </w:pPr>
            <w:r w:rsidRPr="00CD56B9">
              <w:rPr>
                <w:rFonts w:ascii="Arial Narrow" w:eastAsia="Times New Roman" w:hAnsi="Arial Narrow"/>
                <w:b/>
                <w:bCs/>
                <w:color w:val="FF0000"/>
                <w:sz w:val="20"/>
                <w:szCs w:val="20"/>
                <w:lang w:val="en-US" w:eastAsia="en-GB"/>
              </w:rPr>
              <w:t> </w:t>
            </w:r>
          </w:p>
        </w:tc>
        <w:tc>
          <w:tcPr>
            <w:tcW w:w="953" w:type="dxa"/>
            <w:tcBorders>
              <w:top w:val="single" w:sz="8" w:space="0" w:color="auto"/>
              <w:left w:val="nil"/>
              <w:bottom w:val="single" w:sz="8" w:space="0" w:color="auto"/>
              <w:right w:val="single" w:sz="4" w:space="0" w:color="auto"/>
            </w:tcBorders>
            <w:shd w:val="clear" w:color="auto" w:fill="auto"/>
            <w:noWrap/>
            <w:hideMark/>
          </w:tcPr>
          <w:p w14:paraId="2A1D2510" w14:textId="77777777" w:rsidR="00683F4A" w:rsidRPr="003B552F" w:rsidRDefault="00683F4A" w:rsidP="009657E1">
            <w:pPr>
              <w:spacing w:after="0"/>
              <w:jc w:val="right"/>
              <w:rPr>
                <w:rFonts w:ascii="Arial Narrow" w:eastAsia="Times New Roman" w:hAnsi="Arial Narrow"/>
                <w:b/>
                <w:bCs/>
                <w:color w:val="FF0000"/>
                <w:sz w:val="20"/>
                <w:szCs w:val="20"/>
                <w:lang w:eastAsia="en-GB"/>
              </w:rPr>
            </w:pPr>
            <w:r w:rsidRPr="00CD56B9">
              <w:rPr>
                <w:rFonts w:ascii="Arial Narrow" w:eastAsia="Times New Roman" w:hAnsi="Arial Narrow"/>
                <w:b/>
                <w:bCs/>
                <w:color w:val="FF0000"/>
                <w:sz w:val="20"/>
                <w:szCs w:val="20"/>
                <w:lang w:val="en-US" w:eastAsia="en-GB"/>
              </w:rPr>
              <w:t xml:space="preserve">           </w:t>
            </w:r>
            <w:r w:rsidRPr="003B552F">
              <w:rPr>
                <w:rFonts w:ascii="Arial Narrow" w:eastAsia="Times New Roman" w:hAnsi="Arial Narrow"/>
                <w:b/>
                <w:bCs/>
                <w:color w:val="FF0000"/>
                <w:sz w:val="20"/>
                <w:szCs w:val="20"/>
                <w:lang w:eastAsia="en-GB"/>
              </w:rPr>
              <w:t xml:space="preserve">400,234 </w:t>
            </w:r>
          </w:p>
        </w:tc>
        <w:tc>
          <w:tcPr>
            <w:tcW w:w="1037" w:type="dxa"/>
            <w:gridSpan w:val="3"/>
            <w:tcBorders>
              <w:top w:val="single" w:sz="8" w:space="0" w:color="auto"/>
              <w:left w:val="nil"/>
              <w:bottom w:val="single" w:sz="8" w:space="0" w:color="auto"/>
              <w:right w:val="single" w:sz="4" w:space="0" w:color="auto"/>
            </w:tcBorders>
            <w:shd w:val="clear" w:color="auto" w:fill="auto"/>
            <w:noWrap/>
            <w:hideMark/>
          </w:tcPr>
          <w:p w14:paraId="3B23A962" w14:textId="77777777" w:rsidR="00683F4A" w:rsidRPr="003B552F" w:rsidRDefault="00683F4A" w:rsidP="009657E1">
            <w:pPr>
              <w:spacing w:after="0"/>
              <w:jc w:val="right"/>
              <w:rPr>
                <w:rFonts w:ascii="Arial Narrow" w:eastAsia="Times New Roman" w:hAnsi="Arial Narrow"/>
                <w:b/>
                <w:bCs/>
                <w:color w:val="FF0000"/>
                <w:sz w:val="20"/>
                <w:szCs w:val="20"/>
                <w:lang w:eastAsia="en-GB"/>
              </w:rPr>
            </w:pPr>
            <w:r w:rsidRPr="003B552F">
              <w:rPr>
                <w:rFonts w:ascii="Arial Narrow" w:eastAsia="Times New Roman" w:hAnsi="Arial Narrow"/>
                <w:b/>
                <w:bCs/>
                <w:color w:val="FF0000"/>
                <w:sz w:val="20"/>
                <w:szCs w:val="20"/>
                <w:lang w:eastAsia="en-GB"/>
              </w:rPr>
              <w:t xml:space="preserve">            300,000 </w:t>
            </w:r>
          </w:p>
        </w:tc>
        <w:tc>
          <w:tcPr>
            <w:tcW w:w="986" w:type="dxa"/>
            <w:tcBorders>
              <w:top w:val="single" w:sz="8" w:space="0" w:color="auto"/>
              <w:left w:val="nil"/>
              <w:bottom w:val="single" w:sz="8" w:space="0" w:color="auto"/>
              <w:right w:val="single" w:sz="4" w:space="0" w:color="auto"/>
            </w:tcBorders>
            <w:shd w:val="clear" w:color="auto" w:fill="auto"/>
            <w:noWrap/>
            <w:hideMark/>
          </w:tcPr>
          <w:p w14:paraId="6225F4E2" w14:textId="77777777" w:rsidR="00683F4A" w:rsidRPr="003B552F" w:rsidRDefault="00683F4A" w:rsidP="009657E1">
            <w:pPr>
              <w:spacing w:after="0"/>
              <w:jc w:val="right"/>
              <w:rPr>
                <w:rFonts w:ascii="Arial Narrow" w:eastAsia="Times New Roman" w:hAnsi="Arial Narrow"/>
                <w:b/>
                <w:bCs/>
                <w:color w:val="FF0000"/>
                <w:sz w:val="20"/>
                <w:szCs w:val="20"/>
                <w:lang w:eastAsia="en-GB"/>
              </w:rPr>
            </w:pPr>
            <w:r w:rsidRPr="003B552F">
              <w:rPr>
                <w:rFonts w:ascii="Arial Narrow" w:eastAsia="Times New Roman" w:hAnsi="Arial Narrow"/>
                <w:b/>
                <w:bCs/>
                <w:color w:val="FF0000"/>
                <w:sz w:val="20"/>
                <w:szCs w:val="20"/>
                <w:lang w:eastAsia="en-GB"/>
              </w:rPr>
              <w:t xml:space="preserve">           943,334 </w:t>
            </w:r>
          </w:p>
        </w:tc>
        <w:tc>
          <w:tcPr>
            <w:tcW w:w="1134" w:type="dxa"/>
            <w:tcBorders>
              <w:top w:val="single" w:sz="8" w:space="0" w:color="auto"/>
              <w:left w:val="nil"/>
              <w:bottom w:val="single" w:sz="8" w:space="0" w:color="auto"/>
              <w:right w:val="single" w:sz="8" w:space="0" w:color="auto"/>
            </w:tcBorders>
            <w:shd w:val="clear" w:color="auto" w:fill="auto"/>
            <w:noWrap/>
            <w:hideMark/>
          </w:tcPr>
          <w:p w14:paraId="65306B99" w14:textId="77777777" w:rsidR="00683F4A" w:rsidRPr="003B552F" w:rsidRDefault="00683F4A" w:rsidP="009657E1">
            <w:pPr>
              <w:spacing w:after="0"/>
              <w:jc w:val="right"/>
              <w:rPr>
                <w:rFonts w:ascii="Arial Narrow" w:eastAsia="Times New Roman" w:hAnsi="Arial Narrow"/>
                <w:b/>
                <w:bCs/>
                <w:color w:val="FF0000"/>
                <w:sz w:val="20"/>
                <w:szCs w:val="20"/>
                <w:lang w:eastAsia="en-GB"/>
              </w:rPr>
            </w:pPr>
            <w:r w:rsidRPr="003B552F">
              <w:rPr>
                <w:rFonts w:ascii="Arial Narrow" w:eastAsia="Times New Roman" w:hAnsi="Arial Narrow"/>
                <w:b/>
                <w:bCs/>
                <w:color w:val="FF0000"/>
                <w:sz w:val="20"/>
                <w:szCs w:val="20"/>
                <w:lang w:eastAsia="en-GB"/>
              </w:rPr>
              <w:t xml:space="preserve">          1,643,568 </w:t>
            </w:r>
          </w:p>
        </w:tc>
      </w:tr>
      <w:tr w:rsidR="00683F4A" w:rsidRPr="007D425D" w14:paraId="24DF40B7" w14:textId="77777777" w:rsidTr="00683F4A">
        <w:trPr>
          <w:trHeight w:val="168"/>
          <w:jc w:val="center"/>
        </w:trPr>
        <w:tc>
          <w:tcPr>
            <w:tcW w:w="1570" w:type="dxa"/>
            <w:gridSpan w:val="2"/>
            <w:vMerge w:val="restart"/>
            <w:tcBorders>
              <w:top w:val="single" w:sz="4" w:space="0" w:color="auto"/>
              <w:left w:val="single" w:sz="8" w:space="0" w:color="auto"/>
              <w:bottom w:val="single" w:sz="4" w:space="0" w:color="000000"/>
              <w:right w:val="single" w:sz="4" w:space="0" w:color="auto"/>
            </w:tcBorders>
            <w:shd w:val="clear" w:color="auto" w:fill="auto"/>
            <w:hideMark/>
          </w:tcPr>
          <w:p w14:paraId="51F91D3F" w14:textId="77777777" w:rsidR="00683F4A" w:rsidRPr="003B552F" w:rsidRDefault="00683F4A" w:rsidP="009657E1">
            <w:pPr>
              <w:spacing w:after="0"/>
              <w:jc w:val="left"/>
              <w:rPr>
                <w:rFonts w:ascii="Arial Narrow" w:eastAsia="Times New Roman" w:hAnsi="Arial Narrow"/>
                <w:b/>
                <w:bCs/>
                <w:sz w:val="20"/>
                <w:szCs w:val="20"/>
                <w:lang w:eastAsia="en-GB"/>
              </w:rPr>
            </w:pPr>
            <w:r w:rsidRPr="003B552F">
              <w:rPr>
                <w:rFonts w:ascii="Arial Narrow" w:eastAsia="Times New Roman" w:hAnsi="Arial Narrow"/>
                <w:b/>
                <w:bCs/>
                <w:sz w:val="20"/>
                <w:szCs w:val="20"/>
                <w:lang w:eastAsia="en-GB"/>
              </w:rPr>
              <w:t>Annualized Key Results 2013</w:t>
            </w:r>
          </w:p>
        </w:tc>
        <w:tc>
          <w:tcPr>
            <w:tcW w:w="7842" w:type="dxa"/>
            <w:gridSpan w:val="5"/>
            <w:tcBorders>
              <w:top w:val="single" w:sz="4" w:space="0" w:color="auto"/>
              <w:left w:val="nil"/>
              <w:bottom w:val="single" w:sz="4" w:space="0" w:color="auto"/>
              <w:right w:val="single" w:sz="4" w:space="0" w:color="000000"/>
            </w:tcBorders>
            <w:shd w:val="clear" w:color="auto" w:fill="auto"/>
            <w:vAlign w:val="bottom"/>
            <w:hideMark/>
          </w:tcPr>
          <w:p w14:paraId="5CE3C9AF" w14:textId="77777777" w:rsidR="00683F4A" w:rsidRPr="00CD56B9" w:rsidRDefault="00683F4A" w:rsidP="009657E1">
            <w:pPr>
              <w:spacing w:after="0"/>
              <w:jc w:val="left"/>
              <w:rPr>
                <w:rFonts w:ascii="Arial Narrow" w:eastAsia="Times New Roman" w:hAnsi="Arial Narrow"/>
                <w:sz w:val="20"/>
                <w:szCs w:val="20"/>
                <w:lang w:val="en-US" w:eastAsia="en-GB"/>
              </w:rPr>
            </w:pPr>
            <w:r w:rsidRPr="00CD56B9">
              <w:rPr>
                <w:rFonts w:ascii="Arial Narrow" w:eastAsia="Times New Roman" w:hAnsi="Arial Narrow"/>
                <w:sz w:val="20"/>
                <w:szCs w:val="20"/>
                <w:lang w:val="en-US" w:eastAsia="en-GB"/>
              </w:rPr>
              <w:t>D:  Children's councils at district level established and integrated within local development planning framework 10 districts (UNICEF)</w:t>
            </w:r>
          </w:p>
        </w:tc>
        <w:tc>
          <w:tcPr>
            <w:tcW w:w="1230" w:type="dxa"/>
            <w:tcBorders>
              <w:top w:val="nil"/>
              <w:left w:val="nil"/>
              <w:bottom w:val="single" w:sz="4" w:space="0" w:color="auto"/>
              <w:right w:val="single" w:sz="4" w:space="0" w:color="auto"/>
            </w:tcBorders>
            <w:shd w:val="clear" w:color="auto" w:fill="auto"/>
            <w:vAlign w:val="bottom"/>
            <w:hideMark/>
          </w:tcPr>
          <w:p w14:paraId="29BD2993" w14:textId="77777777" w:rsidR="00683F4A" w:rsidRPr="003B552F" w:rsidRDefault="00683F4A" w:rsidP="009657E1">
            <w:pPr>
              <w:spacing w:after="0"/>
              <w:jc w:val="left"/>
              <w:rPr>
                <w:rFonts w:ascii="Arial Narrow" w:eastAsia="Times New Roman" w:hAnsi="Arial Narrow"/>
                <w:sz w:val="20"/>
                <w:szCs w:val="20"/>
                <w:lang w:eastAsia="en-GB"/>
              </w:rPr>
            </w:pPr>
            <w:r w:rsidRPr="003B552F">
              <w:rPr>
                <w:rFonts w:ascii="Arial Narrow" w:eastAsia="Times New Roman" w:hAnsi="Arial Narrow"/>
                <w:sz w:val="20"/>
                <w:szCs w:val="20"/>
                <w:lang w:eastAsia="en-GB"/>
              </w:rPr>
              <w:t>UNICEF</w:t>
            </w:r>
          </w:p>
        </w:tc>
        <w:tc>
          <w:tcPr>
            <w:tcW w:w="953" w:type="dxa"/>
            <w:tcBorders>
              <w:top w:val="nil"/>
              <w:left w:val="nil"/>
              <w:bottom w:val="single" w:sz="4" w:space="0" w:color="auto"/>
              <w:right w:val="single" w:sz="4" w:space="0" w:color="auto"/>
            </w:tcBorders>
            <w:shd w:val="clear" w:color="auto" w:fill="auto"/>
            <w:noWrap/>
            <w:hideMark/>
          </w:tcPr>
          <w:p w14:paraId="58F0AE90"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50,234 </w:t>
            </w:r>
          </w:p>
        </w:tc>
        <w:tc>
          <w:tcPr>
            <w:tcW w:w="1037" w:type="dxa"/>
            <w:gridSpan w:val="3"/>
            <w:tcBorders>
              <w:top w:val="nil"/>
              <w:left w:val="nil"/>
              <w:bottom w:val="single" w:sz="4" w:space="0" w:color="auto"/>
              <w:right w:val="single" w:sz="4" w:space="0" w:color="auto"/>
            </w:tcBorders>
            <w:shd w:val="clear" w:color="auto" w:fill="auto"/>
            <w:noWrap/>
            <w:hideMark/>
          </w:tcPr>
          <w:p w14:paraId="2465B310"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w:t>
            </w:r>
          </w:p>
        </w:tc>
        <w:tc>
          <w:tcPr>
            <w:tcW w:w="986" w:type="dxa"/>
            <w:tcBorders>
              <w:top w:val="nil"/>
              <w:left w:val="nil"/>
              <w:bottom w:val="single" w:sz="4" w:space="0" w:color="auto"/>
              <w:right w:val="single" w:sz="4" w:space="0" w:color="auto"/>
            </w:tcBorders>
            <w:shd w:val="clear" w:color="auto" w:fill="auto"/>
            <w:noWrap/>
            <w:hideMark/>
          </w:tcPr>
          <w:p w14:paraId="6C93441A"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43,334 </w:t>
            </w:r>
          </w:p>
        </w:tc>
        <w:tc>
          <w:tcPr>
            <w:tcW w:w="1134" w:type="dxa"/>
            <w:tcBorders>
              <w:top w:val="nil"/>
              <w:left w:val="nil"/>
              <w:bottom w:val="single" w:sz="4" w:space="0" w:color="auto"/>
              <w:right w:val="single" w:sz="8" w:space="0" w:color="auto"/>
            </w:tcBorders>
            <w:shd w:val="clear" w:color="auto" w:fill="auto"/>
            <w:hideMark/>
          </w:tcPr>
          <w:p w14:paraId="68A88ABC"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93,568 </w:t>
            </w:r>
          </w:p>
        </w:tc>
      </w:tr>
      <w:tr w:rsidR="00683F4A" w:rsidRPr="007D425D" w14:paraId="5071F820" w14:textId="77777777" w:rsidTr="009657E1">
        <w:trPr>
          <w:trHeight w:val="168"/>
          <w:jc w:val="center"/>
        </w:trPr>
        <w:tc>
          <w:tcPr>
            <w:tcW w:w="1570" w:type="dxa"/>
            <w:gridSpan w:val="2"/>
            <w:vMerge/>
            <w:tcBorders>
              <w:top w:val="single" w:sz="4" w:space="0" w:color="auto"/>
              <w:left w:val="single" w:sz="8" w:space="0" w:color="auto"/>
              <w:bottom w:val="single" w:sz="4" w:space="0" w:color="000000"/>
              <w:right w:val="single" w:sz="4" w:space="0" w:color="auto"/>
            </w:tcBorders>
            <w:vAlign w:val="center"/>
            <w:hideMark/>
          </w:tcPr>
          <w:p w14:paraId="23C26DF8" w14:textId="77777777" w:rsidR="00683F4A" w:rsidRPr="003B552F" w:rsidRDefault="00683F4A" w:rsidP="009657E1">
            <w:pPr>
              <w:spacing w:after="0"/>
              <w:jc w:val="left"/>
              <w:rPr>
                <w:rFonts w:ascii="Arial Narrow" w:eastAsia="Times New Roman" w:hAnsi="Arial Narrow"/>
                <w:b/>
                <w:bCs/>
                <w:sz w:val="20"/>
                <w:szCs w:val="20"/>
                <w:lang w:eastAsia="en-GB"/>
              </w:rPr>
            </w:pPr>
          </w:p>
        </w:tc>
        <w:tc>
          <w:tcPr>
            <w:tcW w:w="7842" w:type="dxa"/>
            <w:gridSpan w:val="5"/>
            <w:tcBorders>
              <w:top w:val="single" w:sz="4" w:space="0" w:color="auto"/>
              <w:left w:val="nil"/>
              <w:bottom w:val="single" w:sz="4" w:space="0" w:color="auto"/>
              <w:right w:val="single" w:sz="4" w:space="0" w:color="000000"/>
            </w:tcBorders>
            <w:shd w:val="clear" w:color="auto" w:fill="auto"/>
            <w:hideMark/>
          </w:tcPr>
          <w:p w14:paraId="7501937D" w14:textId="77777777" w:rsidR="00683F4A" w:rsidRPr="00CD56B9" w:rsidRDefault="00683F4A" w:rsidP="009657E1">
            <w:pPr>
              <w:spacing w:after="0"/>
              <w:jc w:val="left"/>
              <w:rPr>
                <w:rFonts w:ascii="Arial Narrow" w:eastAsia="Times New Roman" w:hAnsi="Arial Narrow"/>
                <w:sz w:val="20"/>
                <w:szCs w:val="20"/>
                <w:lang w:val="en-US" w:eastAsia="en-GB"/>
              </w:rPr>
            </w:pPr>
            <w:r w:rsidRPr="00CD56B9">
              <w:rPr>
                <w:rFonts w:ascii="Arial Narrow" w:eastAsia="Times New Roman" w:hAnsi="Arial Narrow"/>
                <w:sz w:val="20"/>
                <w:szCs w:val="20"/>
                <w:lang w:val="en-US" w:eastAsia="en-GB"/>
              </w:rPr>
              <w:t>E:  Initial LED investments made in each of the 2 pilot districts (UNCDF).</w:t>
            </w:r>
          </w:p>
        </w:tc>
        <w:tc>
          <w:tcPr>
            <w:tcW w:w="1230" w:type="dxa"/>
            <w:tcBorders>
              <w:top w:val="nil"/>
              <w:left w:val="nil"/>
              <w:bottom w:val="single" w:sz="4" w:space="0" w:color="auto"/>
              <w:right w:val="single" w:sz="4" w:space="0" w:color="auto"/>
            </w:tcBorders>
            <w:shd w:val="clear" w:color="auto" w:fill="auto"/>
            <w:hideMark/>
          </w:tcPr>
          <w:p w14:paraId="58841ECA" w14:textId="77777777" w:rsidR="00683F4A" w:rsidRPr="003B552F" w:rsidRDefault="00683F4A" w:rsidP="009657E1">
            <w:pPr>
              <w:spacing w:after="0"/>
              <w:jc w:val="left"/>
              <w:rPr>
                <w:rFonts w:ascii="Arial Narrow" w:eastAsia="Times New Roman" w:hAnsi="Arial Narrow"/>
                <w:sz w:val="20"/>
                <w:szCs w:val="20"/>
                <w:lang w:eastAsia="en-GB"/>
              </w:rPr>
            </w:pPr>
            <w:r w:rsidRPr="003B552F">
              <w:rPr>
                <w:rFonts w:ascii="Arial Narrow" w:eastAsia="Times New Roman" w:hAnsi="Arial Narrow"/>
                <w:sz w:val="20"/>
                <w:szCs w:val="20"/>
                <w:lang w:eastAsia="en-GB"/>
              </w:rPr>
              <w:t>UNCDF</w:t>
            </w:r>
          </w:p>
        </w:tc>
        <w:tc>
          <w:tcPr>
            <w:tcW w:w="953" w:type="dxa"/>
            <w:tcBorders>
              <w:top w:val="nil"/>
              <w:left w:val="nil"/>
              <w:bottom w:val="single" w:sz="4" w:space="0" w:color="auto"/>
              <w:right w:val="single" w:sz="4" w:space="0" w:color="auto"/>
            </w:tcBorders>
            <w:shd w:val="clear" w:color="auto" w:fill="auto"/>
            <w:hideMark/>
          </w:tcPr>
          <w:p w14:paraId="5F9E194D"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150,000 </w:t>
            </w:r>
          </w:p>
        </w:tc>
        <w:tc>
          <w:tcPr>
            <w:tcW w:w="1037" w:type="dxa"/>
            <w:gridSpan w:val="3"/>
            <w:tcBorders>
              <w:top w:val="nil"/>
              <w:left w:val="nil"/>
              <w:bottom w:val="single" w:sz="4" w:space="0" w:color="auto"/>
              <w:right w:val="single" w:sz="4" w:space="0" w:color="auto"/>
            </w:tcBorders>
            <w:shd w:val="clear" w:color="auto" w:fill="auto"/>
            <w:hideMark/>
          </w:tcPr>
          <w:p w14:paraId="4F3D8AB8"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w:t>
            </w:r>
          </w:p>
        </w:tc>
        <w:tc>
          <w:tcPr>
            <w:tcW w:w="986" w:type="dxa"/>
            <w:tcBorders>
              <w:top w:val="nil"/>
              <w:left w:val="nil"/>
              <w:bottom w:val="single" w:sz="4" w:space="0" w:color="auto"/>
              <w:right w:val="single" w:sz="4" w:space="0" w:color="auto"/>
            </w:tcBorders>
            <w:shd w:val="clear" w:color="auto" w:fill="auto"/>
            <w:hideMark/>
          </w:tcPr>
          <w:p w14:paraId="06FF9654"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350,000 </w:t>
            </w:r>
          </w:p>
        </w:tc>
        <w:tc>
          <w:tcPr>
            <w:tcW w:w="1134" w:type="dxa"/>
            <w:tcBorders>
              <w:top w:val="nil"/>
              <w:left w:val="nil"/>
              <w:bottom w:val="single" w:sz="4" w:space="0" w:color="auto"/>
              <w:right w:val="single" w:sz="8" w:space="0" w:color="auto"/>
            </w:tcBorders>
            <w:shd w:val="clear" w:color="auto" w:fill="auto"/>
            <w:hideMark/>
          </w:tcPr>
          <w:p w14:paraId="1636D40F"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500,000 </w:t>
            </w:r>
          </w:p>
        </w:tc>
      </w:tr>
      <w:tr w:rsidR="00683F4A" w:rsidRPr="007D425D" w14:paraId="3F42643E" w14:textId="77777777" w:rsidTr="009657E1">
        <w:trPr>
          <w:trHeight w:val="168"/>
          <w:jc w:val="center"/>
        </w:trPr>
        <w:tc>
          <w:tcPr>
            <w:tcW w:w="1570" w:type="dxa"/>
            <w:gridSpan w:val="2"/>
            <w:vMerge/>
            <w:tcBorders>
              <w:top w:val="single" w:sz="4" w:space="0" w:color="auto"/>
              <w:left w:val="single" w:sz="8" w:space="0" w:color="auto"/>
              <w:bottom w:val="single" w:sz="4" w:space="0" w:color="000000"/>
              <w:right w:val="single" w:sz="4" w:space="0" w:color="auto"/>
            </w:tcBorders>
            <w:vAlign w:val="center"/>
            <w:hideMark/>
          </w:tcPr>
          <w:p w14:paraId="3F48B1B3" w14:textId="77777777" w:rsidR="00683F4A" w:rsidRPr="003B552F" w:rsidRDefault="00683F4A" w:rsidP="009657E1">
            <w:pPr>
              <w:spacing w:after="0"/>
              <w:jc w:val="left"/>
              <w:rPr>
                <w:rFonts w:ascii="Arial Narrow" w:eastAsia="Times New Roman" w:hAnsi="Arial Narrow"/>
                <w:b/>
                <w:bCs/>
                <w:sz w:val="20"/>
                <w:szCs w:val="20"/>
                <w:lang w:eastAsia="en-GB"/>
              </w:rPr>
            </w:pPr>
          </w:p>
        </w:tc>
        <w:tc>
          <w:tcPr>
            <w:tcW w:w="7842" w:type="dxa"/>
            <w:gridSpan w:val="5"/>
            <w:tcBorders>
              <w:top w:val="single" w:sz="4" w:space="0" w:color="auto"/>
              <w:left w:val="nil"/>
              <w:bottom w:val="single" w:sz="4" w:space="0" w:color="auto"/>
              <w:right w:val="single" w:sz="4" w:space="0" w:color="000000"/>
            </w:tcBorders>
            <w:shd w:val="clear" w:color="auto" w:fill="auto"/>
            <w:hideMark/>
          </w:tcPr>
          <w:p w14:paraId="62D60434" w14:textId="77777777" w:rsidR="00683F4A" w:rsidRPr="00CD56B9" w:rsidRDefault="00683F4A" w:rsidP="009657E1">
            <w:pPr>
              <w:spacing w:after="0"/>
              <w:jc w:val="left"/>
              <w:rPr>
                <w:rFonts w:ascii="Arial Narrow" w:eastAsia="Times New Roman" w:hAnsi="Arial Narrow"/>
                <w:sz w:val="20"/>
                <w:szCs w:val="20"/>
                <w:lang w:val="en-US" w:eastAsia="en-GB"/>
              </w:rPr>
            </w:pPr>
            <w:r w:rsidRPr="00CD56B9">
              <w:rPr>
                <w:rFonts w:ascii="Arial Narrow" w:eastAsia="Times New Roman" w:hAnsi="Arial Narrow"/>
                <w:sz w:val="20"/>
                <w:szCs w:val="20"/>
                <w:lang w:val="en-US" w:eastAsia="en-GB"/>
              </w:rPr>
              <w:t>F: Training in integrated planning, coordination and implementation in accordance with IRDS and decentralization programme carried out in 8 districts (UNDP).</w:t>
            </w:r>
          </w:p>
        </w:tc>
        <w:tc>
          <w:tcPr>
            <w:tcW w:w="1230" w:type="dxa"/>
            <w:tcBorders>
              <w:top w:val="nil"/>
              <w:left w:val="nil"/>
              <w:bottom w:val="single" w:sz="4" w:space="0" w:color="auto"/>
              <w:right w:val="single" w:sz="4" w:space="0" w:color="auto"/>
            </w:tcBorders>
            <w:shd w:val="clear" w:color="auto" w:fill="auto"/>
            <w:hideMark/>
          </w:tcPr>
          <w:p w14:paraId="476C3979" w14:textId="77777777" w:rsidR="00683F4A" w:rsidRPr="003B552F" w:rsidRDefault="00683F4A" w:rsidP="009657E1">
            <w:pPr>
              <w:spacing w:after="0"/>
              <w:jc w:val="left"/>
              <w:rPr>
                <w:rFonts w:ascii="Arial Narrow" w:eastAsia="Times New Roman" w:hAnsi="Arial Narrow"/>
                <w:sz w:val="20"/>
                <w:szCs w:val="20"/>
                <w:lang w:eastAsia="en-GB"/>
              </w:rPr>
            </w:pPr>
            <w:r w:rsidRPr="003B552F">
              <w:rPr>
                <w:rFonts w:ascii="Arial Narrow" w:eastAsia="Times New Roman" w:hAnsi="Arial Narrow"/>
                <w:sz w:val="20"/>
                <w:szCs w:val="20"/>
                <w:lang w:eastAsia="en-GB"/>
              </w:rPr>
              <w:t>UNDP</w:t>
            </w:r>
          </w:p>
        </w:tc>
        <w:tc>
          <w:tcPr>
            <w:tcW w:w="953" w:type="dxa"/>
            <w:tcBorders>
              <w:top w:val="nil"/>
              <w:left w:val="nil"/>
              <w:bottom w:val="single" w:sz="4" w:space="0" w:color="auto"/>
              <w:right w:val="single" w:sz="4" w:space="0" w:color="auto"/>
            </w:tcBorders>
            <w:shd w:val="clear" w:color="auto" w:fill="auto"/>
            <w:hideMark/>
          </w:tcPr>
          <w:p w14:paraId="1DE5B718"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200,000 </w:t>
            </w:r>
          </w:p>
        </w:tc>
        <w:tc>
          <w:tcPr>
            <w:tcW w:w="1037" w:type="dxa"/>
            <w:gridSpan w:val="3"/>
            <w:tcBorders>
              <w:top w:val="nil"/>
              <w:left w:val="nil"/>
              <w:bottom w:val="single" w:sz="4" w:space="0" w:color="auto"/>
              <w:right w:val="single" w:sz="4" w:space="0" w:color="auto"/>
            </w:tcBorders>
            <w:shd w:val="clear" w:color="auto" w:fill="auto"/>
            <w:hideMark/>
          </w:tcPr>
          <w:p w14:paraId="10ADC8EC"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600,000 </w:t>
            </w:r>
          </w:p>
        </w:tc>
        <w:tc>
          <w:tcPr>
            <w:tcW w:w="986" w:type="dxa"/>
            <w:tcBorders>
              <w:top w:val="nil"/>
              <w:left w:val="nil"/>
              <w:bottom w:val="single" w:sz="4" w:space="0" w:color="auto"/>
              <w:right w:val="single" w:sz="4" w:space="0" w:color="auto"/>
            </w:tcBorders>
            <w:shd w:val="clear" w:color="auto" w:fill="auto"/>
            <w:hideMark/>
          </w:tcPr>
          <w:p w14:paraId="7601B7DC"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500,000 </w:t>
            </w:r>
          </w:p>
        </w:tc>
        <w:tc>
          <w:tcPr>
            <w:tcW w:w="1134" w:type="dxa"/>
            <w:tcBorders>
              <w:top w:val="nil"/>
              <w:left w:val="nil"/>
              <w:bottom w:val="single" w:sz="4" w:space="0" w:color="auto"/>
              <w:right w:val="single" w:sz="8" w:space="0" w:color="auto"/>
            </w:tcBorders>
            <w:shd w:val="clear" w:color="auto" w:fill="auto"/>
            <w:hideMark/>
          </w:tcPr>
          <w:p w14:paraId="3AF7609E"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1,300,000 </w:t>
            </w:r>
          </w:p>
        </w:tc>
      </w:tr>
      <w:tr w:rsidR="00683F4A" w:rsidRPr="007D425D" w14:paraId="7F064485" w14:textId="77777777" w:rsidTr="009657E1">
        <w:trPr>
          <w:trHeight w:val="179"/>
          <w:jc w:val="center"/>
        </w:trPr>
        <w:tc>
          <w:tcPr>
            <w:tcW w:w="1570" w:type="dxa"/>
            <w:gridSpan w:val="2"/>
            <w:vMerge/>
            <w:tcBorders>
              <w:top w:val="single" w:sz="4" w:space="0" w:color="auto"/>
              <w:left w:val="single" w:sz="8" w:space="0" w:color="auto"/>
              <w:bottom w:val="single" w:sz="4" w:space="0" w:color="000000"/>
              <w:right w:val="single" w:sz="4" w:space="0" w:color="auto"/>
            </w:tcBorders>
            <w:vAlign w:val="center"/>
            <w:hideMark/>
          </w:tcPr>
          <w:p w14:paraId="710C6601" w14:textId="77777777" w:rsidR="00683F4A" w:rsidRPr="003B552F" w:rsidRDefault="00683F4A" w:rsidP="009657E1">
            <w:pPr>
              <w:spacing w:after="0"/>
              <w:jc w:val="left"/>
              <w:rPr>
                <w:rFonts w:ascii="Arial Narrow" w:eastAsia="Times New Roman" w:hAnsi="Arial Narrow"/>
                <w:b/>
                <w:bCs/>
                <w:sz w:val="20"/>
                <w:szCs w:val="20"/>
                <w:lang w:eastAsia="en-GB"/>
              </w:rPr>
            </w:pPr>
          </w:p>
        </w:tc>
        <w:tc>
          <w:tcPr>
            <w:tcW w:w="7842" w:type="dxa"/>
            <w:gridSpan w:val="5"/>
            <w:tcBorders>
              <w:top w:val="single" w:sz="4" w:space="0" w:color="auto"/>
              <w:left w:val="nil"/>
              <w:bottom w:val="nil"/>
              <w:right w:val="single" w:sz="4" w:space="0" w:color="000000"/>
            </w:tcBorders>
            <w:shd w:val="clear" w:color="auto" w:fill="auto"/>
            <w:hideMark/>
          </w:tcPr>
          <w:p w14:paraId="03B21925" w14:textId="77777777" w:rsidR="00683F4A" w:rsidRPr="00CD56B9" w:rsidRDefault="00683F4A" w:rsidP="009657E1">
            <w:pPr>
              <w:spacing w:after="0"/>
              <w:jc w:val="left"/>
              <w:rPr>
                <w:rFonts w:ascii="Arial Narrow" w:eastAsia="Times New Roman" w:hAnsi="Arial Narrow"/>
                <w:sz w:val="20"/>
                <w:szCs w:val="20"/>
                <w:lang w:val="en-US" w:eastAsia="en-GB"/>
              </w:rPr>
            </w:pPr>
            <w:r w:rsidRPr="00CD56B9">
              <w:rPr>
                <w:rFonts w:ascii="Arial Narrow" w:eastAsia="Times New Roman" w:hAnsi="Arial Narrow"/>
                <w:sz w:val="20"/>
                <w:szCs w:val="20"/>
                <w:lang w:val="en-US" w:eastAsia="en-GB"/>
              </w:rPr>
              <w:t>G: IRD Policy and Programme in place (UNDP)</w:t>
            </w:r>
          </w:p>
        </w:tc>
        <w:tc>
          <w:tcPr>
            <w:tcW w:w="1230" w:type="dxa"/>
            <w:tcBorders>
              <w:top w:val="nil"/>
              <w:left w:val="nil"/>
              <w:bottom w:val="nil"/>
              <w:right w:val="single" w:sz="4" w:space="0" w:color="auto"/>
            </w:tcBorders>
            <w:shd w:val="clear" w:color="auto" w:fill="auto"/>
            <w:hideMark/>
          </w:tcPr>
          <w:p w14:paraId="627B5FC1" w14:textId="77777777" w:rsidR="00683F4A" w:rsidRPr="003B552F" w:rsidRDefault="00683F4A" w:rsidP="009657E1">
            <w:pPr>
              <w:spacing w:after="0"/>
              <w:jc w:val="left"/>
              <w:rPr>
                <w:rFonts w:ascii="Arial Narrow" w:eastAsia="Times New Roman" w:hAnsi="Arial Narrow"/>
                <w:sz w:val="20"/>
                <w:szCs w:val="20"/>
                <w:lang w:eastAsia="en-GB"/>
              </w:rPr>
            </w:pPr>
            <w:r w:rsidRPr="003B552F">
              <w:rPr>
                <w:rFonts w:ascii="Arial Narrow" w:eastAsia="Times New Roman" w:hAnsi="Arial Narrow"/>
                <w:sz w:val="20"/>
                <w:szCs w:val="20"/>
                <w:lang w:eastAsia="en-GB"/>
              </w:rPr>
              <w:t>UNDP</w:t>
            </w:r>
          </w:p>
        </w:tc>
        <w:tc>
          <w:tcPr>
            <w:tcW w:w="953" w:type="dxa"/>
            <w:tcBorders>
              <w:top w:val="nil"/>
              <w:left w:val="nil"/>
              <w:bottom w:val="nil"/>
              <w:right w:val="single" w:sz="4" w:space="0" w:color="auto"/>
            </w:tcBorders>
            <w:shd w:val="clear" w:color="auto" w:fill="auto"/>
            <w:hideMark/>
          </w:tcPr>
          <w:p w14:paraId="32155B9C"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200,000 </w:t>
            </w:r>
          </w:p>
        </w:tc>
        <w:tc>
          <w:tcPr>
            <w:tcW w:w="1037" w:type="dxa"/>
            <w:gridSpan w:val="3"/>
            <w:tcBorders>
              <w:top w:val="nil"/>
              <w:left w:val="nil"/>
              <w:bottom w:val="nil"/>
              <w:right w:val="single" w:sz="4" w:space="0" w:color="auto"/>
            </w:tcBorders>
            <w:shd w:val="clear" w:color="auto" w:fill="auto"/>
            <w:hideMark/>
          </w:tcPr>
          <w:p w14:paraId="78684A1B"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100,000 </w:t>
            </w:r>
          </w:p>
        </w:tc>
        <w:tc>
          <w:tcPr>
            <w:tcW w:w="986" w:type="dxa"/>
            <w:tcBorders>
              <w:top w:val="nil"/>
              <w:left w:val="nil"/>
              <w:bottom w:val="nil"/>
              <w:right w:val="single" w:sz="4" w:space="0" w:color="auto"/>
            </w:tcBorders>
            <w:shd w:val="clear" w:color="auto" w:fill="auto"/>
            <w:hideMark/>
          </w:tcPr>
          <w:p w14:paraId="53EFF73A"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300,000 </w:t>
            </w:r>
          </w:p>
        </w:tc>
        <w:tc>
          <w:tcPr>
            <w:tcW w:w="1134" w:type="dxa"/>
            <w:tcBorders>
              <w:top w:val="nil"/>
              <w:left w:val="nil"/>
              <w:bottom w:val="nil"/>
              <w:right w:val="single" w:sz="8" w:space="0" w:color="auto"/>
            </w:tcBorders>
            <w:shd w:val="clear" w:color="auto" w:fill="auto"/>
            <w:hideMark/>
          </w:tcPr>
          <w:p w14:paraId="37EC4B01"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600,000 </w:t>
            </w:r>
          </w:p>
        </w:tc>
      </w:tr>
      <w:tr w:rsidR="00683F4A" w:rsidRPr="007D425D" w14:paraId="74C5B3B5" w14:textId="77777777" w:rsidTr="009657E1">
        <w:trPr>
          <w:trHeight w:val="179"/>
          <w:jc w:val="center"/>
        </w:trPr>
        <w:tc>
          <w:tcPr>
            <w:tcW w:w="1570" w:type="dxa"/>
            <w:gridSpan w:val="2"/>
            <w:vMerge/>
            <w:tcBorders>
              <w:top w:val="single" w:sz="4" w:space="0" w:color="auto"/>
              <w:left w:val="single" w:sz="8" w:space="0" w:color="auto"/>
              <w:bottom w:val="single" w:sz="4" w:space="0" w:color="000000"/>
              <w:right w:val="single" w:sz="4" w:space="0" w:color="auto"/>
            </w:tcBorders>
            <w:vAlign w:val="center"/>
            <w:hideMark/>
          </w:tcPr>
          <w:p w14:paraId="2E7F9662" w14:textId="77777777" w:rsidR="00683F4A" w:rsidRPr="003B552F" w:rsidRDefault="00683F4A" w:rsidP="009657E1">
            <w:pPr>
              <w:spacing w:after="0"/>
              <w:jc w:val="left"/>
              <w:rPr>
                <w:rFonts w:ascii="Arial Narrow" w:eastAsia="Times New Roman" w:hAnsi="Arial Narrow"/>
                <w:b/>
                <w:bCs/>
                <w:sz w:val="20"/>
                <w:szCs w:val="20"/>
                <w:lang w:eastAsia="en-GB"/>
              </w:rPr>
            </w:pPr>
          </w:p>
        </w:tc>
        <w:tc>
          <w:tcPr>
            <w:tcW w:w="7842" w:type="dxa"/>
            <w:gridSpan w:val="5"/>
            <w:tcBorders>
              <w:top w:val="single" w:sz="8" w:space="0" w:color="auto"/>
              <w:left w:val="nil"/>
              <w:bottom w:val="single" w:sz="8" w:space="0" w:color="auto"/>
              <w:right w:val="single" w:sz="4" w:space="0" w:color="000000"/>
            </w:tcBorders>
            <w:shd w:val="clear" w:color="auto" w:fill="auto"/>
            <w:hideMark/>
          </w:tcPr>
          <w:p w14:paraId="6FB8EF03" w14:textId="322BB8DA" w:rsidR="00683F4A" w:rsidRPr="00CD56B9" w:rsidRDefault="00683F4A" w:rsidP="009657E1">
            <w:pPr>
              <w:spacing w:after="0"/>
              <w:jc w:val="left"/>
              <w:rPr>
                <w:rFonts w:ascii="Arial Narrow" w:eastAsia="Times New Roman" w:hAnsi="Arial Narrow"/>
                <w:b/>
                <w:bCs/>
                <w:color w:val="FF0000"/>
                <w:sz w:val="20"/>
                <w:szCs w:val="20"/>
                <w:lang w:val="en-US" w:eastAsia="en-GB"/>
              </w:rPr>
            </w:pPr>
            <w:r w:rsidRPr="00CD56B9">
              <w:rPr>
                <w:rFonts w:ascii="Arial Narrow" w:eastAsia="Times New Roman" w:hAnsi="Arial Narrow"/>
                <w:b/>
                <w:bCs/>
                <w:color w:val="FF0000"/>
                <w:sz w:val="20"/>
                <w:szCs w:val="20"/>
                <w:lang w:val="en-US" w:eastAsia="en-GB"/>
              </w:rPr>
              <w:t xml:space="preserve">4.1.3-Total Budget for </w:t>
            </w:r>
            <w:r w:rsidR="003F4020" w:rsidRPr="00CD56B9">
              <w:rPr>
                <w:rFonts w:ascii="Arial Narrow" w:eastAsia="Times New Roman" w:hAnsi="Arial Narrow"/>
                <w:b/>
                <w:bCs/>
                <w:color w:val="FF0000"/>
                <w:sz w:val="20"/>
                <w:szCs w:val="20"/>
                <w:lang w:val="en-US" w:eastAsia="en-GB"/>
              </w:rPr>
              <w:t>Annualized</w:t>
            </w:r>
            <w:r w:rsidRPr="00CD56B9">
              <w:rPr>
                <w:rFonts w:ascii="Arial Narrow" w:eastAsia="Times New Roman" w:hAnsi="Arial Narrow"/>
                <w:b/>
                <w:bCs/>
                <w:color w:val="FF0000"/>
                <w:sz w:val="20"/>
                <w:szCs w:val="20"/>
                <w:lang w:val="en-US" w:eastAsia="en-GB"/>
              </w:rPr>
              <w:t xml:space="preserve"> Key Results for 2013</w:t>
            </w:r>
          </w:p>
        </w:tc>
        <w:tc>
          <w:tcPr>
            <w:tcW w:w="1230" w:type="dxa"/>
            <w:tcBorders>
              <w:top w:val="single" w:sz="8" w:space="0" w:color="auto"/>
              <w:left w:val="nil"/>
              <w:bottom w:val="single" w:sz="8" w:space="0" w:color="auto"/>
              <w:right w:val="single" w:sz="4" w:space="0" w:color="auto"/>
            </w:tcBorders>
            <w:shd w:val="clear" w:color="auto" w:fill="auto"/>
            <w:hideMark/>
          </w:tcPr>
          <w:p w14:paraId="24B635E3" w14:textId="77777777" w:rsidR="00683F4A" w:rsidRPr="00CD56B9" w:rsidRDefault="00683F4A" w:rsidP="009657E1">
            <w:pPr>
              <w:spacing w:after="0"/>
              <w:jc w:val="left"/>
              <w:rPr>
                <w:rFonts w:ascii="Arial Narrow" w:eastAsia="Times New Roman" w:hAnsi="Arial Narrow"/>
                <w:sz w:val="20"/>
                <w:szCs w:val="20"/>
                <w:lang w:val="en-US" w:eastAsia="en-GB"/>
              </w:rPr>
            </w:pPr>
            <w:r w:rsidRPr="00CD56B9">
              <w:rPr>
                <w:rFonts w:ascii="Arial Narrow" w:eastAsia="Times New Roman" w:hAnsi="Arial Narrow"/>
                <w:sz w:val="20"/>
                <w:szCs w:val="20"/>
                <w:lang w:val="en-US" w:eastAsia="en-GB"/>
              </w:rPr>
              <w:t> </w:t>
            </w:r>
          </w:p>
        </w:tc>
        <w:tc>
          <w:tcPr>
            <w:tcW w:w="953" w:type="dxa"/>
            <w:tcBorders>
              <w:top w:val="single" w:sz="8" w:space="0" w:color="auto"/>
              <w:left w:val="nil"/>
              <w:bottom w:val="single" w:sz="8" w:space="0" w:color="auto"/>
              <w:right w:val="single" w:sz="4" w:space="0" w:color="auto"/>
            </w:tcBorders>
            <w:shd w:val="clear" w:color="auto" w:fill="auto"/>
            <w:hideMark/>
          </w:tcPr>
          <w:p w14:paraId="7D3DF93D" w14:textId="77777777" w:rsidR="00683F4A" w:rsidRPr="003B552F" w:rsidRDefault="00683F4A" w:rsidP="009657E1">
            <w:pPr>
              <w:spacing w:after="0"/>
              <w:jc w:val="right"/>
              <w:rPr>
                <w:rFonts w:ascii="Arial Narrow" w:eastAsia="Times New Roman" w:hAnsi="Arial Narrow"/>
                <w:b/>
                <w:bCs/>
                <w:color w:val="FF0000"/>
                <w:sz w:val="20"/>
                <w:szCs w:val="20"/>
                <w:lang w:eastAsia="en-GB"/>
              </w:rPr>
            </w:pPr>
            <w:r w:rsidRPr="00CD56B9">
              <w:rPr>
                <w:rFonts w:ascii="Arial Narrow" w:eastAsia="Times New Roman" w:hAnsi="Arial Narrow"/>
                <w:b/>
                <w:bCs/>
                <w:color w:val="FF0000"/>
                <w:sz w:val="20"/>
                <w:szCs w:val="20"/>
                <w:lang w:val="en-US" w:eastAsia="en-GB"/>
              </w:rPr>
              <w:t xml:space="preserve">           </w:t>
            </w:r>
            <w:r w:rsidRPr="003B552F">
              <w:rPr>
                <w:rFonts w:ascii="Arial Narrow" w:eastAsia="Times New Roman" w:hAnsi="Arial Narrow"/>
                <w:b/>
                <w:bCs/>
                <w:color w:val="FF0000"/>
                <w:sz w:val="20"/>
                <w:szCs w:val="20"/>
                <w:lang w:eastAsia="en-GB"/>
              </w:rPr>
              <w:t xml:space="preserve">600,234 </w:t>
            </w:r>
          </w:p>
        </w:tc>
        <w:tc>
          <w:tcPr>
            <w:tcW w:w="1037" w:type="dxa"/>
            <w:gridSpan w:val="3"/>
            <w:tcBorders>
              <w:top w:val="single" w:sz="8" w:space="0" w:color="auto"/>
              <w:left w:val="nil"/>
              <w:bottom w:val="single" w:sz="8" w:space="0" w:color="auto"/>
              <w:right w:val="single" w:sz="4" w:space="0" w:color="auto"/>
            </w:tcBorders>
            <w:shd w:val="clear" w:color="auto" w:fill="auto"/>
            <w:hideMark/>
          </w:tcPr>
          <w:p w14:paraId="4D8F86B4" w14:textId="77777777" w:rsidR="00683F4A" w:rsidRPr="003B552F" w:rsidRDefault="00683F4A" w:rsidP="009657E1">
            <w:pPr>
              <w:spacing w:after="0"/>
              <w:jc w:val="right"/>
              <w:rPr>
                <w:rFonts w:ascii="Arial Narrow" w:eastAsia="Times New Roman" w:hAnsi="Arial Narrow"/>
                <w:b/>
                <w:bCs/>
                <w:color w:val="FF0000"/>
                <w:sz w:val="20"/>
                <w:szCs w:val="20"/>
                <w:lang w:eastAsia="en-GB"/>
              </w:rPr>
            </w:pPr>
            <w:r w:rsidRPr="003B552F">
              <w:rPr>
                <w:rFonts w:ascii="Arial Narrow" w:eastAsia="Times New Roman" w:hAnsi="Arial Narrow"/>
                <w:b/>
                <w:bCs/>
                <w:color w:val="FF0000"/>
                <w:sz w:val="20"/>
                <w:szCs w:val="20"/>
                <w:lang w:eastAsia="en-GB"/>
              </w:rPr>
              <w:t xml:space="preserve">            700,000 </w:t>
            </w:r>
          </w:p>
        </w:tc>
        <w:tc>
          <w:tcPr>
            <w:tcW w:w="986" w:type="dxa"/>
            <w:tcBorders>
              <w:top w:val="single" w:sz="8" w:space="0" w:color="auto"/>
              <w:left w:val="nil"/>
              <w:bottom w:val="single" w:sz="8" w:space="0" w:color="auto"/>
              <w:right w:val="single" w:sz="4" w:space="0" w:color="auto"/>
            </w:tcBorders>
            <w:shd w:val="clear" w:color="auto" w:fill="auto"/>
            <w:hideMark/>
          </w:tcPr>
          <w:p w14:paraId="162F96D0" w14:textId="77777777" w:rsidR="00683F4A" w:rsidRPr="003B552F" w:rsidRDefault="00683F4A" w:rsidP="009657E1">
            <w:pPr>
              <w:spacing w:after="0"/>
              <w:jc w:val="right"/>
              <w:rPr>
                <w:rFonts w:ascii="Arial Narrow" w:eastAsia="Times New Roman" w:hAnsi="Arial Narrow"/>
                <w:b/>
                <w:bCs/>
                <w:color w:val="FF0000"/>
                <w:sz w:val="20"/>
                <w:szCs w:val="20"/>
                <w:lang w:eastAsia="en-GB"/>
              </w:rPr>
            </w:pPr>
            <w:r w:rsidRPr="003B552F">
              <w:rPr>
                <w:rFonts w:ascii="Arial Narrow" w:eastAsia="Times New Roman" w:hAnsi="Arial Narrow"/>
                <w:b/>
                <w:bCs/>
                <w:color w:val="FF0000"/>
                <w:sz w:val="20"/>
                <w:szCs w:val="20"/>
                <w:lang w:eastAsia="en-GB"/>
              </w:rPr>
              <w:t xml:space="preserve">        1,193,334 </w:t>
            </w:r>
          </w:p>
        </w:tc>
        <w:tc>
          <w:tcPr>
            <w:tcW w:w="1134" w:type="dxa"/>
            <w:tcBorders>
              <w:top w:val="single" w:sz="8" w:space="0" w:color="auto"/>
              <w:left w:val="nil"/>
              <w:bottom w:val="single" w:sz="8" w:space="0" w:color="auto"/>
              <w:right w:val="single" w:sz="8" w:space="0" w:color="auto"/>
            </w:tcBorders>
            <w:shd w:val="clear" w:color="auto" w:fill="auto"/>
            <w:hideMark/>
          </w:tcPr>
          <w:p w14:paraId="3AB960DC" w14:textId="77777777" w:rsidR="00683F4A" w:rsidRPr="003B552F" w:rsidRDefault="00683F4A" w:rsidP="009657E1">
            <w:pPr>
              <w:spacing w:after="0"/>
              <w:jc w:val="right"/>
              <w:rPr>
                <w:rFonts w:ascii="Arial Narrow" w:eastAsia="Times New Roman" w:hAnsi="Arial Narrow"/>
                <w:b/>
                <w:bCs/>
                <w:color w:val="FF0000"/>
                <w:sz w:val="20"/>
                <w:szCs w:val="20"/>
                <w:lang w:eastAsia="en-GB"/>
              </w:rPr>
            </w:pPr>
            <w:r w:rsidRPr="003B552F">
              <w:rPr>
                <w:rFonts w:ascii="Arial Narrow" w:eastAsia="Times New Roman" w:hAnsi="Arial Narrow"/>
                <w:b/>
                <w:bCs/>
                <w:color w:val="FF0000"/>
                <w:sz w:val="20"/>
                <w:szCs w:val="20"/>
                <w:lang w:eastAsia="en-GB"/>
              </w:rPr>
              <w:t xml:space="preserve">          2,493,568 </w:t>
            </w:r>
          </w:p>
        </w:tc>
      </w:tr>
      <w:tr w:rsidR="00683F4A" w:rsidRPr="007D425D" w14:paraId="0F966EF5" w14:textId="77777777" w:rsidTr="009657E1">
        <w:trPr>
          <w:trHeight w:val="168"/>
          <w:jc w:val="center"/>
        </w:trPr>
        <w:tc>
          <w:tcPr>
            <w:tcW w:w="1570" w:type="dxa"/>
            <w:gridSpan w:val="2"/>
            <w:vMerge w:val="restart"/>
            <w:tcBorders>
              <w:top w:val="nil"/>
              <w:left w:val="single" w:sz="8" w:space="0" w:color="auto"/>
              <w:bottom w:val="single" w:sz="4" w:space="0" w:color="000000"/>
              <w:right w:val="single" w:sz="4" w:space="0" w:color="auto"/>
            </w:tcBorders>
            <w:shd w:val="clear" w:color="auto" w:fill="auto"/>
            <w:hideMark/>
          </w:tcPr>
          <w:p w14:paraId="5F8C1426" w14:textId="77777777" w:rsidR="00683F4A" w:rsidRPr="003B552F" w:rsidRDefault="00683F4A" w:rsidP="009657E1">
            <w:pPr>
              <w:spacing w:after="0"/>
              <w:jc w:val="left"/>
              <w:rPr>
                <w:rFonts w:ascii="Arial Narrow" w:eastAsia="Times New Roman" w:hAnsi="Arial Narrow"/>
                <w:b/>
                <w:bCs/>
                <w:sz w:val="20"/>
                <w:szCs w:val="20"/>
                <w:lang w:eastAsia="en-GB"/>
              </w:rPr>
            </w:pPr>
            <w:r w:rsidRPr="003B552F">
              <w:rPr>
                <w:rFonts w:ascii="Arial Narrow" w:eastAsia="Times New Roman" w:hAnsi="Arial Narrow"/>
                <w:b/>
                <w:bCs/>
                <w:sz w:val="20"/>
                <w:szCs w:val="20"/>
                <w:lang w:eastAsia="en-GB"/>
              </w:rPr>
              <w:t>Annualized Key Results 2014</w:t>
            </w:r>
          </w:p>
        </w:tc>
        <w:tc>
          <w:tcPr>
            <w:tcW w:w="7842" w:type="dxa"/>
            <w:gridSpan w:val="5"/>
            <w:tcBorders>
              <w:top w:val="nil"/>
              <w:left w:val="single" w:sz="4" w:space="0" w:color="auto"/>
              <w:bottom w:val="single" w:sz="4" w:space="0" w:color="auto"/>
              <w:right w:val="single" w:sz="4" w:space="0" w:color="000000"/>
            </w:tcBorders>
            <w:shd w:val="clear" w:color="auto" w:fill="auto"/>
            <w:vAlign w:val="bottom"/>
            <w:hideMark/>
          </w:tcPr>
          <w:p w14:paraId="1BEDD724" w14:textId="77777777" w:rsidR="00683F4A" w:rsidRPr="00CD56B9" w:rsidRDefault="00683F4A" w:rsidP="009657E1">
            <w:pPr>
              <w:spacing w:after="0"/>
              <w:jc w:val="left"/>
              <w:rPr>
                <w:rFonts w:ascii="Arial Narrow" w:eastAsia="Times New Roman" w:hAnsi="Arial Narrow"/>
                <w:sz w:val="20"/>
                <w:szCs w:val="20"/>
                <w:lang w:val="en-US" w:eastAsia="en-GB"/>
              </w:rPr>
            </w:pPr>
            <w:r w:rsidRPr="00CD56B9">
              <w:rPr>
                <w:rFonts w:ascii="Arial Narrow" w:eastAsia="Times New Roman" w:hAnsi="Arial Narrow"/>
                <w:sz w:val="20"/>
                <w:szCs w:val="20"/>
                <w:lang w:val="en-US" w:eastAsia="en-GB"/>
              </w:rPr>
              <w:t>D:  Children's councils at district level established and integrated within local development planning framework 10 districts (UNICEF)</w:t>
            </w:r>
          </w:p>
        </w:tc>
        <w:tc>
          <w:tcPr>
            <w:tcW w:w="1230" w:type="dxa"/>
            <w:tcBorders>
              <w:top w:val="nil"/>
              <w:left w:val="nil"/>
              <w:bottom w:val="single" w:sz="4" w:space="0" w:color="auto"/>
              <w:right w:val="single" w:sz="4" w:space="0" w:color="auto"/>
            </w:tcBorders>
            <w:shd w:val="clear" w:color="auto" w:fill="auto"/>
            <w:vAlign w:val="bottom"/>
            <w:hideMark/>
          </w:tcPr>
          <w:p w14:paraId="0E6331AF" w14:textId="77777777" w:rsidR="00683F4A" w:rsidRPr="003B552F" w:rsidRDefault="00683F4A" w:rsidP="009657E1">
            <w:pPr>
              <w:spacing w:after="0"/>
              <w:jc w:val="left"/>
              <w:rPr>
                <w:rFonts w:ascii="Arial Narrow" w:eastAsia="Times New Roman" w:hAnsi="Arial Narrow"/>
                <w:sz w:val="20"/>
                <w:szCs w:val="20"/>
                <w:lang w:eastAsia="en-GB"/>
              </w:rPr>
            </w:pPr>
            <w:r w:rsidRPr="003B552F">
              <w:rPr>
                <w:rFonts w:ascii="Arial Narrow" w:eastAsia="Times New Roman" w:hAnsi="Arial Narrow"/>
                <w:sz w:val="20"/>
                <w:szCs w:val="20"/>
                <w:lang w:eastAsia="en-GB"/>
              </w:rPr>
              <w:t>UNICEF</w:t>
            </w:r>
          </w:p>
        </w:tc>
        <w:tc>
          <w:tcPr>
            <w:tcW w:w="953" w:type="dxa"/>
            <w:tcBorders>
              <w:top w:val="nil"/>
              <w:left w:val="nil"/>
              <w:bottom w:val="single" w:sz="4" w:space="0" w:color="auto"/>
              <w:right w:val="single" w:sz="4" w:space="0" w:color="auto"/>
            </w:tcBorders>
            <w:shd w:val="clear" w:color="auto" w:fill="auto"/>
            <w:noWrap/>
            <w:hideMark/>
          </w:tcPr>
          <w:p w14:paraId="0E75C37F"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50,234 </w:t>
            </w:r>
          </w:p>
        </w:tc>
        <w:tc>
          <w:tcPr>
            <w:tcW w:w="1037" w:type="dxa"/>
            <w:gridSpan w:val="3"/>
            <w:tcBorders>
              <w:top w:val="nil"/>
              <w:left w:val="nil"/>
              <w:bottom w:val="single" w:sz="4" w:space="0" w:color="auto"/>
              <w:right w:val="single" w:sz="4" w:space="0" w:color="auto"/>
            </w:tcBorders>
            <w:shd w:val="clear" w:color="auto" w:fill="auto"/>
            <w:noWrap/>
            <w:hideMark/>
          </w:tcPr>
          <w:p w14:paraId="56D98619"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w:t>
            </w:r>
          </w:p>
        </w:tc>
        <w:tc>
          <w:tcPr>
            <w:tcW w:w="986" w:type="dxa"/>
            <w:tcBorders>
              <w:top w:val="nil"/>
              <w:left w:val="nil"/>
              <w:bottom w:val="single" w:sz="4" w:space="0" w:color="auto"/>
              <w:right w:val="single" w:sz="4" w:space="0" w:color="auto"/>
            </w:tcBorders>
            <w:shd w:val="clear" w:color="auto" w:fill="auto"/>
            <w:noWrap/>
            <w:hideMark/>
          </w:tcPr>
          <w:p w14:paraId="71FA584D"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43,334 </w:t>
            </w:r>
          </w:p>
        </w:tc>
        <w:tc>
          <w:tcPr>
            <w:tcW w:w="1134" w:type="dxa"/>
            <w:tcBorders>
              <w:top w:val="nil"/>
              <w:left w:val="nil"/>
              <w:bottom w:val="single" w:sz="4" w:space="0" w:color="auto"/>
              <w:right w:val="single" w:sz="8" w:space="0" w:color="auto"/>
            </w:tcBorders>
            <w:shd w:val="clear" w:color="auto" w:fill="auto"/>
            <w:hideMark/>
          </w:tcPr>
          <w:p w14:paraId="2C1A7F67"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93,568 </w:t>
            </w:r>
          </w:p>
        </w:tc>
      </w:tr>
      <w:tr w:rsidR="00683F4A" w:rsidRPr="007D425D" w14:paraId="384B2ADC" w14:textId="77777777" w:rsidTr="009657E1">
        <w:trPr>
          <w:trHeight w:val="168"/>
          <w:jc w:val="center"/>
        </w:trPr>
        <w:tc>
          <w:tcPr>
            <w:tcW w:w="1570" w:type="dxa"/>
            <w:gridSpan w:val="2"/>
            <w:vMerge/>
            <w:tcBorders>
              <w:top w:val="nil"/>
              <w:left w:val="single" w:sz="8" w:space="0" w:color="auto"/>
              <w:bottom w:val="single" w:sz="4" w:space="0" w:color="000000"/>
              <w:right w:val="single" w:sz="4" w:space="0" w:color="auto"/>
            </w:tcBorders>
            <w:vAlign w:val="center"/>
            <w:hideMark/>
          </w:tcPr>
          <w:p w14:paraId="192B6CFF" w14:textId="77777777" w:rsidR="00683F4A" w:rsidRPr="003B552F" w:rsidRDefault="00683F4A" w:rsidP="009657E1">
            <w:pPr>
              <w:spacing w:after="0"/>
              <w:jc w:val="left"/>
              <w:rPr>
                <w:rFonts w:ascii="Arial Narrow" w:eastAsia="Times New Roman" w:hAnsi="Arial Narrow"/>
                <w:b/>
                <w:bCs/>
                <w:sz w:val="20"/>
                <w:szCs w:val="20"/>
                <w:lang w:eastAsia="en-GB"/>
              </w:rPr>
            </w:pPr>
          </w:p>
        </w:tc>
        <w:tc>
          <w:tcPr>
            <w:tcW w:w="7842"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32012AC2" w14:textId="77777777" w:rsidR="00683F4A" w:rsidRPr="00CD56B9" w:rsidRDefault="00683F4A" w:rsidP="009657E1">
            <w:pPr>
              <w:spacing w:after="0"/>
              <w:jc w:val="left"/>
              <w:rPr>
                <w:rFonts w:ascii="Arial Narrow" w:eastAsia="Times New Roman" w:hAnsi="Arial Narrow"/>
                <w:sz w:val="20"/>
                <w:szCs w:val="20"/>
                <w:lang w:val="en-US" w:eastAsia="en-GB"/>
              </w:rPr>
            </w:pPr>
            <w:r w:rsidRPr="00CD56B9">
              <w:rPr>
                <w:rFonts w:ascii="Arial Narrow" w:eastAsia="Times New Roman" w:hAnsi="Arial Narrow"/>
                <w:sz w:val="20"/>
                <w:szCs w:val="20"/>
                <w:lang w:val="en-US" w:eastAsia="en-GB"/>
              </w:rPr>
              <w:t>E: Training in integrated planning, coordination and implementation in accordance with IRDS and decentralization programme carried out in 10 districts (UNDP).</w:t>
            </w:r>
          </w:p>
        </w:tc>
        <w:tc>
          <w:tcPr>
            <w:tcW w:w="1230" w:type="dxa"/>
            <w:tcBorders>
              <w:top w:val="nil"/>
              <w:left w:val="nil"/>
              <w:bottom w:val="single" w:sz="4" w:space="0" w:color="auto"/>
              <w:right w:val="single" w:sz="4" w:space="0" w:color="auto"/>
            </w:tcBorders>
            <w:shd w:val="clear" w:color="auto" w:fill="auto"/>
            <w:hideMark/>
          </w:tcPr>
          <w:p w14:paraId="71D23030" w14:textId="77777777" w:rsidR="00683F4A" w:rsidRPr="003B552F" w:rsidRDefault="00683F4A" w:rsidP="009657E1">
            <w:pPr>
              <w:spacing w:after="0"/>
              <w:jc w:val="left"/>
              <w:rPr>
                <w:rFonts w:ascii="Arial Narrow" w:eastAsia="Times New Roman" w:hAnsi="Arial Narrow"/>
                <w:sz w:val="20"/>
                <w:szCs w:val="20"/>
                <w:lang w:eastAsia="en-GB"/>
              </w:rPr>
            </w:pPr>
            <w:r w:rsidRPr="003B552F">
              <w:rPr>
                <w:rFonts w:ascii="Arial Narrow" w:eastAsia="Times New Roman" w:hAnsi="Arial Narrow"/>
                <w:sz w:val="20"/>
                <w:szCs w:val="20"/>
                <w:lang w:eastAsia="en-GB"/>
              </w:rPr>
              <w:t>UNDP</w:t>
            </w:r>
          </w:p>
        </w:tc>
        <w:tc>
          <w:tcPr>
            <w:tcW w:w="953" w:type="dxa"/>
            <w:tcBorders>
              <w:top w:val="nil"/>
              <w:left w:val="nil"/>
              <w:bottom w:val="single" w:sz="4" w:space="0" w:color="auto"/>
              <w:right w:val="single" w:sz="4" w:space="0" w:color="auto"/>
            </w:tcBorders>
            <w:shd w:val="clear" w:color="auto" w:fill="auto"/>
            <w:hideMark/>
          </w:tcPr>
          <w:p w14:paraId="278F87DE"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300,000 </w:t>
            </w:r>
          </w:p>
        </w:tc>
        <w:tc>
          <w:tcPr>
            <w:tcW w:w="1037" w:type="dxa"/>
            <w:gridSpan w:val="3"/>
            <w:tcBorders>
              <w:top w:val="nil"/>
              <w:left w:val="nil"/>
              <w:bottom w:val="single" w:sz="4" w:space="0" w:color="auto"/>
              <w:right w:val="single" w:sz="4" w:space="0" w:color="auto"/>
            </w:tcBorders>
            <w:shd w:val="clear" w:color="auto" w:fill="auto"/>
            <w:hideMark/>
          </w:tcPr>
          <w:p w14:paraId="485C0ED0"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600,000 </w:t>
            </w:r>
          </w:p>
        </w:tc>
        <w:tc>
          <w:tcPr>
            <w:tcW w:w="986" w:type="dxa"/>
            <w:tcBorders>
              <w:top w:val="nil"/>
              <w:left w:val="nil"/>
              <w:bottom w:val="single" w:sz="4" w:space="0" w:color="auto"/>
              <w:right w:val="single" w:sz="4" w:space="0" w:color="auto"/>
            </w:tcBorders>
            <w:shd w:val="clear" w:color="auto" w:fill="auto"/>
            <w:hideMark/>
          </w:tcPr>
          <w:p w14:paraId="0EB12020"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500,000 </w:t>
            </w:r>
          </w:p>
        </w:tc>
        <w:tc>
          <w:tcPr>
            <w:tcW w:w="1134" w:type="dxa"/>
            <w:tcBorders>
              <w:top w:val="nil"/>
              <w:left w:val="nil"/>
              <w:bottom w:val="single" w:sz="4" w:space="0" w:color="auto"/>
              <w:right w:val="single" w:sz="8" w:space="0" w:color="auto"/>
            </w:tcBorders>
            <w:shd w:val="clear" w:color="auto" w:fill="auto"/>
            <w:hideMark/>
          </w:tcPr>
          <w:p w14:paraId="3C2A27F1"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1,400,000 </w:t>
            </w:r>
          </w:p>
        </w:tc>
      </w:tr>
      <w:tr w:rsidR="00683F4A" w:rsidRPr="007D425D" w14:paraId="0C153479" w14:textId="77777777" w:rsidTr="009657E1">
        <w:trPr>
          <w:trHeight w:val="168"/>
          <w:jc w:val="center"/>
        </w:trPr>
        <w:tc>
          <w:tcPr>
            <w:tcW w:w="1570" w:type="dxa"/>
            <w:gridSpan w:val="2"/>
            <w:vMerge/>
            <w:tcBorders>
              <w:top w:val="nil"/>
              <w:left w:val="single" w:sz="8" w:space="0" w:color="auto"/>
              <w:bottom w:val="single" w:sz="4" w:space="0" w:color="000000"/>
              <w:right w:val="single" w:sz="4" w:space="0" w:color="auto"/>
            </w:tcBorders>
            <w:vAlign w:val="center"/>
            <w:hideMark/>
          </w:tcPr>
          <w:p w14:paraId="36B7F963" w14:textId="77777777" w:rsidR="00683F4A" w:rsidRPr="003B552F" w:rsidRDefault="00683F4A" w:rsidP="009657E1">
            <w:pPr>
              <w:spacing w:after="0"/>
              <w:jc w:val="left"/>
              <w:rPr>
                <w:rFonts w:ascii="Arial Narrow" w:eastAsia="Times New Roman" w:hAnsi="Arial Narrow"/>
                <w:b/>
                <w:bCs/>
                <w:sz w:val="20"/>
                <w:szCs w:val="20"/>
                <w:lang w:eastAsia="en-GB"/>
              </w:rPr>
            </w:pPr>
          </w:p>
        </w:tc>
        <w:tc>
          <w:tcPr>
            <w:tcW w:w="7842"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4AE71F09" w14:textId="77777777" w:rsidR="00683F4A" w:rsidRPr="00CD56B9" w:rsidRDefault="00683F4A" w:rsidP="009657E1">
            <w:pPr>
              <w:spacing w:after="0"/>
              <w:jc w:val="left"/>
              <w:rPr>
                <w:rFonts w:ascii="Arial Narrow" w:eastAsia="Times New Roman" w:hAnsi="Arial Narrow"/>
                <w:sz w:val="20"/>
                <w:szCs w:val="20"/>
                <w:lang w:val="en-US" w:eastAsia="en-GB"/>
              </w:rPr>
            </w:pPr>
            <w:r w:rsidRPr="00CD56B9">
              <w:rPr>
                <w:rFonts w:ascii="Arial Narrow" w:eastAsia="Times New Roman" w:hAnsi="Arial Narrow"/>
                <w:sz w:val="20"/>
                <w:szCs w:val="20"/>
                <w:lang w:val="en-US" w:eastAsia="en-GB"/>
              </w:rPr>
              <w:t>H:  A plan for replication/upscaling of LED developed (UNCDF)</w:t>
            </w:r>
          </w:p>
        </w:tc>
        <w:tc>
          <w:tcPr>
            <w:tcW w:w="1230" w:type="dxa"/>
            <w:tcBorders>
              <w:top w:val="nil"/>
              <w:left w:val="nil"/>
              <w:bottom w:val="single" w:sz="4" w:space="0" w:color="auto"/>
              <w:right w:val="single" w:sz="4" w:space="0" w:color="auto"/>
            </w:tcBorders>
            <w:shd w:val="clear" w:color="auto" w:fill="auto"/>
            <w:hideMark/>
          </w:tcPr>
          <w:p w14:paraId="1F9E6E78" w14:textId="77777777" w:rsidR="00683F4A" w:rsidRPr="003B552F" w:rsidRDefault="00683F4A" w:rsidP="009657E1">
            <w:pPr>
              <w:spacing w:after="0"/>
              <w:jc w:val="left"/>
              <w:rPr>
                <w:rFonts w:ascii="Arial Narrow" w:eastAsia="Times New Roman" w:hAnsi="Arial Narrow"/>
                <w:sz w:val="20"/>
                <w:szCs w:val="20"/>
                <w:lang w:eastAsia="en-GB"/>
              </w:rPr>
            </w:pPr>
            <w:r w:rsidRPr="003B552F">
              <w:rPr>
                <w:rFonts w:ascii="Arial Narrow" w:eastAsia="Times New Roman" w:hAnsi="Arial Narrow"/>
                <w:sz w:val="20"/>
                <w:szCs w:val="20"/>
                <w:lang w:eastAsia="en-GB"/>
              </w:rPr>
              <w:t>UNCDF</w:t>
            </w:r>
          </w:p>
        </w:tc>
        <w:tc>
          <w:tcPr>
            <w:tcW w:w="953" w:type="dxa"/>
            <w:tcBorders>
              <w:top w:val="nil"/>
              <w:left w:val="nil"/>
              <w:bottom w:val="single" w:sz="4" w:space="0" w:color="auto"/>
              <w:right w:val="single" w:sz="4" w:space="0" w:color="auto"/>
            </w:tcBorders>
            <w:shd w:val="clear" w:color="auto" w:fill="auto"/>
            <w:hideMark/>
          </w:tcPr>
          <w:p w14:paraId="1C00AF0A"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30,000 </w:t>
            </w:r>
          </w:p>
        </w:tc>
        <w:tc>
          <w:tcPr>
            <w:tcW w:w="1037" w:type="dxa"/>
            <w:gridSpan w:val="3"/>
            <w:tcBorders>
              <w:top w:val="nil"/>
              <w:left w:val="nil"/>
              <w:bottom w:val="single" w:sz="4" w:space="0" w:color="auto"/>
              <w:right w:val="single" w:sz="4" w:space="0" w:color="auto"/>
            </w:tcBorders>
            <w:shd w:val="clear" w:color="auto" w:fill="auto"/>
            <w:hideMark/>
          </w:tcPr>
          <w:p w14:paraId="6147C402"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w:t>
            </w:r>
          </w:p>
        </w:tc>
        <w:tc>
          <w:tcPr>
            <w:tcW w:w="986" w:type="dxa"/>
            <w:tcBorders>
              <w:top w:val="nil"/>
              <w:left w:val="nil"/>
              <w:bottom w:val="single" w:sz="4" w:space="0" w:color="auto"/>
              <w:right w:val="single" w:sz="4" w:space="0" w:color="auto"/>
            </w:tcBorders>
            <w:shd w:val="clear" w:color="auto" w:fill="auto"/>
            <w:hideMark/>
          </w:tcPr>
          <w:p w14:paraId="19377578"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w:t>
            </w:r>
          </w:p>
        </w:tc>
        <w:tc>
          <w:tcPr>
            <w:tcW w:w="1134" w:type="dxa"/>
            <w:tcBorders>
              <w:top w:val="nil"/>
              <w:left w:val="nil"/>
              <w:bottom w:val="single" w:sz="4" w:space="0" w:color="auto"/>
              <w:right w:val="single" w:sz="8" w:space="0" w:color="auto"/>
            </w:tcBorders>
            <w:shd w:val="clear" w:color="auto" w:fill="auto"/>
            <w:hideMark/>
          </w:tcPr>
          <w:p w14:paraId="7FA22FEB"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30,000 </w:t>
            </w:r>
          </w:p>
        </w:tc>
      </w:tr>
      <w:tr w:rsidR="00683F4A" w:rsidRPr="007D425D" w14:paraId="2C09BBE2" w14:textId="77777777" w:rsidTr="009657E1">
        <w:trPr>
          <w:trHeight w:val="179"/>
          <w:jc w:val="center"/>
        </w:trPr>
        <w:tc>
          <w:tcPr>
            <w:tcW w:w="1570" w:type="dxa"/>
            <w:gridSpan w:val="2"/>
            <w:vMerge/>
            <w:tcBorders>
              <w:top w:val="nil"/>
              <w:left w:val="single" w:sz="8" w:space="0" w:color="auto"/>
              <w:bottom w:val="single" w:sz="4" w:space="0" w:color="000000"/>
              <w:right w:val="single" w:sz="4" w:space="0" w:color="auto"/>
            </w:tcBorders>
            <w:vAlign w:val="center"/>
            <w:hideMark/>
          </w:tcPr>
          <w:p w14:paraId="248AC13A" w14:textId="77777777" w:rsidR="00683F4A" w:rsidRPr="003B552F" w:rsidRDefault="00683F4A" w:rsidP="009657E1">
            <w:pPr>
              <w:spacing w:after="0"/>
              <w:jc w:val="left"/>
              <w:rPr>
                <w:rFonts w:ascii="Arial Narrow" w:eastAsia="Times New Roman" w:hAnsi="Arial Narrow"/>
                <w:b/>
                <w:bCs/>
                <w:sz w:val="20"/>
                <w:szCs w:val="20"/>
                <w:lang w:eastAsia="en-GB"/>
              </w:rPr>
            </w:pPr>
          </w:p>
        </w:tc>
        <w:tc>
          <w:tcPr>
            <w:tcW w:w="7842" w:type="dxa"/>
            <w:gridSpan w:val="5"/>
            <w:tcBorders>
              <w:top w:val="single" w:sz="4" w:space="0" w:color="auto"/>
              <w:left w:val="single" w:sz="4" w:space="0" w:color="auto"/>
              <w:bottom w:val="nil"/>
              <w:right w:val="single" w:sz="4" w:space="0" w:color="000000"/>
            </w:tcBorders>
            <w:shd w:val="clear" w:color="auto" w:fill="auto"/>
            <w:hideMark/>
          </w:tcPr>
          <w:p w14:paraId="7A239B8B" w14:textId="77777777" w:rsidR="00683F4A" w:rsidRPr="00CD56B9" w:rsidRDefault="00683F4A" w:rsidP="009657E1">
            <w:pPr>
              <w:spacing w:after="0"/>
              <w:jc w:val="left"/>
              <w:rPr>
                <w:rFonts w:ascii="Arial Narrow" w:eastAsia="Times New Roman" w:hAnsi="Arial Narrow"/>
                <w:sz w:val="20"/>
                <w:szCs w:val="20"/>
                <w:lang w:val="en-US" w:eastAsia="en-GB"/>
              </w:rPr>
            </w:pPr>
            <w:r w:rsidRPr="00CD56B9">
              <w:rPr>
                <w:rFonts w:ascii="Arial Narrow" w:eastAsia="Times New Roman" w:hAnsi="Arial Narrow"/>
                <w:sz w:val="20"/>
                <w:szCs w:val="20"/>
                <w:lang w:val="en-US" w:eastAsia="en-GB"/>
              </w:rPr>
              <w:t>I: IRD Management and Coordination Structures in place (UNDP).</w:t>
            </w:r>
          </w:p>
        </w:tc>
        <w:tc>
          <w:tcPr>
            <w:tcW w:w="1230" w:type="dxa"/>
            <w:tcBorders>
              <w:top w:val="nil"/>
              <w:left w:val="nil"/>
              <w:bottom w:val="nil"/>
              <w:right w:val="single" w:sz="4" w:space="0" w:color="auto"/>
            </w:tcBorders>
            <w:shd w:val="clear" w:color="auto" w:fill="auto"/>
            <w:hideMark/>
          </w:tcPr>
          <w:p w14:paraId="43131CA8" w14:textId="77777777" w:rsidR="00683F4A" w:rsidRPr="003B552F" w:rsidRDefault="00683F4A" w:rsidP="009657E1">
            <w:pPr>
              <w:spacing w:after="0"/>
              <w:jc w:val="left"/>
              <w:rPr>
                <w:rFonts w:ascii="Arial Narrow" w:eastAsia="Times New Roman" w:hAnsi="Arial Narrow"/>
                <w:sz w:val="20"/>
                <w:szCs w:val="20"/>
                <w:lang w:eastAsia="en-GB"/>
              </w:rPr>
            </w:pPr>
            <w:r w:rsidRPr="003B552F">
              <w:rPr>
                <w:rFonts w:ascii="Arial Narrow" w:eastAsia="Times New Roman" w:hAnsi="Arial Narrow"/>
                <w:sz w:val="20"/>
                <w:szCs w:val="20"/>
                <w:lang w:eastAsia="en-GB"/>
              </w:rPr>
              <w:t>UNDP</w:t>
            </w:r>
          </w:p>
        </w:tc>
        <w:tc>
          <w:tcPr>
            <w:tcW w:w="953" w:type="dxa"/>
            <w:tcBorders>
              <w:top w:val="nil"/>
              <w:left w:val="nil"/>
              <w:bottom w:val="nil"/>
              <w:right w:val="single" w:sz="4" w:space="0" w:color="auto"/>
            </w:tcBorders>
            <w:shd w:val="clear" w:color="auto" w:fill="auto"/>
            <w:hideMark/>
          </w:tcPr>
          <w:p w14:paraId="4F3F27EE"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400,000 </w:t>
            </w:r>
          </w:p>
        </w:tc>
        <w:tc>
          <w:tcPr>
            <w:tcW w:w="1037" w:type="dxa"/>
            <w:gridSpan w:val="3"/>
            <w:tcBorders>
              <w:top w:val="nil"/>
              <w:left w:val="nil"/>
              <w:bottom w:val="nil"/>
              <w:right w:val="single" w:sz="4" w:space="0" w:color="auto"/>
            </w:tcBorders>
            <w:shd w:val="clear" w:color="auto" w:fill="auto"/>
            <w:hideMark/>
          </w:tcPr>
          <w:p w14:paraId="44EBB991"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w:t>
            </w:r>
          </w:p>
        </w:tc>
        <w:tc>
          <w:tcPr>
            <w:tcW w:w="986" w:type="dxa"/>
            <w:tcBorders>
              <w:top w:val="nil"/>
              <w:left w:val="nil"/>
              <w:bottom w:val="nil"/>
              <w:right w:val="single" w:sz="4" w:space="0" w:color="auto"/>
            </w:tcBorders>
            <w:shd w:val="clear" w:color="auto" w:fill="auto"/>
            <w:hideMark/>
          </w:tcPr>
          <w:p w14:paraId="223ABCEE"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w:t>
            </w:r>
          </w:p>
        </w:tc>
        <w:tc>
          <w:tcPr>
            <w:tcW w:w="1134" w:type="dxa"/>
            <w:tcBorders>
              <w:top w:val="nil"/>
              <w:left w:val="nil"/>
              <w:bottom w:val="nil"/>
              <w:right w:val="single" w:sz="8" w:space="0" w:color="auto"/>
            </w:tcBorders>
            <w:shd w:val="clear" w:color="auto" w:fill="auto"/>
            <w:hideMark/>
          </w:tcPr>
          <w:p w14:paraId="426EB45A"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400,000 </w:t>
            </w:r>
          </w:p>
        </w:tc>
      </w:tr>
      <w:tr w:rsidR="00683F4A" w:rsidRPr="007D425D" w14:paraId="7CB8B4D0" w14:textId="77777777" w:rsidTr="009657E1">
        <w:trPr>
          <w:trHeight w:val="179"/>
          <w:jc w:val="center"/>
        </w:trPr>
        <w:tc>
          <w:tcPr>
            <w:tcW w:w="1570" w:type="dxa"/>
            <w:gridSpan w:val="2"/>
            <w:vMerge/>
            <w:tcBorders>
              <w:top w:val="nil"/>
              <w:left w:val="single" w:sz="8" w:space="0" w:color="auto"/>
              <w:bottom w:val="single" w:sz="4" w:space="0" w:color="000000"/>
              <w:right w:val="single" w:sz="4" w:space="0" w:color="auto"/>
            </w:tcBorders>
            <w:vAlign w:val="center"/>
            <w:hideMark/>
          </w:tcPr>
          <w:p w14:paraId="0C79A91E" w14:textId="77777777" w:rsidR="00683F4A" w:rsidRPr="003B552F" w:rsidRDefault="00683F4A" w:rsidP="009657E1">
            <w:pPr>
              <w:spacing w:after="0"/>
              <w:jc w:val="left"/>
              <w:rPr>
                <w:rFonts w:ascii="Arial Narrow" w:eastAsia="Times New Roman" w:hAnsi="Arial Narrow"/>
                <w:b/>
                <w:bCs/>
                <w:sz w:val="20"/>
                <w:szCs w:val="20"/>
                <w:lang w:eastAsia="en-GB"/>
              </w:rPr>
            </w:pPr>
          </w:p>
        </w:tc>
        <w:tc>
          <w:tcPr>
            <w:tcW w:w="7842" w:type="dxa"/>
            <w:gridSpan w:val="5"/>
            <w:tcBorders>
              <w:top w:val="single" w:sz="8" w:space="0" w:color="auto"/>
              <w:left w:val="single" w:sz="8" w:space="0" w:color="auto"/>
              <w:bottom w:val="single" w:sz="8" w:space="0" w:color="auto"/>
              <w:right w:val="single" w:sz="4" w:space="0" w:color="000000"/>
            </w:tcBorders>
            <w:shd w:val="clear" w:color="auto" w:fill="auto"/>
            <w:hideMark/>
          </w:tcPr>
          <w:p w14:paraId="32599979" w14:textId="525F4BE0" w:rsidR="00683F4A" w:rsidRPr="00CD56B9" w:rsidRDefault="00683F4A" w:rsidP="009657E1">
            <w:pPr>
              <w:spacing w:after="0"/>
              <w:jc w:val="left"/>
              <w:rPr>
                <w:rFonts w:ascii="Arial Narrow" w:eastAsia="Times New Roman" w:hAnsi="Arial Narrow"/>
                <w:b/>
                <w:bCs/>
                <w:color w:val="FF0000"/>
                <w:sz w:val="20"/>
                <w:szCs w:val="20"/>
                <w:lang w:val="en-US" w:eastAsia="en-GB"/>
              </w:rPr>
            </w:pPr>
            <w:r w:rsidRPr="00CD56B9">
              <w:rPr>
                <w:rFonts w:ascii="Arial Narrow" w:eastAsia="Times New Roman" w:hAnsi="Arial Narrow"/>
                <w:b/>
                <w:bCs/>
                <w:color w:val="FF0000"/>
                <w:sz w:val="20"/>
                <w:szCs w:val="20"/>
                <w:lang w:val="en-US" w:eastAsia="en-GB"/>
              </w:rPr>
              <w:t xml:space="preserve">4.1.3-Total Budget for </w:t>
            </w:r>
            <w:r w:rsidR="003F4020" w:rsidRPr="00CD56B9">
              <w:rPr>
                <w:rFonts w:ascii="Arial Narrow" w:eastAsia="Times New Roman" w:hAnsi="Arial Narrow"/>
                <w:b/>
                <w:bCs/>
                <w:color w:val="FF0000"/>
                <w:sz w:val="20"/>
                <w:szCs w:val="20"/>
                <w:lang w:val="en-US" w:eastAsia="en-GB"/>
              </w:rPr>
              <w:t>Annualized</w:t>
            </w:r>
            <w:r w:rsidRPr="00CD56B9">
              <w:rPr>
                <w:rFonts w:ascii="Arial Narrow" w:eastAsia="Times New Roman" w:hAnsi="Arial Narrow"/>
                <w:b/>
                <w:bCs/>
                <w:color w:val="FF0000"/>
                <w:sz w:val="20"/>
                <w:szCs w:val="20"/>
                <w:lang w:val="en-US" w:eastAsia="en-GB"/>
              </w:rPr>
              <w:t xml:space="preserve"> Key Results for 2014</w:t>
            </w:r>
          </w:p>
        </w:tc>
        <w:tc>
          <w:tcPr>
            <w:tcW w:w="1230" w:type="dxa"/>
            <w:tcBorders>
              <w:top w:val="single" w:sz="8" w:space="0" w:color="auto"/>
              <w:left w:val="nil"/>
              <w:bottom w:val="single" w:sz="8" w:space="0" w:color="auto"/>
              <w:right w:val="single" w:sz="4" w:space="0" w:color="auto"/>
            </w:tcBorders>
            <w:shd w:val="clear" w:color="auto" w:fill="auto"/>
            <w:hideMark/>
          </w:tcPr>
          <w:p w14:paraId="32618BED" w14:textId="77777777" w:rsidR="00683F4A" w:rsidRPr="00CD56B9" w:rsidRDefault="00683F4A" w:rsidP="009657E1">
            <w:pPr>
              <w:spacing w:after="0"/>
              <w:jc w:val="left"/>
              <w:rPr>
                <w:rFonts w:ascii="Arial Narrow" w:eastAsia="Times New Roman" w:hAnsi="Arial Narrow"/>
                <w:sz w:val="20"/>
                <w:szCs w:val="20"/>
                <w:lang w:val="en-US" w:eastAsia="en-GB"/>
              </w:rPr>
            </w:pPr>
            <w:r w:rsidRPr="00CD56B9">
              <w:rPr>
                <w:rFonts w:ascii="Arial Narrow" w:eastAsia="Times New Roman" w:hAnsi="Arial Narrow"/>
                <w:sz w:val="20"/>
                <w:szCs w:val="20"/>
                <w:lang w:val="en-US" w:eastAsia="en-GB"/>
              </w:rPr>
              <w:t> </w:t>
            </w:r>
          </w:p>
        </w:tc>
        <w:tc>
          <w:tcPr>
            <w:tcW w:w="953" w:type="dxa"/>
            <w:tcBorders>
              <w:top w:val="single" w:sz="8" w:space="0" w:color="auto"/>
              <w:left w:val="nil"/>
              <w:bottom w:val="single" w:sz="8" w:space="0" w:color="auto"/>
              <w:right w:val="single" w:sz="4" w:space="0" w:color="auto"/>
            </w:tcBorders>
            <w:shd w:val="clear" w:color="auto" w:fill="auto"/>
            <w:hideMark/>
          </w:tcPr>
          <w:p w14:paraId="6341DC30" w14:textId="77777777" w:rsidR="00683F4A" w:rsidRPr="003B552F" w:rsidRDefault="00683F4A" w:rsidP="009657E1">
            <w:pPr>
              <w:spacing w:after="0"/>
              <w:jc w:val="right"/>
              <w:rPr>
                <w:rFonts w:ascii="Arial Narrow" w:eastAsia="Times New Roman" w:hAnsi="Arial Narrow"/>
                <w:b/>
                <w:bCs/>
                <w:color w:val="FF0000"/>
                <w:sz w:val="20"/>
                <w:szCs w:val="20"/>
                <w:lang w:eastAsia="en-GB"/>
              </w:rPr>
            </w:pPr>
            <w:r w:rsidRPr="00CD56B9">
              <w:rPr>
                <w:rFonts w:ascii="Arial Narrow" w:eastAsia="Times New Roman" w:hAnsi="Arial Narrow"/>
                <w:b/>
                <w:bCs/>
                <w:color w:val="FF0000"/>
                <w:sz w:val="20"/>
                <w:szCs w:val="20"/>
                <w:lang w:val="en-US" w:eastAsia="en-GB"/>
              </w:rPr>
              <w:t xml:space="preserve">           </w:t>
            </w:r>
            <w:r w:rsidRPr="003B552F">
              <w:rPr>
                <w:rFonts w:ascii="Arial Narrow" w:eastAsia="Times New Roman" w:hAnsi="Arial Narrow"/>
                <w:b/>
                <w:bCs/>
                <w:color w:val="FF0000"/>
                <w:sz w:val="20"/>
                <w:szCs w:val="20"/>
                <w:lang w:eastAsia="en-GB"/>
              </w:rPr>
              <w:t xml:space="preserve">780,234 </w:t>
            </w:r>
          </w:p>
        </w:tc>
        <w:tc>
          <w:tcPr>
            <w:tcW w:w="1037" w:type="dxa"/>
            <w:gridSpan w:val="3"/>
            <w:tcBorders>
              <w:top w:val="single" w:sz="8" w:space="0" w:color="auto"/>
              <w:left w:val="nil"/>
              <w:bottom w:val="single" w:sz="8" w:space="0" w:color="auto"/>
              <w:right w:val="single" w:sz="4" w:space="0" w:color="auto"/>
            </w:tcBorders>
            <w:shd w:val="clear" w:color="auto" w:fill="auto"/>
            <w:hideMark/>
          </w:tcPr>
          <w:p w14:paraId="70A8F626" w14:textId="77777777" w:rsidR="00683F4A" w:rsidRPr="003B552F" w:rsidRDefault="00683F4A" w:rsidP="009657E1">
            <w:pPr>
              <w:spacing w:after="0"/>
              <w:jc w:val="right"/>
              <w:rPr>
                <w:rFonts w:ascii="Arial Narrow" w:eastAsia="Times New Roman" w:hAnsi="Arial Narrow"/>
                <w:b/>
                <w:bCs/>
                <w:color w:val="FF0000"/>
                <w:sz w:val="20"/>
                <w:szCs w:val="20"/>
                <w:lang w:eastAsia="en-GB"/>
              </w:rPr>
            </w:pPr>
            <w:r w:rsidRPr="003B552F">
              <w:rPr>
                <w:rFonts w:ascii="Arial Narrow" w:eastAsia="Times New Roman" w:hAnsi="Arial Narrow"/>
                <w:b/>
                <w:bCs/>
                <w:color w:val="FF0000"/>
                <w:sz w:val="20"/>
                <w:szCs w:val="20"/>
                <w:lang w:eastAsia="en-GB"/>
              </w:rPr>
              <w:t xml:space="preserve">            600,000 </w:t>
            </w:r>
          </w:p>
        </w:tc>
        <w:tc>
          <w:tcPr>
            <w:tcW w:w="986" w:type="dxa"/>
            <w:tcBorders>
              <w:top w:val="single" w:sz="8" w:space="0" w:color="auto"/>
              <w:left w:val="nil"/>
              <w:bottom w:val="single" w:sz="8" w:space="0" w:color="auto"/>
              <w:right w:val="single" w:sz="4" w:space="0" w:color="auto"/>
            </w:tcBorders>
            <w:shd w:val="clear" w:color="auto" w:fill="auto"/>
            <w:hideMark/>
          </w:tcPr>
          <w:p w14:paraId="1CF81268" w14:textId="77777777" w:rsidR="00683F4A" w:rsidRPr="003B552F" w:rsidRDefault="00683F4A" w:rsidP="009657E1">
            <w:pPr>
              <w:spacing w:after="0"/>
              <w:jc w:val="right"/>
              <w:rPr>
                <w:rFonts w:ascii="Arial Narrow" w:eastAsia="Times New Roman" w:hAnsi="Arial Narrow"/>
                <w:b/>
                <w:bCs/>
                <w:color w:val="FF0000"/>
                <w:sz w:val="20"/>
                <w:szCs w:val="20"/>
                <w:lang w:eastAsia="en-GB"/>
              </w:rPr>
            </w:pPr>
            <w:r w:rsidRPr="003B552F">
              <w:rPr>
                <w:rFonts w:ascii="Arial Narrow" w:eastAsia="Times New Roman" w:hAnsi="Arial Narrow"/>
                <w:b/>
                <w:bCs/>
                <w:color w:val="FF0000"/>
                <w:sz w:val="20"/>
                <w:szCs w:val="20"/>
                <w:lang w:eastAsia="en-GB"/>
              </w:rPr>
              <w:t xml:space="preserve">           543,334 </w:t>
            </w:r>
          </w:p>
        </w:tc>
        <w:tc>
          <w:tcPr>
            <w:tcW w:w="1134" w:type="dxa"/>
            <w:tcBorders>
              <w:top w:val="single" w:sz="8" w:space="0" w:color="auto"/>
              <w:left w:val="nil"/>
              <w:bottom w:val="single" w:sz="8" w:space="0" w:color="auto"/>
              <w:right w:val="single" w:sz="8" w:space="0" w:color="auto"/>
            </w:tcBorders>
            <w:shd w:val="clear" w:color="auto" w:fill="auto"/>
            <w:hideMark/>
          </w:tcPr>
          <w:p w14:paraId="73E6EA55" w14:textId="77777777" w:rsidR="00683F4A" w:rsidRPr="003B552F" w:rsidRDefault="00683F4A" w:rsidP="009657E1">
            <w:pPr>
              <w:spacing w:after="0"/>
              <w:jc w:val="right"/>
              <w:rPr>
                <w:rFonts w:ascii="Arial Narrow" w:eastAsia="Times New Roman" w:hAnsi="Arial Narrow"/>
                <w:b/>
                <w:bCs/>
                <w:color w:val="FF0000"/>
                <w:sz w:val="20"/>
                <w:szCs w:val="20"/>
                <w:lang w:eastAsia="en-GB"/>
              </w:rPr>
            </w:pPr>
            <w:r w:rsidRPr="003B552F">
              <w:rPr>
                <w:rFonts w:ascii="Arial Narrow" w:eastAsia="Times New Roman" w:hAnsi="Arial Narrow"/>
                <w:b/>
                <w:bCs/>
                <w:color w:val="FF0000"/>
                <w:sz w:val="20"/>
                <w:szCs w:val="20"/>
                <w:lang w:eastAsia="en-GB"/>
              </w:rPr>
              <w:t xml:space="preserve">          1,923,568 </w:t>
            </w:r>
          </w:p>
        </w:tc>
      </w:tr>
      <w:tr w:rsidR="00683F4A" w:rsidRPr="007D425D" w14:paraId="403EC854" w14:textId="77777777" w:rsidTr="009657E1">
        <w:trPr>
          <w:trHeight w:val="168"/>
          <w:jc w:val="center"/>
        </w:trPr>
        <w:tc>
          <w:tcPr>
            <w:tcW w:w="1570" w:type="dxa"/>
            <w:gridSpan w:val="2"/>
            <w:vMerge w:val="restart"/>
            <w:tcBorders>
              <w:top w:val="nil"/>
              <w:left w:val="single" w:sz="8" w:space="0" w:color="auto"/>
              <w:bottom w:val="single" w:sz="4" w:space="0" w:color="000000"/>
              <w:right w:val="single" w:sz="4" w:space="0" w:color="auto"/>
            </w:tcBorders>
            <w:shd w:val="clear" w:color="auto" w:fill="auto"/>
            <w:hideMark/>
          </w:tcPr>
          <w:p w14:paraId="54FD8C2B" w14:textId="77777777" w:rsidR="00683F4A" w:rsidRPr="003B552F" w:rsidRDefault="00683F4A" w:rsidP="009657E1">
            <w:pPr>
              <w:spacing w:after="0"/>
              <w:jc w:val="left"/>
              <w:rPr>
                <w:rFonts w:ascii="Arial Narrow" w:eastAsia="Times New Roman" w:hAnsi="Arial Narrow"/>
                <w:b/>
                <w:bCs/>
                <w:sz w:val="20"/>
                <w:szCs w:val="20"/>
                <w:lang w:eastAsia="en-GB"/>
              </w:rPr>
            </w:pPr>
            <w:r w:rsidRPr="003B552F">
              <w:rPr>
                <w:rFonts w:ascii="Arial Narrow" w:eastAsia="Times New Roman" w:hAnsi="Arial Narrow"/>
                <w:b/>
                <w:bCs/>
                <w:sz w:val="20"/>
                <w:szCs w:val="20"/>
                <w:lang w:eastAsia="en-GB"/>
              </w:rPr>
              <w:t>Annualized Key Results 2015</w:t>
            </w:r>
          </w:p>
        </w:tc>
        <w:tc>
          <w:tcPr>
            <w:tcW w:w="7842" w:type="dxa"/>
            <w:gridSpan w:val="5"/>
            <w:tcBorders>
              <w:top w:val="nil"/>
              <w:left w:val="nil"/>
              <w:bottom w:val="single" w:sz="4" w:space="0" w:color="auto"/>
              <w:right w:val="single" w:sz="4" w:space="0" w:color="000000"/>
            </w:tcBorders>
            <w:shd w:val="clear" w:color="auto" w:fill="auto"/>
            <w:hideMark/>
          </w:tcPr>
          <w:p w14:paraId="1DF72A29" w14:textId="2CEEB18F" w:rsidR="00683F4A" w:rsidRPr="00CD56B9" w:rsidRDefault="00683F4A" w:rsidP="009657E1">
            <w:pPr>
              <w:spacing w:after="0"/>
              <w:jc w:val="left"/>
              <w:rPr>
                <w:rFonts w:ascii="Arial Narrow" w:eastAsia="Times New Roman" w:hAnsi="Arial Narrow"/>
                <w:sz w:val="20"/>
                <w:szCs w:val="20"/>
                <w:lang w:val="en-US" w:eastAsia="en-GB"/>
              </w:rPr>
            </w:pPr>
            <w:r w:rsidRPr="00CD56B9">
              <w:rPr>
                <w:rFonts w:ascii="Arial Narrow" w:eastAsia="Times New Roman" w:hAnsi="Arial Narrow"/>
                <w:sz w:val="20"/>
                <w:szCs w:val="20"/>
                <w:lang w:val="en-US" w:eastAsia="en-GB"/>
              </w:rPr>
              <w:t xml:space="preserve">J: LED policy framework </w:t>
            </w:r>
            <w:r w:rsidR="003F4020" w:rsidRPr="00CD56B9">
              <w:rPr>
                <w:rFonts w:ascii="Arial Narrow" w:eastAsia="Times New Roman" w:hAnsi="Arial Narrow"/>
                <w:sz w:val="20"/>
                <w:szCs w:val="20"/>
                <w:lang w:val="en-US" w:eastAsia="en-GB"/>
              </w:rPr>
              <w:t>finalized</w:t>
            </w:r>
            <w:r w:rsidRPr="00CD56B9">
              <w:rPr>
                <w:rFonts w:ascii="Arial Narrow" w:eastAsia="Times New Roman" w:hAnsi="Arial Narrow"/>
                <w:sz w:val="20"/>
                <w:szCs w:val="20"/>
                <w:lang w:val="en-US" w:eastAsia="en-GB"/>
              </w:rPr>
              <w:t xml:space="preserve"> (UNCDF)</w:t>
            </w:r>
          </w:p>
        </w:tc>
        <w:tc>
          <w:tcPr>
            <w:tcW w:w="1230" w:type="dxa"/>
            <w:tcBorders>
              <w:top w:val="nil"/>
              <w:left w:val="nil"/>
              <w:bottom w:val="single" w:sz="4" w:space="0" w:color="auto"/>
              <w:right w:val="single" w:sz="4" w:space="0" w:color="auto"/>
            </w:tcBorders>
            <w:shd w:val="clear" w:color="auto" w:fill="auto"/>
            <w:hideMark/>
          </w:tcPr>
          <w:p w14:paraId="2E1926E2" w14:textId="77777777" w:rsidR="00683F4A" w:rsidRPr="003B552F" w:rsidRDefault="00683F4A" w:rsidP="009657E1">
            <w:pPr>
              <w:spacing w:after="0"/>
              <w:jc w:val="left"/>
              <w:rPr>
                <w:rFonts w:ascii="Arial Narrow" w:eastAsia="Times New Roman" w:hAnsi="Arial Narrow"/>
                <w:sz w:val="20"/>
                <w:szCs w:val="20"/>
                <w:lang w:eastAsia="en-GB"/>
              </w:rPr>
            </w:pPr>
            <w:r w:rsidRPr="003B552F">
              <w:rPr>
                <w:rFonts w:ascii="Arial Narrow" w:eastAsia="Times New Roman" w:hAnsi="Arial Narrow"/>
                <w:sz w:val="20"/>
                <w:szCs w:val="20"/>
                <w:lang w:eastAsia="en-GB"/>
              </w:rPr>
              <w:t>UNCDF</w:t>
            </w:r>
          </w:p>
        </w:tc>
        <w:tc>
          <w:tcPr>
            <w:tcW w:w="953" w:type="dxa"/>
            <w:tcBorders>
              <w:top w:val="nil"/>
              <w:left w:val="nil"/>
              <w:bottom w:val="single" w:sz="4" w:space="0" w:color="auto"/>
              <w:right w:val="single" w:sz="4" w:space="0" w:color="auto"/>
            </w:tcBorders>
            <w:shd w:val="clear" w:color="auto" w:fill="auto"/>
            <w:hideMark/>
          </w:tcPr>
          <w:p w14:paraId="15F58A97"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100,000 </w:t>
            </w:r>
          </w:p>
        </w:tc>
        <w:tc>
          <w:tcPr>
            <w:tcW w:w="1037" w:type="dxa"/>
            <w:gridSpan w:val="3"/>
            <w:tcBorders>
              <w:top w:val="nil"/>
              <w:left w:val="nil"/>
              <w:bottom w:val="single" w:sz="4" w:space="0" w:color="auto"/>
              <w:right w:val="single" w:sz="4" w:space="0" w:color="auto"/>
            </w:tcBorders>
            <w:shd w:val="clear" w:color="auto" w:fill="auto"/>
            <w:noWrap/>
            <w:hideMark/>
          </w:tcPr>
          <w:p w14:paraId="07D27835"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w:t>
            </w:r>
          </w:p>
        </w:tc>
        <w:tc>
          <w:tcPr>
            <w:tcW w:w="986" w:type="dxa"/>
            <w:tcBorders>
              <w:top w:val="nil"/>
              <w:left w:val="nil"/>
              <w:bottom w:val="single" w:sz="4" w:space="0" w:color="auto"/>
              <w:right w:val="single" w:sz="4" w:space="0" w:color="auto"/>
            </w:tcBorders>
            <w:shd w:val="clear" w:color="auto" w:fill="auto"/>
            <w:noWrap/>
            <w:hideMark/>
          </w:tcPr>
          <w:p w14:paraId="305A4952"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w:t>
            </w:r>
          </w:p>
        </w:tc>
        <w:tc>
          <w:tcPr>
            <w:tcW w:w="1134" w:type="dxa"/>
            <w:tcBorders>
              <w:top w:val="nil"/>
              <w:left w:val="nil"/>
              <w:bottom w:val="single" w:sz="4" w:space="0" w:color="auto"/>
              <w:right w:val="single" w:sz="8" w:space="0" w:color="auto"/>
            </w:tcBorders>
            <w:shd w:val="clear" w:color="auto" w:fill="auto"/>
            <w:hideMark/>
          </w:tcPr>
          <w:p w14:paraId="12BB8DE2"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100,000 </w:t>
            </w:r>
          </w:p>
        </w:tc>
      </w:tr>
      <w:tr w:rsidR="00683F4A" w:rsidRPr="007D425D" w14:paraId="4F061D91" w14:textId="77777777" w:rsidTr="009657E1">
        <w:trPr>
          <w:trHeight w:val="168"/>
          <w:jc w:val="center"/>
        </w:trPr>
        <w:tc>
          <w:tcPr>
            <w:tcW w:w="1570" w:type="dxa"/>
            <w:gridSpan w:val="2"/>
            <w:vMerge/>
            <w:tcBorders>
              <w:top w:val="nil"/>
              <w:left w:val="single" w:sz="8" w:space="0" w:color="auto"/>
              <w:bottom w:val="single" w:sz="4" w:space="0" w:color="000000"/>
              <w:right w:val="single" w:sz="4" w:space="0" w:color="auto"/>
            </w:tcBorders>
            <w:vAlign w:val="center"/>
            <w:hideMark/>
          </w:tcPr>
          <w:p w14:paraId="43982551" w14:textId="77777777" w:rsidR="00683F4A" w:rsidRPr="003B552F" w:rsidRDefault="00683F4A" w:rsidP="009657E1">
            <w:pPr>
              <w:spacing w:after="0"/>
              <w:jc w:val="left"/>
              <w:rPr>
                <w:rFonts w:ascii="Arial Narrow" w:eastAsia="Times New Roman" w:hAnsi="Arial Narrow"/>
                <w:b/>
                <w:bCs/>
                <w:sz w:val="20"/>
                <w:szCs w:val="20"/>
                <w:lang w:eastAsia="en-GB"/>
              </w:rPr>
            </w:pPr>
          </w:p>
        </w:tc>
        <w:tc>
          <w:tcPr>
            <w:tcW w:w="7842" w:type="dxa"/>
            <w:gridSpan w:val="5"/>
            <w:tcBorders>
              <w:top w:val="single" w:sz="4" w:space="0" w:color="auto"/>
              <w:left w:val="nil"/>
              <w:bottom w:val="single" w:sz="4" w:space="0" w:color="auto"/>
              <w:right w:val="single" w:sz="4" w:space="0" w:color="000000"/>
            </w:tcBorders>
            <w:shd w:val="clear" w:color="auto" w:fill="auto"/>
            <w:hideMark/>
          </w:tcPr>
          <w:p w14:paraId="3EDC765C" w14:textId="77777777" w:rsidR="00683F4A" w:rsidRPr="00CD56B9" w:rsidRDefault="00683F4A" w:rsidP="009657E1">
            <w:pPr>
              <w:spacing w:after="0"/>
              <w:jc w:val="left"/>
              <w:rPr>
                <w:rFonts w:ascii="Arial Narrow" w:eastAsia="Times New Roman" w:hAnsi="Arial Narrow"/>
                <w:sz w:val="20"/>
                <w:szCs w:val="20"/>
                <w:lang w:val="en-US" w:eastAsia="en-GB"/>
              </w:rPr>
            </w:pPr>
            <w:r w:rsidRPr="00CD56B9">
              <w:rPr>
                <w:rFonts w:ascii="Arial Narrow" w:eastAsia="Times New Roman" w:hAnsi="Arial Narrow"/>
                <w:sz w:val="20"/>
                <w:szCs w:val="20"/>
                <w:lang w:val="en-US" w:eastAsia="en-GB"/>
              </w:rPr>
              <w:t>K: Capacity building of elected members of the District Councils (councillors) (UNDP)</w:t>
            </w:r>
          </w:p>
        </w:tc>
        <w:tc>
          <w:tcPr>
            <w:tcW w:w="1230" w:type="dxa"/>
            <w:tcBorders>
              <w:top w:val="nil"/>
              <w:left w:val="nil"/>
              <w:bottom w:val="single" w:sz="4" w:space="0" w:color="auto"/>
              <w:right w:val="single" w:sz="4" w:space="0" w:color="auto"/>
            </w:tcBorders>
            <w:shd w:val="clear" w:color="auto" w:fill="auto"/>
            <w:hideMark/>
          </w:tcPr>
          <w:p w14:paraId="2AB56A69" w14:textId="77777777" w:rsidR="00683F4A" w:rsidRPr="003B552F" w:rsidRDefault="00683F4A" w:rsidP="009657E1">
            <w:pPr>
              <w:spacing w:after="0"/>
              <w:jc w:val="left"/>
              <w:rPr>
                <w:rFonts w:ascii="Arial Narrow" w:eastAsia="Times New Roman" w:hAnsi="Arial Narrow"/>
                <w:sz w:val="20"/>
                <w:szCs w:val="20"/>
                <w:lang w:eastAsia="en-GB"/>
              </w:rPr>
            </w:pPr>
            <w:r w:rsidRPr="003B552F">
              <w:rPr>
                <w:rFonts w:ascii="Arial Narrow" w:eastAsia="Times New Roman" w:hAnsi="Arial Narrow"/>
                <w:sz w:val="20"/>
                <w:szCs w:val="20"/>
                <w:lang w:eastAsia="en-GB"/>
              </w:rPr>
              <w:t>UNDP</w:t>
            </w:r>
          </w:p>
        </w:tc>
        <w:tc>
          <w:tcPr>
            <w:tcW w:w="953" w:type="dxa"/>
            <w:tcBorders>
              <w:top w:val="nil"/>
              <w:left w:val="nil"/>
              <w:bottom w:val="single" w:sz="4" w:space="0" w:color="auto"/>
              <w:right w:val="single" w:sz="4" w:space="0" w:color="auto"/>
            </w:tcBorders>
            <w:shd w:val="clear" w:color="auto" w:fill="auto"/>
            <w:hideMark/>
          </w:tcPr>
          <w:p w14:paraId="0CC00076"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100,000 </w:t>
            </w:r>
          </w:p>
        </w:tc>
        <w:tc>
          <w:tcPr>
            <w:tcW w:w="1037" w:type="dxa"/>
            <w:gridSpan w:val="3"/>
            <w:tcBorders>
              <w:top w:val="nil"/>
              <w:left w:val="nil"/>
              <w:bottom w:val="single" w:sz="4" w:space="0" w:color="auto"/>
              <w:right w:val="single" w:sz="4" w:space="0" w:color="auto"/>
            </w:tcBorders>
            <w:shd w:val="clear" w:color="auto" w:fill="auto"/>
            <w:noWrap/>
            <w:hideMark/>
          </w:tcPr>
          <w:p w14:paraId="3CDE58D4"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w:t>
            </w:r>
          </w:p>
        </w:tc>
        <w:tc>
          <w:tcPr>
            <w:tcW w:w="986" w:type="dxa"/>
            <w:tcBorders>
              <w:top w:val="nil"/>
              <w:left w:val="nil"/>
              <w:bottom w:val="single" w:sz="4" w:space="0" w:color="auto"/>
              <w:right w:val="single" w:sz="4" w:space="0" w:color="auto"/>
            </w:tcBorders>
            <w:shd w:val="clear" w:color="auto" w:fill="auto"/>
            <w:noWrap/>
            <w:hideMark/>
          </w:tcPr>
          <w:p w14:paraId="39028C11"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w:t>
            </w:r>
          </w:p>
        </w:tc>
        <w:tc>
          <w:tcPr>
            <w:tcW w:w="1134" w:type="dxa"/>
            <w:tcBorders>
              <w:top w:val="nil"/>
              <w:left w:val="nil"/>
              <w:bottom w:val="single" w:sz="4" w:space="0" w:color="auto"/>
              <w:right w:val="single" w:sz="8" w:space="0" w:color="auto"/>
            </w:tcBorders>
            <w:shd w:val="clear" w:color="auto" w:fill="auto"/>
            <w:hideMark/>
          </w:tcPr>
          <w:p w14:paraId="31C433DB"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100,000 </w:t>
            </w:r>
          </w:p>
        </w:tc>
      </w:tr>
      <w:tr w:rsidR="00683F4A" w:rsidRPr="007D425D" w14:paraId="379DB4DF" w14:textId="77777777" w:rsidTr="009657E1">
        <w:trPr>
          <w:trHeight w:val="168"/>
          <w:jc w:val="center"/>
        </w:trPr>
        <w:tc>
          <w:tcPr>
            <w:tcW w:w="1570" w:type="dxa"/>
            <w:gridSpan w:val="2"/>
            <w:vMerge/>
            <w:tcBorders>
              <w:top w:val="nil"/>
              <w:left w:val="single" w:sz="8" w:space="0" w:color="auto"/>
              <w:bottom w:val="single" w:sz="4" w:space="0" w:color="000000"/>
              <w:right w:val="single" w:sz="4" w:space="0" w:color="auto"/>
            </w:tcBorders>
            <w:vAlign w:val="center"/>
            <w:hideMark/>
          </w:tcPr>
          <w:p w14:paraId="38A928AE" w14:textId="77777777" w:rsidR="00683F4A" w:rsidRPr="003B552F" w:rsidRDefault="00683F4A" w:rsidP="009657E1">
            <w:pPr>
              <w:spacing w:after="0"/>
              <w:jc w:val="left"/>
              <w:rPr>
                <w:rFonts w:ascii="Arial Narrow" w:eastAsia="Times New Roman" w:hAnsi="Arial Narrow"/>
                <w:b/>
                <w:bCs/>
                <w:sz w:val="20"/>
                <w:szCs w:val="20"/>
                <w:lang w:eastAsia="en-GB"/>
              </w:rPr>
            </w:pPr>
          </w:p>
        </w:tc>
        <w:tc>
          <w:tcPr>
            <w:tcW w:w="7842" w:type="dxa"/>
            <w:gridSpan w:val="5"/>
            <w:tcBorders>
              <w:top w:val="single" w:sz="4" w:space="0" w:color="auto"/>
              <w:left w:val="nil"/>
              <w:bottom w:val="single" w:sz="4" w:space="0" w:color="auto"/>
              <w:right w:val="single" w:sz="4" w:space="0" w:color="000000"/>
            </w:tcBorders>
            <w:shd w:val="clear" w:color="auto" w:fill="auto"/>
            <w:hideMark/>
          </w:tcPr>
          <w:p w14:paraId="4C8A6F5B" w14:textId="5C1E84FA" w:rsidR="00683F4A" w:rsidRPr="00CD56B9" w:rsidRDefault="00683F4A" w:rsidP="009657E1">
            <w:pPr>
              <w:spacing w:after="0"/>
              <w:jc w:val="left"/>
              <w:rPr>
                <w:rFonts w:ascii="Arial Narrow" w:eastAsia="Times New Roman" w:hAnsi="Arial Narrow"/>
                <w:sz w:val="20"/>
                <w:szCs w:val="20"/>
                <w:lang w:val="en-US" w:eastAsia="en-GB"/>
              </w:rPr>
            </w:pPr>
            <w:r w:rsidRPr="00CD56B9">
              <w:rPr>
                <w:rFonts w:ascii="Arial Narrow" w:eastAsia="Times New Roman" w:hAnsi="Arial Narrow"/>
                <w:sz w:val="20"/>
                <w:szCs w:val="20"/>
                <w:lang w:val="en-US" w:eastAsia="en-GB"/>
              </w:rPr>
              <w:t xml:space="preserve">L: IRD institutional structures and systems (RGCs, Satellite Millennium </w:t>
            </w:r>
            <w:r w:rsidR="003F4020" w:rsidRPr="00CD56B9">
              <w:rPr>
                <w:rFonts w:ascii="Arial Narrow" w:eastAsia="Times New Roman" w:hAnsi="Arial Narrow"/>
                <w:sz w:val="20"/>
                <w:szCs w:val="20"/>
                <w:lang w:val="en-US" w:eastAsia="en-GB"/>
              </w:rPr>
              <w:t>Village</w:t>
            </w:r>
            <w:r w:rsidRPr="00CD56B9">
              <w:rPr>
                <w:rFonts w:ascii="Arial Narrow" w:eastAsia="Times New Roman" w:hAnsi="Arial Narrow"/>
                <w:sz w:val="20"/>
                <w:szCs w:val="20"/>
                <w:lang w:val="en-US" w:eastAsia="en-GB"/>
              </w:rPr>
              <w:t>) in place (UNDP)</w:t>
            </w:r>
          </w:p>
        </w:tc>
        <w:tc>
          <w:tcPr>
            <w:tcW w:w="1230" w:type="dxa"/>
            <w:tcBorders>
              <w:top w:val="nil"/>
              <w:left w:val="nil"/>
              <w:bottom w:val="single" w:sz="4" w:space="0" w:color="auto"/>
              <w:right w:val="single" w:sz="4" w:space="0" w:color="auto"/>
            </w:tcBorders>
            <w:shd w:val="clear" w:color="auto" w:fill="auto"/>
            <w:hideMark/>
          </w:tcPr>
          <w:p w14:paraId="75DECF38" w14:textId="77777777" w:rsidR="00683F4A" w:rsidRPr="003B552F" w:rsidRDefault="00683F4A" w:rsidP="009657E1">
            <w:pPr>
              <w:spacing w:after="0"/>
              <w:jc w:val="left"/>
              <w:rPr>
                <w:rFonts w:ascii="Arial Narrow" w:eastAsia="Times New Roman" w:hAnsi="Arial Narrow"/>
                <w:sz w:val="20"/>
                <w:szCs w:val="20"/>
                <w:lang w:eastAsia="en-GB"/>
              </w:rPr>
            </w:pPr>
            <w:r w:rsidRPr="003B552F">
              <w:rPr>
                <w:rFonts w:ascii="Arial Narrow" w:eastAsia="Times New Roman" w:hAnsi="Arial Narrow"/>
                <w:sz w:val="20"/>
                <w:szCs w:val="20"/>
                <w:lang w:eastAsia="en-GB"/>
              </w:rPr>
              <w:t>UNDP</w:t>
            </w:r>
          </w:p>
        </w:tc>
        <w:tc>
          <w:tcPr>
            <w:tcW w:w="953" w:type="dxa"/>
            <w:tcBorders>
              <w:top w:val="nil"/>
              <w:left w:val="nil"/>
              <w:bottom w:val="single" w:sz="4" w:space="0" w:color="auto"/>
              <w:right w:val="single" w:sz="4" w:space="0" w:color="auto"/>
            </w:tcBorders>
            <w:shd w:val="clear" w:color="auto" w:fill="auto"/>
            <w:hideMark/>
          </w:tcPr>
          <w:p w14:paraId="7FC09D63"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150,000 </w:t>
            </w:r>
          </w:p>
        </w:tc>
        <w:tc>
          <w:tcPr>
            <w:tcW w:w="1037" w:type="dxa"/>
            <w:gridSpan w:val="3"/>
            <w:tcBorders>
              <w:top w:val="nil"/>
              <w:left w:val="nil"/>
              <w:bottom w:val="single" w:sz="4" w:space="0" w:color="auto"/>
              <w:right w:val="single" w:sz="4" w:space="0" w:color="auto"/>
            </w:tcBorders>
            <w:shd w:val="clear" w:color="auto" w:fill="auto"/>
            <w:noWrap/>
            <w:hideMark/>
          </w:tcPr>
          <w:p w14:paraId="1B62DD85"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700,000 </w:t>
            </w:r>
          </w:p>
        </w:tc>
        <w:tc>
          <w:tcPr>
            <w:tcW w:w="986" w:type="dxa"/>
            <w:tcBorders>
              <w:top w:val="nil"/>
              <w:left w:val="nil"/>
              <w:bottom w:val="single" w:sz="4" w:space="0" w:color="auto"/>
              <w:right w:val="single" w:sz="4" w:space="0" w:color="auto"/>
            </w:tcBorders>
            <w:shd w:val="clear" w:color="auto" w:fill="auto"/>
            <w:noWrap/>
            <w:hideMark/>
          </w:tcPr>
          <w:p w14:paraId="3AD90937"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500,000 </w:t>
            </w:r>
          </w:p>
        </w:tc>
        <w:tc>
          <w:tcPr>
            <w:tcW w:w="1134" w:type="dxa"/>
            <w:tcBorders>
              <w:top w:val="nil"/>
              <w:left w:val="nil"/>
              <w:bottom w:val="single" w:sz="4" w:space="0" w:color="auto"/>
              <w:right w:val="single" w:sz="8" w:space="0" w:color="auto"/>
            </w:tcBorders>
            <w:shd w:val="clear" w:color="auto" w:fill="auto"/>
            <w:hideMark/>
          </w:tcPr>
          <w:p w14:paraId="33434AEA"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1,350,000 </w:t>
            </w:r>
          </w:p>
        </w:tc>
      </w:tr>
      <w:tr w:rsidR="00683F4A" w:rsidRPr="007D425D" w14:paraId="17717198" w14:textId="77777777" w:rsidTr="009657E1">
        <w:trPr>
          <w:trHeight w:val="179"/>
          <w:jc w:val="center"/>
        </w:trPr>
        <w:tc>
          <w:tcPr>
            <w:tcW w:w="1570" w:type="dxa"/>
            <w:gridSpan w:val="2"/>
            <w:vMerge/>
            <w:tcBorders>
              <w:top w:val="nil"/>
              <w:left w:val="single" w:sz="8" w:space="0" w:color="auto"/>
              <w:bottom w:val="single" w:sz="4" w:space="0" w:color="000000"/>
              <w:right w:val="single" w:sz="4" w:space="0" w:color="auto"/>
            </w:tcBorders>
            <w:vAlign w:val="center"/>
            <w:hideMark/>
          </w:tcPr>
          <w:p w14:paraId="38309BE4" w14:textId="77777777" w:rsidR="00683F4A" w:rsidRPr="003B552F" w:rsidRDefault="00683F4A" w:rsidP="009657E1">
            <w:pPr>
              <w:spacing w:after="0"/>
              <w:jc w:val="left"/>
              <w:rPr>
                <w:rFonts w:ascii="Arial Narrow" w:eastAsia="Times New Roman" w:hAnsi="Arial Narrow"/>
                <w:b/>
                <w:bCs/>
                <w:sz w:val="20"/>
                <w:szCs w:val="20"/>
                <w:lang w:eastAsia="en-GB"/>
              </w:rPr>
            </w:pPr>
          </w:p>
        </w:tc>
        <w:tc>
          <w:tcPr>
            <w:tcW w:w="7842" w:type="dxa"/>
            <w:gridSpan w:val="5"/>
            <w:tcBorders>
              <w:top w:val="single" w:sz="4" w:space="0" w:color="auto"/>
              <w:left w:val="nil"/>
              <w:bottom w:val="nil"/>
              <w:right w:val="single" w:sz="4" w:space="0" w:color="000000"/>
            </w:tcBorders>
            <w:shd w:val="clear" w:color="auto" w:fill="auto"/>
            <w:vAlign w:val="bottom"/>
            <w:hideMark/>
          </w:tcPr>
          <w:p w14:paraId="3BD93B3E" w14:textId="77777777" w:rsidR="00683F4A" w:rsidRPr="00CD56B9" w:rsidRDefault="00683F4A" w:rsidP="009657E1">
            <w:pPr>
              <w:spacing w:after="0"/>
              <w:jc w:val="left"/>
              <w:rPr>
                <w:rFonts w:ascii="Arial Narrow" w:eastAsia="Times New Roman" w:hAnsi="Arial Narrow"/>
                <w:sz w:val="20"/>
                <w:szCs w:val="20"/>
                <w:lang w:val="en-US" w:eastAsia="en-GB"/>
              </w:rPr>
            </w:pPr>
            <w:r w:rsidRPr="00CD56B9">
              <w:rPr>
                <w:rFonts w:ascii="Arial Narrow" w:eastAsia="Times New Roman" w:hAnsi="Arial Narrow"/>
                <w:sz w:val="20"/>
                <w:szCs w:val="20"/>
                <w:lang w:val="en-US" w:eastAsia="en-GB"/>
              </w:rPr>
              <w:t>M: 10 District Councils designated as being child friendly (UNICEF).</w:t>
            </w:r>
          </w:p>
        </w:tc>
        <w:tc>
          <w:tcPr>
            <w:tcW w:w="1230" w:type="dxa"/>
            <w:tcBorders>
              <w:top w:val="nil"/>
              <w:left w:val="nil"/>
              <w:bottom w:val="nil"/>
              <w:right w:val="single" w:sz="4" w:space="0" w:color="auto"/>
            </w:tcBorders>
            <w:shd w:val="clear" w:color="auto" w:fill="auto"/>
            <w:vAlign w:val="bottom"/>
            <w:hideMark/>
          </w:tcPr>
          <w:p w14:paraId="17C282F5" w14:textId="77777777" w:rsidR="00683F4A" w:rsidRPr="003B552F" w:rsidRDefault="00683F4A" w:rsidP="009657E1">
            <w:pPr>
              <w:spacing w:after="0"/>
              <w:jc w:val="left"/>
              <w:rPr>
                <w:rFonts w:ascii="Arial Narrow" w:eastAsia="Times New Roman" w:hAnsi="Arial Narrow"/>
                <w:sz w:val="20"/>
                <w:szCs w:val="20"/>
                <w:lang w:eastAsia="en-GB"/>
              </w:rPr>
            </w:pPr>
            <w:r w:rsidRPr="003B552F">
              <w:rPr>
                <w:rFonts w:ascii="Arial Narrow" w:eastAsia="Times New Roman" w:hAnsi="Arial Narrow"/>
                <w:sz w:val="20"/>
                <w:szCs w:val="20"/>
                <w:lang w:eastAsia="en-GB"/>
              </w:rPr>
              <w:t>UNICEF</w:t>
            </w:r>
          </w:p>
        </w:tc>
        <w:tc>
          <w:tcPr>
            <w:tcW w:w="953" w:type="dxa"/>
            <w:tcBorders>
              <w:top w:val="nil"/>
              <w:left w:val="nil"/>
              <w:bottom w:val="nil"/>
              <w:right w:val="single" w:sz="4" w:space="0" w:color="auto"/>
            </w:tcBorders>
            <w:shd w:val="clear" w:color="auto" w:fill="auto"/>
            <w:noWrap/>
            <w:hideMark/>
          </w:tcPr>
          <w:p w14:paraId="1C26A4C8"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50,234 </w:t>
            </w:r>
          </w:p>
        </w:tc>
        <w:tc>
          <w:tcPr>
            <w:tcW w:w="1037" w:type="dxa"/>
            <w:gridSpan w:val="3"/>
            <w:tcBorders>
              <w:top w:val="nil"/>
              <w:left w:val="nil"/>
              <w:bottom w:val="nil"/>
              <w:right w:val="single" w:sz="4" w:space="0" w:color="auto"/>
            </w:tcBorders>
            <w:shd w:val="clear" w:color="auto" w:fill="auto"/>
            <w:noWrap/>
            <w:hideMark/>
          </w:tcPr>
          <w:p w14:paraId="118C53D7"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w:t>
            </w:r>
          </w:p>
        </w:tc>
        <w:tc>
          <w:tcPr>
            <w:tcW w:w="986" w:type="dxa"/>
            <w:tcBorders>
              <w:top w:val="nil"/>
              <w:left w:val="nil"/>
              <w:bottom w:val="nil"/>
              <w:right w:val="single" w:sz="4" w:space="0" w:color="auto"/>
            </w:tcBorders>
            <w:shd w:val="clear" w:color="auto" w:fill="auto"/>
            <w:noWrap/>
            <w:hideMark/>
          </w:tcPr>
          <w:p w14:paraId="4F792803"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43,334 </w:t>
            </w:r>
          </w:p>
        </w:tc>
        <w:tc>
          <w:tcPr>
            <w:tcW w:w="1134" w:type="dxa"/>
            <w:tcBorders>
              <w:top w:val="nil"/>
              <w:left w:val="nil"/>
              <w:bottom w:val="nil"/>
              <w:right w:val="single" w:sz="8" w:space="0" w:color="auto"/>
            </w:tcBorders>
            <w:shd w:val="clear" w:color="auto" w:fill="auto"/>
            <w:hideMark/>
          </w:tcPr>
          <w:p w14:paraId="7600CAD0"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93,568 </w:t>
            </w:r>
          </w:p>
        </w:tc>
      </w:tr>
      <w:tr w:rsidR="00683F4A" w:rsidRPr="007D425D" w14:paraId="14A0FB72" w14:textId="77777777" w:rsidTr="009657E1">
        <w:trPr>
          <w:trHeight w:val="179"/>
          <w:jc w:val="center"/>
        </w:trPr>
        <w:tc>
          <w:tcPr>
            <w:tcW w:w="1570" w:type="dxa"/>
            <w:gridSpan w:val="2"/>
            <w:vMerge/>
            <w:tcBorders>
              <w:top w:val="nil"/>
              <w:left w:val="single" w:sz="8" w:space="0" w:color="auto"/>
              <w:bottom w:val="single" w:sz="4" w:space="0" w:color="000000"/>
              <w:right w:val="single" w:sz="4" w:space="0" w:color="auto"/>
            </w:tcBorders>
            <w:vAlign w:val="center"/>
            <w:hideMark/>
          </w:tcPr>
          <w:p w14:paraId="761F9A93" w14:textId="77777777" w:rsidR="00683F4A" w:rsidRPr="003B552F" w:rsidRDefault="00683F4A" w:rsidP="009657E1">
            <w:pPr>
              <w:spacing w:after="0"/>
              <w:jc w:val="left"/>
              <w:rPr>
                <w:rFonts w:ascii="Arial Narrow" w:eastAsia="Times New Roman" w:hAnsi="Arial Narrow"/>
                <w:b/>
                <w:bCs/>
                <w:sz w:val="20"/>
                <w:szCs w:val="20"/>
                <w:lang w:eastAsia="en-GB"/>
              </w:rPr>
            </w:pPr>
          </w:p>
        </w:tc>
        <w:tc>
          <w:tcPr>
            <w:tcW w:w="7842" w:type="dxa"/>
            <w:gridSpan w:val="5"/>
            <w:tcBorders>
              <w:top w:val="single" w:sz="8" w:space="0" w:color="auto"/>
              <w:left w:val="single" w:sz="8" w:space="0" w:color="auto"/>
              <w:bottom w:val="single" w:sz="8" w:space="0" w:color="auto"/>
              <w:right w:val="single" w:sz="4" w:space="0" w:color="000000"/>
            </w:tcBorders>
            <w:shd w:val="clear" w:color="auto" w:fill="auto"/>
            <w:hideMark/>
          </w:tcPr>
          <w:p w14:paraId="3579E8BF" w14:textId="19E05658" w:rsidR="00683F4A" w:rsidRPr="00CD56B9" w:rsidRDefault="00683F4A" w:rsidP="009657E1">
            <w:pPr>
              <w:spacing w:after="0"/>
              <w:jc w:val="left"/>
              <w:rPr>
                <w:rFonts w:ascii="Arial Narrow" w:eastAsia="Times New Roman" w:hAnsi="Arial Narrow"/>
                <w:b/>
                <w:bCs/>
                <w:color w:val="FF0000"/>
                <w:sz w:val="20"/>
                <w:szCs w:val="20"/>
                <w:lang w:val="en-US" w:eastAsia="en-GB"/>
              </w:rPr>
            </w:pPr>
            <w:r w:rsidRPr="00CD56B9">
              <w:rPr>
                <w:rFonts w:ascii="Arial Narrow" w:eastAsia="Times New Roman" w:hAnsi="Arial Narrow"/>
                <w:b/>
                <w:bCs/>
                <w:color w:val="FF0000"/>
                <w:sz w:val="20"/>
                <w:szCs w:val="20"/>
                <w:lang w:val="en-US" w:eastAsia="en-GB"/>
              </w:rPr>
              <w:t xml:space="preserve">4.1.3-Total Budget for </w:t>
            </w:r>
            <w:r w:rsidR="003F4020" w:rsidRPr="00CD56B9">
              <w:rPr>
                <w:rFonts w:ascii="Arial Narrow" w:eastAsia="Times New Roman" w:hAnsi="Arial Narrow"/>
                <w:b/>
                <w:bCs/>
                <w:color w:val="FF0000"/>
                <w:sz w:val="20"/>
                <w:szCs w:val="20"/>
                <w:lang w:val="en-US" w:eastAsia="en-GB"/>
              </w:rPr>
              <w:t>Annualized</w:t>
            </w:r>
            <w:r w:rsidRPr="00CD56B9">
              <w:rPr>
                <w:rFonts w:ascii="Arial Narrow" w:eastAsia="Times New Roman" w:hAnsi="Arial Narrow"/>
                <w:b/>
                <w:bCs/>
                <w:color w:val="FF0000"/>
                <w:sz w:val="20"/>
                <w:szCs w:val="20"/>
                <w:lang w:val="en-US" w:eastAsia="en-GB"/>
              </w:rPr>
              <w:t xml:space="preserve"> Key Results for 2015</w:t>
            </w:r>
          </w:p>
        </w:tc>
        <w:tc>
          <w:tcPr>
            <w:tcW w:w="1230" w:type="dxa"/>
            <w:tcBorders>
              <w:top w:val="single" w:sz="8" w:space="0" w:color="auto"/>
              <w:left w:val="nil"/>
              <w:bottom w:val="single" w:sz="8" w:space="0" w:color="auto"/>
              <w:right w:val="single" w:sz="4" w:space="0" w:color="auto"/>
            </w:tcBorders>
            <w:shd w:val="clear" w:color="auto" w:fill="auto"/>
            <w:vAlign w:val="bottom"/>
            <w:hideMark/>
          </w:tcPr>
          <w:p w14:paraId="20E2BE3B" w14:textId="77777777" w:rsidR="00683F4A" w:rsidRPr="00CD56B9" w:rsidRDefault="00683F4A" w:rsidP="009657E1">
            <w:pPr>
              <w:spacing w:after="0"/>
              <w:jc w:val="left"/>
              <w:rPr>
                <w:rFonts w:ascii="Arial Narrow" w:eastAsia="Times New Roman" w:hAnsi="Arial Narrow"/>
                <w:b/>
                <w:bCs/>
                <w:color w:val="FF0000"/>
                <w:sz w:val="20"/>
                <w:szCs w:val="20"/>
                <w:lang w:val="en-US" w:eastAsia="en-GB"/>
              </w:rPr>
            </w:pPr>
            <w:r w:rsidRPr="00CD56B9">
              <w:rPr>
                <w:rFonts w:ascii="Arial Narrow" w:eastAsia="Times New Roman" w:hAnsi="Arial Narrow"/>
                <w:b/>
                <w:bCs/>
                <w:color w:val="FF0000"/>
                <w:sz w:val="20"/>
                <w:szCs w:val="20"/>
                <w:lang w:val="en-US" w:eastAsia="en-GB"/>
              </w:rPr>
              <w:t> </w:t>
            </w:r>
          </w:p>
        </w:tc>
        <w:tc>
          <w:tcPr>
            <w:tcW w:w="953" w:type="dxa"/>
            <w:tcBorders>
              <w:top w:val="single" w:sz="8" w:space="0" w:color="auto"/>
              <w:left w:val="nil"/>
              <w:bottom w:val="single" w:sz="8" w:space="0" w:color="auto"/>
              <w:right w:val="single" w:sz="4" w:space="0" w:color="auto"/>
            </w:tcBorders>
            <w:shd w:val="clear" w:color="auto" w:fill="auto"/>
            <w:noWrap/>
            <w:hideMark/>
          </w:tcPr>
          <w:p w14:paraId="35A8A4EB" w14:textId="77777777" w:rsidR="00683F4A" w:rsidRPr="003B552F" w:rsidRDefault="00683F4A" w:rsidP="009657E1">
            <w:pPr>
              <w:spacing w:after="0"/>
              <w:jc w:val="right"/>
              <w:rPr>
                <w:rFonts w:ascii="Arial Narrow" w:eastAsia="Times New Roman" w:hAnsi="Arial Narrow"/>
                <w:b/>
                <w:bCs/>
                <w:color w:val="FF0000"/>
                <w:sz w:val="20"/>
                <w:szCs w:val="20"/>
                <w:lang w:eastAsia="en-GB"/>
              </w:rPr>
            </w:pPr>
            <w:r w:rsidRPr="00CD56B9">
              <w:rPr>
                <w:rFonts w:ascii="Arial Narrow" w:eastAsia="Times New Roman" w:hAnsi="Arial Narrow"/>
                <w:b/>
                <w:bCs/>
                <w:color w:val="FF0000"/>
                <w:sz w:val="20"/>
                <w:szCs w:val="20"/>
                <w:lang w:val="en-US" w:eastAsia="en-GB"/>
              </w:rPr>
              <w:t xml:space="preserve">           </w:t>
            </w:r>
            <w:r w:rsidRPr="003B552F">
              <w:rPr>
                <w:rFonts w:ascii="Arial Narrow" w:eastAsia="Times New Roman" w:hAnsi="Arial Narrow"/>
                <w:b/>
                <w:bCs/>
                <w:color w:val="FF0000"/>
                <w:sz w:val="20"/>
                <w:szCs w:val="20"/>
                <w:lang w:eastAsia="en-GB"/>
              </w:rPr>
              <w:t xml:space="preserve">400,234 </w:t>
            </w:r>
          </w:p>
        </w:tc>
        <w:tc>
          <w:tcPr>
            <w:tcW w:w="1037" w:type="dxa"/>
            <w:gridSpan w:val="3"/>
            <w:tcBorders>
              <w:top w:val="single" w:sz="8" w:space="0" w:color="auto"/>
              <w:left w:val="nil"/>
              <w:bottom w:val="single" w:sz="8" w:space="0" w:color="auto"/>
              <w:right w:val="single" w:sz="4" w:space="0" w:color="auto"/>
            </w:tcBorders>
            <w:shd w:val="clear" w:color="auto" w:fill="auto"/>
            <w:noWrap/>
            <w:hideMark/>
          </w:tcPr>
          <w:p w14:paraId="21CB89CA" w14:textId="77777777" w:rsidR="00683F4A" w:rsidRPr="003B552F" w:rsidRDefault="00683F4A" w:rsidP="009657E1">
            <w:pPr>
              <w:spacing w:after="0"/>
              <w:jc w:val="right"/>
              <w:rPr>
                <w:rFonts w:ascii="Arial Narrow" w:eastAsia="Times New Roman" w:hAnsi="Arial Narrow"/>
                <w:b/>
                <w:bCs/>
                <w:color w:val="FF0000"/>
                <w:sz w:val="20"/>
                <w:szCs w:val="20"/>
                <w:lang w:eastAsia="en-GB"/>
              </w:rPr>
            </w:pPr>
            <w:r w:rsidRPr="003B552F">
              <w:rPr>
                <w:rFonts w:ascii="Arial Narrow" w:eastAsia="Times New Roman" w:hAnsi="Arial Narrow"/>
                <w:b/>
                <w:bCs/>
                <w:color w:val="FF0000"/>
                <w:sz w:val="20"/>
                <w:szCs w:val="20"/>
                <w:lang w:eastAsia="en-GB"/>
              </w:rPr>
              <w:t xml:space="preserve">            700,000 </w:t>
            </w:r>
          </w:p>
        </w:tc>
        <w:tc>
          <w:tcPr>
            <w:tcW w:w="986" w:type="dxa"/>
            <w:tcBorders>
              <w:top w:val="single" w:sz="8" w:space="0" w:color="auto"/>
              <w:left w:val="nil"/>
              <w:bottom w:val="single" w:sz="8" w:space="0" w:color="auto"/>
              <w:right w:val="single" w:sz="4" w:space="0" w:color="auto"/>
            </w:tcBorders>
            <w:shd w:val="clear" w:color="auto" w:fill="auto"/>
            <w:noWrap/>
            <w:hideMark/>
          </w:tcPr>
          <w:p w14:paraId="1871C9A0" w14:textId="77777777" w:rsidR="00683F4A" w:rsidRPr="003B552F" w:rsidRDefault="00683F4A" w:rsidP="009657E1">
            <w:pPr>
              <w:spacing w:after="0"/>
              <w:jc w:val="right"/>
              <w:rPr>
                <w:rFonts w:ascii="Arial Narrow" w:eastAsia="Times New Roman" w:hAnsi="Arial Narrow"/>
                <w:b/>
                <w:bCs/>
                <w:color w:val="FF0000"/>
                <w:sz w:val="20"/>
                <w:szCs w:val="20"/>
                <w:lang w:eastAsia="en-GB"/>
              </w:rPr>
            </w:pPr>
            <w:r w:rsidRPr="003B552F">
              <w:rPr>
                <w:rFonts w:ascii="Arial Narrow" w:eastAsia="Times New Roman" w:hAnsi="Arial Narrow"/>
                <w:b/>
                <w:bCs/>
                <w:color w:val="FF0000"/>
                <w:sz w:val="20"/>
                <w:szCs w:val="20"/>
                <w:lang w:eastAsia="en-GB"/>
              </w:rPr>
              <w:t xml:space="preserve">           543,334 </w:t>
            </w:r>
          </w:p>
        </w:tc>
        <w:tc>
          <w:tcPr>
            <w:tcW w:w="1134" w:type="dxa"/>
            <w:tcBorders>
              <w:top w:val="single" w:sz="8" w:space="0" w:color="auto"/>
              <w:left w:val="nil"/>
              <w:bottom w:val="single" w:sz="8" w:space="0" w:color="auto"/>
              <w:right w:val="single" w:sz="8" w:space="0" w:color="auto"/>
            </w:tcBorders>
            <w:shd w:val="clear" w:color="auto" w:fill="auto"/>
            <w:hideMark/>
          </w:tcPr>
          <w:p w14:paraId="6050BE4A" w14:textId="77777777" w:rsidR="00683F4A" w:rsidRPr="003B552F" w:rsidRDefault="00683F4A" w:rsidP="009657E1">
            <w:pPr>
              <w:spacing w:after="0"/>
              <w:jc w:val="right"/>
              <w:rPr>
                <w:rFonts w:ascii="Arial Narrow" w:eastAsia="Times New Roman" w:hAnsi="Arial Narrow"/>
                <w:b/>
                <w:bCs/>
                <w:color w:val="FF0000"/>
                <w:sz w:val="20"/>
                <w:szCs w:val="20"/>
                <w:lang w:eastAsia="en-GB"/>
              </w:rPr>
            </w:pPr>
            <w:r w:rsidRPr="003B552F">
              <w:rPr>
                <w:rFonts w:ascii="Arial Narrow" w:eastAsia="Times New Roman" w:hAnsi="Arial Narrow"/>
                <w:b/>
                <w:bCs/>
                <w:color w:val="FF0000"/>
                <w:sz w:val="20"/>
                <w:szCs w:val="20"/>
                <w:lang w:eastAsia="en-GB"/>
              </w:rPr>
              <w:t xml:space="preserve">          1,643,568 </w:t>
            </w:r>
          </w:p>
        </w:tc>
      </w:tr>
      <w:tr w:rsidR="00683F4A" w:rsidRPr="007D425D" w14:paraId="639F9409" w14:textId="77777777" w:rsidTr="009657E1">
        <w:trPr>
          <w:trHeight w:val="168"/>
          <w:jc w:val="center"/>
        </w:trPr>
        <w:tc>
          <w:tcPr>
            <w:tcW w:w="1570" w:type="dxa"/>
            <w:gridSpan w:val="2"/>
            <w:vMerge w:val="restart"/>
            <w:tcBorders>
              <w:top w:val="nil"/>
              <w:left w:val="single" w:sz="8" w:space="0" w:color="auto"/>
              <w:bottom w:val="nil"/>
              <w:right w:val="nil"/>
            </w:tcBorders>
            <w:shd w:val="clear" w:color="auto" w:fill="auto"/>
            <w:hideMark/>
          </w:tcPr>
          <w:p w14:paraId="7EDB00BA" w14:textId="77777777" w:rsidR="00683F4A" w:rsidRPr="003B552F" w:rsidRDefault="00683F4A" w:rsidP="009657E1">
            <w:pPr>
              <w:spacing w:after="0"/>
              <w:jc w:val="left"/>
              <w:rPr>
                <w:rFonts w:ascii="Arial Narrow" w:eastAsia="Times New Roman" w:hAnsi="Arial Narrow"/>
                <w:b/>
                <w:bCs/>
                <w:sz w:val="20"/>
                <w:szCs w:val="20"/>
                <w:lang w:eastAsia="en-GB"/>
              </w:rPr>
            </w:pPr>
            <w:r w:rsidRPr="003B552F">
              <w:rPr>
                <w:rFonts w:ascii="Arial Narrow" w:eastAsia="Times New Roman" w:hAnsi="Arial Narrow"/>
                <w:b/>
                <w:bCs/>
                <w:sz w:val="20"/>
                <w:szCs w:val="20"/>
                <w:lang w:eastAsia="en-GB"/>
              </w:rPr>
              <w:t>Annualized Key Results 2016</w:t>
            </w:r>
          </w:p>
        </w:tc>
        <w:tc>
          <w:tcPr>
            <w:tcW w:w="7842" w:type="dxa"/>
            <w:gridSpan w:val="5"/>
            <w:tcBorders>
              <w:top w:val="nil"/>
              <w:left w:val="single" w:sz="4" w:space="0" w:color="auto"/>
              <w:bottom w:val="single" w:sz="4" w:space="0" w:color="auto"/>
              <w:right w:val="single" w:sz="4" w:space="0" w:color="000000"/>
            </w:tcBorders>
            <w:shd w:val="clear" w:color="auto" w:fill="auto"/>
            <w:vAlign w:val="bottom"/>
            <w:hideMark/>
          </w:tcPr>
          <w:p w14:paraId="32B7E83E" w14:textId="77777777" w:rsidR="00683F4A" w:rsidRPr="00CD56B9" w:rsidRDefault="00683F4A" w:rsidP="009657E1">
            <w:pPr>
              <w:spacing w:after="0"/>
              <w:jc w:val="left"/>
              <w:rPr>
                <w:rFonts w:ascii="Arial Narrow" w:eastAsia="Times New Roman" w:hAnsi="Arial Narrow"/>
                <w:sz w:val="20"/>
                <w:szCs w:val="20"/>
                <w:lang w:val="en-US" w:eastAsia="en-GB"/>
              </w:rPr>
            </w:pPr>
            <w:r w:rsidRPr="00CD56B9">
              <w:rPr>
                <w:rFonts w:ascii="Arial Narrow" w:eastAsia="Times New Roman" w:hAnsi="Arial Narrow"/>
                <w:sz w:val="20"/>
                <w:szCs w:val="20"/>
                <w:lang w:val="en-US" w:eastAsia="en-GB"/>
              </w:rPr>
              <w:t>D: Children's councils at district level established and integrated within local development planning framework at all districts with formalized/legalized status (UNICEF)</w:t>
            </w:r>
          </w:p>
        </w:tc>
        <w:tc>
          <w:tcPr>
            <w:tcW w:w="1230" w:type="dxa"/>
            <w:tcBorders>
              <w:top w:val="nil"/>
              <w:left w:val="nil"/>
              <w:bottom w:val="single" w:sz="4" w:space="0" w:color="auto"/>
              <w:right w:val="single" w:sz="4" w:space="0" w:color="auto"/>
            </w:tcBorders>
            <w:shd w:val="clear" w:color="auto" w:fill="auto"/>
            <w:vAlign w:val="bottom"/>
            <w:hideMark/>
          </w:tcPr>
          <w:p w14:paraId="545551FD" w14:textId="77777777" w:rsidR="00683F4A" w:rsidRPr="003B552F" w:rsidRDefault="00683F4A" w:rsidP="009657E1">
            <w:pPr>
              <w:spacing w:after="0"/>
              <w:jc w:val="left"/>
              <w:rPr>
                <w:rFonts w:ascii="Arial Narrow" w:eastAsia="Times New Roman" w:hAnsi="Arial Narrow"/>
                <w:sz w:val="20"/>
                <w:szCs w:val="20"/>
                <w:lang w:eastAsia="en-GB"/>
              </w:rPr>
            </w:pPr>
            <w:r w:rsidRPr="003B552F">
              <w:rPr>
                <w:rFonts w:ascii="Arial Narrow" w:eastAsia="Times New Roman" w:hAnsi="Arial Narrow"/>
                <w:sz w:val="20"/>
                <w:szCs w:val="20"/>
                <w:lang w:eastAsia="en-GB"/>
              </w:rPr>
              <w:t>UNICEF</w:t>
            </w:r>
          </w:p>
        </w:tc>
        <w:tc>
          <w:tcPr>
            <w:tcW w:w="953" w:type="dxa"/>
            <w:tcBorders>
              <w:top w:val="nil"/>
              <w:left w:val="nil"/>
              <w:bottom w:val="single" w:sz="4" w:space="0" w:color="auto"/>
              <w:right w:val="single" w:sz="4" w:space="0" w:color="auto"/>
            </w:tcBorders>
            <w:shd w:val="clear" w:color="auto" w:fill="auto"/>
            <w:hideMark/>
          </w:tcPr>
          <w:p w14:paraId="68372AFA"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50,234 </w:t>
            </w:r>
          </w:p>
        </w:tc>
        <w:tc>
          <w:tcPr>
            <w:tcW w:w="1037" w:type="dxa"/>
            <w:gridSpan w:val="3"/>
            <w:tcBorders>
              <w:top w:val="nil"/>
              <w:left w:val="nil"/>
              <w:bottom w:val="single" w:sz="4" w:space="0" w:color="auto"/>
              <w:right w:val="single" w:sz="4" w:space="0" w:color="auto"/>
            </w:tcBorders>
            <w:shd w:val="clear" w:color="auto" w:fill="auto"/>
            <w:hideMark/>
          </w:tcPr>
          <w:p w14:paraId="2778B162"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w:t>
            </w:r>
          </w:p>
        </w:tc>
        <w:tc>
          <w:tcPr>
            <w:tcW w:w="986" w:type="dxa"/>
            <w:tcBorders>
              <w:top w:val="nil"/>
              <w:left w:val="nil"/>
              <w:bottom w:val="single" w:sz="4" w:space="0" w:color="auto"/>
              <w:right w:val="single" w:sz="4" w:space="0" w:color="auto"/>
            </w:tcBorders>
            <w:shd w:val="clear" w:color="auto" w:fill="auto"/>
            <w:hideMark/>
          </w:tcPr>
          <w:p w14:paraId="5C39BA0B"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43,334 </w:t>
            </w:r>
          </w:p>
        </w:tc>
        <w:tc>
          <w:tcPr>
            <w:tcW w:w="1134" w:type="dxa"/>
            <w:tcBorders>
              <w:top w:val="nil"/>
              <w:left w:val="nil"/>
              <w:bottom w:val="single" w:sz="4" w:space="0" w:color="auto"/>
              <w:right w:val="single" w:sz="8" w:space="0" w:color="auto"/>
            </w:tcBorders>
            <w:shd w:val="clear" w:color="auto" w:fill="auto"/>
            <w:hideMark/>
          </w:tcPr>
          <w:p w14:paraId="2DA30FBD"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93,568 </w:t>
            </w:r>
          </w:p>
        </w:tc>
      </w:tr>
      <w:tr w:rsidR="00683F4A" w:rsidRPr="007D425D" w14:paraId="31EFA42C" w14:textId="77777777" w:rsidTr="009657E1">
        <w:trPr>
          <w:trHeight w:val="168"/>
          <w:jc w:val="center"/>
        </w:trPr>
        <w:tc>
          <w:tcPr>
            <w:tcW w:w="1570" w:type="dxa"/>
            <w:gridSpan w:val="2"/>
            <w:vMerge/>
            <w:tcBorders>
              <w:top w:val="nil"/>
              <w:left w:val="single" w:sz="8" w:space="0" w:color="auto"/>
              <w:bottom w:val="nil"/>
              <w:right w:val="nil"/>
            </w:tcBorders>
            <w:vAlign w:val="center"/>
            <w:hideMark/>
          </w:tcPr>
          <w:p w14:paraId="7BFEF6F5" w14:textId="77777777" w:rsidR="00683F4A" w:rsidRPr="003B552F" w:rsidRDefault="00683F4A" w:rsidP="009657E1">
            <w:pPr>
              <w:spacing w:after="0"/>
              <w:jc w:val="left"/>
              <w:rPr>
                <w:rFonts w:ascii="Arial Narrow" w:eastAsia="Times New Roman" w:hAnsi="Arial Narrow"/>
                <w:b/>
                <w:bCs/>
                <w:sz w:val="20"/>
                <w:szCs w:val="20"/>
                <w:lang w:eastAsia="en-GB"/>
              </w:rPr>
            </w:pPr>
          </w:p>
        </w:tc>
        <w:tc>
          <w:tcPr>
            <w:tcW w:w="7842"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7F54FF19" w14:textId="4E5D3A8B" w:rsidR="00683F4A" w:rsidRPr="00CD56B9" w:rsidRDefault="00683F4A" w:rsidP="009657E1">
            <w:pPr>
              <w:spacing w:after="0"/>
              <w:jc w:val="left"/>
              <w:rPr>
                <w:rFonts w:ascii="Arial Narrow" w:eastAsia="Times New Roman" w:hAnsi="Arial Narrow"/>
                <w:sz w:val="20"/>
                <w:szCs w:val="20"/>
                <w:lang w:val="en-US" w:eastAsia="en-GB"/>
              </w:rPr>
            </w:pPr>
            <w:r w:rsidRPr="00CD56B9">
              <w:rPr>
                <w:rFonts w:ascii="Arial Narrow" w:eastAsia="Times New Roman" w:hAnsi="Arial Narrow"/>
                <w:sz w:val="20"/>
                <w:szCs w:val="20"/>
                <w:lang w:val="en-US" w:eastAsia="en-GB"/>
              </w:rPr>
              <w:t xml:space="preserve">F: </w:t>
            </w:r>
            <w:r w:rsidR="003F4020" w:rsidRPr="00CD56B9">
              <w:rPr>
                <w:rFonts w:ascii="Arial Narrow" w:eastAsia="Times New Roman" w:hAnsi="Arial Narrow"/>
                <w:sz w:val="20"/>
                <w:szCs w:val="20"/>
                <w:lang w:val="en-US" w:eastAsia="en-GB"/>
              </w:rPr>
              <w:t>12 additional</w:t>
            </w:r>
            <w:r w:rsidRPr="00CD56B9">
              <w:rPr>
                <w:rFonts w:ascii="Arial Narrow" w:eastAsia="Times New Roman" w:hAnsi="Arial Narrow"/>
                <w:sz w:val="20"/>
                <w:szCs w:val="20"/>
                <w:lang w:val="en-US" w:eastAsia="en-GB"/>
              </w:rPr>
              <w:t xml:space="preserve"> districts have developed local economic development strategies (UNCDF).</w:t>
            </w:r>
          </w:p>
        </w:tc>
        <w:tc>
          <w:tcPr>
            <w:tcW w:w="1230" w:type="dxa"/>
            <w:tcBorders>
              <w:top w:val="nil"/>
              <w:left w:val="nil"/>
              <w:bottom w:val="single" w:sz="4" w:space="0" w:color="auto"/>
              <w:right w:val="single" w:sz="4" w:space="0" w:color="auto"/>
            </w:tcBorders>
            <w:shd w:val="clear" w:color="auto" w:fill="auto"/>
            <w:hideMark/>
          </w:tcPr>
          <w:p w14:paraId="7ACB6A13" w14:textId="77777777" w:rsidR="00683F4A" w:rsidRPr="003B552F" w:rsidRDefault="00683F4A" w:rsidP="009657E1">
            <w:pPr>
              <w:spacing w:after="0"/>
              <w:jc w:val="left"/>
              <w:rPr>
                <w:rFonts w:ascii="Arial Narrow" w:eastAsia="Times New Roman" w:hAnsi="Arial Narrow"/>
                <w:sz w:val="20"/>
                <w:szCs w:val="20"/>
                <w:lang w:eastAsia="en-GB"/>
              </w:rPr>
            </w:pPr>
            <w:r w:rsidRPr="003B552F">
              <w:rPr>
                <w:rFonts w:ascii="Arial Narrow" w:eastAsia="Times New Roman" w:hAnsi="Arial Narrow"/>
                <w:sz w:val="20"/>
                <w:szCs w:val="20"/>
                <w:lang w:eastAsia="en-GB"/>
              </w:rPr>
              <w:t>UNCDF</w:t>
            </w:r>
          </w:p>
        </w:tc>
        <w:tc>
          <w:tcPr>
            <w:tcW w:w="953" w:type="dxa"/>
            <w:tcBorders>
              <w:top w:val="nil"/>
              <w:left w:val="nil"/>
              <w:bottom w:val="single" w:sz="4" w:space="0" w:color="auto"/>
              <w:right w:val="single" w:sz="4" w:space="0" w:color="auto"/>
            </w:tcBorders>
            <w:shd w:val="clear" w:color="auto" w:fill="auto"/>
            <w:hideMark/>
          </w:tcPr>
          <w:p w14:paraId="68B14ED0"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50,000 </w:t>
            </w:r>
          </w:p>
        </w:tc>
        <w:tc>
          <w:tcPr>
            <w:tcW w:w="1037" w:type="dxa"/>
            <w:gridSpan w:val="3"/>
            <w:tcBorders>
              <w:top w:val="nil"/>
              <w:left w:val="nil"/>
              <w:bottom w:val="single" w:sz="4" w:space="0" w:color="auto"/>
              <w:right w:val="single" w:sz="4" w:space="0" w:color="auto"/>
            </w:tcBorders>
            <w:shd w:val="clear" w:color="auto" w:fill="auto"/>
            <w:hideMark/>
          </w:tcPr>
          <w:p w14:paraId="752981C3"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w:t>
            </w:r>
          </w:p>
        </w:tc>
        <w:tc>
          <w:tcPr>
            <w:tcW w:w="986" w:type="dxa"/>
            <w:tcBorders>
              <w:top w:val="nil"/>
              <w:left w:val="nil"/>
              <w:bottom w:val="single" w:sz="4" w:space="0" w:color="auto"/>
              <w:right w:val="single" w:sz="4" w:space="0" w:color="auto"/>
            </w:tcBorders>
            <w:shd w:val="clear" w:color="auto" w:fill="auto"/>
            <w:hideMark/>
          </w:tcPr>
          <w:p w14:paraId="54640DE0"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w:t>
            </w:r>
          </w:p>
        </w:tc>
        <w:tc>
          <w:tcPr>
            <w:tcW w:w="1134" w:type="dxa"/>
            <w:tcBorders>
              <w:top w:val="nil"/>
              <w:left w:val="nil"/>
              <w:bottom w:val="single" w:sz="4" w:space="0" w:color="auto"/>
              <w:right w:val="single" w:sz="8" w:space="0" w:color="auto"/>
            </w:tcBorders>
            <w:shd w:val="clear" w:color="auto" w:fill="auto"/>
            <w:hideMark/>
          </w:tcPr>
          <w:p w14:paraId="1D7523EB"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50,000 </w:t>
            </w:r>
          </w:p>
        </w:tc>
      </w:tr>
      <w:tr w:rsidR="00683F4A" w:rsidRPr="007D425D" w14:paraId="0B9DD9C8" w14:textId="77777777" w:rsidTr="009657E1">
        <w:trPr>
          <w:trHeight w:val="168"/>
          <w:jc w:val="center"/>
        </w:trPr>
        <w:tc>
          <w:tcPr>
            <w:tcW w:w="1570" w:type="dxa"/>
            <w:gridSpan w:val="2"/>
            <w:vMerge/>
            <w:tcBorders>
              <w:top w:val="nil"/>
              <w:left w:val="single" w:sz="8" w:space="0" w:color="auto"/>
              <w:bottom w:val="nil"/>
              <w:right w:val="nil"/>
            </w:tcBorders>
            <w:vAlign w:val="center"/>
            <w:hideMark/>
          </w:tcPr>
          <w:p w14:paraId="5179EF7E" w14:textId="77777777" w:rsidR="00683F4A" w:rsidRPr="003B552F" w:rsidRDefault="00683F4A" w:rsidP="009657E1">
            <w:pPr>
              <w:spacing w:after="0"/>
              <w:jc w:val="left"/>
              <w:rPr>
                <w:rFonts w:ascii="Arial Narrow" w:eastAsia="Times New Roman" w:hAnsi="Arial Narrow"/>
                <w:b/>
                <w:bCs/>
                <w:sz w:val="20"/>
                <w:szCs w:val="20"/>
                <w:lang w:eastAsia="en-GB"/>
              </w:rPr>
            </w:pPr>
          </w:p>
        </w:tc>
        <w:tc>
          <w:tcPr>
            <w:tcW w:w="7842" w:type="dxa"/>
            <w:gridSpan w:val="5"/>
            <w:vMerge w:val="restart"/>
            <w:tcBorders>
              <w:top w:val="single" w:sz="4" w:space="0" w:color="auto"/>
              <w:left w:val="single" w:sz="4" w:space="0" w:color="auto"/>
              <w:bottom w:val="single" w:sz="4" w:space="0" w:color="000000"/>
              <w:right w:val="single" w:sz="4" w:space="0" w:color="000000"/>
            </w:tcBorders>
            <w:shd w:val="clear" w:color="auto" w:fill="auto"/>
            <w:hideMark/>
          </w:tcPr>
          <w:p w14:paraId="4DE5A7DD" w14:textId="699BD8C2" w:rsidR="00683F4A" w:rsidRPr="00CD56B9" w:rsidRDefault="00683F4A" w:rsidP="009657E1">
            <w:pPr>
              <w:spacing w:after="0"/>
              <w:jc w:val="left"/>
              <w:rPr>
                <w:rFonts w:ascii="Arial Narrow" w:eastAsia="Times New Roman" w:hAnsi="Arial Narrow"/>
                <w:sz w:val="20"/>
                <w:szCs w:val="20"/>
                <w:lang w:val="en-US" w:eastAsia="en-GB"/>
              </w:rPr>
            </w:pPr>
            <w:r w:rsidRPr="00CD56B9">
              <w:rPr>
                <w:rFonts w:ascii="Arial Narrow" w:eastAsia="Times New Roman" w:hAnsi="Arial Narrow"/>
                <w:sz w:val="20"/>
                <w:szCs w:val="20"/>
                <w:lang w:val="en-US" w:eastAsia="en-GB"/>
              </w:rPr>
              <w:t xml:space="preserve">N: New UNDP and UNCDF strategy on </w:t>
            </w:r>
            <w:r w:rsidR="003F4020" w:rsidRPr="00CD56B9">
              <w:rPr>
                <w:rFonts w:ascii="Arial Narrow" w:eastAsia="Times New Roman" w:hAnsi="Arial Narrow"/>
                <w:sz w:val="20"/>
                <w:szCs w:val="20"/>
                <w:lang w:val="en-US" w:eastAsia="en-GB"/>
              </w:rPr>
              <w:t>decentralization</w:t>
            </w:r>
            <w:r w:rsidRPr="00CD56B9">
              <w:rPr>
                <w:rFonts w:ascii="Arial Narrow" w:eastAsia="Times New Roman" w:hAnsi="Arial Narrow"/>
                <w:sz w:val="20"/>
                <w:szCs w:val="20"/>
                <w:lang w:val="en-US" w:eastAsia="en-GB"/>
              </w:rPr>
              <w:t xml:space="preserve"> and local development developed (UNDP).</w:t>
            </w:r>
          </w:p>
        </w:tc>
        <w:tc>
          <w:tcPr>
            <w:tcW w:w="1230" w:type="dxa"/>
            <w:tcBorders>
              <w:top w:val="nil"/>
              <w:left w:val="nil"/>
              <w:bottom w:val="single" w:sz="4" w:space="0" w:color="auto"/>
              <w:right w:val="single" w:sz="4" w:space="0" w:color="auto"/>
            </w:tcBorders>
            <w:shd w:val="clear" w:color="auto" w:fill="auto"/>
            <w:hideMark/>
          </w:tcPr>
          <w:p w14:paraId="7E65A31F" w14:textId="77777777" w:rsidR="00683F4A" w:rsidRPr="003B552F" w:rsidRDefault="00683F4A" w:rsidP="009657E1">
            <w:pPr>
              <w:spacing w:after="0"/>
              <w:jc w:val="left"/>
              <w:rPr>
                <w:rFonts w:ascii="Arial Narrow" w:eastAsia="Times New Roman" w:hAnsi="Arial Narrow"/>
                <w:sz w:val="20"/>
                <w:szCs w:val="20"/>
                <w:lang w:eastAsia="en-GB"/>
              </w:rPr>
            </w:pPr>
            <w:r w:rsidRPr="003B552F">
              <w:rPr>
                <w:rFonts w:ascii="Arial Narrow" w:eastAsia="Times New Roman" w:hAnsi="Arial Narrow"/>
                <w:sz w:val="20"/>
                <w:szCs w:val="20"/>
                <w:lang w:eastAsia="en-GB"/>
              </w:rPr>
              <w:t>UNDP</w:t>
            </w:r>
          </w:p>
        </w:tc>
        <w:tc>
          <w:tcPr>
            <w:tcW w:w="953" w:type="dxa"/>
            <w:tcBorders>
              <w:top w:val="nil"/>
              <w:left w:val="nil"/>
              <w:bottom w:val="single" w:sz="4" w:space="0" w:color="auto"/>
              <w:right w:val="single" w:sz="4" w:space="0" w:color="auto"/>
            </w:tcBorders>
            <w:shd w:val="clear" w:color="auto" w:fill="auto"/>
            <w:hideMark/>
          </w:tcPr>
          <w:p w14:paraId="1C2FD44D"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50,000 </w:t>
            </w:r>
          </w:p>
        </w:tc>
        <w:tc>
          <w:tcPr>
            <w:tcW w:w="1037" w:type="dxa"/>
            <w:gridSpan w:val="3"/>
            <w:tcBorders>
              <w:top w:val="nil"/>
              <w:left w:val="nil"/>
              <w:bottom w:val="single" w:sz="4" w:space="0" w:color="auto"/>
              <w:right w:val="single" w:sz="4" w:space="0" w:color="auto"/>
            </w:tcBorders>
            <w:shd w:val="clear" w:color="auto" w:fill="auto"/>
            <w:hideMark/>
          </w:tcPr>
          <w:p w14:paraId="71F04125"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w:t>
            </w:r>
          </w:p>
        </w:tc>
        <w:tc>
          <w:tcPr>
            <w:tcW w:w="986" w:type="dxa"/>
            <w:tcBorders>
              <w:top w:val="nil"/>
              <w:left w:val="nil"/>
              <w:bottom w:val="single" w:sz="4" w:space="0" w:color="auto"/>
              <w:right w:val="single" w:sz="4" w:space="0" w:color="auto"/>
            </w:tcBorders>
            <w:shd w:val="clear" w:color="auto" w:fill="auto"/>
            <w:hideMark/>
          </w:tcPr>
          <w:p w14:paraId="29002AF8"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w:t>
            </w:r>
          </w:p>
        </w:tc>
        <w:tc>
          <w:tcPr>
            <w:tcW w:w="1134" w:type="dxa"/>
            <w:tcBorders>
              <w:top w:val="nil"/>
              <w:left w:val="nil"/>
              <w:bottom w:val="single" w:sz="4" w:space="0" w:color="auto"/>
              <w:right w:val="single" w:sz="8" w:space="0" w:color="auto"/>
            </w:tcBorders>
            <w:shd w:val="clear" w:color="auto" w:fill="auto"/>
            <w:hideMark/>
          </w:tcPr>
          <w:p w14:paraId="067D2FC2"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50,000 </w:t>
            </w:r>
          </w:p>
        </w:tc>
      </w:tr>
      <w:tr w:rsidR="00683F4A" w:rsidRPr="007D425D" w14:paraId="702FF5BA" w14:textId="77777777" w:rsidTr="009657E1">
        <w:trPr>
          <w:trHeight w:val="168"/>
          <w:jc w:val="center"/>
        </w:trPr>
        <w:tc>
          <w:tcPr>
            <w:tcW w:w="1570" w:type="dxa"/>
            <w:gridSpan w:val="2"/>
            <w:vMerge/>
            <w:tcBorders>
              <w:top w:val="nil"/>
              <w:left w:val="single" w:sz="8" w:space="0" w:color="auto"/>
              <w:bottom w:val="nil"/>
              <w:right w:val="nil"/>
            </w:tcBorders>
            <w:vAlign w:val="center"/>
            <w:hideMark/>
          </w:tcPr>
          <w:p w14:paraId="41B878E4" w14:textId="77777777" w:rsidR="00683F4A" w:rsidRPr="003B552F" w:rsidRDefault="00683F4A" w:rsidP="009657E1">
            <w:pPr>
              <w:spacing w:after="0"/>
              <w:jc w:val="left"/>
              <w:rPr>
                <w:rFonts w:ascii="Arial Narrow" w:eastAsia="Times New Roman" w:hAnsi="Arial Narrow"/>
                <w:b/>
                <w:bCs/>
                <w:sz w:val="20"/>
                <w:szCs w:val="20"/>
                <w:lang w:eastAsia="en-GB"/>
              </w:rPr>
            </w:pPr>
          </w:p>
        </w:tc>
        <w:tc>
          <w:tcPr>
            <w:tcW w:w="7842" w:type="dxa"/>
            <w:gridSpan w:val="5"/>
            <w:vMerge/>
            <w:tcBorders>
              <w:top w:val="single" w:sz="4" w:space="0" w:color="auto"/>
              <w:left w:val="single" w:sz="4" w:space="0" w:color="auto"/>
              <w:bottom w:val="single" w:sz="4" w:space="0" w:color="000000"/>
              <w:right w:val="single" w:sz="4" w:space="0" w:color="000000"/>
            </w:tcBorders>
            <w:vAlign w:val="center"/>
            <w:hideMark/>
          </w:tcPr>
          <w:p w14:paraId="5D02953F" w14:textId="77777777" w:rsidR="00683F4A" w:rsidRPr="003B552F" w:rsidRDefault="00683F4A" w:rsidP="009657E1">
            <w:pPr>
              <w:spacing w:after="0"/>
              <w:jc w:val="left"/>
              <w:rPr>
                <w:rFonts w:ascii="Arial Narrow" w:eastAsia="Times New Roman" w:hAnsi="Arial Narrow"/>
                <w:sz w:val="20"/>
                <w:szCs w:val="20"/>
                <w:lang w:eastAsia="en-GB"/>
              </w:rPr>
            </w:pPr>
          </w:p>
        </w:tc>
        <w:tc>
          <w:tcPr>
            <w:tcW w:w="1230" w:type="dxa"/>
            <w:tcBorders>
              <w:top w:val="nil"/>
              <w:left w:val="nil"/>
              <w:bottom w:val="single" w:sz="4" w:space="0" w:color="auto"/>
              <w:right w:val="single" w:sz="4" w:space="0" w:color="auto"/>
            </w:tcBorders>
            <w:shd w:val="clear" w:color="auto" w:fill="auto"/>
            <w:hideMark/>
          </w:tcPr>
          <w:p w14:paraId="47248A99" w14:textId="77777777" w:rsidR="00683F4A" w:rsidRPr="003B552F" w:rsidRDefault="00683F4A" w:rsidP="009657E1">
            <w:pPr>
              <w:spacing w:after="0"/>
              <w:jc w:val="left"/>
              <w:rPr>
                <w:rFonts w:ascii="Arial Narrow" w:eastAsia="Times New Roman" w:hAnsi="Arial Narrow"/>
                <w:sz w:val="20"/>
                <w:szCs w:val="20"/>
                <w:lang w:eastAsia="en-GB"/>
              </w:rPr>
            </w:pPr>
            <w:r w:rsidRPr="003B552F">
              <w:rPr>
                <w:rFonts w:ascii="Arial Narrow" w:eastAsia="Times New Roman" w:hAnsi="Arial Narrow"/>
                <w:sz w:val="20"/>
                <w:szCs w:val="20"/>
                <w:lang w:eastAsia="en-GB"/>
              </w:rPr>
              <w:t>UNCDF</w:t>
            </w:r>
          </w:p>
        </w:tc>
        <w:tc>
          <w:tcPr>
            <w:tcW w:w="953" w:type="dxa"/>
            <w:tcBorders>
              <w:top w:val="nil"/>
              <w:left w:val="nil"/>
              <w:bottom w:val="single" w:sz="4" w:space="0" w:color="auto"/>
              <w:right w:val="single" w:sz="4" w:space="0" w:color="auto"/>
            </w:tcBorders>
            <w:shd w:val="clear" w:color="auto" w:fill="auto"/>
            <w:hideMark/>
          </w:tcPr>
          <w:p w14:paraId="5FE5DAF5"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50,000 </w:t>
            </w:r>
          </w:p>
        </w:tc>
        <w:tc>
          <w:tcPr>
            <w:tcW w:w="1037" w:type="dxa"/>
            <w:gridSpan w:val="3"/>
            <w:tcBorders>
              <w:top w:val="nil"/>
              <w:left w:val="nil"/>
              <w:bottom w:val="single" w:sz="4" w:space="0" w:color="auto"/>
              <w:right w:val="single" w:sz="4" w:space="0" w:color="auto"/>
            </w:tcBorders>
            <w:shd w:val="clear" w:color="auto" w:fill="auto"/>
            <w:hideMark/>
          </w:tcPr>
          <w:p w14:paraId="100DDEDF"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w:t>
            </w:r>
          </w:p>
        </w:tc>
        <w:tc>
          <w:tcPr>
            <w:tcW w:w="986" w:type="dxa"/>
            <w:tcBorders>
              <w:top w:val="nil"/>
              <w:left w:val="nil"/>
              <w:bottom w:val="single" w:sz="4" w:space="0" w:color="auto"/>
              <w:right w:val="single" w:sz="4" w:space="0" w:color="auto"/>
            </w:tcBorders>
            <w:shd w:val="clear" w:color="auto" w:fill="auto"/>
            <w:hideMark/>
          </w:tcPr>
          <w:p w14:paraId="7F2BB9C5"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w:t>
            </w:r>
          </w:p>
        </w:tc>
        <w:tc>
          <w:tcPr>
            <w:tcW w:w="1134" w:type="dxa"/>
            <w:tcBorders>
              <w:top w:val="nil"/>
              <w:left w:val="nil"/>
              <w:bottom w:val="single" w:sz="4" w:space="0" w:color="auto"/>
              <w:right w:val="single" w:sz="8" w:space="0" w:color="auto"/>
            </w:tcBorders>
            <w:shd w:val="clear" w:color="auto" w:fill="auto"/>
            <w:hideMark/>
          </w:tcPr>
          <w:p w14:paraId="4B82B393"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50,000 </w:t>
            </w:r>
          </w:p>
        </w:tc>
      </w:tr>
      <w:tr w:rsidR="00683F4A" w:rsidRPr="007D425D" w14:paraId="75D5E421" w14:textId="77777777" w:rsidTr="009657E1">
        <w:trPr>
          <w:trHeight w:val="179"/>
          <w:jc w:val="center"/>
        </w:trPr>
        <w:tc>
          <w:tcPr>
            <w:tcW w:w="1570" w:type="dxa"/>
            <w:gridSpan w:val="2"/>
            <w:vMerge/>
            <w:tcBorders>
              <w:top w:val="nil"/>
              <w:left w:val="single" w:sz="8" w:space="0" w:color="auto"/>
              <w:bottom w:val="nil"/>
              <w:right w:val="nil"/>
            </w:tcBorders>
            <w:vAlign w:val="center"/>
            <w:hideMark/>
          </w:tcPr>
          <w:p w14:paraId="7AF2CCEA" w14:textId="77777777" w:rsidR="00683F4A" w:rsidRPr="003B552F" w:rsidRDefault="00683F4A" w:rsidP="009657E1">
            <w:pPr>
              <w:spacing w:after="0"/>
              <w:jc w:val="left"/>
              <w:rPr>
                <w:rFonts w:ascii="Arial Narrow" w:eastAsia="Times New Roman" w:hAnsi="Arial Narrow"/>
                <w:b/>
                <w:bCs/>
                <w:sz w:val="20"/>
                <w:szCs w:val="20"/>
                <w:lang w:eastAsia="en-GB"/>
              </w:rPr>
            </w:pPr>
          </w:p>
        </w:tc>
        <w:tc>
          <w:tcPr>
            <w:tcW w:w="7842" w:type="dxa"/>
            <w:gridSpan w:val="5"/>
            <w:tcBorders>
              <w:top w:val="single" w:sz="4" w:space="0" w:color="auto"/>
              <w:left w:val="single" w:sz="4" w:space="0" w:color="auto"/>
              <w:bottom w:val="nil"/>
              <w:right w:val="single" w:sz="4" w:space="0" w:color="000000"/>
            </w:tcBorders>
            <w:shd w:val="clear" w:color="auto" w:fill="auto"/>
            <w:hideMark/>
          </w:tcPr>
          <w:p w14:paraId="4FAC2006" w14:textId="1AD78AC2" w:rsidR="00683F4A" w:rsidRPr="00CD56B9" w:rsidRDefault="00683F4A" w:rsidP="009657E1">
            <w:pPr>
              <w:spacing w:after="0"/>
              <w:jc w:val="left"/>
              <w:rPr>
                <w:rFonts w:ascii="Arial Narrow" w:eastAsia="Times New Roman" w:hAnsi="Arial Narrow"/>
                <w:sz w:val="20"/>
                <w:szCs w:val="20"/>
                <w:lang w:val="en-US" w:eastAsia="en-GB"/>
              </w:rPr>
            </w:pPr>
            <w:r w:rsidRPr="00CD56B9">
              <w:rPr>
                <w:rFonts w:ascii="Arial Narrow" w:eastAsia="Times New Roman" w:hAnsi="Arial Narrow"/>
                <w:sz w:val="20"/>
                <w:szCs w:val="20"/>
                <w:lang w:val="en-US" w:eastAsia="en-GB"/>
              </w:rPr>
              <w:t xml:space="preserve">O: IRD framework and structures for joint </w:t>
            </w:r>
            <w:r w:rsidR="003F4020" w:rsidRPr="00CD56B9">
              <w:rPr>
                <w:rFonts w:ascii="Arial Narrow" w:eastAsia="Times New Roman" w:hAnsi="Arial Narrow"/>
                <w:sz w:val="20"/>
                <w:szCs w:val="20"/>
                <w:lang w:val="en-US" w:eastAsia="en-GB"/>
              </w:rPr>
              <w:t>planning, implementation</w:t>
            </w:r>
            <w:r w:rsidRPr="00CD56B9">
              <w:rPr>
                <w:rFonts w:ascii="Arial Narrow" w:eastAsia="Times New Roman" w:hAnsi="Arial Narrow"/>
                <w:sz w:val="20"/>
                <w:szCs w:val="20"/>
                <w:lang w:val="en-US" w:eastAsia="en-GB"/>
              </w:rPr>
              <w:t>, and monitoring in place (UNDP).</w:t>
            </w:r>
          </w:p>
        </w:tc>
        <w:tc>
          <w:tcPr>
            <w:tcW w:w="1230" w:type="dxa"/>
            <w:tcBorders>
              <w:top w:val="nil"/>
              <w:left w:val="nil"/>
              <w:bottom w:val="nil"/>
              <w:right w:val="single" w:sz="4" w:space="0" w:color="auto"/>
            </w:tcBorders>
            <w:shd w:val="clear" w:color="auto" w:fill="auto"/>
            <w:hideMark/>
          </w:tcPr>
          <w:p w14:paraId="19555921" w14:textId="77777777" w:rsidR="00683F4A" w:rsidRPr="003B552F" w:rsidRDefault="00683F4A" w:rsidP="009657E1">
            <w:pPr>
              <w:spacing w:after="0"/>
              <w:jc w:val="left"/>
              <w:rPr>
                <w:rFonts w:ascii="Arial Narrow" w:eastAsia="Times New Roman" w:hAnsi="Arial Narrow"/>
                <w:sz w:val="20"/>
                <w:szCs w:val="20"/>
                <w:lang w:eastAsia="en-GB"/>
              </w:rPr>
            </w:pPr>
            <w:r w:rsidRPr="003B552F">
              <w:rPr>
                <w:rFonts w:ascii="Arial Narrow" w:eastAsia="Times New Roman" w:hAnsi="Arial Narrow"/>
                <w:sz w:val="20"/>
                <w:szCs w:val="20"/>
                <w:lang w:eastAsia="en-GB"/>
              </w:rPr>
              <w:t>UNDP</w:t>
            </w:r>
          </w:p>
        </w:tc>
        <w:tc>
          <w:tcPr>
            <w:tcW w:w="953" w:type="dxa"/>
            <w:tcBorders>
              <w:top w:val="nil"/>
              <w:left w:val="nil"/>
              <w:bottom w:val="nil"/>
              <w:right w:val="single" w:sz="4" w:space="0" w:color="auto"/>
            </w:tcBorders>
            <w:shd w:val="clear" w:color="auto" w:fill="auto"/>
            <w:hideMark/>
          </w:tcPr>
          <w:p w14:paraId="7A48FD62"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100,000 </w:t>
            </w:r>
          </w:p>
        </w:tc>
        <w:tc>
          <w:tcPr>
            <w:tcW w:w="1037" w:type="dxa"/>
            <w:gridSpan w:val="3"/>
            <w:tcBorders>
              <w:top w:val="nil"/>
              <w:left w:val="nil"/>
              <w:bottom w:val="nil"/>
              <w:right w:val="single" w:sz="4" w:space="0" w:color="auto"/>
            </w:tcBorders>
            <w:shd w:val="clear" w:color="auto" w:fill="auto"/>
            <w:hideMark/>
          </w:tcPr>
          <w:p w14:paraId="5D2D93DB"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600,000 </w:t>
            </w:r>
          </w:p>
        </w:tc>
        <w:tc>
          <w:tcPr>
            <w:tcW w:w="986" w:type="dxa"/>
            <w:tcBorders>
              <w:top w:val="nil"/>
              <w:left w:val="nil"/>
              <w:bottom w:val="nil"/>
              <w:right w:val="single" w:sz="4" w:space="0" w:color="auto"/>
            </w:tcBorders>
            <w:shd w:val="clear" w:color="auto" w:fill="auto"/>
            <w:hideMark/>
          </w:tcPr>
          <w:p w14:paraId="388E311E"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500,000 </w:t>
            </w:r>
          </w:p>
        </w:tc>
        <w:tc>
          <w:tcPr>
            <w:tcW w:w="1134" w:type="dxa"/>
            <w:tcBorders>
              <w:top w:val="nil"/>
              <w:left w:val="nil"/>
              <w:bottom w:val="nil"/>
              <w:right w:val="single" w:sz="8" w:space="0" w:color="auto"/>
            </w:tcBorders>
            <w:shd w:val="clear" w:color="auto" w:fill="auto"/>
            <w:hideMark/>
          </w:tcPr>
          <w:p w14:paraId="41FF2FB4"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1,200,000 </w:t>
            </w:r>
          </w:p>
        </w:tc>
      </w:tr>
      <w:tr w:rsidR="00683F4A" w:rsidRPr="007D425D" w14:paraId="7F55B57F" w14:textId="77777777" w:rsidTr="009657E1">
        <w:trPr>
          <w:trHeight w:val="179"/>
          <w:jc w:val="center"/>
        </w:trPr>
        <w:tc>
          <w:tcPr>
            <w:tcW w:w="1570" w:type="dxa"/>
            <w:gridSpan w:val="2"/>
            <w:vMerge/>
            <w:tcBorders>
              <w:top w:val="nil"/>
              <w:left w:val="single" w:sz="8" w:space="0" w:color="auto"/>
              <w:bottom w:val="nil"/>
              <w:right w:val="nil"/>
            </w:tcBorders>
            <w:vAlign w:val="center"/>
            <w:hideMark/>
          </w:tcPr>
          <w:p w14:paraId="299DBABA" w14:textId="77777777" w:rsidR="00683F4A" w:rsidRPr="003B552F" w:rsidRDefault="00683F4A" w:rsidP="009657E1">
            <w:pPr>
              <w:spacing w:after="0"/>
              <w:jc w:val="left"/>
              <w:rPr>
                <w:rFonts w:ascii="Arial Narrow" w:eastAsia="Times New Roman" w:hAnsi="Arial Narrow"/>
                <w:b/>
                <w:bCs/>
                <w:sz w:val="20"/>
                <w:szCs w:val="20"/>
                <w:lang w:eastAsia="en-GB"/>
              </w:rPr>
            </w:pPr>
          </w:p>
        </w:tc>
        <w:tc>
          <w:tcPr>
            <w:tcW w:w="7842" w:type="dxa"/>
            <w:gridSpan w:val="5"/>
            <w:tcBorders>
              <w:top w:val="single" w:sz="8" w:space="0" w:color="auto"/>
              <w:left w:val="single" w:sz="8" w:space="0" w:color="auto"/>
              <w:bottom w:val="single" w:sz="8" w:space="0" w:color="auto"/>
              <w:right w:val="single" w:sz="4" w:space="0" w:color="000000"/>
            </w:tcBorders>
            <w:shd w:val="clear" w:color="auto" w:fill="auto"/>
            <w:hideMark/>
          </w:tcPr>
          <w:p w14:paraId="23114B69" w14:textId="59F2E6C1" w:rsidR="00683F4A" w:rsidRPr="00CD56B9" w:rsidRDefault="00683F4A" w:rsidP="009657E1">
            <w:pPr>
              <w:spacing w:after="0"/>
              <w:jc w:val="left"/>
              <w:rPr>
                <w:rFonts w:ascii="Arial Narrow" w:eastAsia="Times New Roman" w:hAnsi="Arial Narrow"/>
                <w:b/>
                <w:bCs/>
                <w:color w:val="FF0000"/>
                <w:sz w:val="20"/>
                <w:szCs w:val="20"/>
                <w:lang w:val="en-US" w:eastAsia="en-GB"/>
              </w:rPr>
            </w:pPr>
            <w:r w:rsidRPr="00CD56B9">
              <w:rPr>
                <w:rFonts w:ascii="Arial Narrow" w:eastAsia="Times New Roman" w:hAnsi="Arial Narrow"/>
                <w:b/>
                <w:bCs/>
                <w:color w:val="FF0000"/>
                <w:sz w:val="20"/>
                <w:szCs w:val="20"/>
                <w:lang w:val="en-US" w:eastAsia="en-GB"/>
              </w:rPr>
              <w:t xml:space="preserve">4.1.3-Total Budget for </w:t>
            </w:r>
            <w:r w:rsidR="003F4020" w:rsidRPr="00CD56B9">
              <w:rPr>
                <w:rFonts w:ascii="Arial Narrow" w:eastAsia="Times New Roman" w:hAnsi="Arial Narrow"/>
                <w:b/>
                <w:bCs/>
                <w:color w:val="FF0000"/>
                <w:sz w:val="20"/>
                <w:szCs w:val="20"/>
                <w:lang w:val="en-US" w:eastAsia="en-GB"/>
              </w:rPr>
              <w:t>Annualized</w:t>
            </w:r>
            <w:r w:rsidRPr="00CD56B9">
              <w:rPr>
                <w:rFonts w:ascii="Arial Narrow" w:eastAsia="Times New Roman" w:hAnsi="Arial Narrow"/>
                <w:b/>
                <w:bCs/>
                <w:color w:val="FF0000"/>
                <w:sz w:val="20"/>
                <w:szCs w:val="20"/>
                <w:lang w:val="en-US" w:eastAsia="en-GB"/>
              </w:rPr>
              <w:t xml:space="preserve"> Key Results for 2015</w:t>
            </w:r>
          </w:p>
        </w:tc>
        <w:tc>
          <w:tcPr>
            <w:tcW w:w="1230" w:type="dxa"/>
            <w:tcBorders>
              <w:top w:val="single" w:sz="8" w:space="0" w:color="auto"/>
              <w:left w:val="nil"/>
              <w:bottom w:val="single" w:sz="8" w:space="0" w:color="auto"/>
              <w:right w:val="single" w:sz="4" w:space="0" w:color="auto"/>
            </w:tcBorders>
            <w:shd w:val="clear" w:color="auto" w:fill="auto"/>
            <w:hideMark/>
          </w:tcPr>
          <w:p w14:paraId="6986CCD0" w14:textId="77777777" w:rsidR="00683F4A" w:rsidRPr="00CD56B9" w:rsidRDefault="00683F4A" w:rsidP="009657E1">
            <w:pPr>
              <w:spacing w:after="0"/>
              <w:jc w:val="left"/>
              <w:rPr>
                <w:rFonts w:ascii="Arial Narrow" w:eastAsia="Times New Roman" w:hAnsi="Arial Narrow"/>
                <w:sz w:val="20"/>
                <w:szCs w:val="20"/>
                <w:lang w:val="en-US" w:eastAsia="en-GB"/>
              </w:rPr>
            </w:pPr>
            <w:r w:rsidRPr="00CD56B9">
              <w:rPr>
                <w:rFonts w:ascii="Arial Narrow" w:eastAsia="Times New Roman" w:hAnsi="Arial Narrow"/>
                <w:sz w:val="20"/>
                <w:szCs w:val="20"/>
                <w:lang w:val="en-US" w:eastAsia="en-GB"/>
              </w:rPr>
              <w:t> </w:t>
            </w:r>
          </w:p>
        </w:tc>
        <w:tc>
          <w:tcPr>
            <w:tcW w:w="953" w:type="dxa"/>
            <w:tcBorders>
              <w:top w:val="single" w:sz="8" w:space="0" w:color="auto"/>
              <w:left w:val="nil"/>
              <w:bottom w:val="single" w:sz="8" w:space="0" w:color="auto"/>
              <w:right w:val="single" w:sz="4" w:space="0" w:color="auto"/>
            </w:tcBorders>
            <w:shd w:val="clear" w:color="auto" w:fill="auto"/>
            <w:hideMark/>
          </w:tcPr>
          <w:p w14:paraId="736C4750" w14:textId="77777777" w:rsidR="00683F4A" w:rsidRPr="003B552F" w:rsidRDefault="00683F4A" w:rsidP="009657E1">
            <w:pPr>
              <w:spacing w:after="0"/>
              <w:jc w:val="right"/>
              <w:rPr>
                <w:rFonts w:ascii="Arial Narrow" w:eastAsia="Times New Roman" w:hAnsi="Arial Narrow"/>
                <w:b/>
                <w:bCs/>
                <w:color w:val="FF0000"/>
                <w:sz w:val="20"/>
                <w:szCs w:val="20"/>
                <w:lang w:eastAsia="en-GB"/>
              </w:rPr>
            </w:pPr>
            <w:r w:rsidRPr="00CD56B9">
              <w:rPr>
                <w:rFonts w:ascii="Arial Narrow" w:eastAsia="Times New Roman" w:hAnsi="Arial Narrow"/>
                <w:b/>
                <w:bCs/>
                <w:color w:val="FF0000"/>
                <w:sz w:val="20"/>
                <w:szCs w:val="20"/>
                <w:lang w:val="en-US" w:eastAsia="en-GB"/>
              </w:rPr>
              <w:t xml:space="preserve">           </w:t>
            </w:r>
            <w:r w:rsidRPr="003B552F">
              <w:rPr>
                <w:rFonts w:ascii="Arial Narrow" w:eastAsia="Times New Roman" w:hAnsi="Arial Narrow"/>
                <w:b/>
                <w:bCs/>
                <w:color w:val="FF0000"/>
                <w:sz w:val="20"/>
                <w:szCs w:val="20"/>
                <w:lang w:eastAsia="en-GB"/>
              </w:rPr>
              <w:t xml:space="preserve">300,234 </w:t>
            </w:r>
          </w:p>
        </w:tc>
        <w:tc>
          <w:tcPr>
            <w:tcW w:w="1037" w:type="dxa"/>
            <w:gridSpan w:val="3"/>
            <w:tcBorders>
              <w:top w:val="single" w:sz="8" w:space="0" w:color="auto"/>
              <w:left w:val="nil"/>
              <w:bottom w:val="single" w:sz="8" w:space="0" w:color="auto"/>
              <w:right w:val="single" w:sz="4" w:space="0" w:color="auto"/>
            </w:tcBorders>
            <w:shd w:val="clear" w:color="auto" w:fill="auto"/>
            <w:hideMark/>
          </w:tcPr>
          <w:p w14:paraId="1BF8BCA7" w14:textId="77777777" w:rsidR="00683F4A" w:rsidRPr="003B552F" w:rsidRDefault="00683F4A" w:rsidP="009657E1">
            <w:pPr>
              <w:spacing w:after="0"/>
              <w:jc w:val="right"/>
              <w:rPr>
                <w:rFonts w:ascii="Arial Narrow" w:eastAsia="Times New Roman" w:hAnsi="Arial Narrow"/>
                <w:b/>
                <w:bCs/>
                <w:color w:val="FF0000"/>
                <w:sz w:val="20"/>
                <w:szCs w:val="20"/>
                <w:lang w:eastAsia="en-GB"/>
              </w:rPr>
            </w:pPr>
            <w:r w:rsidRPr="003B552F">
              <w:rPr>
                <w:rFonts w:ascii="Arial Narrow" w:eastAsia="Times New Roman" w:hAnsi="Arial Narrow"/>
                <w:b/>
                <w:bCs/>
                <w:color w:val="FF0000"/>
                <w:sz w:val="20"/>
                <w:szCs w:val="20"/>
                <w:lang w:eastAsia="en-GB"/>
              </w:rPr>
              <w:t xml:space="preserve">            600,000 </w:t>
            </w:r>
          </w:p>
        </w:tc>
        <w:tc>
          <w:tcPr>
            <w:tcW w:w="986" w:type="dxa"/>
            <w:tcBorders>
              <w:top w:val="single" w:sz="8" w:space="0" w:color="auto"/>
              <w:left w:val="nil"/>
              <w:bottom w:val="single" w:sz="8" w:space="0" w:color="auto"/>
              <w:right w:val="single" w:sz="4" w:space="0" w:color="auto"/>
            </w:tcBorders>
            <w:shd w:val="clear" w:color="auto" w:fill="auto"/>
            <w:hideMark/>
          </w:tcPr>
          <w:p w14:paraId="306A1E6C" w14:textId="77777777" w:rsidR="00683F4A" w:rsidRPr="003B552F" w:rsidRDefault="00683F4A" w:rsidP="009657E1">
            <w:pPr>
              <w:spacing w:after="0"/>
              <w:jc w:val="right"/>
              <w:rPr>
                <w:rFonts w:ascii="Arial Narrow" w:eastAsia="Times New Roman" w:hAnsi="Arial Narrow"/>
                <w:b/>
                <w:bCs/>
                <w:color w:val="FF0000"/>
                <w:sz w:val="20"/>
                <w:szCs w:val="20"/>
                <w:lang w:eastAsia="en-GB"/>
              </w:rPr>
            </w:pPr>
            <w:r w:rsidRPr="003B552F">
              <w:rPr>
                <w:rFonts w:ascii="Arial Narrow" w:eastAsia="Times New Roman" w:hAnsi="Arial Narrow"/>
                <w:b/>
                <w:bCs/>
                <w:color w:val="FF0000"/>
                <w:sz w:val="20"/>
                <w:szCs w:val="20"/>
                <w:lang w:eastAsia="en-GB"/>
              </w:rPr>
              <w:t xml:space="preserve">           543,334 </w:t>
            </w:r>
          </w:p>
        </w:tc>
        <w:tc>
          <w:tcPr>
            <w:tcW w:w="1134" w:type="dxa"/>
            <w:tcBorders>
              <w:top w:val="single" w:sz="8" w:space="0" w:color="auto"/>
              <w:left w:val="nil"/>
              <w:bottom w:val="single" w:sz="8" w:space="0" w:color="auto"/>
              <w:right w:val="single" w:sz="8" w:space="0" w:color="auto"/>
            </w:tcBorders>
            <w:shd w:val="clear" w:color="auto" w:fill="auto"/>
            <w:hideMark/>
          </w:tcPr>
          <w:p w14:paraId="721DE135" w14:textId="77777777" w:rsidR="00683F4A" w:rsidRPr="003B552F" w:rsidRDefault="00683F4A" w:rsidP="009657E1">
            <w:pPr>
              <w:spacing w:after="0"/>
              <w:jc w:val="right"/>
              <w:rPr>
                <w:rFonts w:ascii="Arial Narrow" w:eastAsia="Times New Roman" w:hAnsi="Arial Narrow"/>
                <w:b/>
                <w:bCs/>
                <w:color w:val="FF0000"/>
                <w:sz w:val="20"/>
                <w:szCs w:val="20"/>
                <w:lang w:eastAsia="en-GB"/>
              </w:rPr>
            </w:pPr>
            <w:r w:rsidRPr="003B552F">
              <w:rPr>
                <w:rFonts w:ascii="Arial Narrow" w:eastAsia="Times New Roman" w:hAnsi="Arial Narrow"/>
                <w:b/>
                <w:bCs/>
                <w:color w:val="FF0000"/>
                <w:sz w:val="20"/>
                <w:szCs w:val="20"/>
                <w:lang w:eastAsia="en-GB"/>
              </w:rPr>
              <w:t xml:space="preserve">          1,443,568 </w:t>
            </w:r>
          </w:p>
        </w:tc>
      </w:tr>
      <w:tr w:rsidR="00683F4A" w:rsidRPr="007D425D" w14:paraId="3AD89A38" w14:textId="77777777" w:rsidTr="009657E1">
        <w:trPr>
          <w:trHeight w:val="168"/>
          <w:jc w:val="center"/>
        </w:trPr>
        <w:tc>
          <w:tcPr>
            <w:tcW w:w="1570" w:type="dxa"/>
            <w:gridSpan w:val="2"/>
            <w:tcBorders>
              <w:top w:val="nil"/>
              <w:left w:val="single" w:sz="8" w:space="0" w:color="auto"/>
              <w:bottom w:val="single" w:sz="4" w:space="0" w:color="auto"/>
              <w:right w:val="single" w:sz="4" w:space="0" w:color="auto"/>
            </w:tcBorders>
            <w:shd w:val="clear" w:color="000000" w:fill="969696"/>
            <w:hideMark/>
          </w:tcPr>
          <w:p w14:paraId="1620C419" w14:textId="77777777" w:rsidR="00683F4A" w:rsidRPr="003B552F" w:rsidRDefault="00683F4A" w:rsidP="009657E1">
            <w:pPr>
              <w:spacing w:after="0"/>
              <w:jc w:val="left"/>
              <w:rPr>
                <w:rFonts w:ascii="Arial Narrow" w:eastAsia="Times New Roman" w:hAnsi="Arial Narrow"/>
                <w:b/>
                <w:bCs/>
                <w:sz w:val="20"/>
                <w:szCs w:val="20"/>
                <w:lang w:eastAsia="en-GB"/>
              </w:rPr>
            </w:pPr>
            <w:r w:rsidRPr="003B552F">
              <w:rPr>
                <w:rFonts w:ascii="Arial Narrow" w:eastAsia="Times New Roman" w:hAnsi="Arial Narrow"/>
                <w:b/>
                <w:bCs/>
                <w:sz w:val="20"/>
                <w:szCs w:val="20"/>
                <w:lang w:eastAsia="en-GB"/>
              </w:rPr>
              <w:t> </w:t>
            </w:r>
          </w:p>
        </w:tc>
        <w:tc>
          <w:tcPr>
            <w:tcW w:w="7842" w:type="dxa"/>
            <w:gridSpan w:val="5"/>
            <w:tcBorders>
              <w:top w:val="single" w:sz="8" w:space="0" w:color="auto"/>
              <w:left w:val="nil"/>
              <w:bottom w:val="single" w:sz="4" w:space="0" w:color="auto"/>
              <w:right w:val="single" w:sz="4" w:space="0" w:color="000000"/>
            </w:tcBorders>
            <w:shd w:val="clear" w:color="000000" w:fill="969696"/>
            <w:hideMark/>
          </w:tcPr>
          <w:p w14:paraId="020FA969" w14:textId="77777777" w:rsidR="00683F4A" w:rsidRPr="003B552F" w:rsidRDefault="00683F4A" w:rsidP="009657E1">
            <w:pPr>
              <w:spacing w:after="0"/>
              <w:jc w:val="left"/>
              <w:rPr>
                <w:rFonts w:ascii="Arial Narrow" w:eastAsia="Times New Roman" w:hAnsi="Arial Narrow"/>
                <w:b/>
                <w:bCs/>
                <w:sz w:val="20"/>
                <w:szCs w:val="20"/>
                <w:lang w:eastAsia="en-GB"/>
              </w:rPr>
            </w:pPr>
            <w:r w:rsidRPr="003B552F">
              <w:rPr>
                <w:rFonts w:ascii="Arial Narrow" w:eastAsia="Times New Roman" w:hAnsi="Arial Narrow"/>
                <w:b/>
                <w:bCs/>
                <w:sz w:val="20"/>
                <w:szCs w:val="20"/>
                <w:lang w:eastAsia="en-GB"/>
              </w:rPr>
              <w:t>TOTAL- OUTPUT 4.1.3</w:t>
            </w:r>
          </w:p>
        </w:tc>
        <w:tc>
          <w:tcPr>
            <w:tcW w:w="1230" w:type="dxa"/>
            <w:tcBorders>
              <w:top w:val="nil"/>
              <w:left w:val="nil"/>
              <w:bottom w:val="single" w:sz="4" w:space="0" w:color="auto"/>
              <w:right w:val="single" w:sz="4" w:space="0" w:color="auto"/>
            </w:tcBorders>
            <w:shd w:val="clear" w:color="000000" w:fill="969696"/>
            <w:hideMark/>
          </w:tcPr>
          <w:p w14:paraId="2DE2C8B5" w14:textId="77777777" w:rsidR="00683F4A" w:rsidRPr="003B552F" w:rsidRDefault="00683F4A" w:rsidP="009657E1">
            <w:pPr>
              <w:spacing w:after="0"/>
              <w:jc w:val="left"/>
              <w:rPr>
                <w:rFonts w:ascii="Arial Narrow" w:eastAsia="Times New Roman" w:hAnsi="Arial Narrow"/>
                <w:b/>
                <w:bCs/>
                <w:sz w:val="20"/>
                <w:szCs w:val="20"/>
                <w:lang w:eastAsia="en-GB"/>
              </w:rPr>
            </w:pPr>
            <w:r w:rsidRPr="003B552F">
              <w:rPr>
                <w:rFonts w:ascii="Arial Narrow" w:eastAsia="Times New Roman" w:hAnsi="Arial Narrow"/>
                <w:b/>
                <w:bCs/>
                <w:sz w:val="20"/>
                <w:szCs w:val="20"/>
                <w:lang w:eastAsia="en-GB"/>
              </w:rPr>
              <w:t> </w:t>
            </w:r>
          </w:p>
        </w:tc>
        <w:tc>
          <w:tcPr>
            <w:tcW w:w="953" w:type="dxa"/>
            <w:tcBorders>
              <w:top w:val="nil"/>
              <w:left w:val="nil"/>
              <w:bottom w:val="single" w:sz="4" w:space="0" w:color="auto"/>
              <w:right w:val="single" w:sz="4" w:space="0" w:color="auto"/>
            </w:tcBorders>
            <w:shd w:val="clear" w:color="000000" w:fill="969696"/>
            <w:hideMark/>
          </w:tcPr>
          <w:p w14:paraId="703A9DFF" w14:textId="77777777" w:rsidR="00683F4A" w:rsidRPr="003B552F" w:rsidRDefault="00683F4A" w:rsidP="009657E1">
            <w:pPr>
              <w:spacing w:after="0"/>
              <w:jc w:val="right"/>
              <w:rPr>
                <w:rFonts w:ascii="Arial Narrow" w:eastAsia="Times New Roman" w:hAnsi="Arial Narrow"/>
                <w:b/>
                <w:bCs/>
                <w:sz w:val="20"/>
                <w:szCs w:val="20"/>
                <w:lang w:eastAsia="en-GB"/>
              </w:rPr>
            </w:pPr>
            <w:r w:rsidRPr="003B552F">
              <w:rPr>
                <w:rFonts w:ascii="Arial Narrow" w:eastAsia="Times New Roman" w:hAnsi="Arial Narrow"/>
                <w:b/>
                <w:bCs/>
                <w:sz w:val="20"/>
                <w:szCs w:val="20"/>
                <w:lang w:eastAsia="en-GB"/>
              </w:rPr>
              <w:t xml:space="preserve">        2,481,170 </w:t>
            </w:r>
          </w:p>
        </w:tc>
        <w:tc>
          <w:tcPr>
            <w:tcW w:w="1037" w:type="dxa"/>
            <w:gridSpan w:val="3"/>
            <w:tcBorders>
              <w:top w:val="nil"/>
              <w:left w:val="nil"/>
              <w:bottom w:val="single" w:sz="4" w:space="0" w:color="auto"/>
              <w:right w:val="single" w:sz="4" w:space="0" w:color="auto"/>
            </w:tcBorders>
            <w:shd w:val="clear" w:color="000000" w:fill="969696"/>
            <w:hideMark/>
          </w:tcPr>
          <w:p w14:paraId="13CC331B" w14:textId="77777777" w:rsidR="00683F4A" w:rsidRPr="003B552F" w:rsidRDefault="00683F4A" w:rsidP="009657E1">
            <w:pPr>
              <w:spacing w:after="0"/>
              <w:jc w:val="right"/>
              <w:rPr>
                <w:rFonts w:ascii="Arial Narrow" w:eastAsia="Times New Roman" w:hAnsi="Arial Narrow"/>
                <w:b/>
                <w:bCs/>
                <w:sz w:val="20"/>
                <w:szCs w:val="20"/>
                <w:lang w:eastAsia="en-GB"/>
              </w:rPr>
            </w:pPr>
            <w:r w:rsidRPr="003B552F">
              <w:rPr>
                <w:rFonts w:ascii="Arial Narrow" w:eastAsia="Times New Roman" w:hAnsi="Arial Narrow"/>
                <w:b/>
                <w:bCs/>
                <w:sz w:val="20"/>
                <w:szCs w:val="20"/>
                <w:lang w:eastAsia="en-GB"/>
              </w:rPr>
              <w:t xml:space="preserve">         2,900,000 </w:t>
            </w:r>
          </w:p>
        </w:tc>
        <w:tc>
          <w:tcPr>
            <w:tcW w:w="986" w:type="dxa"/>
            <w:tcBorders>
              <w:top w:val="nil"/>
              <w:left w:val="nil"/>
              <w:bottom w:val="single" w:sz="4" w:space="0" w:color="auto"/>
              <w:right w:val="single" w:sz="4" w:space="0" w:color="auto"/>
            </w:tcBorders>
            <w:shd w:val="clear" w:color="000000" w:fill="969696"/>
            <w:hideMark/>
          </w:tcPr>
          <w:p w14:paraId="1BD142D7" w14:textId="77777777" w:rsidR="00683F4A" w:rsidRPr="003B552F" w:rsidRDefault="00683F4A" w:rsidP="009657E1">
            <w:pPr>
              <w:spacing w:after="0"/>
              <w:jc w:val="right"/>
              <w:rPr>
                <w:rFonts w:ascii="Arial Narrow" w:eastAsia="Times New Roman" w:hAnsi="Arial Narrow"/>
                <w:b/>
                <w:bCs/>
                <w:sz w:val="20"/>
                <w:szCs w:val="20"/>
                <w:lang w:eastAsia="en-GB"/>
              </w:rPr>
            </w:pPr>
            <w:r w:rsidRPr="003B552F">
              <w:rPr>
                <w:rFonts w:ascii="Arial Narrow" w:eastAsia="Times New Roman" w:hAnsi="Arial Narrow"/>
                <w:b/>
                <w:bCs/>
                <w:sz w:val="20"/>
                <w:szCs w:val="20"/>
                <w:lang w:eastAsia="en-GB"/>
              </w:rPr>
              <w:t xml:space="preserve">        3,766,670 </w:t>
            </w:r>
          </w:p>
        </w:tc>
        <w:tc>
          <w:tcPr>
            <w:tcW w:w="1134" w:type="dxa"/>
            <w:tcBorders>
              <w:top w:val="nil"/>
              <w:left w:val="nil"/>
              <w:bottom w:val="single" w:sz="4" w:space="0" w:color="auto"/>
              <w:right w:val="single" w:sz="8" w:space="0" w:color="auto"/>
            </w:tcBorders>
            <w:shd w:val="clear" w:color="000000" w:fill="969696"/>
            <w:hideMark/>
          </w:tcPr>
          <w:p w14:paraId="45FDF624" w14:textId="77777777" w:rsidR="00683F4A" w:rsidRPr="003B552F" w:rsidRDefault="00683F4A" w:rsidP="009657E1">
            <w:pPr>
              <w:spacing w:after="0"/>
              <w:jc w:val="right"/>
              <w:rPr>
                <w:rFonts w:ascii="Arial Narrow" w:eastAsia="Times New Roman" w:hAnsi="Arial Narrow"/>
                <w:b/>
                <w:bCs/>
                <w:sz w:val="20"/>
                <w:szCs w:val="20"/>
                <w:lang w:eastAsia="en-GB"/>
              </w:rPr>
            </w:pPr>
            <w:r w:rsidRPr="003B552F">
              <w:rPr>
                <w:rFonts w:ascii="Arial Narrow" w:eastAsia="Times New Roman" w:hAnsi="Arial Narrow"/>
                <w:b/>
                <w:bCs/>
                <w:sz w:val="20"/>
                <w:szCs w:val="20"/>
                <w:lang w:eastAsia="en-GB"/>
              </w:rPr>
              <w:t xml:space="preserve">          9,147,840 </w:t>
            </w:r>
          </w:p>
        </w:tc>
      </w:tr>
    </w:tbl>
    <w:p w14:paraId="22A139B3" w14:textId="77777777" w:rsidR="00683F4A" w:rsidRDefault="00683F4A" w:rsidP="00683F4A">
      <w:pPr>
        <w:rPr>
          <w:lang w:val="en-US"/>
        </w:rPr>
      </w:pPr>
    </w:p>
    <w:tbl>
      <w:tblPr>
        <w:tblW w:w="14752" w:type="dxa"/>
        <w:jc w:val="center"/>
        <w:tblLayout w:type="fixed"/>
        <w:tblLook w:val="04A0" w:firstRow="1" w:lastRow="0" w:firstColumn="1" w:lastColumn="0" w:noHBand="0" w:noVBand="1"/>
      </w:tblPr>
      <w:tblGrid>
        <w:gridCol w:w="1570"/>
        <w:gridCol w:w="1150"/>
        <w:gridCol w:w="2003"/>
        <w:gridCol w:w="1271"/>
        <w:gridCol w:w="2217"/>
        <w:gridCol w:w="1201"/>
        <w:gridCol w:w="1230"/>
        <w:gridCol w:w="992"/>
        <w:gridCol w:w="992"/>
        <w:gridCol w:w="6"/>
        <w:gridCol w:w="986"/>
        <w:gridCol w:w="1134"/>
      </w:tblGrid>
      <w:tr w:rsidR="00683F4A" w:rsidRPr="007D425D" w14:paraId="4EFFE2BD" w14:textId="77777777" w:rsidTr="009657E1">
        <w:trPr>
          <w:trHeight w:val="168"/>
          <w:jc w:val="center"/>
        </w:trPr>
        <w:tc>
          <w:tcPr>
            <w:tcW w:w="1570" w:type="dxa"/>
            <w:vMerge w:val="restart"/>
            <w:tcBorders>
              <w:top w:val="single" w:sz="4" w:space="0" w:color="auto"/>
              <w:left w:val="single" w:sz="8" w:space="0" w:color="auto"/>
              <w:bottom w:val="single" w:sz="4" w:space="0" w:color="000000"/>
              <w:right w:val="single" w:sz="4" w:space="0" w:color="auto"/>
            </w:tcBorders>
            <w:shd w:val="clear" w:color="auto" w:fill="FBD4B4"/>
            <w:hideMark/>
          </w:tcPr>
          <w:p w14:paraId="1E2F5C53" w14:textId="77777777" w:rsidR="00683F4A" w:rsidRPr="003B552F" w:rsidRDefault="00683F4A" w:rsidP="009657E1">
            <w:pPr>
              <w:spacing w:after="0"/>
              <w:jc w:val="center"/>
              <w:rPr>
                <w:rFonts w:ascii="Arial Narrow" w:eastAsia="Times New Roman" w:hAnsi="Arial Narrow"/>
                <w:color w:val="000000"/>
                <w:sz w:val="20"/>
                <w:szCs w:val="20"/>
                <w:lang w:eastAsia="en-GB"/>
              </w:rPr>
            </w:pPr>
            <w:r w:rsidRPr="003B552F">
              <w:rPr>
                <w:rFonts w:ascii="Arial Narrow" w:eastAsia="Times New Roman" w:hAnsi="Arial Narrow"/>
                <w:color w:val="000000"/>
                <w:sz w:val="20"/>
                <w:szCs w:val="20"/>
                <w:lang w:eastAsia="en-GB"/>
              </w:rPr>
              <w:t> </w:t>
            </w:r>
          </w:p>
        </w:tc>
        <w:tc>
          <w:tcPr>
            <w:tcW w:w="1150" w:type="dxa"/>
            <w:vMerge w:val="restart"/>
            <w:tcBorders>
              <w:top w:val="single" w:sz="4" w:space="0" w:color="auto"/>
              <w:left w:val="single" w:sz="4" w:space="0" w:color="auto"/>
              <w:bottom w:val="single" w:sz="4" w:space="0" w:color="000000"/>
              <w:right w:val="single" w:sz="4" w:space="0" w:color="auto"/>
            </w:tcBorders>
            <w:shd w:val="clear" w:color="auto" w:fill="FBD4B4"/>
            <w:hideMark/>
          </w:tcPr>
          <w:p w14:paraId="19F59CE5" w14:textId="77777777" w:rsidR="00683F4A" w:rsidRPr="003B552F" w:rsidRDefault="00683F4A" w:rsidP="009657E1">
            <w:pPr>
              <w:spacing w:after="0"/>
              <w:jc w:val="center"/>
              <w:rPr>
                <w:rFonts w:ascii="Arial Narrow" w:eastAsia="Times New Roman" w:hAnsi="Arial Narrow"/>
                <w:b/>
                <w:bCs/>
                <w:sz w:val="20"/>
                <w:szCs w:val="20"/>
                <w:lang w:eastAsia="en-GB"/>
              </w:rPr>
            </w:pPr>
            <w:r w:rsidRPr="003B552F">
              <w:rPr>
                <w:rFonts w:ascii="Arial Narrow" w:eastAsia="Times New Roman" w:hAnsi="Arial Narrow"/>
                <w:b/>
                <w:bCs/>
                <w:sz w:val="20"/>
                <w:szCs w:val="20"/>
                <w:lang w:eastAsia="en-GB"/>
              </w:rPr>
              <w:t>UN Agency</w:t>
            </w:r>
          </w:p>
        </w:tc>
        <w:tc>
          <w:tcPr>
            <w:tcW w:w="2003" w:type="dxa"/>
            <w:vMerge w:val="restart"/>
            <w:tcBorders>
              <w:top w:val="single" w:sz="4" w:space="0" w:color="auto"/>
              <w:left w:val="single" w:sz="4" w:space="0" w:color="auto"/>
              <w:bottom w:val="single" w:sz="4" w:space="0" w:color="000000"/>
              <w:right w:val="single" w:sz="4" w:space="0" w:color="auto"/>
            </w:tcBorders>
            <w:shd w:val="clear" w:color="auto" w:fill="FBD4B4"/>
            <w:hideMark/>
          </w:tcPr>
          <w:p w14:paraId="7E90AE44" w14:textId="77777777" w:rsidR="00683F4A" w:rsidRPr="003B552F" w:rsidRDefault="00683F4A" w:rsidP="009657E1">
            <w:pPr>
              <w:spacing w:after="0"/>
              <w:jc w:val="center"/>
              <w:rPr>
                <w:rFonts w:ascii="Arial Narrow" w:eastAsia="Times New Roman" w:hAnsi="Arial Narrow"/>
                <w:b/>
                <w:bCs/>
                <w:sz w:val="20"/>
                <w:szCs w:val="20"/>
                <w:lang w:eastAsia="en-GB"/>
              </w:rPr>
            </w:pPr>
            <w:r w:rsidRPr="003B552F">
              <w:rPr>
                <w:rFonts w:ascii="Arial Narrow" w:eastAsia="Times New Roman" w:hAnsi="Arial Narrow"/>
                <w:b/>
                <w:bCs/>
                <w:sz w:val="20"/>
                <w:szCs w:val="20"/>
                <w:lang w:eastAsia="en-GB"/>
              </w:rPr>
              <w:t>Indicators, Baseline and Targets</w:t>
            </w:r>
          </w:p>
        </w:tc>
        <w:tc>
          <w:tcPr>
            <w:tcW w:w="1271" w:type="dxa"/>
            <w:vMerge w:val="restart"/>
            <w:tcBorders>
              <w:top w:val="single" w:sz="4" w:space="0" w:color="auto"/>
              <w:left w:val="single" w:sz="4" w:space="0" w:color="auto"/>
              <w:bottom w:val="single" w:sz="4" w:space="0" w:color="000000"/>
              <w:right w:val="single" w:sz="4" w:space="0" w:color="auto"/>
            </w:tcBorders>
            <w:shd w:val="clear" w:color="auto" w:fill="FBD4B4"/>
            <w:hideMark/>
          </w:tcPr>
          <w:p w14:paraId="0F7A65EF" w14:textId="77777777" w:rsidR="00683F4A" w:rsidRPr="003B552F" w:rsidRDefault="00683F4A" w:rsidP="009657E1">
            <w:pPr>
              <w:spacing w:after="0"/>
              <w:jc w:val="center"/>
              <w:rPr>
                <w:rFonts w:ascii="Arial Narrow" w:eastAsia="Times New Roman" w:hAnsi="Arial Narrow"/>
                <w:b/>
                <w:bCs/>
                <w:sz w:val="20"/>
                <w:szCs w:val="20"/>
                <w:lang w:eastAsia="en-GB"/>
              </w:rPr>
            </w:pPr>
            <w:r w:rsidRPr="003B552F">
              <w:rPr>
                <w:rFonts w:ascii="Arial Narrow" w:eastAsia="Times New Roman" w:hAnsi="Arial Narrow"/>
                <w:b/>
                <w:bCs/>
                <w:sz w:val="20"/>
                <w:szCs w:val="20"/>
                <w:lang w:eastAsia="en-GB"/>
              </w:rPr>
              <w:t>Means of Verification</w:t>
            </w:r>
          </w:p>
        </w:tc>
        <w:tc>
          <w:tcPr>
            <w:tcW w:w="2217" w:type="dxa"/>
            <w:vMerge w:val="restart"/>
            <w:tcBorders>
              <w:top w:val="single" w:sz="4" w:space="0" w:color="auto"/>
              <w:left w:val="single" w:sz="4" w:space="0" w:color="auto"/>
              <w:bottom w:val="single" w:sz="4" w:space="0" w:color="000000"/>
              <w:right w:val="single" w:sz="4" w:space="0" w:color="auto"/>
            </w:tcBorders>
            <w:shd w:val="clear" w:color="auto" w:fill="FBD4B4"/>
            <w:hideMark/>
          </w:tcPr>
          <w:p w14:paraId="65A545C8" w14:textId="77777777" w:rsidR="00683F4A" w:rsidRPr="003B552F" w:rsidRDefault="00683F4A" w:rsidP="009657E1">
            <w:pPr>
              <w:spacing w:after="0"/>
              <w:jc w:val="center"/>
              <w:rPr>
                <w:rFonts w:ascii="Arial Narrow" w:eastAsia="Times New Roman" w:hAnsi="Arial Narrow"/>
                <w:b/>
                <w:bCs/>
                <w:sz w:val="20"/>
                <w:szCs w:val="20"/>
                <w:lang w:eastAsia="en-GB"/>
              </w:rPr>
            </w:pPr>
            <w:r w:rsidRPr="003B552F">
              <w:rPr>
                <w:rFonts w:ascii="Arial Narrow" w:eastAsia="Times New Roman" w:hAnsi="Arial Narrow"/>
                <w:b/>
                <w:bCs/>
                <w:sz w:val="20"/>
                <w:szCs w:val="20"/>
                <w:lang w:eastAsia="en-GB"/>
              </w:rPr>
              <w:t>Risk and assumptions</w:t>
            </w:r>
          </w:p>
        </w:tc>
        <w:tc>
          <w:tcPr>
            <w:tcW w:w="1201" w:type="dxa"/>
            <w:vMerge w:val="restart"/>
            <w:tcBorders>
              <w:top w:val="single" w:sz="4" w:space="0" w:color="auto"/>
              <w:left w:val="single" w:sz="4" w:space="0" w:color="auto"/>
              <w:bottom w:val="single" w:sz="4" w:space="0" w:color="000000"/>
              <w:right w:val="single" w:sz="4" w:space="0" w:color="auto"/>
            </w:tcBorders>
            <w:shd w:val="clear" w:color="auto" w:fill="FBD4B4"/>
            <w:hideMark/>
          </w:tcPr>
          <w:p w14:paraId="10730032" w14:textId="77777777" w:rsidR="00683F4A" w:rsidRPr="003B552F" w:rsidRDefault="00683F4A" w:rsidP="009657E1">
            <w:pPr>
              <w:spacing w:after="0"/>
              <w:jc w:val="center"/>
              <w:rPr>
                <w:rFonts w:ascii="Arial Narrow" w:eastAsia="Times New Roman" w:hAnsi="Arial Narrow"/>
                <w:b/>
                <w:bCs/>
                <w:sz w:val="20"/>
                <w:szCs w:val="20"/>
                <w:lang w:eastAsia="en-GB"/>
              </w:rPr>
            </w:pPr>
            <w:r w:rsidRPr="003B552F">
              <w:rPr>
                <w:rFonts w:ascii="Arial Narrow" w:eastAsia="Times New Roman" w:hAnsi="Arial Narrow"/>
                <w:b/>
                <w:bCs/>
                <w:sz w:val="20"/>
                <w:szCs w:val="20"/>
                <w:lang w:eastAsia="en-GB"/>
              </w:rPr>
              <w:t>Key Partners</w:t>
            </w:r>
          </w:p>
        </w:tc>
        <w:tc>
          <w:tcPr>
            <w:tcW w:w="1230" w:type="dxa"/>
            <w:tcBorders>
              <w:top w:val="single" w:sz="4" w:space="0" w:color="auto"/>
              <w:left w:val="nil"/>
              <w:bottom w:val="nil"/>
              <w:right w:val="single" w:sz="4" w:space="0" w:color="auto"/>
            </w:tcBorders>
            <w:shd w:val="clear" w:color="auto" w:fill="FBD4B4"/>
            <w:hideMark/>
          </w:tcPr>
          <w:p w14:paraId="26DB3F47" w14:textId="77777777" w:rsidR="00683F4A" w:rsidRPr="003B552F" w:rsidRDefault="00683F4A" w:rsidP="009657E1">
            <w:pPr>
              <w:spacing w:after="0"/>
              <w:jc w:val="center"/>
              <w:rPr>
                <w:rFonts w:ascii="Arial Narrow" w:eastAsia="Times New Roman" w:hAnsi="Arial Narrow"/>
                <w:b/>
                <w:bCs/>
                <w:sz w:val="20"/>
                <w:szCs w:val="20"/>
                <w:lang w:eastAsia="en-GB"/>
              </w:rPr>
            </w:pPr>
            <w:r w:rsidRPr="003B552F">
              <w:rPr>
                <w:rFonts w:ascii="Arial Narrow" w:eastAsia="Times New Roman" w:hAnsi="Arial Narrow"/>
                <w:b/>
                <w:bCs/>
                <w:sz w:val="20"/>
                <w:szCs w:val="20"/>
                <w:lang w:eastAsia="en-GB"/>
              </w:rPr>
              <w:t> </w:t>
            </w:r>
          </w:p>
        </w:tc>
        <w:tc>
          <w:tcPr>
            <w:tcW w:w="4110" w:type="dxa"/>
            <w:gridSpan w:val="5"/>
            <w:tcBorders>
              <w:top w:val="single" w:sz="4" w:space="0" w:color="auto"/>
              <w:left w:val="nil"/>
              <w:bottom w:val="single" w:sz="4" w:space="0" w:color="auto"/>
              <w:right w:val="single" w:sz="8" w:space="0" w:color="000000"/>
            </w:tcBorders>
            <w:shd w:val="clear" w:color="auto" w:fill="FBD4B4"/>
            <w:hideMark/>
          </w:tcPr>
          <w:p w14:paraId="44175AB6" w14:textId="77777777" w:rsidR="00683F4A" w:rsidRPr="003B552F" w:rsidRDefault="00683F4A" w:rsidP="009657E1">
            <w:pPr>
              <w:spacing w:after="0"/>
              <w:jc w:val="center"/>
              <w:rPr>
                <w:rFonts w:ascii="Arial Narrow" w:eastAsia="Times New Roman" w:hAnsi="Arial Narrow"/>
                <w:b/>
                <w:bCs/>
                <w:sz w:val="20"/>
                <w:szCs w:val="20"/>
                <w:lang w:eastAsia="en-GB"/>
              </w:rPr>
            </w:pPr>
            <w:r w:rsidRPr="003B552F">
              <w:rPr>
                <w:rFonts w:ascii="Arial Narrow" w:eastAsia="Times New Roman" w:hAnsi="Arial Narrow"/>
                <w:b/>
                <w:bCs/>
                <w:sz w:val="20"/>
                <w:szCs w:val="20"/>
                <w:lang w:eastAsia="en-GB"/>
              </w:rPr>
              <w:t xml:space="preserve"> Indicative Resources (USD) </w:t>
            </w:r>
          </w:p>
        </w:tc>
      </w:tr>
      <w:tr w:rsidR="00683F4A" w:rsidRPr="007D425D" w14:paraId="2BC847BB" w14:textId="77777777" w:rsidTr="009657E1">
        <w:trPr>
          <w:trHeight w:val="356"/>
          <w:jc w:val="center"/>
        </w:trPr>
        <w:tc>
          <w:tcPr>
            <w:tcW w:w="1570" w:type="dxa"/>
            <w:vMerge/>
            <w:tcBorders>
              <w:top w:val="nil"/>
              <w:left w:val="single" w:sz="8" w:space="0" w:color="auto"/>
              <w:bottom w:val="single" w:sz="4" w:space="0" w:color="000000"/>
              <w:right w:val="single" w:sz="4" w:space="0" w:color="auto"/>
            </w:tcBorders>
            <w:shd w:val="clear" w:color="auto" w:fill="FBD4B4"/>
            <w:vAlign w:val="center"/>
            <w:hideMark/>
          </w:tcPr>
          <w:p w14:paraId="49AA58B5" w14:textId="77777777" w:rsidR="00683F4A" w:rsidRPr="003B552F" w:rsidRDefault="00683F4A" w:rsidP="009657E1">
            <w:pPr>
              <w:spacing w:after="0"/>
              <w:jc w:val="left"/>
              <w:rPr>
                <w:rFonts w:ascii="Arial Narrow" w:eastAsia="Times New Roman" w:hAnsi="Arial Narrow"/>
                <w:sz w:val="20"/>
                <w:szCs w:val="20"/>
                <w:lang w:eastAsia="en-GB"/>
              </w:rPr>
            </w:pPr>
          </w:p>
        </w:tc>
        <w:tc>
          <w:tcPr>
            <w:tcW w:w="1150" w:type="dxa"/>
            <w:vMerge/>
            <w:tcBorders>
              <w:top w:val="nil"/>
              <w:left w:val="single" w:sz="4" w:space="0" w:color="auto"/>
              <w:bottom w:val="single" w:sz="4" w:space="0" w:color="000000"/>
              <w:right w:val="single" w:sz="4" w:space="0" w:color="auto"/>
            </w:tcBorders>
            <w:vAlign w:val="center"/>
            <w:hideMark/>
          </w:tcPr>
          <w:p w14:paraId="2719EEBF" w14:textId="77777777" w:rsidR="00683F4A" w:rsidRPr="003B552F" w:rsidRDefault="00683F4A" w:rsidP="009657E1">
            <w:pPr>
              <w:spacing w:after="0"/>
              <w:jc w:val="left"/>
              <w:rPr>
                <w:rFonts w:ascii="Arial Narrow" w:eastAsia="Times New Roman" w:hAnsi="Arial Narrow"/>
                <w:b/>
                <w:bCs/>
                <w:sz w:val="20"/>
                <w:szCs w:val="20"/>
                <w:lang w:eastAsia="en-GB"/>
              </w:rPr>
            </w:pPr>
          </w:p>
        </w:tc>
        <w:tc>
          <w:tcPr>
            <w:tcW w:w="2003" w:type="dxa"/>
            <w:vMerge/>
            <w:tcBorders>
              <w:top w:val="nil"/>
              <w:left w:val="single" w:sz="4" w:space="0" w:color="auto"/>
              <w:bottom w:val="single" w:sz="4" w:space="0" w:color="000000"/>
              <w:right w:val="single" w:sz="4" w:space="0" w:color="auto"/>
            </w:tcBorders>
            <w:vAlign w:val="center"/>
            <w:hideMark/>
          </w:tcPr>
          <w:p w14:paraId="28E8EACF" w14:textId="77777777" w:rsidR="00683F4A" w:rsidRPr="003B552F" w:rsidRDefault="00683F4A" w:rsidP="009657E1">
            <w:pPr>
              <w:spacing w:after="0"/>
              <w:jc w:val="left"/>
              <w:rPr>
                <w:rFonts w:ascii="Arial Narrow" w:eastAsia="Times New Roman" w:hAnsi="Arial Narrow"/>
                <w:b/>
                <w:bCs/>
                <w:sz w:val="20"/>
                <w:szCs w:val="20"/>
                <w:lang w:eastAsia="en-GB"/>
              </w:rPr>
            </w:pPr>
          </w:p>
        </w:tc>
        <w:tc>
          <w:tcPr>
            <w:tcW w:w="1271" w:type="dxa"/>
            <w:vMerge/>
            <w:tcBorders>
              <w:top w:val="nil"/>
              <w:left w:val="single" w:sz="4" w:space="0" w:color="auto"/>
              <w:bottom w:val="single" w:sz="4" w:space="0" w:color="000000"/>
              <w:right w:val="single" w:sz="4" w:space="0" w:color="auto"/>
            </w:tcBorders>
            <w:vAlign w:val="center"/>
            <w:hideMark/>
          </w:tcPr>
          <w:p w14:paraId="0A84BD60" w14:textId="77777777" w:rsidR="00683F4A" w:rsidRPr="003B552F" w:rsidRDefault="00683F4A" w:rsidP="009657E1">
            <w:pPr>
              <w:spacing w:after="0"/>
              <w:jc w:val="left"/>
              <w:rPr>
                <w:rFonts w:ascii="Arial Narrow" w:eastAsia="Times New Roman" w:hAnsi="Arial Narrow"/>
                <w:b/>
                <w:bCs/>
                <w:sz w:val="20"/>
                <w:szCs w:val="20"/>
                <w:lang w:eastAsia="en-GB"/>
              </w:rPr>
            </w:pPr>
          </w:p>
        </w:tc>
        <w:tc>
          <w:tcPr>
            <w:tcW w:w="2217" w:type="dxa"/>
            <w:vMerge/>
            <w:tcBorders>
              <w:top w:val="nil"/>
              <w:left w:val="single" w:sz="4" w:space="0" w:color="auto"/>
              <w:bottom w:val="single" w:sz="4" w:space="0" w:color="000000"/>
              <w:right w:val="single" w:sz="4" w:space="0" w:color="auto"/>
            </w:tcBorders>
            <w:vAlign w:val="center"/>
            <w:hideMark/>
          </w:tcPr>
          <w:p w14:paraId="2161CBDE" w14:textId="77777777" w:rsidR="00683F4A" w:rsidRPr="003B552F" w:rsidRDefault="00683F4A" w:rsidP="009657E1">
            <w:pPr>
              <w:spacing w:after="0"/>
              <w:jc w:val="left"/>
              <w:rPr>
                <w:rFonts w:ascii="Arial Narrow" w:eastAsia="Times New Roman" w:hAnsi="Arial Narrow"/>
                <w:b/>
                <w:bCs/>
                <w:sz w:val="20"/>
                <w:szCs w:val="20"/>
                <w:lang w:eastAsia="en-GB"/>
              </w:rPr>
            </w:pPr>
          </w:p>
        </w:tc>
        <w:tc>
          <w:tcPr>
            <w:tcW w:w="1201" w:type="dxa"/>
            <w:vMerge/>
            <w:tcBorders>
              <w:top w:val="nil"/>
              <w:left w:val="single" w:sz="4" w:space="0" w:color="auto"/>
              <w:bottom w:val="single" w:sz="4" w:space="0" w:color="000000"/>
              <w:right w:val="single" w:sz="4" w:space="0" w:color="auto"/>
            </w:tcBorders>
            <w:vAlign w:val="center"/>
            <w:hideMark/>
          </w:tcPr>
          <w:p w14:paraId="3FD6BBC5" w14:textId="77777777" w:rsidR="00683F4A" w:rsidRPr="003B552F" w:rsidRDefault="00683F4A" w:rsidP="009657E1">
            <w:pPr>
              <w:spacing w:after="0"/>
              <w:jc w:val="left"/>
              <w:rPr>
                <w:rFonts w:ascii="Arial Narrow" w:eastAsia="Times New Roman" w:hAnsi="Arial Narrow"/>
                <w:b/>
                <w:bCs/>
                <w:sz w:val="20"/>
                <w:szCs w:val="20"/>
                <w:lang w:eastAsia="en-GB"/>
              </w:rPr>
            </w:pPr>
          </w:p>
        </w:tc>
        <w:tc>
          <w:tcPr>
            <w:tcW w:w="1230" w:type="dxa"/>
            <w:tcBorders>
              <w:top w:val="single" w:sz="4" w:space="0" w:color="auto"/>
              <w:left w:val="nil"/>
              <w:bottom w:val="single" w:sz="4" w:space="0" w:color="auto"/>
              <w:right w:val="single" w:sz="4" w:space="0" w:color="auto"/>
            </w:tcBorders>
            <w:shd w:val="clear" w:color="auto" w:fill="FBD4B4"/>
            <w:hideMark/>
          </w:tcPr>
          <w:p w14:paraId="2BEE5048" w14:textId="77777777" w:rsidR="00683F4A" w:rsidRPr="003B552F" w:rsidRDefault="00683F4A" w:rsidP="009657E1">
            <w:pPr>
              <w:spacing w:after="0"/>
              <w:jc w:val="center"/>
              <w:rPr>
                <w:rFonts w:ascii="Arial Narrow" w:eastAsia="Times New Roman" w:hAnsi="Arial Narrow"/>
                <w:b/>
                <w:bCs/>
                <w:sz w:val="20"/>
                <w:szCs w:val="20"/>
                <w:lang w:eastAsia="en-GB"/>
              </w:rPr>
            </w:pPr>
            <w:r w:rsidRPr="003B552F">
              <w:rPr>
                <w:rFonts w:ascii="Arial Narrow" w:eastAsia="Times New Roman" w:hAnsi="Arial Narrow"/>
                <w:b/>
                <w:bCs/>
                <w:sz w:val="20"/>
                <w:szCs w:val="20"/>
                <w:lang w:eastAsia="en-GB"/>
              </w:rPr>
              <w:t>Agency</w:t>
            </w:r>
          </w:p>
        </w:tc>
        <w:tc>
          <w:tcPr>
            <w:tcW w:w="992" w:type="dxa"/>
            <w:tcBorders>
              <w:top w:val="nil"/>
              <w:left w:val="nil"/>
              <w:bottom w:val="single" w:sz="4" w:space="0" w:color="auto"/>
              <w:right w:val="single" w:sz="4" w:space="0" w:color="auto"/>
            </w:tcBorders>
            <w:shd w:val="clear" w:color="auto" w:fill="FBD4B4"/>
            <w:hideMark/>
          </w:tcPr>
          <w:p w14:paraId="708A9A38" w14:textId="77777777" w:rsidR="00683F4A" w:rsidRPr="003B552F" w:rsidRDefault="00683F4A" w:rsidP="009657E1">
            <w:pPr>
              <w:spacing w:after="0"/>
              <w:jc w:val="center"/>
              <w:rPr>
                <w:rFonts w:ascii="Arial Narrow" w:eastAsia="Times New Roman" w:hAnsi="Arial Narrow"/>
                <w:b/>
                <w:bCs/>
                <w:sz w:val="20"/>
                <w:szCs w:val="20"/>
                <w:lang w:eastAsia="en-GB"/>
              </w:rPr>
            </w:pPr>
            <w:r w:rsidRPr="003B552F">
              <w:rPr>
                <w:rFonts w:ascii="Arial Narrow" w:eastAsia="Times New Roman" w:hAnsi="Arial Narrow"/>
                <w:b/>
                <w:bCs/>
                <w:sz w:val="20"/>
                <w:szCs w:val="20"/>
                <w:lang w:eastAsia="en-GB"/>
              </w:rPr>
              <w:t xml:space="preserve"> Core </w:t>
            </w:r>
          </w:p>
        </w:tc>
        <w:tc>
          <w:tcPr>
            <w:tcW w:w="992" w:type="dxa"/>
            <w:tcBorders>
              <w:top w:val="nil"/>
              <w:left w:val="nil"/>
              <w:bottom w:val="single" w:sz="4" w:space="0" w:color="auto"/>
              <w:right w:val="single" w:sz="4" w:space="0" w:color="auto"/>
            </w:tcBorders>
            <w:shd w:val="clear" w:color="auto" w:fill="FBD4B4"/>
            <w:hideMark/>
          </w:tcPr>
          <w:p w14:paraId="104B3BCD" w14:textId="77777777" w:rsidR="00683F4A" w:rsidRPr="003B552F" w:rsidRDefault="00683F4A" w:rsidP="009657E1">
            <w:pPr>
              <w:spacing w:after="0"/>
              <w:jc w:val="center"/>
              <w:rPr>
                <w:rFonts w:ascii="Arial Narrow" w:eastAsia="Times New Roman" w:hAnsi="Arial Narrow"/>
                <w:b/>
                <w:bCs/>
                <w:sz w:val="20"/>
                <w:szCs w:val="20"/>
                <w:lang w:eastAsia="en-GB"/>
              </w:rPr>
            </w:pPr>
            <w:r w:rsidRPr="003B552F">
              <w:rPr>
                <w:rFonts w:ascii="Arial Narrow" w:eastAsia="Times New Roman" w:hAnsi="Arial Narrow"/>
                <w:b/>
                <w:bCs/>
                <w:sz w:val="20"/>
                <w:szCs w:val="20"/>
                <w:lang w:eastAsia="en-GB"/>
              </w:rPr>
              <w:t xml:space="preserve"> Non-Core </w:t>
            </w:r>
          </w:p>
        </w:tc>
        <w:tc>
          <w:tcPr>
            <w:tcW w:w="992" w:type="dxa"/>
            <w:gridSpan w:val="2"/>
            <w:tcBorders>
              <w:top w:val="nil"/>
              <w:left w:val="nil"/>
              <w:bottom w:val="single" w:sz="4" w:space="0" w:color="auto"/>
              <w:right w:val="single" w:sz="4" w:space="0" w:color="auto"/>
            </w:tcBorders>
            <w:shd w:val="clear" w:color="auto" w:fill="FBD4B4"/>
            <w:hideMark/>
          </w:tcPr>
          <w:p w14:paraId="3141D8DA" w14:textId="77777777" w:rsidR="00683F4A" w:rsidRPr="003B552F" w:rsidRDefault="00683F4A" w:rsidP="009657E1">
            <w:pPr>
              <w:spacing w:after="0"/>
              <w:jc w:val="center"/>
              <w:rPr>
                <w:rFonts w:ascii="Arial Narrow" w:eastAsia="Times New Roman" w:hAnsi="Arial Narrow"/>
                <w:b/>
                <w:bCs/>
                <w:sz w:val="20"/>
                <w:szCs w:val="20"/>
                <w:lang w:eastAsia="en-GB"/>
              </w:rPr>
            </w:pPr>
            <w:r w:rsidRPr="003B552F">
              <w:rPr>
                <w:rFonts w:ascii="Arial Narrow" w:eastAsia="Times New Roman" w:hAnsi="Arial Narrow"/>
                <w:b/>
                <w:bCs/>
                <w:sz w:val="20"/>
                <w:szCs w:val="20"/>
                <w:lang w:eastAsia="en-GB"/>
              </w:rPr>
              <w:t xml:space="preserve"> Gap </w:t>
            </w:r>
          </w:p>
        </w:tc>
        <w:tc>
          <w:tcPr>
            <w:tcW w:w="1134" w:type="dxa"/>
            <w:tcBorders>
              <w:top w:val="nil"/>
              <w:left w:val="nil"/>
              <w:bottom w:val="single" w:sz="4" w:space="0" w:color="auto"/>
              <w:right w:val="single" w:sz="8" w:space="0" w:color="auto"/>
            </w:tcBorders>
            <w:shd w:val="clear" w:color="auto" w:fill="FBD4B4"/>
            <w:hideMark/>
          </w:tcPr>
          <w:p w14:paraId="4628F192" w14:textId="77777777" w:rsidR="00683F4A" w:rsidRPr="003B552F" w:rsidRDefault="00683F4A" w:rsidP="009657E1">
            <w:pPr>
              <w:spacing w:after="0"/>
              <w:jc w:val="center"/>
              <w:rPr>
                <w:rFonts w:ascii="Arial Narrow" w:eastAsia="Times New Roman" w:hAnsi="Arial Narrow"/>
                <w:b/>
                <w:bCs/>
                <w:sz w:val="20"/>
                <w:szCs w:val="20"/>
                <w:lang w:eastAsia="en-GB"/>
              </w:rPr>
            </w:pPr>
            <w:r w:rsidRPr="003B552F">
              <w:rPr>
                <w:rFonts w:ascii="Arial Narrow" w:eastAsia="Times New Roman" w:hAnsi="Arial Narrow"/>
                <w:b/>
                <w:bCs/>
                <w:sz w:val="20"/>
                <w:szCs w:val="20"/>
                <w:lang w:eastAsia="en-GB"/>
              </w:rPr>
              <w:t xml:space="preserve"> Total </w:t>
            </w:r>
          </w:p>
        </w:tc>
      </w:tr>
      <w:tr w:rsidR="00683F4A" w:rsidRPr="007D425D" w14:paraId="0062A063" w14:textId="77777777" w:rsidTr="009657E1">
        <w:trPr>
          <w:trHeight w:val="337"/>
          <w:jc w:val="center"/>
        </w:trPr>
        <w:tc>
          <w:tcPr>
            <w:tcW w:w="1570" w:type="dxa"/>
            <w:vMerge w:val="restart"/>
            <w:tcBorders>
              <w:top w:val="nil"/>
              <w:left w:val="single" w:sz="8" w:space="0" w:color="auto"/>
              <w:bottom w:val="single" w:sz="4" w:space="0" w:color="auto"/>
              <w:right w:val="single" w:sz="4" w:space="0" w:color="auto"/>
            </w:tcBorders>
            <w:shd w:val="clear" w:color="auto" w:fill="auto"/>
            <w:hideMark/>
          </w:tcPr>
          <w:p w14:paraId="3D7494AB" w14:textId="77777777" w:rsidR="00683F4A" w:rsidRPr="00CD56B9" w:rsidRDefault="00683F4A" w:rsidP="009657E1">
            <w:pPr>
              <w:spacing w:after="0"/>
              <w:jc w:val="left"/>
              <w:rPr>
                <w:rFonts w:ascii="Arial Narrow" w:eastAsia="Times New Roman" w:hAnsi="Arial Narrow"/>
                <w:b/>
                <w:bCs/>
                <w:sz w:val="20"/>
                <w:szCs w:val="20"/>
                <w:lang w:val="en-US" w:eastAsia="en-GB"/>
              </w:rPr>
            </w:pPr>
            <w:r w:rsidRPr="00CD56B9">
              <w:rPr>
                <w:rFonts w:ascii="Arial Narrow" w:eastAsia="Times New Roman" w:hAnsi="Arial Narrow"/>
                <w:b/>
                <w:bCs/>
                <w:sz w:val="20"/>
                <w:szCs w:val="20"/>
                <w:lang w:val="en-US" w:eastAsia="en-GB"/>
              </w:rPr>
              <w:t>Output 4.1.4 National elections processes and capacities in Malawi Electoral Commission, Civil Society and different arms of Government strengthened to ensure free and credible national and by-elections</w:t>
            </w:r>
          </w:p>
        </w:tc>
        <w:tc>
          <w:tcPr>
            <w:tcW w:w="1150" w:type="dxa"/>
            <w:vMerge w:val="restart"/>
            <w:tcBorders>
              <w:top w:val="nil"/>
              <w:left w:val="single" w:sz="4" w:space="0" w:color="auto"/>
              <w:bottom w:val="single" w:sz="4" w:space="0" w:color="000000"/>
              <w:right w:val="single" w:sz="4" w:space="0" w:color="auto"/>
            </w:tcBorders>
            <w:shd w:val="clear" w:color="auto" w:fill="auto"/>
            <w:hideMark/>
          </w:tcPr>
          <w:p w14:paraId="3C7845C1" w14:textId="77777777" w:rsidR="00683F4A" w:rsidRPr="003B552F" w:rsidRDefault="00683F4A" w:rsidP="009657E1">
            <w:pPr>
              <w:spacing w:after="0"/>
              <w:jc w:val="left"/>
              <w:rPr>
                <w:rFonts w:ascii="Arial Narrow" w:eastAsia="Times New Roman" w:hAnsi="Arial Narrow"/>
                <w:sz w:val="20"/>
                <w:szCs w:val="20"/>
                <w:lang w:eastAsia="en-GB"/>
              </w:rPr>
            </w:pPr>
            <w:r w:rsidRPr="003B552F">
              <w:rPr>
                <w:rFonts w:ascii="Arial Narrow" w:eastAsia="Times New Roman" w:hAnsi="Arial Narrow"/>
                <w:sz w:val="20"/>
                <w:szCs w:val="20"/>
                <w:lang w:eastAsia="en-GB"/>
              </w:rPr>
              <w:t>UNDP</w:t>
            </w:r>
          </w:p>
        </w:tc>
        <w:tc>
          <w:tcPr>
            <w:tcW w:w="2003" w:type="dxa"/>
            <w:tcBorders>
              <w:top w:val="nil"/>
              <w:left w:val="nil"/>
              <w:bottom w:val="single" w:sz="4" w:space="0" w:color="auto"/>
              <w:right w:val="single" w:sz="4" w:space="0" w:color="auto"/>
            </w:tcBorders>
            <w:shd w:val="clear" w:color="auto" w:fill="auto"/>
            <w:hideMark/>
          </w:tcPr>
          <w:p w14:paraId="6D18CA96" w14:textId="77777777" w:rsidR="00683F4A" w:rsidRPr="003B552F" w:rsidRDefault="00683F4A" w:rsidP="009657E1">
            <w:pPr>
              <w:spacing w:after="0"/>
              <w:jc w:val="lef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voter turn-out (2010: 70 ; 2016:90)</w:t>
            </w:r>
          </w:p>
        </w:tc>
        <w:tc>
          <w:tcPr>
            <w:tcW w:w="1271" w:type="dxa"/>
            <w:tcBorders>
              <w:top w:val="nil"/>
              <w:left w:val="nil"/>
              <w:bottom w:val="single" w:sz="4" w:space="0" w:color="auto"/>
              <w:right w:val="single" w:sz="4" w:space="0" w:color="auto"/>
            </w:tcBorders>
            <w:shd w:val="clear" w:color="auto" w:fill="auto"/>
            <w:hideMark/>
          </w:tcPr>
          <w:p w14:paraId="6B20D5A6" w14:textId="77777777" w:rsidR="00683F4A" w:rsidRPr="003B552F" w:rsidRDefault="00683F4A" w:rsidP="009657E1">
            <w:pPr>
              <w:spacing w:after="0"/>
              <w:jc w:val="left"/>
              <w:rPr>
                <w:rFonts w:ascii="Arial Narrow" w:eastAsia="Times New Roman" w:hAnsi="Arial Narrow"/>
                <w:sz w:val="20"/>
                <w:szCs w:val="20"/>
                <w:lang w:eastAsia="en-GB"/>
              </w:rPr>
            </w:pPr>
            <w:r w:rsidRPr="003B552F">
              <w:rPr>
                <w:rFonts w:ascii="Arial Narrow" w:eastAsia="Times New Roman" w:hAnsi="Arial Narrow"/>
                <w:sz w:val="20"/>
                <w:szCs w:val="20"/>
                <w:lang w:eastAsia="en-GB"/>
              </w:rPr>
              <w:t>Electoral Commission Report</w:t>
            </w:r>
          </w:p>
        </w:tc>
        <w:tc>
          <w:tcPr>
            <w:tcW w:w="2217" w:type="dxa"/>
            <w:vMerge w:val="restart"/>
            <w:tcBorders>
              <w:top w:val="nil"/>
              <w:left w:val="single" w:sz="4" w:space="0" w:color="auto"/>
              <w:bottom w:val="single" w:sz="4" w:space="0" w:color="000000"/>
              <w:right w:val="single" w:sz="4" w:space="0" w:color="auto"/>
            </w:tcBorders>
            <w:shd w:val="clear" w:color="auto" w:fill="auto"/>
            <w:hideMark/>
          </w:tcPr>
          <w:p w14:paraId="65B13691" w14:textId="568B4F61" w:rsidR="00683F4A" w:rsidRPr="00CD56B9" w:rsidRDefault="00683F4A" w:rsidP="009657E1">
            <w:pPr>
              <w:spacing w:after="0"/>
              <w:jc w:val="left"/>
              <w:rPr>
                <w:rFonts w:ascii="Arial Narrow" w:eastAsia="Times New Roman" w:hAnsi="Arial Narrow"/>
                <w:b/>
                <w:bCs/>
                <w:sz w:val="20"/>
                <w:szCs w:val="20"/>
                <w:lang w:val="en-US" w:eastAsia="en-GB"/>
              </w:rPr>
            </w:pPr>
            <w:r w:rsidRPr="00CD56B9">
              <w:rPr>
                <w:rFonts w:ascii="Arial Narrow" w:eastAsia="Times New Roman" w:hAnsi="Arial Narrow"/>
                <w:b/>
                <w:bCs/>
                <w:sz w:val="20"/>
                <w:szCs w:val="20"/>
                <w:lang w:val="en-US" w:eastAsia="en-GB"/>
              </w:rPr>
              <w:t xml:space="preserve">Assumptions: </w:t>
            </w:r>
            <w:r w:rsidRPr="00CD56B9">
              <w:rPr>
                <w:rFonts w:ascii="Arial Narrow" w:eastAsia="Times New Roman" w:hAnsi="Arial Narrow"/>
                <w:sz w:val="20"/>
                <w:szCs w:val="20"/>
                <w:lang w:val="en-US" w:eastAsia="en-GB"/>
              </w:rPr>
              <w:t>Availability of funds from donors; Ownership and willingness of electoral processes by MEC and government;</w:t>
            </w:r>
            <w:r w:rsidRPr="00CD56B9">
              <w:rPr>
                <w:rFonts w:ascii="Arial Narrow" w:eastAsia="Times New Roman" w:hAnsi="Arial Narrow"/>
                <w:b/>
                <w:bCs/>
                <w:sz w:val="20"/>
                <w:szCs w:val="20"/>
                <w:lang w:val="en-US" w:eastAsia="en-GB"/>
              </w:rPr>
              <w:br/>
              <w:t xml:space="preserve"> Risk: </w:t>
            </w:r>
            <w:r w:rsidRPr="00CD56B9">
              <w:rPr>
                <w:rFonts w:ascii="Arial Narrow" w:eastAsia="Times New Roman" w:hAnsi="Arial Narrow"/>
                <w:sz w:val="20"/>
                <w:szCs w:val="20"/>
                <w:lang w:val="en-US" w:eastAsia="en-GB"/>
              </w:rPr>
              <w:t xml:space="preserve">Lack of commitment from Government to show  efforts in resolving the  issues raised in both audit reports as a matter of urgency; The vacant senior positions  in the </w:t>
            </w:r>
            <w:r w:rsidR="003F4020" w:rsidRPr="00CD56B9">
              <w:rPr>
                <w:rFonts w:ascii="Arial Narrow" w:eastAsia="Times New Roman" w:hAnsi="Arial Narrow"/>
                <w:sz w:val="20"/>
                <w:szCs w:val="20"/>
                <w:lang w:val="en-US" w:eastAsia="en-GB"/>
              </w:rPr>
              <w:t>organizational</w:t>
            </w:r>
            <w:r w:rsidRPr="00CD56B9">
              <w:rPr>
                <w:rFonts w:ascii="Arial Narrow" w:eastAsia="Times New Roman" w:hAnsi="Arial Narrow"/>
                <w:sz w:val="20"/>
                <w:szCs w:val="20"/>
                <w:lang w:val="en-US" w:eastAsia="en-GB"/>
              </w:rPr>
              <w:t xml:space="preserve"> structure of MEC;  Variations in Political climate; lack of independence of the EMB.                                                                                                         </w:t>
            </w:r>
          </w:p>
        </w:tc>
        <w:tc>
          <w:tcPr>
            <w:tcW w:w="120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5A873CDB" w14:textId="77777777" w:rsidR="00683F4A" w:rsidRPr="003B552F" w:rsidRDefault="00683F4A" w:rsidP="009657E1">
            <w:pPr>
              <w:spacing w:after="0"/>
              <w:jc w:val="left"/>
              <w:rPr>
                <w:rFonts w:ascii="Arial Narrow" w:eastAsia="Times New Roman" w:hAnsi="Arial Narrow"/>
                <w:sz w:val="20"/>
                <w:szCs w:val="20"/>
                <w:lang w:eastAsia="en-GB"/>
              </w:rPr>
            </w:pPr>
            <w:r w:rsidRPr="003B552F">
              <w:rPr>
                <w:rFonts w:ascii="Arial Narrow" w:eastAsia="Times New Roman" w:hAnsi="Arial Narrow"/>
                <w:sz w:val="20"/>
                <w:szCs w:val="20"/>
                <w:lang w:eastAsia="en-GB"/>
              </w:rPr>
              <w:t>MEC</w:t>
            </w:r>
          </w:p>
        </w:tc>
        <w:tc>
          <w:tcPr>
            <w:tcW w:w="123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113671C8" w14:textId="77777777" w:rsidR="00683F4A" w:rsidRPr="003B552F" w:rsidRDefault="00683F4A" w:rsidP="009657E1">
            <w:pPr>
              <w:spacing w:after="0"/>
              <w:jc w:val="center"/>
              <w:rPr>
                <w:rFonts w:ascii="Arial Narrow" w:eastAsia="Times New Roman" w:hAnsi="Arial Narrow"/>
                <w:sz w:val="20"/>
                <w:szCs w:val="20"/>
                <w:lang w:eastAsia="en-GB"/>
              </w:rPr>
            </w:pPr>
            <w:r w:rsidRPr="003B552F">
              <w:rPr>
                <w:rFonts w:ascii="Arial Narrow" w:eastAsia="Times New Roman" w:hAnsi="Arial Narrow"/>
                <w:sz w:val="20"/>
                <w:szCs w:val="20"/>
                <w:lang w:eastAsia="en-GB"/>
              </w:rPr>
              <w:t>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0B7BF6C"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w:t>
            </w:r>
          </w:p>
        </w:tc>
        <w:tc>
          <w:tcPr>
            <w:tcW w:w="99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54379429"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w:t>
            </w:r>
          </w:p>
        </w:tc>
        <w:tc>
          <w:tcPr>
            <w:tcW w:w="98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33BC188"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w:t>
            </w:r>
          </w:p>
        </w:tc>
        <w:tc>
          <w:tcPr>
            <w:tcW w:w="1134" w:type="dxa"/>
            <w:vMerge w:val="restart"/>
            <w:tcBorders>
              <w:top w:val="single" w:sz="4" w:space="0" w:color="auto"/>
              <w:left w:val="single" w:sz="4" w:space="0" w:color="auto"/>
              <w:bottom w:val="single" w:sz="4" w:space="0" w:color="auto"/>
              <w:right w:val="single" w:sz="8" w:space="0" w:color="auto"/>
            </w:tcBorders>
            <w:shd w:val="clear" w:color="auto" w:fill="auto"/>
            <w:noWrap/>
            <w:hideMark/>
          </w:tcPr>
          <w:p w14:paraId="567C7A09"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w:t>
            </w:r>
          </w:p>
        </w:tc>
      </w:tr>
      <w:tr w:rsidR="00683F4A" w:rsidRPr="007D425D" w14:paraId="46E00E49" w14:textId="77777777" w:rsidTr="009657E1">
        <w:trPr>
          <w:trHeight w:val="1734"/>
          <w:jc w:val="center"/>
        </w:trPr>
        <w:tc>
          <w:tcPr>
            <w:tcW w:w="1570" w:type="dxa"/>
            <w:vMerge/>
            <w:tcBorders>
              <w:top w:val="nil"/>
              <w:left w:val="single" w:sz="8" w:space="0" w:color="auto"/>
              <w:bottom w:val="single" w:sz="4" w:space="0" w:color="auto"/>
              <w:right w:val="single" w:sz="4" w:space="0" w:color="auto"/>
            </w:tcBorders>
            <w:vAlign w:val="center"/>
            <w:hideMark/>
          </w:tcPr>
          <w:p w14:paraId="62AFA5C4" w14:textId="77777777" w:rsidR="00683F4A" w:rsidRPr="003B552F" w:rsidRDefault="00683F4A" w:rsidP="009657E1">
            <w:pPr>
              <w:spacing w:after="0"/>
              <w:jc w:val="left"/>
              <w:rPr>
                <w:rFonts w:ascii="Arial Narrow" w:eastAsia="Times New Roman" w:hAnsi="Arial Narrow"/>
                <w:b/>
                <w:bCs/>
                <w:sz w:val="20"/>
                <w:szCs w:val="20"/>
                <w:lang w:eastAsia="en-GB"/>
              </w:rPr>
            </w:pPr>
          </w:p>
        </w:tc>
        <w:tc>
          <w:tcPr>
            <w:tcW w:w="1150" w:type="dxa"/>
            <w:vMerge/>
            <w:tcBorders>
              <w:top w:val="nil"/>
              <w:left w:val="single" w:sz="4" w:space="0" w:color="auto"/>
              <w:bottom w:val="single" w:sz="4" w:space="0" w:color="000000"/>
              <w:right w:val="single" w:sz="4" w:space="0" w:color="auto"/>
            </w:tcBorders>
            <w:vAlign w:val="center"/>
            <w:hideMark/>
          </w:tcPr>
          <w:p w14:paraId="07774C11" w14:textId="77777777" w:rsidR="00683F4A" w:rsidRPr="003B552F" w:rsidRDefault="00683F4A" w:rsidP="009657E1">
            <w:pPr>
              <w:spacing w:after="0"/>
              <w:jc w:val="left"/>
              <w:rPr>
                <w:rFonts w:ascii="Arial Narrow" w:eastAsia="Times New Roman" w:hAnsi="Arial Narrow"/>
                <w:sz w:val="20"/>
                <w:szCs w:val="20"/>
                <w:lang w:eastAsia="en-GB"/>
              </w:rPr>
            </w:pPr>
          </w:p>
        </w:tc>
        <w:tc>
          <w:tcPr>
            <w:tcW w:w="2003" w:type="dxa"/>
            <w:tcBorders>
              <w:top w:val="nil"/>
              <w:left w:val="nil"/>
              <w:bottom w:val="single" w:sz="4" w:space="0" w:color="auto"/>
              <w:right w:val="single" w:sz="4" w:space="0" w:color="auto"/>
            </w:tcBorders>
            <w:shd w:val="clear" w:color="auto" w:fill="auto"/>
            <w:hideMark/>
          </w:tcPr>
          <w:p w14:paraId="06ADCD58" w14:textId="39713134" w:rsidR="00683F4A" w:rsidRPr="00CD56B9" w:rsidRDefault="00683F4A" w:rsidP="009657E1">
            <w:pPr>
              <w:spacing w:after="0"/>
              <w:jc w:val="left"/>
              <w:rPr>
                <w:rFonts w:ascii="Arial Narrow" w:eastAsia="Times New Roman" w:hAnsi="Arial Narrow"/>
                <w:sz w:val="20"/>
                <w:szCs w:val="20"/>
                <w:lang w:val="en-US" w:eastAsia="en-GB"/>
              </w:rPr>
            </w:pPr>
            <w:r w:rsidRPr="00CD56B9">
              <w:rPr>
                <w:rFonts w:ascii="Arial Narrow" w:eastAsia="Times New Roman" w:hAnsi="Arial Narrow"/>
                <w:sz w:val="20"/>
                <w:szCs w:val="20"/>
                <w:lang w:val="en-US" w:eastAsia="en-GB"/>
              </w:rPr>
              <w:t xml:space="preserve">Proportion of women elected during Presidential and </w:t>
            </w:r>
            <w:r w:rsidR="003F4020" w:rsidRPr="00CD56B9">
              <w:rPr>
                <w:rFonts w:ascii="Arial Narrow" w:eastAsia="Times New Roman" w:hAnsi="Arial Narrow"/>
                <w:sz w:val="20"/>
                <w:szCs w:val="20"/>
                <w:lang w:val="en-US" w:eastAsia="en-GB"/>
              </w:rPr>
              <w:t>Parliamentarian Election</w:t>
            </w:r>
            <w:r w:rsidRPr="00CD56B9">
              <w:rPr>
                <w:rFonts w:ascii="Arial Narrow" w:eastAsia="Times New Roman" w:hAnsi="Arial Narrow"/>
                <w:sz w:val="20"/>
                <w:szCs w:val="20"/>
                <w:lang w:val="en-US" w:eastAsia="en-GB"/>
              </w:rPr>
              <w:t>) (2010: 22; 2016 : 30)</w:t>
            </w:r>
          </w:p>
        </w:tc>
        <w:tc>
          <w:tcPr>
            <w:tcW w:w="1271" w:type="dxa"/>
            <w:tcBorders>
              <w:top w:val="nil"/>
              <w:left w:val="nil"/>
              <w:bottom w:val="single" w:sz="4" w:space="0" w:color="auto"/>
              <w:right w:val="single" w:sz="4" w:space="0" w:color="auto"/>
            </w:tcBorders>
            <w:shd w:val="clear" w:color="auto" w:fill="auto"/>
            <w:hideMark/>
          </w:tcPr>
          <w:p w14:paraId="54AB600A" w14:textId="77777777" w:rsidR="00683F4A" w:rsidRPr="003B552F" w:rsidRDefault="00683F4A" w:rsidP="009657E1">
            <w:pPr>
              <w:spacing w:after="0"/>
              <w:jc w:val="left"/>
              <w:rPr>
                <w:rFonts w:ascii="Arial Narrow" w:eastAsia="Times New Roman" w:hAnsi="Arial Narrow"/>
                <w:sz w:val="20"/>
                <w:szCs w:val="20"/>
                <w:lang w:eastAsia="en-GB"/>
              </w:rPr>
            </w:pPr>
            <w:r w:rsidRPr="003B552F">
              <w:rPr>
                <w:rFonts w:ascii="Arial Narrow" w:eastAsia="Times New Roman" w:hAnsi="Arial Narrow"/>
                <w:sz w:val="20"/>
                <w:szCs w:val="20"/>
                <w:lang w:eastAsia="en-GB"/>
              </w:rPr>
              <w:t>Electoral Commission Report</w:t>
            </w:r>
          </w:p>
        </w:tc>
        <w:tc>
          <w:tcPr>
            <w:tcW w:w="2217" w:type="dxa"/>
            <w:vMerge/>
            <w:tcBorders>
              <w:top w:val="nil"/>
              <w:left w:val="single" w:sz="4" w:space="0" w:color="auto"/>
              <w:bottom w:val="single" w:sz="4" w:space="0" w:color="000000"/>
              <w:right w:val="single" w:sz="4" w:space="0" w:color="auto"/>
            </w:tcBorders>
            <w:vAlign w:val="center"/>
            <w:hideMark/>
          </w:tcPr>
          <w:p w14:paraId="4D904CE1" w14:textId="77777777" w:rsidR="00683F4A" w:rsidRPr="003B552F" w:rsidRDefault="00683F4A" w:rsidP="009657E1">
            <w:pPr>
              <w:spacing w:after="0"/>
              <w:jc w:val="left"/>
              <w:rPr>
                <w:rFonts w:ascii="Arial Narrow" w:eastAsia="Times New Roman" w:hAnsi="Arial Narrow"/>
                <w:b/>
                <w:bCs/>
                <w:sz w:val="20"/>
                <w:szCs w:val="20"/>
                <w:lang w:eastAsia="en-GB"/>
              </w:rPr>
            </w:pPr>
          </w:p>
        </w:tc>
        <w:tc>
          <w:tcPr>
            <w:tcW w:w="1201" w:type="dxa"/>
            <w:vMerge/>
            <w:tcBorders>
              <w:top w:val="single" w:sz="4" w:space="0" w:color="auto"/>
              <w:left w:val="single" w:sz="4" w:space="0" w:color="auto"/>
              <w:bottom w:val="single" w:sz="4" w:space="0" w:color="auto"/>
              <w:right w:val="single" w:sz="4" w:space="0" w:color="auto"/>
            </w:tcBorders>
            <w:vAlign w:val="center"/>
            <w:hideMark/>
          </w:tcPr>
          <w:p w14:paraId="33E22722" w14:textId="77777777" w:rsidR="00683F4A" w:rsidRPr="003B552F" w:rsidRDefault="00683F4A" w:rsidP="009657E1">
            <w:pPr>
              <w:spacing w:after="0"/>
              <w:jc w:val="left"/>
              <w:rPr>
                <w:rFonts w:ascii="Arial Narrow" w:eastAsia="Times New Roman" w:hAnsi="Arial Narrow"/>
                <w:sz w:val="20"/>
                <w:szCs w:val="20"/>
                <w:lang w:eastAsia="en-GB"/>
              </w:rPr>
            </w:pPr>
          </w:p>
        </w:tc>
        <w:tc>
          <w:tcPr>
            <w:tcW w:w="1230" w:type="dxa"/>
            <w:vMerge/>
            <w:tcBorders>
              <w:top w:val="single" w:sz="4" w:space="0" w:color="auto"/>
              <w:left w:val="single" w:sz="4" w:space="0" w:color="auto"/>
              <w:bottom w:val="single" w:sz="4" w:space="0" w:color="auto"/>
              <w:right w:val="single" w:sz="4" w:space="0" w:color="auto"/>
            </w:tcBorders>
            <w:vAlign w:val="center"/>
            <w:hideMark/>
          </w:tcPr>
          <w:p w14:paraId="06042390" w14:textId="77777777" w:rsidR="00683F4A" w:rsidRPr="003B552F" w:rsidRDefault="00683F4A" w:rsidP="009657E1">
            <w:pPr>
              <w:spacing w:after="0"/>
              <w:jc w:val="left"/>
              <w:rPr>
                <w:rFonts w:ascii="Arial Narrow" w:eastAsia="Times New Roman" w:hAnsi="Arial Narrow"/>
                <w:sz w:val="20"/>
                <w:szCs w:val="20"/>
                <w:lang w:eastAsia="en-GB"/>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7D5077A" w14:textId="77777777" w:rsidR="00683F4A" w:rsidRPr="003B552F" w:rsidRDefault="00683F4A" w:rsidP="009657E1">
            <w:pPr>
              <w:spacing w:after="0"/>
              <w:jc w:val="left"/>
              <w:rPr>
                <w:rFonts w:ascii="Arial Narrow" w:eastAsia="Times New Roman" w:hAnsi="Arial Narrow"/>
                <w:sz w:val="20"/>
                <w:szCs w:val="20"/>
                <w:lang w:eastAsia="en-GB"/>
              </w:rPr>
            </w:pPr>
          </w:p>
        </w:tc>
        <w:tc>
          <w:tcPr>
            <w:tcW w:w="998" w:type="dxa"/>
            <w:gridSpan w:val="2"/>
            <w:vMerge/>
            <w:tcBorders>
              <w:top w:val="single" w:sz="4" w:space="0" w:color="auto"/>
              <w:left w:val="single" w:sz="4" w:space="0" w:color="auto"/>
              <w:bottom w:val="single" w:sz="4" w:space="0" w:color="auto"/>
              <w:right w:val="single" w:sz="4" w:space="0" w:color="auto"/>
            </w:tcBorders>
            <w:vAlign w:val="center"/>
            <w:hideMark/>
          </w:tcPr>
          <w:p w14:paraId="728CCE0D" w14:textId="77777777" w:rsidR="00683F4A" w:rsidRPr="003B552F" w:rsidRDefault="00683F4A" w:rsidP="009657E1">
            <w:pPr>
              <w:spacing w:after="0"/>
              <w:jc w:val="left"/>
              <w:rPr>
                <w:rFonts w:ascii="Arial Narrow" w:eastAsia="Times New Roman" w:hAnsi="Arial Narrow"/>
                <w:sz w:val="20"/>
                <w:szCs w:val="20"/>
                <w:lang w:eastAsia="en-GB"/>
              </w:rPr>
            </w:pPr>
          </w:p>
        </w:tc>
        <w:tc>
          <w:tcPr>
            <w:tcW w:w="986" w:type="dxa"/>
            <w:vMerge/>
            <w:tcBorders>
              <w:top w:val="single" w:sz="4" w:space="0" w:color="auto"/>
              <w:left w:val="single" w:sz="4" w:space="0" w:color="auto"/>
              <w:bottom w:val="single" w:sz="4" w:space="0" w:color="auto"/>
              <w:right w:val="single" w:sz="4" w:space="0" w:color="auto"/>
            </w:tcBorders>
            <w:vAlign w:val="center"/>
            <w:hideMark/>
          </w:tcPr>
          <w:p w14:paraId="1EC9B6CB" w14:textId="77777777" w:rsidR="00683F4A" w:rsidRPr="003B552F" w:rsidRDefault="00683F4A" w:rsidP="009657E1">
            <w:pPr>
              <w:spacing w:after="0"/>
              <w:jc w:val="left"/>
              <w:rPr>
                <w:rFonts w:ascii="Arial Narrow" w:eastAsia="Times New Roman" w:hAnsi="Arial Narrow"/>
                <w:sz w:val="20"/>
                <w:szCs w:val="20"/>
                <w:lang w:eastAsia="en-GB"/>
              </w:rPr>
            </w:pPr>
          </w:p>
        </w:tc>
        <w:tc>
          <w:tcPr>
            <w:tcW w:w="1134" w:type="dxa"/>
            <w:vMerge/>
            <w:tcBorders>
              <w:top w:val="single" w:sz="4" w:space="0" w:color="auto"/>
              <w:left w:val="single" w:sz="4" w:space="0" w:color="auto"/>
              <w:bottom w:val="single" w:sz="4" w:space="0" w:color="auto"/>
              <w:right w:val="single" w:sz="8" w:space="0" w:color="auto"/>
            </w:tcBorders>
            <w:vAlign w:val="center"/>
            <w:hideMark/>
          </w:tcPr>
          <w:p w14:paraId="3B765D24" w14:textId="77777777" w:rsidR="00683F4A" w:rsidRPr="003B552F" w:rsidRDefault="00683F4A" w:rsidP="009657E1">
            <w:pPr>
              <w:spacing w:after="0"/>
              <w:jc w:val="left"/>
              <w:rPr>
                <w:rFonts w:ascii="Arial Narrow" w:eastAsia="Times New Roman" w:hAnsi="Arial Narrow"/>
                <w:sz w:val="20"/>
                <w:szCs w:val="20"/>
                <w:lang w:eastAsia="en-GB"/>
              </w:rPr>
            </w:pPr>
          </w:p>
        </w:tc>
      </w:tr>
      <w:tr w:rsidR="00683F4A" w:rsidRPr="007D425D" w14:paraId="5ACA2B66" w14:textId="77777777" w:rsidTr="009657E1">
        <w:trPr>
          <w:trHeight w:val="168"/>
          <w:jc w:val="center"/>
        </w:trPr>
        <w:tc>
          <w:tcPr>
            <w:tcW w:w="1570" w:type="dxa"/>
            <w:vMerge w:val="restart"/>
            <w:tcBorders>
              <w:top w:val="nil"/>
              <w:left w:val="single" w:sz="8" w:space="0" w:color="auto"/>
              <w:bottom w:val="single" w:sz="4" w:space="0" w:color="000000"/>
              <w:right w:val="single" w:sz="4" w:space="0" w:color="auto"/>
            </w:tcBorders>
            <w:shd w:val="clear" w:color="auto" w:fill="auto"/>
            <w:hideMark/>
          </w:tcPr>
          <w:p w14:paraId="1C90E90D" w14:textId="77777777" w:rsidR="00683F4A" w:rsidRPr="003B552F" w:rsidRDefault="00683F4A" w:rsidP="009657E1">
            <w:pPr>
              <w:spacing w:after="0"/>
              <w:jc w:val="left"/>
              <w:rPr>
                <w:rFonts w:ascii="Arial Narrow" w:eastAsia="Times New Roman" w:hAnsi="Arial Narrow"/>
                <w:b/>
                <w:bCs/>
                <w:sz w:val="20"/>
                <w:szCs w:val="20"/>
                <w:lang w:eastAsia="en-GB"/>
              </w:rPr>
            </w:pPr>
            <w:r w:rsidRPr="003B552F">
              <w:rPr>
                <w:rFonts w:ascii="Arial Narrow" w:eastAsia="Times New Roman" w:hAnsi="Arial Narrow"/>
                <w:b/>
                <w:bCs/>
                <w:sz w:val="20"/>
                <w:szCs w:val="20"/>
                <w:lang w:eastAsia="en-GB"/>
              </w:rPr>
              <w:t>Annualized Key Results 2012</w:t>
            </w:r>
          </w:p>
        </w:tc>
        <w:tc>
          <w:tcPr>
            <w:tcW w:w="7842" w:type="dxa"/>
            <w:gridSpan w:val="5"/>
            <w:tcBorders>
              <w:top w:val="single" w:sz="4" w:space="0" w:color="auto"/>
              <w:left w:val="nil"/>
              <w:bottom w:val="single" w:sz="4" w:space="0" w:color="auto"/>
              <w:right w:val="single" w:sz="4" w:space="0" w:color="000000"/>
            </w:tcBorders>
            <w:shd w:val="clear" w:color="auto" w:fill="auto"/>
            <w:hideMark/>
          </w:tcPr>
          <w:p w14:paraId="7E496C17" w14:textId="77777777" w:rsidR="00683F4A" w:rsidRPr="00CD56B9" w:rsidRDefault="00683F4A" w:rsidP="009657E1">
            <w:pPr>
              <w:spacing w:after="0"/>
              <w:jc w:val="left"/>
              <w:rPr>
                <w:rFonts w:ascii="Arial Narrow" w:eastAsia="Times New Roman" w:hAnsi="Arial Narrow"/>
                <w:sz w:val="20"/>
                <w:szCs w:val="20"/>
                <w:lang w:val="en-US" w:eastAsia="en-GB"/>
              </w:rPr>
            </w:pPr>
            <w:r w:rsidRPr="00CD56B9">
              <w:rPr>
                <w:rFonts w:ascii="Arial Narrow" w:eastAsia="Times New Roman" w:hAnsi="Arial Narrow"/>
                <w:sz w:val="20"/>
                <w:szCs w:val="20"/>
                <w:lang w:val="en-US" w:eastAsia="en-GB"/>
              </w:rPr>
              <w:t xml:space="preserve">A: 2012 - 2014 Strategic Plan for the Malawi Electoral Commission formulated (UNDP).       </w:t>
            </w:r>
          </w:p>
        </w:tc>
        <w:tc>
          <w:tcPr>
            <w:tcW w:w="1230" w:type="dxa"/>
            <w:tcBorders>
              <w:top w:val="nil"/>
              <w:left w:val="nil"/>
              <w:bottom w:val="single" w:sz="4" w:space="0" w:color="auto"/>
              <w:right w:val="single" w:sz="4" w:space="0" w:color="auto"/>
            </w:tcBorders>
            <w:shd w:val="clear" w:color="auto" w:fill="auto"/>
            <w:hideMark/>
          </w:tcPr>
          <w:p w14:paraId="61C49C6C" w14:textId="77777777" w:rsidR="00683F4A" w:rsidRPr="003B552F" w:rsidRDefault="00683F4A" w:rsidP="009657E1">
            <w:pPr>
              <w:spacing w:after="0"/>
              <w:jc w:val="left"/>
              <w:rPr>
                <w:rFonts w:ascii="Arial Narrow" w:eastAsia="Times New Roman" w:hAnsi="Arial Narrow"/>
                <w:sz w:val="20"/>
                <w:szCs w:val="20"/>
                <w:lang w:eastAsia="en-GB"/>
              </w:rPr>
            </w:pPr>
            <w:r w:rsidRPr="003B552F">
              <w:rPr>
                <w:rFonts w:ascii="Arial Narrow" w:eastAsia="Times New Roman" w:hAnsi="Arial Narrow"/>
                <w:sz w:val="20"/>
                <w:szCs w:val="20"/>
                <w:lang w:eastAsia="en-GB"/>
              </w:rPr>
              <w:t>UNDP</w:t>
            </w:r>
          </w:p>
        </w:tc>
        <w:tc>
          <w:tcPr>
            <w:tcW w:w="992" w:type="dxa"/>
            <w:tcBorders>
              <w:top w:val="nil"/>
              <w:left w:val="nil"/>
              <w:bottom w:val="single" w:sz="4" w:space="0" w:color="auto"/>
              <w:right w:val="single" w:sz="4" w:space="0" w:color="auto"/>
            </w:tcBorders>
            <w:shd w:val="clear" w:color="auto" w:fill="auto"/>
            <w:hideMark/>
          </w:tcPr>
          <w:p w14:paraId="4EB1D4FE"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250,000 </w:t>
            </w:r>
          </w:p>
        </w:tc>
        <w:tc>
          <w:tcPr>
            <w:tcW w:w="998" w:type="dxa"/>
            <w:gridSpan w:val="2"/>
            <w:tcBorders>
              <w:top w:val="nil"/>
              <w:left w:val="nil"/>
              <w:bottom w:val="single" w:sz="4" w:space="0" w:color="auto"/>
              <w:right w:val="single" w:sz="4" w:space="0" w:color="auto"/>
            </w:tcBorders>
            <w:shd w:val="clear" w:color="auto" w:fill="auto"/>
            <w:noWrap/>
            <w:hideMark/>
          </w:tcPr>
          <w:p w14:paraId="1744F47C"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w:t>
            </w:r>
          </w:p>
        </w:tc>
        <w:tc>
          <w:tcPr>
            <w:tcW w:w="986" w:type="dxa"/>
            <w:tcBorders>
              <w:top w:val="nil"/>
              <w:left w:val="nil"/>
              <w:bottom w:val="single" w:sz="4" w:space="0" w:color="auto"/>
              <w:right w:val="single" w:sz="4" w:space="0" w:color="auto"/>
            </w:tcBorders>
            <w:shd w:val="clear" w:color="auto" w:fill="auto"/>
            <w:noWrap/>
            <w:hideMark/>
          </w:tcPr>
          <w:p w14:paraId="4B63F537"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250,000 </w:t>
            </w:r>
          </w:p>
        </w:tc>
        <w:tc>
          <w:tcPr>
            <w:tcW w:w="1134" w:type="dxa"/>
            <w:tcBorders>
              <w:top w:val="nil"/>
              <w:left w:val="nil"/>
              <w:bottom w:val="single" w:sz="4" w:space="0" w:color="auto"/>
              <w:right w:val="single" w:sz="8" w:space="0" w:color="auto"/>
            </w:tcBorders>
            <w:shd w:val="clear" w:color="auto" w:fill="auto"/>
            <w:hideMark/>
          </w:tcPr>
          <w:p w14:paraId="54C31359"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500,000 </w:t>
            </w:r>
          </w:p>
        </w:tc>
      </w:tr>
      <w:tr w:rsidR="00683F4A" w:rsidRPr="007D425D" w14:paraId="1EF6D483" w14:textId="77777777" w:rsidTr="009657E1">
        <w:trPr>
          <w:trHeight w:val="179"/>
          <w:jc w:val="center"/>
        </w:trPr>
        <w:tc>
          <w:tcPr>
            <w:tcW w:w="1570" w:type="dxa"/>
            <w:vMerge/>
            <w:tcBorders>
              <w:top w:val="nil"/>
              <w:left w:val="single" w:sz="8" w:space="0" w:color="auto"/>
              <w:bottom w:val="single" w:sz="4" w:space="0" w:color="000000"/>
              <w:right w:val="single" w:sz="4" w:space="0" w:color="auto"/>
            </w:tcBorders>
            <w:vAlign w:val="center"/>
            <w:hideMark/>
          </w:tcPr>
          <w:p w14:paraId="18EFE1BE" w14:textId="77777777" w:rsidR="00683F4A" w:rsidRPr="003B552F" w:rsidRDefault="00683F4A" w:rsidP="009657E1">
            <w:pPr>
              <w:spacing w:after="0"/>
              <w:jc w:val="left"/>
              <w:rPr>
                <w:rFonts w:ascii="Arial Narrow" w:eastAsia="Times New Roman" w:hAnsi="Arial Narrow"/>
                <w:b/>
                <w:bCs/>
                <w:sz w:val="20"/>
                <w:szCs w:val="20"/>
                <w:lang w:eastAsia="en-GB"/>
              </w:rPr>
            </w:pPr>
          </w:p>
        </w:tc>
        <w:tc>
          <w:tcPr>
            <w:tcW w:w="7842" w:type="dxa"/>
            <w:gridSpan w:val="5"/>
            <w:tcBorders>
              <w:top w:val="single" w:sz="4" w:space="0" w:color="auto"/>
              <w:left w:val="nil"/>
              <w:bottom w:val="nil"/>
              <w:right w:val="single" w:sz="4" w:space="0" w:color="000000"/>
            </w:tcBorders>
            <w:shd w:val="clear" w:color="auto" w:fill="auto"/>
            <w:hideMark/>
          </w:tcPr>
          <w:p w14:paraId="45B3E8E6" w14:textId="77777777" w:rsidR="00683F4A" w:rsidRPr="003B552F" w:rsidRDefault="00683F4A" w:rsidP="009657E1">
            <w:pPr>
              <w:spacing w:after="0"/>
              <w:jc w:val="lef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B: Asset management and storage systems operational at MEC (UNDP)                                                                                                                                                                                                                                 </w:t>
            </w:r>
          </w:p>
        </w:tc>
        <w:tc>
          <w:tcPr>
            <w:tcW w:w="1230" w:type="dxa"/>
            <w:tcBorders>
              <w:top w:val="nil"/>
              <w:left w:val="nil"/>
              <w:bottom w:val="nil"/>
              <w:right w:val="single" w:sz="4" w:space="0" w:color="auto"/>
            </w:tcBorders>
            <w:shd w:val="clear" w:color="auto" w:fill="auto"/>
            <w:hideMark/>
          </w:tcPr>
          <w:p w14:paraId="21FAA635" w14:textId="77777777" w:rsidR="00683F4A" w:rsidRPr="003B552F" w:rsidRDefault="00683F4A" w:rsidP="009657E1">
            <w:pPr>
              <w:spacing w:after="0"/>
              <w:jc w:val="left"/>
              <w:rPr>
                <w:rFonts w:ascii="Arial Narrow" w:eastAsia="Times New Roman" w:hAnsi="Arial Narrow"/>
                <w:sz w:val="20"/>
                <w:szCs w:val="20"/>
                <w:lang w:eastAsia="en-GB"/>
              </w:rPr>
            </w:pPr>
            <w:r w:rsidRPr="003B552F">
              <w:rPr>
                <w:rFonts w:ascii="Arial Narrow" w:eastAsia="Times New Roman" w:hAnsi="Arial Narrow"/>
                <w:sz w:val="20"/>
                <w:szCs w:val="20"/>
                <w:lang w:eastAsia="en-GB"/>
              </w:rPr>
              <w:t>UNDP</w:t>
            </w:r>
          </w:p>
        </w:tc>
        <w:tc>
          <w:tcPr>
            <w:tcW w:w="992" w:type="dxa"/>
            <w:tcBorders>
              <w:top w:val="nil"/>
              <w:left w:val="nil"/>
              <w:bottom w:val="nil"/>
              <w:right w:val="single" w:sz="4" w:space="0" w:color="auto"/>
            </w:tcBorders>
            <w:shd w:val="clear" w:color="auto" w:fill="auto"/>
            <w:hideMark/>
          </w:tcPr>
          <w:p w14:paraId="27C71340"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100,000 </w:t>
            </w:r>
          </w:p>
        </w:tc>
        <w:tc>
          <w:tcPr>
            <w:tcW w:w="998" w:type="dxa"/>
            <w:gridSpan w:val="2"/>
            <w:tcBorders>
              <w:top w:val="nil"/>
              <w:left w:val="nil"/>
              <w:bottom w:val="nil"/>
              <w:right w:val="single" w:sz="4" w:space="0" w:color="auto"/>
            </w:tcBorders>
            <w:shd w:val="clear" w:color="auto" w:fill="auto"/>
            <w:hideMark/>
          </w:tcPr>
          <w:p w14:paraId="1B3A497B"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w:t>
            </w:r>
          </w:p>
        </w:tc>
        <w:tc>
          <w:tcPr>
            <w:tcW w:w="986" w:type="dxa"/>
            <w:tcBorders>
              <w:top w:val="nil"/>
              <w:left w:val="nil"/>
              <w:bottom w:val="nil"/>
              <w:right w:val="single" w:sz="4" w:space="0" w:color="auto"/>
            </w:tcBorders>
            <w:shd w:val="clear" w:color="auto" w:fill="auto"/>
            <w:hideMark/>
          </w:tcPr>
          <w:p w14:paraId="2621B53F"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500,000 </w:t>
            </w:r>
          </w:p>
        </w:tc>
        <w:tc>
          <w:tcPr>
            <w:tcW w:w="1134" w:type="dxa"/>
            <w:tcBorders>
              <w:top w:val="nil"/>
              <w:left w:val="nil"/>
              <w:bottom w:val="nil"/>
              <w:right w:val="single" w:sz="8" w:space="0" w:color="auto"/>
            </w:tcBorders>
            <w:shd w:val="clear" w:color="auto" w:fill="auto"/>
            <w:hideMark/>
          </w:tcPr>
          <w:p w14:paraId="76330940"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600,000 </w:t>
            </w:r>
          </w:p>
        </w:tc>
      </w:tr>
      <w:tr w:rsidR="00683F4A" w:rsidRPr="007D425D" w14:paraId="3C13255B" w14:textId="77777777" w:rsidTr="009657E1">
        <w:trPr>
          <w:trHeight w:val="179"/>
          <w:jc w:val="center"/>
        </w:trPr>
        <w:tc>
          <w:tcPr>
            <w:tcW w:w="1570" w:type="dxa"/>
            <w:vMerge/>
            <w:tcBorders>
              <w:top w:val="nil"/>
              <w:left w:val="single" w:sz="8" w:space="0" w:color="auto"/>
              <w:bottom w:val="single" w:sz="4" w:space="0" w:color="000000"/>
              <w:right w:val="single" w:sz="4" w:space="0" w:color="auto"/>
            </w:tcBorders>
            <w:vAlign w:val="center"/>
            <w:hideMark/>
          </w:tcPr>
          <w:p w14:paraId="7E436D98" w14:textId="77777777" w:rsidR="00683F4A" w:rsidRPr="003B552F" w:rsidRDefault="00683F4A" w:rsidP="009657E1">
            <w:pPr>
              <w:spacing w:after="0"/>
              <w:jc w:val="left"/>
              <w:rPr>
                <w:rFonts w:ascii="Arial Narrow" w:eastAsia="Times New Roman" w:hAnsi="Arial Narrow"/>
                <w:b/>
                <w:bCs/>
                <w:sz w:val="20"/>
                <w:szCs w:val="20"/>
                <w:lang w:eastAsia="en-GB"/>
              </w:rPr>
            </w:pPr>
          </w:p>
        </w:tc>
        <w:tc>
          <w:tcPr>
            <w:tcW w:w="7842" w:type="dxa"/>
            <w:gridSpan w:val="5"/>
            <w:tcBorders>
              <w:top w:val="single" w:sz="8" w:space="0" w:color="auto"/>
              <w:left w:val="single" w:sz="8" w:space="0" w:color="auto"/>
              <w:bottom w:val="single" w:sz="8" w:space="0" w:color="auto"/>
              <w:right w:val="single" w:sz="4" w:space="0" w:color="000000"/>
            </w:tcBorders>
            <w:shd w:val="clear" w:color="auto" w:fill="auto"/>
            <w:hideMark/>
          </w:tcPr>
          <w:p w14:paraId="7BD04F69" w14:textId="4679601F" w:rsidR="00683F4A" w:rsidRPr="00CD56B9" w:rsidRDefault="00683F4A" w:rsidP="009657E1">
            <w:pPr>
              <w:spacing w:after="0"/>
              <w:jc w:val="left"/>
              <w:rPr>
                <w:rFonts w:ascii="Arial Narrow" w:eastAsia="Times New Roman" w:hAnsi="Arial Narrow"/>
                <w:b/>
                <w:bCs/>
                <w:color w:val="FF0000"/>
                <w:sz w:val="20"/>
                <w:szCs w:val="20"/>
                <w:lang w:val="en-US" w:eastAsia="en-GB"/>
              </w:rPr>
            </w:pPr>
            <w:r w:rsidRPr="00CD56B9">
              <w:rPr>
                <w:rFonts w:ascii="Arial Narrow" w:eastAsia="Times New Roman" w:hAnsi="Arial Narrow"/>
                <w:b/>
                <w:bCs/>
                <w:color w:val="FF0000"/>
                <w:sz w:val="20"/>
                <w:szCs w:val="20"/>
                <w:lang w:val="en-US" w:eastAsia="en-GB"/>
              </w:rPr>
              <w:t xml:space="preserve">4.1.4-Total Budget for </w:t>
            </w:r>
            <w:r w:rsidR="003F4020" w:rsidRPr="00CD56B9">
              <w:rPr>
                <w:rFonts w:ascii="Arial Narrow" w:eastAsia="Times New Roman" w:hAnsi="Arial Narrow"/>
                <w:b/>
                <w:bCs/>
                <w:color w:val="FF0000"/>
                <w:sz w:val="20"/>
                <w:szCs w:val="20"/>
                <w:lang w:val="en-US" w:eastAsia="en-GB"/>
              </w:rPr>
              <w:t>Annualized</w:t>
            </w:r>
            <w:r w:rsidRPr="00CD56B9">
              <w:rPr>
                <w:rFonts w:ascii="Arial Narrow" w:eastAsia="Times New Roman" w:hAnsi="Arial Narrow"/>
                <w:b/>
                <w:bCs/>
                <w:color w:val="FF0000"/>
                <w:sz w:val="20"/>
                <w:szCs w:val="20"/>
                <w:lang w:val="en-US" w:eastAsia="en-GB"/>
              </w:rPr>
              <w:t xml:space="preserve"> Key Results for 2012</w:t>
            </w:r>
          </w:p>
        </w:tc>
        <w:tc>
          <w:tcPr>
            <w:tcW w:w="1230" w:type="dxa"/>
            <w:tcBorders>
              <w:top w:val="single" w:sz="8" w:space="0" w:color="auto"/>
              <w:left w:val="nil"/>
              <w:bottom w:val="single" w:sz="8" w:space="0" w:color="auto"/>
              <w:right w:val="single" w:sz="4" w:space="0" w:color="auto"/>
            </w:tcBorders>
            <w:shd w:val="clear" w:color="auto" w:fill="auto"/>
            <w:hideMark/>
          </w:tcPr>
          <w:p w14:paraId="01835E44" w14:textId="77777777" w:rsidR="00683F4A" w:rsidRPr="00CD56B9" w:rsidRDefault="00683F4A" w:rsidP="009657E1">
            <w:pPr>
              <w:spacing w:after="0"/>
              <w:jc w:val="left"/>
              <w:rPr>
                <w:rFonts w:ascii="Arial Narrow" w:eastAsia="Times New Roman" w:hAnsi="Arial Narrow"/>
                <w:b/>
                <w:bCs/>
                <w:color w:val="FF0000"/>
                <w:sz w:val="20"/>
                <w:szCs w:val="20"/>
                <w:lang w:val="en-US" w:eastAsia="en-GB"/>
              </w:rPr>
            </w:pPr>
            <w:r w:rsidRPr="00CD56B9">
              <w:rPr>
                <w:rFonts w:ascii="Arial Narrow" w:eastAsia="Times New Roman" w:hAnsi="Arial Narrow"/>
                <w:b/>
                <w:bCs/>
                <w:color w:val="FF0000"/>
                <w:sz w:val="20"/>
                <w:szCs w:val="20"/>
                <w:lang w:val="en-US" w:eastAsia="en-GB"/>
              </w:rPr>
              <w:t> </w:t>
            </w:r>
          </w:p>
        </w:tc>
        <w:tc>
          <w:tcPr>
            <w:tcW w:w="992" w:type="dxa"/>
            <w:tcBorders>
              <w:top w:val="single" w:sz="8" w:space="0" w:color="auto"/>
              <w:left w:val="nil"/>
              <w:bottom w:val="single" w:sz="8" w:space="0" w:color="auto"/>
              <w:right w:val="single" w:sz="4" w:space="0" w:color="auto"/>
            </w:tcBorders>
            <w:shd w:val="clear" w:color="auto" w:fill="auto"/>
            <w:hideMark/>
          </w:tcPr>
          <w:p w14:paraId="27C41891" w14:textId="77777777" w:rsidR="00683F4A" w:rsidRPr="003B552F" w:rsidRDefault="00683F4A" w:rsidP="009657E1">
            <w:pPr>
              <w:spacing w:after="0"/>
              <w:jc w:val="right"/>
              <w:rPr>
                <w:rFonts w:ascii="Arial Narrow" w:eastAsia="Times New Roman" w:hAnsi="Arial Narrow"/>
                <w:b/>
                <w:bCs/>
                <w:color w:val="FF0000"/>
                <w:sz w:val="20"/>
                <w:szCs w:val="20"/>
                <w:lang w:eastAsia="en-GB"/>
              </w:rPr>
            </w:pPr>
            <w:r w:rsidRPr="00CD56B9">
              <w:rPr>
                <w:rFonts w:ascii="Arial Narrow" w:eastAsia="Times New Roman" w:hAnsi="Arial Narrow"/>
                <w:b/>
                <w:bCs/>
                <w:color w:val="FF0000"/>
                <w:sz w:val="20"/>
                <w:szCs w:val="20"/>
                <w:lang w:val="en-US" w:eastAsia="en-GB"/>
              </w:rPr>
              <w:t xml:space="preserve">           </w:t>
            </w:r>
            <w:r w:rsidRPr="003B552F">
              <w:rPr>
                <w:rFonts w:ascii="Arial Narrow" w:eastAsia="Times New Roman" w:hAnsi="Arial Narrow"/>
                <w:b/>
                <w:bCs/>
                <w:color w:val="FF0000"/>
                <w:sz w:val="20"/>
                <w:szCs w:val="20"/>
                <w:lang w:eastAsia="en-GB"/>
              </w:rPr>
              <w:t xml:space="preserve">350,000 </w:t>
            </w:r>
          </w:p>
        </w:tc>
        <w:tc>
          <w:tcPr>
            <w:tcW w:w="998" w:type="dxa"/>
            <w:gridSpan w:val="2"/>
            <w:tcBorders>
              <w:top w:val="single" w:sz="8" w:space="0" w:color="auto"/>
              <w:left w:val="nil"/>
              <w:bottom w:val="single" w:sz="8" w:space="0" w:color="auto"/>
              <w:right w:val="single" w:sz="4" w:space="0" w:color="auto"/>
            </w:tcBorders>
            <w:shd w:val="clear" w:color="auto" w:fill="auto"/>
            <w:hideMark/>
          </w:tcPr>
          <w:p w14:paraId="28EF3F8E" w14:textId="77777777" w:rsidR="00683F4A" w:rsidRPr="003B552F" w:rsidRDefault="00683F4A" w:rsidP="009657E1">
            <w:pPr>
              <w:spacing w:after="0"/>
              <w:jc w:val="right"/>
              <w:rPr>
                <w:rFonts w:ascii="Arial Narrow" w:eastAsia="Times New Roman" w:hAnsi="Arial Narrow"/>
                <w:b/>
                <w:bCs/>
                <w:color w:val="FF0000"/>
                <w:sz w:val="20"/>
                <w:szCs w:val="20"/>
                <w:lang w:eastAsia="en-GB"/>
              </w:rPr>
            </w:pPr>
            <w:r w:rsidRPr="003B552F">
              <w:rPr>
                <w:rFonts w:ascii="Arial Narrow" w:eastAsia="Times New Roman" w:hAnsi="Arial Narrow"/>
                <w:b/>
                <w:bCs/>
                <w:color w:val="FF0000"/>
                <w:sz w:val="20"/>
                <w:szCs w:val="20"/>
                <w:lang w:eastAsia="en-GB"/>
              </w:rPr>
              <w:t xml:space="preserve">                      -   </w:t>
            </w:r>
          </w:p>
        </w:tc>
        <w:tc>
          <w:tcPr>
            <w:tcW w:w="986" w:type="dxa"/>
            <w:tcBorders>
              <w:top w:val="single" w:sz="8" w:space="0" w:color="auto"/>
              <w:left w:val="nil"/>
              <w:bottom w:val="single" w:sz="8" w:space="0" w:color="auto"/>
              <w:right w:val="single" w:sz="4" w:space="0" w:color="auto"/>
            </w:tcBorders>
            <w:shd w:val="clear" w:color="auto" w:fill="auto"/>
            <w:hideMark/>
          </w:tcPr>
          <w:p w14:paraId="7D65F77F" w14:textId="77777777" w:rsidR="00683F4A" w:rsidRPr="003B552F" w:rsidRDefault="00683F4A" w:rsidP="009657E1">
            <w:pPr>
              <w:spacing w:after="0"/>
              <w:jc w:val="right"/>
              <w:rPr>
                <w:rFonts w:ascii="Arial Narrow" w:eastAsia="Times New Roman" w:hAnsi="Arial Narrow"/>
                <w:b/>
                <w:bCs/>
                <w:color w:val="FF0000"/>
                <w:sz w:val="20"/>
                <w:szCs w:val="20"/>
                <w:lang w:eastAsia="en-GB"/>
              </w:rPr>
            </w:pPr>
            <w:r w:rsidRPr="003B552F">
              <w:rPr>
                <w:rFonts w:ascii="Arial Narrow" w:eastAsia="Times New Roman" w:hAnsi="Arial Narrow"/>
                <w:b/>
                <w:bCs/>
                <w:color w:val="FF0000"/>
                <w:sz w:val="20"/>
                <w:szCs w:val="20"/>
                <w:lang w:eastAsia="en-GB"/>
              </w:rPr>
              <w:t xml:space="preserve">           750,000 </w:t>
            </w:r>
          </w:p>
        </w:tc>
        <w:tc>
          <w:tcPr>
            <w:tcW w:w="1134" w:type="dxa"/>
            <w:tcBorders>
              <w:top w:val="single" w:sz="8" w:space="0" w:color="auto"/>
              <w:left w:val="nil"/>
              <w:bottom w:val="single" w:sz="8" w:space="0" w:color="auto"/>
              <w:right w:val="single" w:sz="8" w:space="0" w:color="auto"/>
            </w:tcBorders>
            <w:shd w:val="clear" w:color="auto" w:fill="auto"/>
            <w:hideMark/>
          </w:tcPr>
          <w:p w14:paraId="4BD4C194" w14:textId="77777777" w:rsidR="00683F4A" w:rsidRPr="003B552F" w:rsidRDefault="00683F4A" w:rsidP="009657E1">
            <w:pPr>
              <w:spacing w:after="0"/>
              <w:jc w:val="right"/>
              <w:rPr>
                <w:rFonts w:ascii="Arial Narrow" w:eastAsia="Times New Roman" w:hAnsi="Arial Narrow"/>
                <w:b/>
                <w:bCs/>
                <w:color w:val="FF0000"/>
                <w:sz w:val="20"/>
                <w:szCs w:val="20"/>
                <w:lang w:eastAsia="en-GB"/>
              </w:rPr>
            </w:pPr>
            <w:r w:rsidRPr="003B552F">
              <w:rPr>
                <w:rFonts w:ascii="Arial Narrow" w:eastAsia="Times New Roman" w:hAnsi="Arial Narrow"/>
                <w:b/>
                <w:bCs/>
                <w:color w:val="FF0000"/>
                <w:sz w:val="20"/>
                <w:szCs w:val="20"/>
                <w:lang w:eastAsia="en-GB"/>
              </w:rPr>
              <w:t xml:space="preserve">          1,100,000 </w:t>
            </w:r>
          </w:p>
        </w:tc>
      </w:tr>
      <w:tr w:rsidR="00683F4A" w:rsidRPr="007D425D" w14:paraId="4F7B8C08" w14:textId="77777777" w:rsidTr="009657E1">
        <w:trPr>
          <w:trHeight w:val="168"/>
          <w:jc w:val="center"/>
        </w:trPr>
        <w:tc>
          <w:tcPr>
            <w:tcW w:w="1570" w:type="dxa"/>
            <w:vMerge w:val="restart"/>
            <w:tcBorders>
              <w:top w:val="nil"/>
              <w:left w:val="single" w:sz="8" w:space="0" w:color="auto"/>
              <w:bottom w:val="single" w:sz="4" w:space="0" w:color="000000"/>
              <w:right w:val="single" w:sz="4" w:space="0" w:color="auto"/>
            </w:tcBorders>
            <w:shd w:val="clear" w:color="auto" w:fill="auto"/>
            <w:hideMark/>
          </w:tcPr>
          <w:p w14:paraId="458CDEB0" w14:textId="77777777" w:rsidR="00683F4A" w:rsidRPr="003B552F" w:rsidRDefault="00683F4A" w:rsidP="009657E1">
            <w:pPr>
              <w:spacing w:after="0"/>
              <w:jc w:val="left"/>
              <w:rPr>
                <w:rFonts w:ascii="Arial Narrow" w:eastAsia="Times New Roman" w:hAnsi="Arial Narrow"/>
                <w:b/>
                <w:bCs/>
                <w:sz w:val="20"/>
                <w:szCs w:val="20"/>
                <w:lang w:eastAsia="en-GB"/>
              </w:rPr>
            </w:pPr>
            <w:r w:rsidRPr="003B552F">
              <w:rPr>
                <w:rFonts w:ascii="Arial Narrow" w:eastAsia="Times New Roman" w:hAnsi="Arial Narrow"/>
                <w:b/>
                <w:bCs/>
                <w:sz w:val="20"/>
                <w:szCs w:val="20"/>
                <w:lang w:eastAsia="en-GB"/>
              </w:rPr>
              <w:t>Annualized Key Results 2013</w:t>
            </w:r>
          </w:p>
        </w:tc>
        <w:tc>
          <w:tcPr>
            <w:tcW w:w="7842" w:type="dxa"/>
            <w:gridSpan w:val="5"/>
            <w:tcBorders>
              <w:top w:val="nil"/>
              <w:left w:val="nil"/>
              <w:bottom w:val="single" w:sz="4" w:space="0" w:color="auto"/>
              <w:right w:val="single" w:sz="4" w:space="0" w:color="000000"/>
            </w:tcBorders>
            <w:shd w:val="clear" w:color="auto" w:fill="auto"/>
            <w:hideMark/>
          </w:tcPr>
          <w:p w14:paraId="4847DC7B" w14:textId="77777777" w:rsidR="00683F4A" w:rsidRPr="00CD56B9" w:rsidRDefault="00683F4A" w:rsidP="009657E1">
            <w:pPr>
              <w:spacing w:after="0"/>
              <w:jc w:val="left"/>
              <w:rPr>
                <w:rFonts w:ascii="Arial Narrow" w:eastAsia="Times New Roman" w:hAnsi="Arial Narrow"/>
                <w:sz w:val="20"/>
                <w:szCs w:val="20"/>
                <w:lang w:val="en-US" w:eastAsia="en-GB"/>
              </w:rPr>
            </w:pPr>
            <w:r w:rsidRPr="00CD56B9">
              <w:rPr>
                <w:rFonts w:ascii="Arial Narrow" w:eastAsia="Times New Roman" w:hAnsi="Arial Narrow"/>
                <w:sz w:val="20"/>
                <w:szCs w:val="20"/>
                <w:lang w:val="en-US" w:eastAsia="en-GB"/>
              </w:rPr>
              <w:t xml:space="preserve">B3: Elections Calendar for the 2014 Tripartite Elections with Election Calendar Tracking Tool produced (UNDP).    </w:t>
            </w:r>
          </w:p>
        </w:tc>
        <w:tc>
          <w:tcPr>
            <w:tcW w:w="1230" w:type="dxa"/>
            <w:tcBorders>
              <w:top w:val="nil"/>
              <w:left w:val="nil"/>
              <w:bottom w:val="single" w:sz="4" w:space="0" w:color="auto"/>
              <w:right w:val="single" w:sz="4" w:space="0" w:color="auto"/>
            </w:tcBorders>
            <w:shd w:val="clear" w:color="auto" w:fill="auto"/>
            <w:hideMark/>
          </w:tcPr>
          <w:p w14:paraId="07E22CA9" w14:textId="77777777" w:rsidR="00683F4A" w:rsidRPr="003B552F" w:rsidRDefault="00683F4A" w:rsidP="009657E1">
            <w:pPr>
              <w:spacing w:after="0"/>
              <w:jc w:val="left"/>
              <w:rPr>
                <w:rFonts w:ascii="Arial Narrow" w:eastAsia="Times New Roman" w:hAnsi="Arial Narrow"/>
                <w:sz w:val="20"/>
                <w:szCs w:val="20"/>
                <w:lang w:eastAsia="en-GB"/>
              </w:rPr>
            </w:pPr>
            <w:r w:rsidRPr="003B552F">
              <w:rPr>
                <w:rFonts w:ascii="Arial Narrow" w:eastAsia="Times New Roman" w:hAnsi="Arial Narrow"/>
                <w:sz w:val="20"/>
                <w:szCs w:val="20"/>
                <w:lang w:eastAsia="en-GB"/>
              </w:rPr>
              <w:t>UNDP</w:t>
            </w:r>
          </w:p>
        </w:tc>
        <w:tc>
          <w:tcPr>
            <w:tcW w:w="992" w:type="dxa"/>
            <w:tcBorders>
              <w:top w:val="nil"/>
              <w:left w:val="nil"/>
              <w:bottom w:val="single" w:sz="4" w:space="0" w:color="auto"/>
              <w:right w:val="single" w:sz="4" w:space="0" w:color="auto"/>
            </w:tcBorders>
            <w:shd w:val="clear" w:color="auto" w:fill="auto"/>
            <w:hideMark/>
          </w:tcPr>
          <w:p w14:paraId="0AD7F7EF"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70,000 </w:t>
            </w:r>
          </w:p>
        </w:tc>
        <w:tc>
          <w:tcPr>
            <w:tcW w:w="998" w:type="dxa"/>
            <w:gridSpan w:val="2"/>
            <w:tcBorders>
              <w:top w:val="nil"/>
              <w:left w:val="nil"/>
              <w:bottom w:val="single" w:sz="4" w:space="0" w:color="auto"/>
              <w:right w:val="single" w:sz="4" w:space="0" w:color="auto"/>
            </w:tcBorders>
            <w:shd w:val="clear" w:color="auto" w:fill="auto"/>
            <w:hideMark/>
          </w:tcPr>
          <w:p w14:paraId="1A4F4991"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w:t>
            </w:r>
          </w:p>
        </w:tc>
        <w:tc>
          <w:tcPr>
            <w:tcW w:w="986" w:type="dxa"/>
            <w:tcBorders>
              <w:top w:val="nil"/>
              <w:left w:val="nil"/>
              <w:bottom w:val="single" w:sz="4" w:space="0" w:color="auto"/>
              <w:right w:val="single" w:sz="4" w:space="0" w:color="auto"/>
            </w:tcBorders>
            <w:shd w:val="clear" w:color="auto" w:fill="auto"/>
            <w:hideMark/>
          </w:tcPr>
          <w:p w14:paraId="6EC60CED"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w:t>
            </w:r>
          </w:p>
        </w:tc>
        <w:tc>
          <w:tcPr>
            <w:tcW w:w="1134" w:type="dxa"/>
            <w:tcBorders>
              <w:top w:val="nil"/>
              <w:left w:val="nil"/>
              <w:bottom w:val="single" w:sz="4" w:space="0" w:color="auto"/>
              <w:right w:val="single" w:sz="8" w:space="0" w:color="auto"/>
            </w:tcBorders>
            <w:shd w:val="clear" w:color="auto" w:fill="auto"/>
            <w:hideMark/>
          </w:tcPr>
          <w:p w14:paraId="3EEAC45A"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70,000 </w:t>
            </w:r>
          </w:p>
        </w:tc>
      </w:tr>
      <w:tr w:rsidR="00683F4A" w:rsidRPr="007D425D" w14:paraId="4F83708A" w14:textId="77777777" w:rsidTr="009657E1">
        <w:trPr>
          <w:trHeight w:val="168"/>
          <w:jc w:val="center"/>
        </w:trPr>
        <w:tc>
          <w:tcPr>
            <w:tcW w:w="1570" w:type="dxa"/>
            <w:vMerge/>
            <w:tcBorders>
              <w:top w:val="nil"/>
              <w:left w:val="single" w:sz="8" w:space="0" w:color="auto"/>
              <w:bottom w:val="single" w:sz="4" w:space="0" w:color="000000"/>
              <w:right w:val="single" w:sz="4" w:space="0" w:color="auto"/>
            </w:tcBorders>
            <w:vAlign w:val="center"/>
            <w:hideMark/>
          </w:tcPr>
          <w:p w14:paraId="51B7F8DB" w14:textId="77777777" w:rsidR="00683F4A" w:rsidRPr="003B552F" w:rsidRDefault="00683F4A" w:rsidP="009657E1">
            <w:pPr>
              <w:spacing w:after="0"/>
              <w:jc w:val="left"/>
              <w:rPr>
                <w:rFonts w:ascii="Arial Narrow" w:eastAsia="Times New Roman" w:hAnsi="Arial Narrow"/>
                <w:b/>
                <w:bCs/>
                <w:sz w:val="20"/>
                <w:szCs w:val="20"/>
                <w:lang w:eastAsia="en-GB"/>
              </w:rPr>
            </w:pPr>
          </w:p>
        </w:tc>
        <w:tc>
          <w:tcPr>
            <w:tcW w:w="7842" w:type="dxa"/>
            <w:gridSpan w:val="5"/>
            <w:tcBorders>
              <w:top w:val="single" w:sz="4" w:space="0" w:color="auto"/>
              <w:left w:val="nil"/>
              <w:bottom w:val="single" w:sz="4" w:space="0" w:color="auto"/>
              <w:right w:val="single" w:sz="4" w:space="0" w:color="000000"/>
            </w:tcBorders>
            <w:shd w:val="clear" w:color="auto" w:fill="auto"/>
            <w:hideMark/>
          </w:tcPr>
          <w:p w14:paraId="19D2BD42" w14:textId="77777777" w:rsidR="00683F4A" w:rsidRPr="00CD56B9" w:rsidRDefault="00683F4A" w:rsidP="009657E1">
            <w:pPr>
              <w:spacing w:after="0"/>
              <w:jc w:val="left"/>
              <w:rPr>
                <w:rFonts w:ascii="Arial Narrow" w:eastAsia="Times New Roman" w:hAnsi="Arial Narrow"/>
                <w:sz w:val="20"/>
                <w:szCs w:val="20"/>
                <w:lang w:val="en-US" w:eastAsia="en-GB"/>
              </w:rPr>
            </w:pPr>
            <w:r w:rsidRPr="00CD56B9">
              <w:rPr>
                <w:rFonts w:ascii="Arial Narrow" w:eastAsia="Times New Roman" w:hAnsi="Arial Narrow"/>
                <w:sz w:val="20"/>
                <w:szCs w:val="20"/>
                <w:lang w:val="en-US" w:eastAsia="en-GB"/>
              </w:rPr>
              <w:t xml:space="preserve">C: Code of conduct for the CSOs and the media formulated and operational (UNDP).          </w:t>
            </w:r>
          </w:p>
        </w:tc>
        <w:tc>
          <w:tcPr>
            <w:tcW w:w="1230" w:type="dxa"/>
            <w:tcBorders>
              <w:top w:val="nil"/>
              <w:left w:val="nil"/>
              <w:bottom w:val="single" w:sz="4" w:space="0" w:color="auto"/>
              <w:right w:val="single" w:sz="4" w:space="0" w:color="auto"/>
            </w:tcBorders>
            <w:shd w:val="clear" w:color="auto" w:fill="auto"/>
            <w:hideMark/>
          </w:tcPr>
          <w:p w14:paraId="44B33C55" w14:textId="77777777" w:rsidR="00683F4A" w:rsidRPr="003B552F" w:rsidRDefault="00683F4A" w:rsidP="009657E1">
            <w:pPr>
              <w:spacing w:after="0"/>
              <w:jc w:val="left"/>
              <w:rPr>
                <w:rFonts w:ascii="Arial Narrow" w:eastAsia="Times New Roman" w:hAnsi="Arial Narrow"/>
                <w:sz w:val="20"/>
                <w:szCs w:val="20"/>
                <w:lang w:eastAsia="en-GB"/>
              </w:rPr>
            </w:pPr>
            <w:r w:rsidRPr="003B552F">
              <w:rPr>
                <w:rFonts w:ascii="Arial Narrow" w:eastAsia="Times New Roman" w:hAnsi="Arial Narrow"/>
                <w:sz w:val="20"/>
                <w:szCs w:val="20"/>
                <w:lang w:eastAsia="en-GB"/>
              </w:rPr>
              <w:t>UNDP</w:t>
            </w:r>
          </w:p>
        </w:tc>
        <w:tc>
          <w:tcPr>
            <w:tcW w:w="992" w:type="dxa"/>
            <w:tcBorders>
              <w:top w:val="nil"/>
              <w:left w:val="nil"/>
              <w:bottom w:val="single" w:sz="4" w:space="0" w:color="auto"/>
              <w:right w:val="single" w:sz="4" w:space="0" w:color="auto"/>
            </w:tcBorders>
            <w:shd w:val="clear" w:color="auto" w:fill="auto"/>
            <w:hideMark/>
          </w:tcPr>
          <w:p w14:paraId="2B1E5AED"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100,000 </w:t>
            </w:r>
          </w:p>
        </w:tc>
        <w:tc>
          <w:tcPr>
            <w:tcW w:w="998" w:type="dxa"/>
            <w:gridSpan w:val="2"/>
            <w:tcBorders>
              <w:top w:val="nil"/>
              <w:left w:val="nil"/>
              <w:bottom w:val="single" w:sz="4" w:space="0" w:color="auto"/>
              <w:right w:val="single" w:sz="4" w:space="0" w:color="auto"/>
            </w:tcBorders>
            <w:shd w:val="clear" w:color="auto" w:fill="auto"/>
            <w:hideMark/>
          </w:tcPr>
          <w:p w14:paraId="46930BF7"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w:t>
            </w:r>
          </w:p>
        </w:tc>
        <w:tc>
          <w:tcPr>
            <w:tcW w:w="986" w:type="dxa"/>
            <w:tcBorders>
              <w:top w:val="nil"/>
              <w:left w:val="nil"/>
              <w:bottom w:val="single" w:sz="4" w:space="0" w:color="auto"/>
              <w:right w:val="single" w:sz="4" w:space="0" w:color="auto"/>
            </w:tcBorders>
            <w:shd w:val="clear" w:color="auto" w:fill="auto"/>
            <w:hideMark/>
          </w:tcPr>
          <w:p w14:paraId="123EE2B7"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500,000 </w:t>
            </w:r>
          </w:p>
        </w:tc>
        <w:tc>
          <w:tcPr>
            <w:tcW w:w="1134" w:type="dxa"/>
            <w:tcBorders>
              <w:top w:val="nil"/>
              <w:left w:val="nil"/>
              <w:bottom w:val="single" w:sz="4" w:space="0" w:color="auto"/>
              <w:right w:val="single" w:sz="8" w:space="0" w:color="auto"/>
            </w:tcBorders>
            <w:shd w:val="clear" w:color="auto" w:fill="auto"/>
            <w:hideMark/>
          </w:tcPr>
          <w:p w14:paraId="118C541C"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600,000 </w:t>
            </w:r>
          </w:p>
        </w:tc>
      </w:tr>
      <w:tr w:rsidR="00683F4A" w:rsidRPr="007D425D" w14:paraId="63B149FE" w14:textId="77777777" w:rsidTr="00683F4A">
        <w:trPr>
          <w:trHeight w:val="168"/>
          <w:jc w:val="center"/>
        </w:trPr>
        <w:tc>
          <w:tcPr>
            <w:tcW w:w="1570" w:type="dxa"/>
            <w:vMerge/>
            <w:tcBorders>
              <w:top w:val="nil"/>
              <w:left w:val="single" w:sz="8" w:space="0" w:color="auto"/>
              <w:bottom w:val="single" w:sz="4" w:space="0" w:color="000000"/>
              <w:right w:val="single" w:sz="4" w:space="0" w:color="auto"/>
            </w:tcBorders>
            <w:vAlign w:val="center"/>
            <w:hideMark/>
          </w:tcPr>
          <w:p w14:paraId="00814B15" w14:textId="77777777" w:rsidR="00683F4A" w:rsidRPr="003B552F" w:rsidRDefault="00683F4A" w:rsidP="009657E1">
            <w:pPr>
              <w:spacing w:after="0"/>
              <w:jc w:val="left"/>
              <w:rPr>
                <w:rFonts w:ascii="Arial Narrow" w:eastAsia="Times New Roman" w:hAnsi="Arial Narrow"/>
                <w:b/>
                <w:bCs/>
                <w:sz w:val="20"/>
                <w:szCs w:val="20"/>
                <w:lang w:eastAsia="en-GB"/>
              </w:rPr>
            </w:pPr>
          </w:p>
        </w:tc>
        <w:tc>
          <w:tcPr>
            <w:tcW w:w="7842" w:type="dxa"/>
            <w:gridSpan w:val="5"/>
            <w:tcBorders>
              <w:top w:val="single" w:sz="4" w:space="0" w:color="auto"/>
              <w:left w:val="nil"/>
              <w:bottom w:val="single" w:sz="4" w:space="0" w:color="auto"/>
              <w:right w:val="single" w:sz="4" w:space="0" w:color="000000"/>
            </w:tcBorders>
            <w:shd w:val="clear" w:color="auto" w:fill="auto"/>
            <w:hideMark/>
          </w:tcPr>
          <w:p w14:paraId="7B2A1C26" w14:textId="77777777" w:rsidR="00683F4A" w:rsidRPr="00CD56B9" w:rsidRDefault="00683F4A" w:rsidP="009657E1">
            <w:pPr>
              <w:spacing w:after="0"/>
              <w:jc w:val="left"/>
              <w:rPr>
                <w:rFonts w:ascii="Arial Narrow" w:eastAsia="Times New Roman" w:hAnsi="Arial Narrow"/>
                <w:sz w:val="20"/>
                <w:szCs w:val="20"/>
                <w:lang w:val="en-US" w:eastAsia="en-GB"/>
              </w:rPr>
            </w:pPr>
            <w:r w:rsidRPr="00CD56B9">
              <w:rPr>
                <w:rFonts w:ascii="Arial Narrow" w:eastAsia="Times New Roman" w:hAnsi="Arial Narrow"/>
                <w:sz w:val="20"/>
                <w:szCs w:val="20"/>
                <w:lang w:val="en-US" w:eastAsia="en-GB"/>
              </w:rPr>
              <w:t>D: Electoral Laws for the tripartite elections in place (UNDP)</w:t>
            </w:r>
          </w:p>
        </w:tc>
        <w:tc>
          <w:tcPr>
            <w:tcW w:w="1230" w:type="dxa"/>
            <w:tcBorders>
              <w:top w:val="nil"/>
              <w:left w:val="nil"/>
              <w:bottom w:val="single" w:sz="4" w:space="0" w:color="auto"/>
              <w:right w:val="single" w:sz="4" w:space="0" w:color="auto"/>
            </w:tcBorders>
            <w:shd w:val="clear" w:color="auto" w:fill="auto"/>
            <w:hideMark/>
          </w:tcPr>
          <w:p w14:paraId="1986CE80" w14:textId="77777777" w:rsidR="00683F4A" w:rsidRPr="003B552F" w:rsidRDefault="00683F4A" w:rsidP="009657E1">
            <w:pPr>
              <w:spacing w:after="0"/>
              <w:jc w:val="left"/>
              <w:rPr>
                <w:rFonts w:ascii="Arial Narrow" w:eastAsia="Times New Roman" w:hAnsi="Arial Narrow"/>
                <w:sz w:val="20"/>
                <w:szCs w:val="20"/>
                <w:lang w:eastAsia="en-GB"/>
              </w:rPr>
            </w:pPr>
            <w:r w:rsidRPr="003B552F">
              <w:rPr>
                <w:rFonts w:ascii="Arial Narrow" w:eastAsia="Times New Roman" w:hAnsi="Arial Narrow"/>
                <w:sz w:val="20"/>
                <w:szCs w:val="20"/>
                <w:lang w:eastAsia="en-GB"/>
              </w:rPr>
              <w:t>UNDP</w:t>
            </w:r>
          </w:p>
        </w:tc>
        <w:tc>
          <w:tcPr>
            <w:tcW w:w="992" w:type="dxa"/>
            <w:tcBorders>
              <w:top w:val="nil"/>
              <w:left w:val="nil"/>
              <w:bottom w:val="single" w:sz="4" w:space="0" w:color="auto"/>
              <w:right w:val="single" w:sz="4" w:space="0" w:color="auto"/>
            </w:tcBorders>
            <w:shd w:val="clear" w:color="auto" w:fill="auto"/>
            <w:hideMark/>
          </w:tcPr>
          <w:p w14:paraId="63ACCAB5"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100,000 </w:t>
            </w:r>
          </w:p>
        </w:tc>
        <w:tc>
          <w:tcPr>
            <w:tcW w:w="998" w:type="dxa"/>
            <w:gridSpan w:val="2"/>
            <w:tcBorders>
              <w:top w:val="nil"/>
              <w:left w:val="nil"/>
              <w:bottom w:val="single" w:sz="4" w:space="0" w:color="auto"/>
              <w:right w:val="single" w:sz="4" w:space="0" w:color="auto"/>
            </w:tcBorders>
            <w:shd w:val="clear" w:color="auto" w:fill="auto"/>
            <w:hideMark/>
          </w:tcPr>
          <w:p w14:paraId="76E96328"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w:t>
            </w:r>
          </w:p>
        </w:tc>
        <w:tc>
          <w:tcPr>
            <w:tcW w:w="986" w:type="dxa"/>
            <w:tcBorders>
              <w:top w:val="nil"/>
              <w:left w:val="nil"/>
              <w:bottom w:val="single" w:sz="4" w:space="0" w:color="auto"/>
              <w:right w:val="single" w:sz="4" w:space="0" w:color="auto"/>
            </w:tcBorders>
            <w:shd w:val="clear" w:color="auto" w:fill="auto"/>
            <w:hideMark/>
          </w:tcPr>
          <w:p w14:paraId="728DFAD3"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w:t>
            </w:r>
          </w:p>
        </w:tc>
        <w:tc>
          <w:tcPr>
            <w:tcW w:w="1134" w:type="dxa"/>
            <w:tcBorders>
              <w:top w:val="nil"/>
              <w:left w:val="nil"/>
              <w:bottom w:val="single" w:sz="4" w:space="0" w:color="auto"/>
              <w:right w:val="single" w:sz="8" w:space="0" w:color="auto"/>
            </w:tcBorders>
            <w:shd w:val="clear" w:color="auto" w:fill="auto"/>
            <w:hideMark/>
          </w:tcPr>
          <w:p w14:paraId="4BDC7640"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100,000 </w:t>
            </w:r>
          </w:p>
        </w:tc>
      </w:tr>
      <w:tr w:rsidR="00683F4A" w:rsidRPr="007D425D" w14:paraId="0A9ADFA4" w14:textId="77777777" w:rsidTr="00683F4A">
        <w:trPr>
          <w:trHeight w:val="179"/>
          <w:jc w:val="center"/>
        </w:trPr>
        <w:tc>
          <w:tcPr>
            <w:tcW w:w="1570" w:type="dxa"/>
            <w:vMerge/>
            <w:tcBorders>
              <w:top w:val="nil"/>
              <w:left w:val="single" w:sz="8" w:space="0" w:color="auto"/>
              <w:bottom w:val="single" w:sz="4" w:space="0" w:color="000000"/>
              <w:right w:val="single" w:sz="4" w:space="0" w:color="auto"/>
            </w:tcBorders>
            <w:vAlign w:val="center"/>
            <w:hideMark/>
          </w:tcPr>
          <w:p w14:paraId="23707FD3" w14:textId="77777777" w:rsidR="00683F4A" w:rsidRPr="003B552F" w:rsidRDefault="00683F4A" w:rsidP="009657E1">
            <w:pPr>
              <w:spacing w:after="0"/>
              <w:jc w:val="left"/>
              <w:rPr>
                <w:rFonts w:ascii="Arial Narrow" w:eastAsia="Times New Roman" w:hAnsi="Arial Narrow"/>
                <w:b/>
                <w:bCs/>
                <w:sz w:val="20"/>
                <w:szCs w:val="20"/>
                <w:lang w:eastAsia="en-GB"/>
              </w:rPr>
            </w:pPr>
          </w:p>
        </w:tc>
        <w:tc>
          <w:tcPr>
            <w:tcW w:w="7842" w:type="dxa"/>
            <w:gridSpan w:val="5"/>
            <w:tcBorders>
              <w:top w:val="single" w:sz="4" w:space="0" w:color="auto"/>
              <w:left w:val="nil"/>
              <w:bottom w:val="single" w:sz="4" w:space="0" w:color="auto"/>
              <w:right w:val="single" w:sz="4" w:space="0" w:color="000000"/>
            </w:tcBorders>
            <w:shd w:val="clear" w:color="auto" w:fill="auto"/>
            <w:hideMark/>
          </w:tcPr>
          <w:p w14:paraId="2DE4805E" w14:textId="77777777" w:rsidR="00683F4A" w:rsidRPr="00CD56B9" w:rsidRDefault="00683F4A" w:rsidP="009657E1">
            <w:pPr>
              <w:spacing w:after="0"/>
              <w:jc w:val="left"/>
              <w:rPr>
                <w:rFonts w:ascii="Arial Narrow" w:eastAsia="Times New Roman" w:hAnsi="Arial Narrow"/>
                <w:sz w:val="20"/>
                <w:szCs w:val="20"/>
                <w:lang w:val="en-US" w:eastAsia="en-GB"/>
              </w:rPr>
            </w:pPr>
            <w:r w:rsidRPr="00CD56B9">
              <w:rPr>
                <w:rFonts w:ascii="Arial Narrow" w:eastAsia="Times New Roman" w:hAnsi="Arial Narrow"/>
                <w:sz w:val="20"/>
                <w:szCs w:val="20"/>
                <w:lang w:val="en-US" w:eastAsia="en-GB"/>
              </w:rPr>
              <w:t>E: Electoral materials including registration materials, polling booths and polling boxes procured (UNDP).</w:t>
            </w:r>
          </w:p>
        </w:tc>
        <w:tc>
          <w:tcPr>
            <w:tcW w:w="1230" w:type="dxa"/>
            <w:tcBorders>
              <w:top w:val="single" w:sz="4" w:space="0" w:color="auto"/>
              <w:left w:val="nil"/>
              <w:bottom w:val="single" w:sz="4" w:space="0" w:color="auto"/>
              <w:right w:val="single" w:sz="4" w:space="0" w:color="auto"/>
            </w:tcBorders>
            <w:shd w:val="clear" w:color="auto" w:fill="auto"/>
            <w:hideMark/>
          </w:tcPr>
          <w:p w14:paraId="321D7143" w14:textId="77777777" w:rsidR="00683F4A" w:rsidRPr="003B552F" w:rsidRDefault="00683F4A" w:rsidP="009657E1">
            <w:pPr>
              <w:spacing w:after="0"/>
              <w:jc w:val="left"/>
              <w:rPr>
                <w:rFonts w:ascii="Arial Narrow" w:eastAsia="Times New Roman" w:hAnsi="Arial Narrow"/>
                <w:sz w:val="20"/>
                <w:szCs w:val="20"/>
                <w:lang w:eastAsia="en-GB"/>
              </w:rPr>
            </w:pPr>
            <w:r w:rsidRPr="003B552F">
              <w:rPr>
                <w:rFonts w:ascii="Arial Narrow" w:eastAsia="Times New Roman" w:hAnsi="Arial Narrow"/>
                <w:sz w:val="20"/>
                <w:szCs w:val="20"/>
                <w:lang w:eastAsia="en-GB"/>
              </w:rPr>
              <w:t>UNDP</w:t>
            </w:r>
          </w:p>
        </w:tc>
        <w:tc>
          <w:tcPr>
            <w:tcW w:w="992" w:type="dxa"/>
            <w:tcBorders>
              <w:top w:val="single" w:sz="4" w:space="0" w:color="auto"/>
              <w:left w:val="nil"/>
              <w:bottom w:val="single" w:sz="4" w:space="0" w:color="auto"/>
              <w:right w:val="single" w:sz="4" w:space="0" w:color="auto"/>
            </w:tcBorders>
            <w:shd w:val="clear" w:color="auto" w:fill="auto"/>
            <w:hideMark/>
          </w:tcPr>
          <w:p w14:paraId="2E8EEC63"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w:t>
            </w:r>
          </w:p>
        </w:tc>
        <w:tc>
          <w:tcPr>
            <w:tcW w:w="998" w:type="dxa"/>
            <w:gridSpan w:val="2"/>
            <w:tcBorders>
              <w:top w:val="single" w:sz="4" w:space="0" w:color="auto"/>
              <w:left w:val="nil"/>
              <w:bottom w:val="single" w:sz="4" w:space="0" w:color="auto"/>
              <w:right w:val="single" w:sz="4" w:space="0" w:color="auto"/>
            </w:tcBorders>
            <w:shd w:val="clear" w:color="auto" w:fill="auto"/>
            <w:hideMark/>
          </w:tcPr>
          <w:p w14:paraId="3C0F4BA9"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2,000,000 </w:t>
            </w:r>
          </w:p>
        </w:tc>
        <w:tc>
          <w:tcPr>
            <w:tcW w:w="986" w:type="dxa"/>
            <w:tcBorders>
              <w:top w:val="single" w:sz="4" w:space="0" w:color="auto"/>
              <w:left w:val="nil"/>
              <w:bottom w:val="single" w:sz="4" w:space="0" w:color="auto"/>
              <w:right w:val="single" w:sz="4" w:space="0" w:color="auto"/>
            </w:tcBorders>
            <w:shd w:val="clear" w:color="auto" w:fill="auto"/>
            <w:hideMark/>
          </w:tcPr>
          <w:p w14:paraId="31D666FD"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3,000,000 </w:t>
            </w:r>
          </w:p>
        </w:tc>
        <w:tc>
          <w:tcPr>
            <w:tcW w:w="1134" w:type="dxa"/>
            <w:tcBorders>
              <w:top w:val="single" w:sz="4" w:space="0" w:color="auto"/>
              <w:left w:val="nil"/>
              <w:bottom w:val="single" w:sz="4" w:space="0" w:color="auto"/>
              <w:right w:val="single" w:sz="8" w:space="0" w:color="auto"/>
            </w:tcBorders>
            <w:shd w:val="clear" w:color="auto" w:fill="auto"/>
            <w:hideMark/>
          </w:tcPr>
          <w:p w14:paraId="0939D486"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5,000,000 </w:t>
            </w:r>
          </w:p>
        </w:tc>
      </w:tr>
      <w:tr w:rsidR="00683F4A" w:rsidRPr="007D425D" w14:paraId="0E4E9000" w14:textId="77777777" w:rsidTr="00683F4A">
        <w:trPr>
          <w:trHeight w:val="179"/>
          <w:jc w:val="center"/>
        </w:trPr>
        <w:tc>
          <w:tcPr>
            <w:tcW w:w="1570" w:type="dxa"/>
            <w:vMerge/>
            <w:tcBorders>
              <w:top w:val="nil"/>
              <w:left w:val="single" w:sz="8" w:space="0" w:color="auto"/>
              <w:bottom w:val="single" w:sz="4" w:space="0" w:color="000000"/>
              <w:right w:val="single" w:sz="4" w:space="0" w:color="auto"/>
            </w:tcBorders>
            <w:vAlign w:val="center"/>
            <w:hideMark/>
          </w:tcPr>
          <w:p w14:paraId="72824A93" w14:textId="77777777" w:rsidR="00683F4A" w:rsidRPr="003B552F" w:rsidRDefault="00683F4A" w:rsidP="009657E1">
            <w:pPr>
              <w:spacing w:after="0"/>
              <w:jc w:val="left"/>
              <w:rPr>
                <w:rFonts w:ascii="Arial Narrow" w:eastAsia="Times New Roman" w:hAnsi="Arial Narrow"/>
                <w:b/>
                <w:bCs/>
                <w:sz w:val="20"/>
                <w:szCs w:val="20"/>
                <w:lang w:eastAsia="en-GB"/>
              </w:rPr>
            </w:pPr>
          </w:p>
        </w:tc>
        <w:tc>
          <w:tcPr>
            <w:tcW w:w="7842" w:type="dxa"/>
            <w:gridSpan w:val="5"/>
            <w:tcBorders>
              <w:top w:val="single" w:sz="4" w:space="0" w:color="auto"/>
              <w:left w:val="single" w:sz="8" w:space="0" w:color="auto"/>
              <w:bottom w:val="single" w:sz="8" w:space="0" w:color="auto"/>
              <w:right w:val="single" w:sz="4" w:space="0" w:color="000000"/>
            </w:tcBorders>
            <w:shd w:val="clear" w:color="auto" w:fill="auto"/>
            <w:hideMark/>
          </w:tcPr>
          <w:p w14:paraId="0B73EBDB" w14:textId="396962FF" w:rsidR="00683F4A" w:rsidRPr="00CD56B9" w:rsidRDefault="00683F4A" w:rsidP="009657E1">
            <w:pPr>
              <w:spacing w:after="0"/>
              <w:jc w:val="left"/>
              <w:rPr>
                <w:rFonts w:ascii="Arial Narrow" w:eastAsia="Times New Roman" w:hAnsi="Arial Narrow"/>
                <w:b/>
                <w:bCs/>
                <w:color w:val="FF0000"/>
                <w:sz w:val="20"/>
                <w:szCs w:val="20"/>
                <w:lang w:val="en-US" w:eastAsia="en-GB"/>
              </w:rPr>
            </w:pPr>
            <w:r w:rsidRPr="00CD56B9">
              <w:rPr>
                <w:rFonts w:ascii="Arial Narrow" w:eastAsia="Times New Roman" w:hAnsi="Arial Narrow"/>
                <w:b/>
                <w:bCs/>
                <w:color w:val="FF0000"/>
                <w:sz w:val="20"/>
                <w:szCs w:val="20"/>
                <w:lang w:val="en-US" w:eastAsia="en-GB"/>
              </w:rPr>
              <w:t xml:space="preserve">4.1.4-Total Budget for </w:t>
            </w:r>
            <w:r w:rsidR="003F4020" w:rsidRPr="00CD56B9">
              <w:rPr>
                <w:rFonts w:ascii="Arial Narrow" w:eastAsia="Times New Roman" w:hAnsi="Arial Narrow"/>
                <w:b/>
                <w:bCs/>
                <w:color w:val="FF0000"/>
                <w:sz w:val="20"/>
                <w:szCs w:val="20"/>
                <w:lang w:val="en-US" w:eastAsia="en-GB"/>
              </w:rPr>
              <w:t>Annualized</w:t>
            </w:r>
            <w:r w:rsidRPr="00CD56B9">
              <w:rPr>
                <w:rFonts w:ascii="Arial Narrow" w:eastAsia="Times New Roman" w:hAnsi="Arial Narrow"/>
                <w:b/>
                <w:bCs/>
                <w:color w:val="FF0000"/>
                <w:sz w:val="20"/>
                <w:szCs w:val="20"/>
                <w:lang w:val="en-US" w:eastAsia="en-GB"/>
              </w:rPr>
              <w:t xml:space="preserve"> Key Results for 2013</w:t>
            </w:r>
          </w:p>
        </w:tc>
        <w:tc>
          <w:tcPr>
            <w:tcW w:w="1230" w:type="dxa"/>
            <w:tcBorders>
              <w:top w:val="single" w:sz="4" w:space="0" w:color="auto"/>
              <w:left w:val="nil"/>
              <w:bottom w:val="single" w:sz="8" w:space="0" w:color="auto"/>
              <w:right w:val="single" w:sz="4" w:space="0" w:color="auto"/>
            </w:tcBorders>
            <w:shd w:val="clear" w:color="auto" w:fill="auto"/>
            <w:hideMark/>
          </w:tcPr>
          <w:p w14:paraId="792BED2C" w14:textId="77777777" w:rsidR="00683F4A" w:rsidRPr="00CD56B9" w:rsidRDefault="00683F4A" w:rsidP="009657E1">
            <w:pPr>
              <w:spacing w:after="0"/>
              <w:jc w:val="left"/>
              <w:rPr>
                <w:rFonts w:ascii="Arial Narrow" w:eastAsia="Times New Roman" w:hAnsi="Arial Narrow"/>
                <w:b/>
                <w:bCs/>
                <w:color w:val="FF0000"/>
                <w:sz w:val="20"/>
                <w:szCs w:val="20"/>
                <w:lang w:val="en-US" w:eastAsia="en-GB"/>
              </w:rPr>
            </w:pPr>
            <w:r w:rsidRPr="00CD56B9">
              <w:rPr>
                <w:rFonts w:ascii="Arial Narrow" w:eastAsia="Times New Roman" w:hAnsi="Arial Narrow"/>
                <w:b/>
                <w:bCs/>
                <w:color w:val="FF0000"/>
                <w:sz w:val="20"/>
                <w:szCs w:val="20"/>
                <w:lang w:val="en-US" w:eastAsia="en-GB"/>
              </w:rPr>
              <w:t> </w:t>
            </w:r>
          </w:p>
        </w:tc>
        <w:tc>
          <w:tcPr>
            <w:tcW w:w="992" w:type="dxa"/>
            <w:tcBorders>
              <w:top w:val="single" w:sz="4" w:space="0" w:color="auto"/>
              <w:left w:val="nil"/>
              <w:bottom w:val="single" w:sz="8" w:space="0" w:color="auto"/>
              <w:right w:val="single" w:sz="4" w:space="0" w:color="auto"/>
            </w:tcBorders>
            <w:shd w:val="clear" w:color="auto" w:fill="auto"/>
            <w:hideMark/>
          </w:tcPr>
          <w:p w14:paraId="2536AF2A" w14:textId="77777777" w:rsidR="00683F4A" w:rsidRPr="003B552F" w:rsidRDefault="00683F4A" w:rsidP="009657E1">
            <w:pPr>
              <w:spacing w:after="0"/>
              <w:jc w:val="right"/>
              <w:rPr>
                <w:rFonts w:ascii="Arial Narrow" w:eastAsia="Times New Roman" w:hAnsi="Arial Narrow"/>
                <w:b/>
                <w:bCs/>
                <w:color w:val="FF0000"/>
                <w:sz w:val="20"/>
                <w:szCs w:val="20"/>
                <w:lang w:eastAsia="en-GB"/>
              </w:rPr>
            </w:pPr>
            <w:r w:rsidRPr="00CD56B9">
              <w:rPr>
                <w:rFonts w:ascii="Arial Narrow" w:eastAsia="Times New Roman" w:hAnsi="Arial Narrow"/>
                <w:b/>
                <w:bCs/>
                <w:color w:val="FF0000"/>
                <w:sz w:val="20"/>
                <w:szCs w:val="20"/>
                <w:lang w:val="en-US" w:eastAsia="en-GB"/>
              </w:rPr>
              <w:t xml:space="preserve">           </w:t>
            </w:r>
            <w:r w:rsidRPr="003B552F">
              <w:rPr>
                <w:rFonts w:ascii="Arial Narrow" w:eastAsia="Times New Roman" w:hAnsi="Arial Narrow"/>
                <w:b/>
                <w:bCs/>
                <w:color w:val="FF0000"/>
                <w:sz w:val="20"/>
                <w:szCs w:val="20"/>
                <w:lang w:eastAsia="en-GB"/>
              </w:rPr>
              <w:t xml:space="preserve">270,000 </w:t>
            </w:r>
          </w:p>
        </w:tc>
        <w:tc>
          <w:tcPr>
            <w:tcW w:w="998" w:type="dxa"/>
            <w:gridSpan w:val="2"/>
            <w:tcBorders>
              <w:top w:val="single" w:sz="4" w:space="0" w:color="auto"/>
              <w:left w:val="nil"/>
              <w:bottom w:val="single" w:sz="8" w:space="0" w:color="auto"/>
              <w:right w:val="single" w:sz="4" w:space="0" w:color="auto"/>
            </w:tcBorders>
            <w:shd w:val="clear" w:color="auto" w:fill="auto"/>
            <w:hideMark/>
          </w:tcPr>
          <w:p w14:paraId="3DEAB39A" w14:textId="77777777" w:rsidR="00683F4A" w:rsidRPr="003B552F" w:rsidRDefault="00683F4A" w:rsidP="009657E1">
            <w:pPr>
              <w:spacing w:after="0"/>
              <w:jc w:val="right"/>
              <w:rPr>
                <w:rFonts w:ascii="Arial Narrow" w:eastAsia="Times New Roman" w:hAnsi="Arial Narrow"/>
                <w:b/>
                <w:bCs/>
                <w:color w:val="FF0000"/>
                <w:sz w:val="20"/>
                <w:szCs w:val="20"/>
                <w:lang w:eastAsia="en-GB"/>
              </w:rPr>
            </w:pPr>
            <w:r w:rsidRPr="003B552F">
              <w:rPr>
                <w:rFonts w:ascii="Arial Narrow" w:eastAsia="Times New Roman" w:hAnsi="Arial Narrow"/>
                <w:b/>
                <w:bCs/>
                <w:color w:val="FF0000"/>
                <w:sz w:val="20"/>
                <w:szCs w:val="20"/>
                <w:lang w:eastAsia="en-GB"/>
              </w:rPr>
              <w:t xml:space="preserve">         2,000,000 </w:t>
            </w:r>
          </w:p>
        </w:tc>
        <w:tc>
          <w:tcPr>
            <w:tcW w:w="986" w:type="dxa"/>
            <w:tcBorders>
              <w:top w:val="single" w:sz="4" w:space="0" w:color="auto"/>
              <w:left w:val="nil"/>
              <w:bottom w:val="single" w:sz="8" w:space="0" w:color="auto"/>
              <w:right w:val="single" w:sz="4" w:space="0" w:color="auto"/>
            </w:tcBorders>
            <w:shd w:val="clear" w:color="auto" w:fill="auto"/>
            <w:hideMark/>
          </w:tcPr>
          <w:p w14:paraId="6FF8F083" w14:textId="77777777" w:rsidR="00683F4A" w:rsidRPr="003B552F" w:rsidRDefault="00683F4A" w:rsidP="009657E1">
            <w:pPr>
              <w:spacing w:after="0"/>
              <w:jc w:val="right"/>
              <w:rPr>
                <w:rFonts w:ascii="Arial Narrow" w:eastAsia="Times New Roman" w:hAnsi="Arial Narrow"/>
                <w:b/>
                <w:bCs/>
                <w:color w:val="FF0000"/>
                <w:sz w:val="20"/>
                <w:szCs w:val="20"/>
                <w:lang w:eastAsia="en-GB"/>
              </w:rPr>
            </w:pPr>
            <w:r w:rsidRPr="003B552F">
              <w:rPr>
                <w:rFonts w:ascii="Arial Narrow" w:eastAsia="Times New Roman" w:hAnsi="Arial Narrow"/>
                <w:b/>
                <w:bCs/>
                <w:color w:val="FF0000"/>
                <w:sz w:val="20"/>
                <w:szCs w:val="20"/>
                <w:lang w:eastAsia="en-GB"/>
              </w:rPr>
              <w:t xml:space="preserve">        3,500,000 </w:t>
            </w:r>
          </w:p>
        </w:tc>
        <w:tc>
          <w:tcPr>
            <w:tcW w:w="1134" w:type="dxa"/>
            <w:tcBorders>
              <w:top w:val="single" w:sz="4" w:space="0" w:color="auto"/>
              <w:left w:val="nil"/>
              <w:bottom w:val="single" w:sz="8" w:space="0" w:color="auto"/>
              <w:right w:val="single" w:sz="8" w:space="0" w:color="auto"/>
            </w:tcBorders>
            <w:shd w:val="clear" w:color="auto" w:fill="auto"/>
            <w:hideMark/>
          </w:tcPr>
          <w:p w14:paraId="3C2FBC10" w14:textId="77777777" w:rsidR="00683F4A" w:rsidRPr="003B552F" w:rsidRDefault="00683F4A" w:rsidP="009657E1">
            <w:pPr>
              <w:spacing w:after="0"/>
              <w:jc w:val="right"/>
              <w:rPr>
                <w:rFonts w:ascii="Arial Narrow" w:eastAsia="Times New Roman" w:hAnsi="Arial Narrow"/>
                <w:b/>
                <w:bCs/>
                <w:color w:val="FF0000"/>
                <w:sz w:val="20"/>
                <w:szCs w:val="20"/>
                <w:lang w:eastAsia="en-GB"/>
              </w:rPr>
            </w:pPr>
            <w:r w:rsidRPr="003B552F">
              <w:rPr>
                <w:rFonts w:ascii="Arial Narrow" w:eastAsia="Times New Roman" w:hAnsi="Arial Narrow"/>
                <w:b/>
                <w:bCs/>
                <w:color w:val="FF0000"/>
                <w:sz w:val="20"/>
                <w:szCs w:val="20"/>
                <w:lang w:eastAsia="en-GB"/>
              </w:rPr>
              <w:t xml:space="preserve">          5,770,000 </w:t>
            </w:r>
          </w:p>
        </w:tc>
      </w:tr>
      <w:tr w:rsidR="00683F4A" w:rsidRPr="007D425D" w14:paraId="4D6A8ADF" w14:textId="77777777" w:rsidTr="009657E1">
        <w:trPr>
          <w:trHeight w:val="168"/>
          <w:jc w:val="center"/>
        </w:trPr>
        <w:tc>
          <w:tcPr>
            <w:tcW w:w="1570" w:type="dxa"/>
            <w:vMerge w:val="restart"/>
            <w:tcBorders>
              <w:top w:val="nil"/>
              <w:left w:val="single" w:sz="8" w:space="0" w:color="auto"/>
              <w:bottom w:val="single" w:sz="4" w:space="0" w:color="000000"/>
              <w:right w:val="nil"/>
            </w:tcBorders>
            <w:shd w:val="clear" w:color="auto" w:fill="auto"/>
            <w:hideMark/>
          </w:tcPr>
          <w:p w14:paraId="76F70FD6" w14:textId="77777777" w:rsidR="00683F4A" w:rsidRPr="003B552F" w:rsidRDefault="00683F4A" w:rsidP="009657E1">
            <w:pPr>
              <w:spacing w:after="0"/>
              <w:jc w:val="left"/>
              <w:rPr>
                <w:rFonts w:ascii="Arial Narrow" w:eastAsia="Times New Roman" w:hAnsi="Arial Narrow"/>
                <w:b/>
                <w:bCs/>
                <w:sz w:val="20"/>
                <w:szCs w:val="20"/>
                <w:lang w:eastAsia="en-GB"/>
              </w:rPr>
            </w:pPr>
            <w:r w:rsidRPr="003B552F">
              <w:rPr>
                <w:rFonts w:ascii="Arial Narrow" w:eastAsia="Times New Roman" w:hAnsi="Arial Narrow"/>
                <w:b/>
                <w:bCs/>
                <w:sz w:val="20"/>
                <w:szCs w:val="20"/>
                <w:lang w:eastAsia="en-GB"/>
              </w:rPr>
              <w:t>Annualized Key Results 2014</w:t>
            </w:r>
          </w:p>
        </w:tc>
        <w:tc>
          <w:tcPr>
            <w:tcW w:w="7842" w:type="dxa"/>
            <w:gridSpan w:val="5"/>
            <w:tcBorders>
              <w:top w:val="nil"/>
              <w:left w:val="single" w:sz="4" w:space="0" w:color="auto"/>
              <w:bottom w:val="single" w:sz="4" w:space="0" w:color="auto"/>
              <w:right w:val="single" w:sz="4" w:space="0" w:color="000000"/>
            </w:tcBorders>
            <w:shd w:val="clear" w:color="auto" w:fill="auto"/>
            <w:hideMark/>
          </w:tcPr>
          <w:p w14:paraId="7F277BA6" w14:textId="1B07B365" w:rsidR="00683F4A" w:rsidRPr="00CD56B9" w:rsidRDefault="00683F4A" w:rsidP="009657E1">
            <w:pPr>
              <w:spacing w:after="0"/>
              <w:jc w:val="left"/>
              <w:rPr>
                <w:rFonts w:ascii="Arial Narrow" w:eastAsia="Times New Roman" w:hAnsi="Arial Narrow"/>
                <w:sz w:val="20"/>
                <w:szCs w:val="20"/>
                <w:lang w:val="en-US" w:eastAsia="en-GB"/>
              </w:rPr>
            </w:pPr>
            <w:r w:rsidRPr="00CD56B9">
              <w:rPr>
                <w:rFonts w:ascii="Arial Narrow" w:eastAsia="Times New Roman" w:hAnsi="Arial Narrow"/>
                <w:sz w:val="20"/>
                <w:szCs w:val="20"/>
                <w:lang w:val="en-US" w:eastAsia="en-GB"/>
              </w:rPr>
              <w:t xml:space="preserve">E:  Ballot papers, </w:t>
            </w:r>
            <w:r w:rsidR="003F4020" w:rsidRPr="00CD56B9">
              <w:rPr>
                <w:rFonts w:ascii="Arial Narrow" w:eastAsia="Times New Roman" w:hAnsi="Arial Narrow"/>
                <w:sz w:val="20"/>
                <w:szCs w:val="20"/>
                <w:lang w:val="en-US" w:eastAsia="en-GB"/>
              </w:rPr>
              <w:t>indelible</w:t>
            </w:r>
            <w:r w:rsidRPr="00CD56B9">
              <w:rPr>
                <w:rFonts w:ascii="Arial Narrow" w:eastAsia="Times New Roman" w:hAnsi="Arial Narrow"/>
                <w:sz w:val="20"/>
                <w:szCs w:val="20"/>
                <w:lang w:val="en-US" w:eastAsia="en-GB"/>
              </w:rPr>
              <w:t xml:space="preserve"> ink and other polling materials procured (UNDP).     </w:t>
            </w:r>
          </w:p>
        </w:tc>
        <w:tc>
          <w:tcPr>
            <w:tcW w:w="1230" w:type="dxa"/>
            <w:tcBorders>
              <w:top w:val="nil"/>
              <w:left w:val="nil"/>
              <w:bottom w:val="single" w:sz="4" w:space="0" w:color="auto"/>
              <w:right w:val="single" w:sz="4" w:space="0" w:color="auto"/>
            </w:tcBorders>
            <w:shd w:val="clear" w:color="auto" w:fill="auto"/>
            <w:hideMark/>
          </w:tcPr>
          <w:p w14:paraId="28BF99B3" w14:textId="77777777" w:rsidR="00683F4A" w:rsidRPr="003B552F" w:rsidRDefault="00683F4A" w:rsidP="009657E1">
            <w:pPr>
              <w:spacing w:after="0"/>
              <w:jc w:val="left"/>
              <w:rPr>
                <w:rFonts w:ascii="Arial Narrow" w:eastAsia="Times New Roman" w:hAnsi="Arial Narrow"/>
                <w:sz w:val="20"/>
                <w:szCs w:val="20"/>
                <w:lang w:eastAsia="en-GB"/>
              </w:rPr>
            </w:pPr>
            <w:r w:rsidRPr="003B552F">
              <w:rPr>
                <w:rFonts w:ascii="Arial Narrow" w:eastAsia="Times New Roman" w:hAnsi="Arial Narrow"/>
                <w:sz w:val="20"/>
                <w:szCs w:val="20"/>
                <w:lang w:eastAsia="en-GB"/>
              </w:rPr>
              <w:t>UNDP</w:t>
            </w:r>
          </w:p>
        </w:tc>
        <w:tc>
          <w:tcPr>
            <w:tcW w:w="992" w:type="dxa"/>
            <w:tcBorders>
              <w:top w:val="nil"/>
              <w:left w:val="nil"/>
              <w:bottom w:val="single" w:sz="4" w:space="0" w:color="auto"/>
              <w:right w:val="single" w:sz="4" w:space="0" w:color="auto"/>
            </w:tcBorders>
            <w:shd w:val="clear" w:color="auto" w:fill="auto"/>
            <w:hideMark/>
          </w:tcPr>
          <w:p w14:paraId="59782E62" w14:textId="77777777" w:rsidR="00683F4A" w:rsidRPr="003B552F" w:rsidRDefault="00683F4A" w:rsidP="009657E1">
            <w:pPr>
              <w:spacing w:after="0"/>
              <w:jc w:val="right"/>
              <w:rPr>
                <w:rFonts w:ascii="Arial Narrow" w:eastAsia="Times New Roman" w:hAnsi="Arial Narrow"/>
                <w:color w:val="000000"/>
                <w:sz w:val="20"/>
                <w:szCs w:val="20"/>
                <w:lang w:eastAsia="en-GB"/>
              </w:rPr>
            </w:pPr>
            <w:r w:rsidRPr="003B552F">
              <w:rPr>
                <w:rFonts w:ascii="Arial Narrow" w:eastAsia="Times New Roman" w:hAnsi="Arial Narrow"/>
                <w:color w:val="000000"/>
                <w:sz w:val="20"/>
                <w:szCs w:val="20"/>
                <w:lang w:eastAsia="en-GB"/>
              </w:rPr>
              <w:t xml:space="preserve">           500,000 </w:t>
            </w:r>
          </w:p>
        </w:tc>
        <w:tc>
          <w:tcPr>
            <w:tcW w:w="998" w:type="dxa"/>
            <w:gridSpan w:val="2"/>
            <w:tcBorders>
              <w:top w:val="nil"/>
              <w:left w:val="nil"/>
              <w:bottom w:val="single" w:sz="4" w:space="0" w:color="auto"/>
              <w:right w:val="single" w:sz="4" w:space="0" w:color="auto"/>
            </w:tcBorders>
            <w:shd w:val="clear" w:color="auto" w:fill="auto"/>
            <w:hideMark/>
          </w:tcPr>
          <w:p w14:paraId="729854F1" w14:textId="77777777" w:rsidR="00683F4A" w:rsidRPr="003B552F" w:rsidRDefault="00683F4A" w:rsidP="009657E1">
            <w:pPr>
              <w:spacing w:after="0"/>
              <w:jc w:val="right"/>
              <w:rPr>
                <w:rFonts w:ascii="Arial Narrow" w:eastAsia="Times New Roman" w:hAnsi="Arial Narrow"/>
                <w:color w:val="000000"/>
                <w:sz w:val="20"/>
                <w:szCs w:val="20"/>
                <w:lang w:eastAsia="en-GB"/>
              </w:rPr>
            </w:pPr>
            <w:r w:rsidRPr="003B552F">
              <w:rPr>
                <w:rFonts w:ascii="Arial Narrow" w:eastAsia="Times New Roman" w:hAnsi="Arial Narrow"/>
                <w:color w:val="000000"/>
                <w:sz w:val="20"/>
                <w:szCs w:val="20"/>
                <w:lang w:eastAsia="en-GB"/>
              </w:rPr>
              <w:t xml:space="preserve">         1,000,000 </w:t>
            </w:r>
          </w:p>
        </w:tc>
        <w:tc>
          <w:tcPr>
            <w:tcW w:w="986" w:type="dxa"/>
            <w:tcBorders>
              <w:top w:val="nil"/>
              <w:left w:val="nil"/>
              <w:bottom w:val="single" w:sz="4" w:space="0" w:color="auto"/>
              <w:right w:val="single" w:sz="4" w:space="0" w:color="auto"/>
            </w:tcBorders>
            <w:shd w:val="clear" w:color="auto" w:fill="auto"/>
            <w:hideMark/>
          </w:tcPr>
          <w:p w14:paraId="58FF9E9B" w14:textId="77777777" w:rsidR="00683F4A" w:rsidRPr="003B552F" w:rsidRDefault="00683F4A" w:rsidP="009657E1">
            <w:pPr>
              <w:spacing w:after="0"/>
              <w:jc w:val="right"/>
              <w:rPr>
                <w:rFonts w:ascii="Arial Narrow" w:eastAsia="Times New Roman" w:hAnsi="Arial Narrow"/>
                <w:color w:val="000000"/>
                <w:sz w:val="20"/>
                <w:szCs w:val="20"/>
                <w:lang w:eastAsia="en-GB"/>
              </w:rPr>
            </w:pPr>
            <w:r w:rsidRPr="003B552F">
              <w:rPr>
                <w:rFonts w:ascii="Arial Narrow" w:eastAsia="Times New Roman" w:hAnsi="Arial Narrow"/>
                <w:color w:val="000000"/>
                <w:sz w:val="20"/>
                <w:szCs w:val="20"/>
                <w:lang w:eastAsia="en-GB"/>
              </w:rPr>
              <w:t xml:space="preserve">        1,797,000 </w:t>
            </w:r>
          </w:p>
        </w:tc>
        <w:tc>
          <w:tcPr>
            <w:tcW w:w="1134" w:type="dxa"/>
            <w:tcBorders>
              <w:top w:val="nil"/>
              <w:left w:val="nil"/>
              <w:bottom w:val="single" w:sz="4" w:space="0" w:color="auto"/>
              <w:right w:val="single" w:sz="8" w:space="0" w:color="auto"/>
            </w:tcBorders>
            <w:shd w:val="clear" w:color="auto" w:fill="auto"/>
            <w:hideMark/>
          </w:tcPr>
          <w:p w14:paraId="6174804A"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3,297,000 </w:t>
            </w:r>
          </w:p>
        </w:tc>
      </w:tr>
      <w:tr w:rsidR="00683F4A" w:rsidRPr="007D425D" w14:paraId="2957520D" w14:textId="77777777" w:rsidTr="009657E1">
        <w:trPr>
          <w:trHeight w:val="179"/>
          <w:jc w:val="center"/>
        </w:trPr>
        <w:tc>
          <w:tcPr>
            <w:tcW w:w="1570" w:type="dxa"/>
            <w:vMerge/>
            <w:tcBorders>
              <w:top w:val="nil"/>
              <w:left w:val="single" w:sz="8" w:space="0" w:color="auto"/>
              <w:bottom w:val="single" w:sz="4" w:space="0" w:color="000000"/>
              <w:right w:val="nil"/>
            </w:tcBorders>
            <w:vAlign w:val="center"/>
            <w:hideMark/>
          </w:tcPr>
          <w:p w14:paraId="0B5E6DBF" w14:textId="77777777" w:rsidR="00683F4A" w:rsidRPr="003B552F" w:rsidRDefault="00683F4A" w:rsidP="009657E1">
            <w:pPr>
              <w:spacing w:after="0"/>
              <w:jc w:val="left"/>
              <w:rPr>
                <w:rFonts w:ascii="Arial Narrow" w:eastAsia="Times New Roman" w:hAnsi="Arial Narrow"/>
                <w:b/>
                <w:bCs/>
                <w:sz w:val="20"/>
                <w:szCs w:val="20"/>
                <w:lang w:eastAsia="en-GB"/>
              </w:rPr>
            </w:pPr>
          </w:p>
        </w:tc>
        <w:tc>
          <w:tcPr>
            <w:tcW w:w="7842" w:type="dxa"/>
            <w:gridSpan w:val="5"/>
            <w:tcBorders>
              <w:top w:val="single" w:sz="4" w:space="0" w:color="auto"/>
              <w:left w:val="single" w:sz="4" w:space="0" w:color="auto"/>
              <w:bottom w:val="nil"/>
              <w:right w:val="single" w:sz="4" w:space="0" w:color="000000"/>
            </w:tcBorders>
            <w:shd w:val="clear" w:color="auto" w:fill="auto"/>
            <w:hideMark/>
          </w:tcPr>
          <w:p w14:paraId="40A4FEF8" w14:textId="77777777" w:rsidR="00683F4A" w:rsidRPr="00CD56B9" w:rsidRDefault="00683F4A" w:rsidP="009657E1">
            <w:pPr>
              <w:spacing w:after="0"/>
              <w:jc w:val="left"/>
              <w:rPr>
                <w:rFonts w:ascii="Arial Narrow" w:eastAsia="Times New Roman" w:hAnsi="Arial Narrow"/>
                <w:sz w:val="20"/>
                <w:szCs w:val="20"/>
                <w:lang w:val="en-US" w:eastAsia="en-GB"/>
              </w:rPr>
            </w:pPr>
            <w:r w:rsidRPr="00CD56B9">
              <w:rPr>
                <w:rFonts w:ascii="Arial Narrow" w:eastAsia="Times New Roman" w:hAnsi="Arial Narrow"/>
                <w:sz w:val="20"/>
                <w:szCs w:val="20"/>
                <w:lang w:val="en-US" w:eastAsia="en-GB"/>
              </w:rPr>
              <w:t xml:space="preserve">F:  Free and credible elections conducted on the due date                                                                                                                                                    </w:t>
            </w:r>
          </w:p>
        </w:tc>
        <w:tc>
          <w:tcPr>
            <w:tcW w:w="1230" w:type="dxa"/>
            <w:tcBorders>
              <w:top w:val="nil"/>
              <w:left w:val="nil"/>
              <w:bottom w:val="nil"/>
              <w:right w:val="single" w:sz="4" w:space="0" w:color="auto"/>
            </w:tcBorders>
            <w:shd w:val="clear" w:color="auto" w:fill="auto"/>
            <w:hideMark/>
          </w:tcPr>
          <w:p w14:paraId="14D64DFB" w14:textId="77777777" w:rsidR="00683F4A" w:rsidRPr="003B552F" w:rsidRDefault="00683F4A" w:rsidP="009657E1">
            <w:pPr>
              <w:spacing w:after="0"/>
              <w:jc w:val="left"/>
              <w:rPr>
                <w:rFonts w:ascii="Arial Narrow" w:eastAsia="Times New Roman" w:hAnsi="Arial Narrow"/>
                <w:sz w:val="20"/>
                <w:szCs w:val="20"/>
                <w:lang w:eastAsia="en-GB"/>
              </w:rPr>
            </w:pPr>
            <w:r w:rsidRPr="003B552F">
              <w:rPr>
                <w:rFonts w:ascii="Arial Narrow" w:eastAsia="Times New Roman" w:hAnsi="Arial Narrow"/>
                <w:sz w:val="20"/>
                <w:szCs w:val="20"/>
                <w:lang w:eastAsia="en-GB"/>
              </w:rPr>
              <w:t>UNDP</w:t>
            </w:r>
          </w:p>
        </w:tc>
        <w:tc>
          <w:tcPr>
            <w:tcW w:w="992" w:type="dxa"/>
            <w:tcBorders>
              <w:top w:val="nil"/>
              <w:left w:val="nil"/>
              <w:bottom w:val="nil"/>
              <w:right w:val="single" w:sz="4" w:space="0" w:color="auto"/>
            </w:tcBorders>
            <w:shd w:val="clear" w:color="auto" w:fill="auto"/>
            <w:hideMark/>
          </w:tcPr>
          <w:p w14:paraId="7C7A6082" w14:textId="77777777" w:rsidR="00683F4A" w:rsidRPr="003B552F" w:rsidRDefault="00683F4A" w:rsidP="009657E1">
            <w:pPr>
              <w:spacing w:after="0"/>
              <w:jc w:val="right"/>
              <w:rPr>
                <w:rFonts w:ascii="Arial Narrow" w:eastAsia="Times New Roman" w:hAnsi="Arial Narrow"/>
                <w:color w:val="000000"/>
                <w:sz w:val="20"/>
                <w:szCs w:val="20"/>
                <w:lang w:eastAsia="en-GB"/>
              </w:rPr>
            </w:pPr>
            <w:r w:rsidRPr="003B552F">
              <w:rPr>
                <w:rFonts w:ascii="Arial Narrow" w:eastAsia="Times New Roman" w:hAnsi="Arial Narrow"/>
                <w:color w:val="000000"/>
                <w:sz w:val="20"/>
                <w:szCs w:val="20"/>
                <w:lang w:eastAsia="en-GB"/>
              </w:rPr>
              <w:t xml:space="preserve">           500,000 </w:t>
            </w:r>
          </w:p>
        </w:tc>
        <w:tc>
          <w:tcPr>
            <w:tcW w:w="998" w:type="dxa"/>
            <w:gridSpan w:val="2"/>
            <w:tcBorders>
              <w:top w:val="nil"/>
              <w:left w:val="nil"/>
              <w:bottom w:val="nil"/>
              <w:right w:val="single" w:sz="4" w:space="0" w:color="auto"/>
            </w:tcBorders>
            <w:shd w:val="clear" w:color="auto" w:fill="auto"/>
            <w:hideMark/>
          </w:tcPr>
          <w:p w14:paraId="7DD5629E" w14:textId="77777777" w:rsidR="00683F4A" w:rsidRPr="003B552F" w:rsidRDefault="00683F4A" w:rsidP="009657E1">
            <w:pPr>
              <w:spacing w:after="0"/>
              <w:jc w:val="right"/>
              <w:rPr>
                <w:rFonts w:ascii="Arial Narrow" w:eastAsia="Times New Roman" w:hAnsi="Arial Narrow"/>
                <w:color w:val="000000"/>
                <w:sz w:val="20"/>
                <w:szCs w:val="20"/>
                <w:lang w:eastAsia="en-GB"/>
              </w:rPr>
            </w:pPr>
            <w:r w:rsidRPr="003B552F">
              <w:rPr>
                <w:rFonts w:ascii="Arial Narrow" w:eastAsia="Times New Roman" w:hAnsi="Arial Narrow"/>
                <w:color w:val="000000"/>
                <w:sz w:val="20"/>
                <w:szCs w:val="20"/>
                <w:lang w:eastAsia="en-GB"/>
              </w:rPr>
              <w:t> </w:t>
            </w:r>
          </w:p>
        </w:tc>
        <w:tc>
          <w:tcPr>
            <w:tcW w:w="986" w:type="dxa"/>
            <w:tcBorders>
              <w:top w:val="nil"/>
              <w:left w:val="nil"/>
              <w:bottom w:val="nil"/>
              <w:right w:val="single" w:sz="4" w:space="0" w:color="auto"/>
            </w:tcBorders>
            <w:shd w:val="clear" w:color="auto" w:fill="auto"/>
            <w:hideMark/>
          </w:tcPr>
          <w:p w14:paraId="7E35504A" w14:textId="77777777" w:rsidR="00683F4A" w:rsidRPr="003B552F" w:rsidRDefault="00683F4A" w:rsidP="009657E1">
            <w:pPr>
              <w:spacing w:after="0"/>
              <w:jc w:val="right"/>
              <w:rPr>
                <w:rFonts w:ascii="Arial Narrow" w:eastAsia="Times New Roman" w:hAnsi="Arial Narrow"/>
                <w:color w:val="000000"/>
                <w:sz w:val="20"/>
                <w:szCs w:val="20"/>
                <w:lang w:eastAsia="en-GB"/>
              </w:rPr>
            </w:pPr>
            <w:r w:rsidRPr="003B552F">
              <w:rPr>
                <w:rFonts w:ascii="Arial Narrow" w:eastAsia="Times New Roman" w:hAnsi="Arial Narrow"/>
                <w:color w:val="000000"/>
                <w:sz w:val="20"/>
                <w:szCs w:val="20"/>
                <w:lang w:eastAsia="en-GB"/>
              </w:rPr>
              <w:t> </w:t>
            </w:r>
          </w:p>
        </w:tc>
        <w:tc>
          <w:tcPr>
            <w:tcW w:w="1134" w:type="dxa"/>
            <w:tcBorders>
              <w:top w:val="nil"/>
              <w:left w:val="nil"/>
              <w:bottom w:val="nil"/>
              <w:right w:val="single" w:sz="8" w:space="0" w:color="auto"/>
            </w:tcBorders>
            <w:shd w:val="clear" w:color="auto" w:fill="auto"/>
            <w:hideMark/>
          </w:tcPr>
          <w:p w14:paraId="5E5621B0"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500,000 </w:t>
            </w:r>
          </w:p>
        </w:tc>
      </w:tr>
      <w:tr w:rsidR="00683F4A" w:rsidRPr="007D425D" w14:paraId="4FAE2E30" w14:textId="77777777" w:rsidTr="009657E1">
        <w:trPr>
          <w:trHeight w:val="179"/>
          <w:jc w:val="center"/>
        </w:trPr>
        <w:tc>
          <w:tcPr>
            <w:tcW w:w="1570" w:type="dxa"/>
            <w:vMerge/>
            <w:tcBorders>
              <w:top w:val="nil"/>
              <w:left w:val="single" w:sz="8" w:space="0" w:color="auto"/>
              <w:bottom w:val="single" w:sz="4" w:space="0" w:color="000000"/>
              <w:right w:val="nil"/>
            </w:tcBorders>
            <w:vAlign w:val="center"/>
            <w:hideMark/>
          </w:tcPr>
          <w:p w14:paraId="15F392E5" w14:textId="77777777" w:rsidR="00683F4A" w:rsidRPr="003B552F" w:rsidRDefault="00683F4A" w:rsidP="009657E1">
            <w:pPr>
              <w:spacing w:after="0"/>
              <w:jc w:val="left"/>
              <w:rPr>
                <w:rFonts w:ascii="Arial Narrow" w:eastAsia="Times New Roman" w:hAnsi="Arial Narrow"/>
                <w:b/>
                <w:bCs/>
                <w:sz w:val="20"/>
                <w:szCs w:val="20"/>
                <w:lang w:eastAsia="en-GB"/>
              </w:rPr>
            </w:pPr>
          </w:p>
        </w:tc>
        <w:tc>
          <w:tcPr>
            <w:tcW w:w="7842" w:type="dxa"/>
            <w:gridSpan w:val="5"/>
            <w:tcBorders>
              <w:top w:val="single" w:sz="8" w:space="0" w:color="auto"/>
              <w:left w:val="single" w:sz="8" w:space="0" w:color="auto"/>
              <w:bottom w:val="single" w:sz="8" w:space="0" w:color="auto"/>
              <w:right w:val="single" w:sz="4" w:space="0" w:color="000000"/>
            </w:tcBorders>
            <w:shd w:val="clear" w:color="auto" w:fill="auto"/>
            <w:hideMark/>
          </w:tcPr>
          <w:p w14:paraId="3C570A52" w14:textId="1179EC9B" w:rsidR="00683F4A" w:rsidRPr="00CD56B9" w:rsidRDefault="00683F4A" w:rsidP="009657E1">
            <w:pPr>
              <w:spacing w:after="0"/>
              <w:jc w:val="left"/>
              <w:rPr>
                <w:rFonts w:ascii="Arial Narrow" w:eastAsia="Times New Roman" w:hAnsi="Arial Narrow"/>
                <w:b/>
                <w:bCs/>
                <w:color w:val="FF0000"/>
                <w:sz w:val="20"/>
                <w:szCs w:val="20"/>
                <w:lang w:val="en-US" w:eastAsia="en-GB"/>
              </w:rPr>
            </w:pPr>
            <w:r w:rsidRPr="00CD56B9">
              <w:rPr>
                <w:rFonts w:ascii="Arial Narrow" w:eastAsia="Times New Roman" w:hAnsi="Arial Narrow"/>
                <w:b/>
                <w:bCs/>
                <w:color w:val="FF0000"/>
                <w:sz w:val="20"/>
                <w:szCs w:val="20"/>
                <w:lang w:val="en-US" w:eastAsia="en-GB"/>
              </w:rPr>
              <w:t xml:space="preserve">4.1.4-Total Budget for </w:t>
            </w:r>
            <w:r w:rsidR="003F4020" w:rsidRPr="00CD56B9">
              <w:rPr>
                <w:rFonts w:ascii="Arial Narrow" w:eastAsia="Times New Roman" w:hAnsi="Arial Narrow"/>
                <w:b/>
                <w:bCs/>
                <w:color w:val="FF0000"/>
                <w:sz w:val="20"/>
                <w:szCs w:val="20"/>
                <w:lang w:val="en-US" w:eastAsia="en-GB"/>
              </w:rPr>
              <w:t>Annualized</w:t>
            </w:r>
            <w:r w:rsidRPr="00CD56B9">
              <w:rPr>
                <w:rFonts w:ascii="Arial Narrow" w:eastAsia="Times New Roman" w:hAnsi="Arial Narrow"/>
                <w:b/>
                <w:bCs/>
                <w:color w:val="FF0000"/>
                <w:sz w:val="20"/>
                <w:szCs w:val="20"/>
                <w:lang w:val="en-US" w:eastAsia="en-GB"/>
              </w:rPr>
              <w:t xml:space="preserve"> Key Results for 2014</w:t>
            </w:r>
          </w:p>
        </w:tc>
        <w:tc>
          <w:tcPr>
            <w:tcW w:w="1230" w:type="dxa"/>
            <w:tcBorders>
              <w:top w:val="single" w:sz="8" w:space="0" w:color="auto"/>
              <w:left w:val="nil"/>
              <w:bottom w:val="single" w:sz="8" w:space="0" w:color="auto"/>
              <w:right w:val="single" w:sz="4" w:space="0" w:color="auto"/>
            </w:tcBorders>
            <w:shd w:val="clear" w:color="auto" w:fill="auto"/>
            <w:hideMark/>
          </w:tcPr>
          <w:p w14:paraId="7233CF4B" w14:textId="77777777" w:rsidR="00683F4A" w:rsidRPr="00CD56B9" w:rsidRDefault="00683F4A" w:rsidP="009657E1">
            <w:pPr>
              <w:spacing w:after="0"/>
              <w:jc w:val="left"/>
              <w:rPr>
                <w:rFonts w:ascii="Arial Narrow" w:eastAsia="Times New Roman" w:hAnsi="Arial Narrow"/>
                <w:sz w:val="20"/>
                <w:szCs w:val="20"/>
                <w:lang w:val="en-US" w:eastAsia="en-GB"/>
              </w:rPr>
            </w:pPr>
            <w:r w:rsidRPr="00CD56B9">
              <w:rPr>
                <w:rFonts w:ascii="Arial Narrow" w:eastAsia="Times New Roman" w:hAnsi="Arial Narrow"/>
                <w:sz w:val="20"/>
                <w:szCs w:val="20"/>
                <w:lang w:val="en-US" w:eastAsia="en-GB"/>
              </w:rPr>
              <w:t> </w:t>
            </w:r>
          </w:p>
        </w:tc>
        <w:tc>
          <w:tcPr>
            <w:tcW w:w="992" w:type="dxa"/>
            <w:tcBorders>
              <w:top w:val="single" w:sz="8" w:space="0" w:color="auto"/>
              <w:left w:val="nil"/>
              <w:bottom w:val="single" w:sz="8" w:space="0" w:color="auto"/>
              <w:right w:val="single" w:sz="4" w:space="0" w:color="auto"/>
            </w:tcBorders>
            <w:shd w:val="clear" w:color="auto" w:fill="auto"/>
            <w:hideMark/>
          </w:tcPr>
          <w:p w14:paraId="48A4527A" w14:textId="77777777" w:rsidR="00683F4A" w:rsidRPr="003B552F" w:rsidRDefault="00683F4A" w:rsidP="009657E1">
            <w:pPr>
              <w:spacing w:after="0"/>
              <w:jc w:val="right"/>
              <w:rPr>
                <w:rFonts w:ascii="Arial Narrow" w:eastAsia="Times New Roman" w:hAnsi="Arial Narrow"/>
                <w:b/>
                <w:bCs/>
                <w:color w:val="FF0000"/>
                <w:sz w:val="20"/>
                <w:szCs w:val="20"/>
                <w:lang w:eastAsia="en-GB"/>
              </w:rPr>
            </w:pPr>
            <w:r w:rsidRPr="00CD56B9">
              <w:rPr>
                <w:rFonts w:ascii="Arial Narrow" w:eastAsia="Times New Roman" w:hAnsi="Arial Narrow"/>
                <w:b/>
                <w:bCs/>
                <w:color w:val="FF0000"/>
                <w:sz w:val="20"/>
                <w:szCs w:val="20"/>
                <w:lang w:val="en-US" w:eastAsia="en-GB"/>
              </w:rPr>
              <w:t xml:space="preserve">        </w:t>
            </w:r>
            <w:r w:rsidRPr="003B552F">
              <w:rPr>
                <w:rFonts w:ascii="Arial Narrow" w:eastAsia="Times New Roman" w:hAnsi="Arial Narrow"/>
                <w:b/>
                <w:bCs/>
                <w:color w:val="FF0000"/>
                <w:sz w:val="20"/>
                <w:szCs w:val="20"/>
                <w:lang w:eastAsia="en-GB"/>
              </w:rPr>
              <w:t xml:space="preserve">1,000,000 </w:t>
            </w:r>
          </w:p>
        </w:tc>
        <w:tc>
          <w:tcPr>
            <w:tcW w:w="998" w:type="dxa"/>
            <w:gridSpan w:val="2"/>
            <w:tcBorders>
              <w:top w:val="single" w:sz="8" w:space="0" w:color="auto"/>
              <w:left w:val="nil"/>
              <w:bottom w:val="single" w:sz="8" w:space="0" w:color="auto"/>
              <w:right w:val="single" w:sz="4" w:space="0" w:color="auto"/>
            </w:tcBorders>
            <w:shd w:val="clear" w:color="auto" w:fill="auto"/>
            <w:hideMark/>
          </w:tcPr>
          <w:p w14:paraId="62FCF141" w14:textId="77777777" w:rsidR="00683F4A" w:rsidRPr="003B552F" w:rsidRDefault="00683F4A" w:rsidP="009657E1">
            <w:pPr>
              <w:spacing w:after="0"/>
              <w:jc w:val="right"/>
              <w:rPr>
                <w:rFonts w:ascii="Arial Narrow" w:eastAsia="Times New Roman" w:hAnsi="Arial Narrow"/>
                <w:b/>
                <w:bCs/>
                <w:color w:val="FF0000"/>
                <w:sz w:val="20"/>
                <w:szCs w:val="20"/>
                <w:lang w:eastAsia="en-GB"/>
              </w:rPr>
            </w:pPr>
            <w:r w:rsidRPr="003B552F">
              <w:rPr>
                <w:rFonts w:ascii="Arial Narrow" w:eastAsia="Times New Roman" w:hAnsi="Arial Narrow"/>
                <w:b/>
                <w:bCs/>
                <w:color w:val="FF0000"/>
                <w:sz w:val="20"/>
                <w:szCs w:val="20"/>
                <w:lang w:eastAsia="en-GB"/>
              </w:rPr>
              <w:t xml:space="preserve">         1,000,000 </w:t>
            </w:r>
          </w:p>
        </w:tc>
        <w:tc>
          <w:tcPr>
            <w:tcW w:w="986" w:type="dxa"/>
            <w:tcBorders>
              <w:top w:val="single" w:sz="8" w:space="0" w:color="auto"/>
              <w:left w:val="nil"/>
              <w:bottom w:val="single" w:sz="8" w:space="0" w:color="auto"/>
              <w:right w:val="single" w:sz="4" w:space="0" w:color="auto"/>
            </w:tcBorders>
            <w:shd w:val="clear" w:color="auto" w:fill="auto"/>
            <w:hideMark/>
          </w:tcPr>
          <w:p w14:paraId="1CC029C6" w14:textId="77777777" w:rsidR="00683F4A" w:rsidRPr="003B552F" w:rsidRDefault="00683F4A" w:rsidP="009657E1">
            <w:pPr>
              <w:spacing w:after="0"/>
              <w:jc w:val="right"/>
              <w:rPr>
                <w:rFonts w:ascii="Arial Narrow" w:eastAsia="Times New Roman" w:hAnsi="Arial Narrow"/>
                <w:b/>
                <w:bCs/>
                <w:color w:val="FF0000"/>
                <w:sz w:val="20"/>
                <w:szCs w:val="20"/>
                <w:lang w:eastAsia="en-GB"/>
              </w:rPr>
            </w:pPr>
            <w:r w:rsidRPr="003B552F">
              <w:rPr>
                <w:rFonts w:ascii="Arial Narrow" w:eastAsia="Times New Roman" w:hAnsi="Arial Narrow"/>
                <w:b/>
                <w:bCs/>
                <w:color w:val="FF0000"/>
                <w:sz w:val="20"/>
                <w:szCs w:val="20"/>
                <w:lang w:eastAsia="en-GB"/>
              </w:rPr>
              <w:t xml:space="preserve">        1,797,000 </w:t>
            </w:r>
          </w:p>
        </w:tc>
        <w:tc>
          <w:tcPr>
            <w:tcW w:w="1134" w:type="dxa"/>
            <w:tcBorders>
              <w:top w:val="single" w:sz="8" w:space="0" w:color="auto"/>
              <w:left w:val="nil"/>
              <w:bottom w:val="single" w:sz="8" w:space="0" w:color="auto"/>
              <w:right w:val="single" w:sz="8" w:space="0" w:color="auto"/>
            </w:tcBorders>
            <w:shd w:val="clear" w:color="auto" w:fill="auto"/>
            <w:hideMark/>
          </w:tcPr>
          <w:p w14:paraId="130F5EA2" w14:textId="77777777" w:rsidR="00683F4A" w:rsidRPr="003B552F" w:rsidRDefault="00683F4A" w:rsidP="009657E1">
            <w:pPr>
              <w:spacing w:after="0"/>
              <w:jc w:val="right"/>
              <w:rPr>
                <w:rFonts w:ascii="Arial Narrow" w:eastAsia="Times New Roman" w:hAnsi="Arial Narrow"/>
                <w:b/>
                <w:bCs/>
                <w:color w:val="FF0000"/>
                <w:sz w:val="20"/>
                <w:szCs w:val="20"/>
                <w:lang w:eastAsia="en-GB"/>
              </w:rPr>
            </w:pPr>
            <w:r w:rsidRPr="003B552F">
              <w:rPr>
                <w:rFonts w:ascii="Arial Narrow" w:eastAsia="Times New Roman" w:hAnsi="Arial Narrow"/>
                <w:b/>
                <w:bCs/>
                <w:color w:val="FF0000"/>
                <w:sz w:val="20"/>
                <w:szCs w:val="20"/>
                <w:lang w:eastAsia="en-GB"/>
              </w:rPr>
              <w:t xml:space="preserve">          3,797,000 </w:t>
            </w:r>
          </w:p>
        </w:tc>
      </w:tr>
      <w:tr w:rsidR="00683F4A" w:rsidRPr="007D425D" w14:paraId="7A2A09D9" w14:textId="77777777" w:rsidTr="009657E1">
        <w:trPr>
          <w:trHeight w:val="179"/>
          <w:jc w:val="center"/>
        </w:trPr>
        <w:tc>
          <w:tcPr>
            <w:tcW w:w="1570" w:type="dxa"/>
            <w:vMerge w:val="restart"/>
            <w:tcBorders>
              <w:top w:val="nil"/>
              <w:left w:val="single" w:sz="8" w:space="0" w:color="auto"/>
              <w:bottom w:val="single" w:sz="4" w:space="0" w:color="000000"/>
              <w:right w:val="single" w:sz="4" w:space="0" w:color="auto"/>
            </w:tcBorders>
            <w:shd w:val="clear" w:color="auto" w:fill="auto"/>
            <w:hideMark/>
          </w:tcPr>
          <w:p w14:paraId="682ED043" w14:textId="77777777" w:rsidR="00683F4A" w:rsidRPr="003B552F" w:rsidRDefault="00683F4A" w:rsidP="009657E1">
            <w:pPr>
              <w:spacing w:after="0"/>
              <w:jc w:val="left"/>
              <w:rPr>
                <w:rFonts w:ascii="Arial Narrow" w:eastAsia="Times New Roman" w:hAnsi="Arial Narrow"/>
                <w:b/>
                <w:bCs/>
                <w:sz w:val="20"/>
                <w:szCs w:val="20"/>
                <w:lang w:eastAsia="en-GB"/>
              </w:rPr>
            </w:pPr>
            <w:r w:rsidRPr="003B552F">
              <w:rPr>
                <w:rFonts w:ascii="Arial Narrow" w:eastAsia="Times New Roman" w:hAnsi="Arial Narrow"/>
                <w:b/>
                <w:bCs/>
                <w:sz w:val="20"/>
                <w:szCs w:val="20"/>
                <w:lang w:eastAsia="en-GB"/>
              </w:rPr>
              <w:t>Annualized Key Results 2015</w:t>
            </w:r>
          </w:p>
        </w:tc>
        <w:tc>
          <w:tcPr>
            <w:tcW w:w="7842" w:type="dxa"/>
            <w:gridSpan w:val="5"/>
            <w:tcBorders>
              <w:top w:val="nil"/>
              <w:left w:val="nil"/>
              <w:bottom w:val="nil"/>
              <w:right w:val="single" w:sz="4" w:space="0" w:color="000000"/>
            </w:tcBorders>
            <w:shd w:val="clear" w:color="auto" w:fill="auto"/>
            <w:hideMark/>
          </w:tcPr>
          <w:p w14:paraId="66F87899" w14:textId="77777777" w:rsidR="00683F4A" w:rsidRPr="00CD56B9" w:rsidRDefault="00683F4A" w:rsidP="009657E1">
            <w:pPr>
              <w:spacing w:after="0"/>
              <w:jc w:val="left"/>
              <w:rPr>
                <w:rFonts w:ascii="Arial Narrow" w:eastAsia="Times New Roman" w:hAnsi="Arial Narrow"/>
                <w:sz w:val="20"/>
                <w:szCs w:val="20"/>
                <w:lang w:val="en-US" w:eastAsia="en-GB"/>
              </w:rPr>
            </w:pPr>
            <w:r w:rsidRPr="00CD56B9">
              <w:rPr>
                <w:rFonts w:ascii="Arial Narrow" w:eastAsia="Times New Roman" w:hAnsi="Arial Narrow"/>
                <w:sz w:val="20"/>
                <w:szCs w:val="20"/>
                <w:lang w:val="en-US" w:eastAsia="en-GB"/>
              </w:rPr>
              <w:t>G: 2015 - 2019  Strategic  Plan for the Malawi Electoral Commission formulated (UNDP)</w:t>
            </w:r>
          </w:p>
        </w:tc>
        <w:tc>
          <w:tcPr>
            <w:tcW w:w="1230" w:type="dxa"/>
            <w:tcBorders>
              <w:top w:val="nil"/>
              <w:left w:val="nil"/>
              <w:bottom w:val="nil"/>
              <w:right w:val="single" w:sz="4" w:space="0" w:color="auto"/>
            </w:tcBorders>
            <w:shd w:val="clear" w:color="auto" w:fill="auto"/>
            <w:hideMark/>
          </w:tcPr>
          <w:p w14:paraId="653772C0" w14:textId="77777777" w:rsidR="00683F4A" w:rsidRPr="003B552F" w:rsidRDefault="00683F4A" w:rsidP="009657E1">
            <w:pPr>
              <w:spacing w:after="0"/>
              <w:jc w:val="left"/>
              <w:rPr>
                <w:rFonts w:ascii="Arial Narrow" w:eastAsia="Times New Roman" w:hAnsi="Arial Narrow"/>
                <w:sz w:val="20"/>
                <w:szCs w:val="20"/>
                <w:lang w:eastAsia="en-GB"/>
              </w:rPr>
            </w:pPr>
            <w:r w:rsidRPr="003B552F">
              <w:rPr>
                <w:rFonts w:ascii="Arial Narrow" w:eastAsia="Times New Roman" w:hAnsi="Arial Narrow"/>
                <w:sz w:val="20"/>
                <w:szCs w:val="20"/>
                <w:lang w:eastAsia="en-GB"/>
              </w:rPr>
              <w:t>UNDP</w:t>
            </w:r>
          </w:p>
        </w:tc>
        <w:tc>
          <w:tcPr>
            <w:tcW w:w="992" w:type="dxa"/>
            <w:tcBorders>
              <w:top w:val="nil"/>
              <w:left w:val="nil"/>
              <w:bottom w:val="nil"/>
              <w:right w:val="single" w:sz="4" w:space="0" w:color="auto"/>
            </w:tcBorders>
            <w:shd w:val="clear" w:color="auto" w:fill="auto"/>
            <w:hideMark/>
          </w:tcPr>
          <w:p w14:paraId="1B3A228B"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w:t>
            </w:r>
          </w:p>
        </w:tc>
        <w:tc>
          <w:tcPr>
            <w:tcW w:w="998" w:type="dxa"/>
            <w:gridSpan w:val="2"/>
            <w:tcBorders>
              <w:top w:val="nil"/>
              <w:left w:val="nil"/>
              <w:bottom w:val="nil"/>
              <w:right w:val="single" w:sz="4" w:space="0" w:color="auto"/>
            </w:tcBorders>
            <w:shd w:val="clear" w:color="auto" w:fill="auto"/>
            <w:hideMark/>
          </w:tcPr>
          <w:p w14:paraId="204BEC77"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w:t>
            </w:r>
          </w:p>
        </w:tc>
        <w:tc>
          <w:tcPr>
            <w:tcW w:w="986" w:type="dxa"/>
            <w:tcBorders>
              <w:top w:val="nil"/>
              <w:left w:val="nil"/>
              <w:bottom w:val="nil"/>
              <w:right w:val="single" w:sz="4" w:space="0" w:color="auto"/>
            </w:tcBorders>
            <w:shd w:val="clear" w:color="auto" w:fill="auto"/>
            <w:hideMark/>
          </w:tcPr>
          <w:p w14:paraId="1BBB4D07"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500,000 </w:t>
            </w:r>
          </w:p>
        </w:tc>
        <w:tc>
          <w:tcPr>
            <w:tcW w:w="1134" w:type="dxa"/>
            <w:tcBorders>
              <w:top w:val="nil"/>
              <w:left w:val="nil"/>
              <w:bottom w:val="nil"/>
              <w:right w:val="single" w:sz="8" w:space="0" w:color="auto"/>
            </w:tcBorders>
            <w:shd w:val="clear" w:color="auto" w:fill="auto"/>
            <w:hideMark/>
          </w:tcPr>
          <w:p w14:paraId="7B86B711"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500,000 </w:t>
            </w:r>
          </w:p>
        </w:tc>
      </w:tr>
      <w:tr w:rsidR="00683F4A" w:rsidRPr="007D425D" w14:paraId="277A9FEA" w14:textId="77777777" w:rsidTr="009657E1">
        <w:trPr>
          <w:trHeight w:val="179"/>
          <w:jc w:val="center"/>
        </w:trPr>
        <w:tc>
          <w:tcPr>
            <w:tcW w:w="1570" w:type="dxa"/>
            <w:vMerge/>
            <w:tcBorders>
              <w:top w:val="nil"/>
              <w:left w:val="single" w:sz="8" w:space="0" w:color="auto"/>
              <w:bottom w:val="single" w:sz="4" w:space="0" w:color="000000"/>
              <w:right w:val="single" w:sz="4" w:space="0" w:color="auto"/>
            </w:tcBorders>
            <w:vAlign w:val="center"/>
            <w:hideMark/>
          </w:tcPr>
          <w:p w14:paraId="39C8C1A5" w14:textId="77777777" w:rsidR="00683F4A" w:rsidRPr="003B552F" w:rsidRDefault="00683F4A" w:rsidP="009657E1">
            <w:pPr>
              <w:spacing w:after="0"/>
              <w:jc w:val="left"/>
              <w:rPr>
                <w:rFonts w:ascii="Arial Narrow" w:eastAsia="Times New Roman" w:hAnsi="Arial Narrow"/>
                <w:b/>
                <w:bCs/>
                <w:sz w:val="20"/>
                <w:szCs w:val="20"/>
                <w:lang w:eastAsia="en-GB"/>
              </w:rPr>
            </w:pPr>
          </w:p>
        </w:tc>
        <w:tc>
          <w:tcPr>
            <w:tcW w:w="7842" w:type="dxa"/>
            <w:gridSpan w:val="5"/>
            <w:tcBorders>
              <w:top w:val="single" w:sz="8" w:space="0" w:color="auto"/>
              <w:left w:val="single" w:sz="8" w:space="0" w:color="auto"/>
              <w:bottom w:val="single" w:sz="8" w:space="0" w:color="auto"/>
              <w:right w:val="single" w:sz="4" w:space="0" w:color="000000"/>
            </w:tcBorders>
            <w:shd w:val="clear" w:color="auto" w:fill="auto"/>
            <w:hideMark/>
          </w:tcPr>
          <w:p w14:paraId="65B99B80" w14:textId="0D76B1A8" w:rsidR="00683F4A" w:rsidRPr="00CD56B9" w:rsidRDefault="00683F4A" w:rsidP="009657E1">
            <w:pPr>
              <w:spacing w:after="0"/>
              <w:jc w:val="left"/>
              <w:rPr>
                <w:rFonts w:ascii="Arial Narrow" w:eastAsia="Times New Roman" w:hAnsi="Arial Narrow"/>
                <w:b/>
                <w:bCs/>
                <w:color w:val="FF0000"/>
                <w:sz w:val="20"/>
                <w:szCs w:val="20"/>
                <w:lang w:val="en-US" w:eastAsia="en-GB"/>
              </w:rPr>
            </w:pPr>
            <w:r w:rsidRPr="00CD56B9">
              <w:rPr>
                <w:rFonts w:ascii="Arial Narrow" w:eastAsia="Times New Roman" w:hAnsi="Arial Narrow"/>
                <w:b/>
                <w:bCs/>
                <w:color w:val="FF0000"/>
                <w:sz w:val="20"/>
                <w:szCs w:val="20"/>
                <w:lang w:val="en-US" w:eastAsia="en-GB"/>
              </w:rPr>
              <w:t xml:space="preserve">4.1.4-Total Budget for </w:t>
            </w:r>
            <w:r w:rsidR="003F4020" w:rsidRPr="00CD56B9">
              <w:rPr>
                <w:rFonts w:ascii="Arial Narrow" w:eastAsia="Times New Roman" w:hAnsi="Arial Narrow"/>
                <w:b/>
                <w:bCs/>
                <w:color w:val="FF0000"/>
                <w:sz w:val="20"/>
                <w:szCs w:val="20"/>
                <w:lang w:val="en-US" w:eastAsia="en-GB"/>
              </w:rPr>
              <w:t>Annualized</w:t>
            </w:r>
            <w:r w:rsidRPr="00CD56B9">
              <w:rPr>
                <w:rFonts w:ascii="Arial Narrow" w:eastAsia="Times New Roman" w:hAnsi="Arial Narrow"/>
                <w:b/>
                <w:bCs/>
                <w:color w:val="FF0000"/>
                <w:sz w:val="20"/>
                <w:szCs w:val="20"/>
                <w:lang w:val="en-US" w:eastAsia="en-GB"/>
              </w:rPr>
              <w:t xml:space="preserve"> Key Results for 2015</w:t>
            </w:r>
          </w:p>
        </w:tc>
        <w:tc>
          <w:tcPr>
            <w:tcW w:w="1230" w:type="dxa"/>
            <w:tcBorders>
              <w:top w:val="single" w:sz="8" w:space="0" w:color="auto"/>
              <w:left w:val="nil"/>
              <w:bottom w:val="single" w:sz="8" w:space="0" w:color="auto"/>
              <w:right w:val="single" w:sz="4" w:space="0" w:color="auto"/>
            </w:tcBorders>
            <w:shd w:val="clear" w:color="auto" w:fill="auto"/>
            <w:hideMark/>
          </w:tcPr>
          <w:p w14:paraId="1C8F5F0F" w14:textId="77777777" w:rsidR="00683F4A" w:rsidRPr="00CD56B9" w:rsidRDefault="00683F4A" w:rsidP="009657E1">
            <w:pPr>
              <w:spacing w:after="0"/>
              <w:jc w:val="left"/>
              <w:rPr>
                <w:rFonts w:ascii="Arial Narrow" w:eastAsia="Times New Roman" w:hAnsi="Arial Narrow"/>
                <w:sz w:val="20"/>
                <w:szCs w:val="20"/>
                <w:lang w:val="en-US" w:eastAsia="en-GB"/>
              </w:rPr>
            </w:pPr>
            <w:r w:rsidRPr="00CD56B9">
              <w:rPr>
                <w:rFonts w:ascii="Arial Narrow" w:eastAsia="Times New Roman" w:hAnsi="Arial Narrow"/>
                <w:sz w:val="20"/>
                <w:szCs w:val="20"/>
                <w:lang w:val="en-US" w:eastAsia="en-GB"/>
              </w:rPr>
              <w:t> </w:t>
            </w:r>
          </w:p>
        </w:tc>
        <w:tc>
          <w:tcPr>
            <w:tcW w:w="992" w:type="dxa"/>
            <w:tcBorders>
              <w:top w:val="single" w:sz="8" w:space="0" w:color="auto"/>
              <w:left w:val="nil"/>
              <w:bottom w:val="single" w:sz="8" w:space="0" w:color="auto"/>
              <w:right w:val="single" w:sz="4" w:space="0" w:color="auto"/>
            </w:tcBorders>
            <w:shd w:val="clear" w:color="auto" w:fill="auto"/>
            <w:hideMark/>
          </w:tcPr>
          <w:p w14:paraId="433E88F5" w14:textId="77777777" w:rsidR="00683F4A" w:rsidRPr="003B552F" w:rsidRDefault="00683F4A" w:rsidP="009657E1">
            <w:pPr>
              <w:spacing w:after="0"/>
              <w:jc w:val="right"/>
              <w:rPr>
                <w:rFonts w:ascii="Arial Narrow" w:eastAsia="Times New Roman" w:hAnsi="Arial Narrow"/>
                <w:b/>
                <w:bCs/>
                <w:color w:val="FF0000"/>
                <w:sz w:val="20"/>
                <w:szCs w:val="20"/>
                <w:lang w:eastAsia="en-GB"/>
              </w:rPr>
            </w:pPr>
            <w:r w:rsidRPr="00CD56B9">
              <w:rPr>
                <w:rFonts w:ascii="Arial Narrow" w:eastAsia="Times New Roman" w:hAnsi="Arial Narrow"/>
                <w:b/>
                <w:bCs/>
                <w:color w:val="FF0000"/>
                <w:sz w:val="20"/>
                <w:szCs w:val="20"/>
                <w:lang w:val="en-US" w:eastAsia="en-GB"/>
              </w:rPr>
              <w:t xml:space="preserve">                     </w:t>
            </w:r>
            <w:r w:rsidRPr="003B552F">
              <w:rPr>
                <w:rFonts w:ascii="Arial Narrow" w:eastAsia="Times New Roman" w:hAnsi="Arial Narrow"/>
                <w:b/>
                <w:bCs/>
                <w:color w:val="FF0000"/>
                <w:sz w:val="20"/>
                <w:szCs w:val="20"/>
                <w:lang w:eastAsia="en-GB"/>
              </w:rPr>
              <w:t xml:space="preserve">-   </w:t>
            </w:r>
          </w:p>
        </w:tc>
        <w:tc>
          <w:tcPr>
            <w:tcW w:w="998" w:type="dxa"/>
            <w:gridSpan w:val="2"/>
            <w:tcBorders>
              <w:top w:val="single" w:sz="8" w:space="0" w:color="auto"/>
              <w:left w:val="nil"/>
              <w:bottom w:val="single" w:sz="8" w:space="0" w:color="auto"/>
              <w:right w:val="single" w:sz="4" w:space="0" w:color="auto"/>
            </w:tcBorders>
            <w:shd w:val="clear" w:color="auto" w:fill="auto"/>
            <w:hideMark/>
          </w:tcPr>
          <w:p w14:paraId="5118F5EC" w14:textId="77777777" w:rsidR="00683F4A" w:rsidRPr="003B552F" w:rsidRDefault="00683F4A" w:rsidP="009657E1">
            <w:pPr>
              <w:spacing w:after="0"/>
              <w:jc w:val="right"/>
              <w:rPr>
                <w:rFonts w:ascii="Arial Narrow" w:eastAsia="Times New Roman" w:hAnsi="Arial Narrow"/>
                <w:b/>
                <w:bCs/>
                <w:color w:val="FF0000"/>
                <w:sz w:val="20"/>
                <w:szCs w:val="20"/>
                <w:lang w:eastAsia="en-GB"/>
              </w:rPr>
            </w:pPr>
            <w:r w:rsidRPr="003B552F">
              <w:rPr>
                <w:rFonts w:ascii="Arial Narrow" w:eastAsia="Times New Roman" w:hAnsi="Arial Narrow"/>
                <w:b/>
                <w:bCs/>
                <w:color w:val="FF0000"/>
                <w:sz w:val="20"/>
                <w:szCs w:val="20"/>
                <w:lang w:eastAsia="en-GB"/>
              </w:rPr>
              <w:t xml:space="preserve">                      -   </w:t>
            </w:r>
          </w:p>
        </w:tc>
        <w:tc>
          <w:tcPr>
            <w:tcW w:w="986" w:type="dxa"/>
            <w:tcBorders>
              <w:top w:val="single" w:sz="8" w:space="0" w:color="auto"/>
              <w:left w:val="nil"/>
              <w:bottom w:val="single" w:sz="8" w:space="0" w:color="auto"/>
              <w:right w:val="single" w:sz="4" w:space="0" w:color="auto"/>
            </w:tcBorders>
            <w:shd w:val="clear" w:color="auto" w:fill="auto"/>
            <w:hideMark/>
          </w:tcPr>
          <w:p w14:paraId="459F2D2F" w14:textId="77777777" w:rsidR="00683F4A" w:rsidRPr="003B552F" w:rsidRDefault="00683F4A" w:rsidP="009657E1">
            <w:pPr>
              <w:spacing w:after="0"/>
              <w:jc w:val="right"/>
              <w:rPr>
                <w:rFonts w:ascii="Arial Narrow" w:eastAsia="Times New Roman" w:hAnsi="Arial Narrow"/>
                <w:b/>
                <w:bCs/>
                <w:color w:val="FF0000"/>
                <w:sz w:val="20"/>
                <w:szCs w:val="20"/>
                <w:lang w:eastAsia="en-GB"/>
              </w:rPr>
            </w:pPr>
            <w:r w:rsidRPr="003B552F">
              <w:rPr>
                <w:rFonts w:ascii="Arial Narrow" w:eastAsia="Times New Roman" w:hAnsi="Arial Narrow"/>
                <w:b/>
                <w:bCs/>
                <w:color w:val="FF0000"/>
                <w:sz w:val="20"/>
                <w:szCs w:val="20"/>
                <w:lang w:eastAsia="en-GB"/>
              </w:rPr>
              <w:t xml:space="preserve">           500,000 </w:t>
            </w:r>
          </w:p>
        </w:tc>
        <w:tc>
          <w:tcPr>
            <w:tcW w:w="1134" w:type="dxa"/>
            <w:tcBorders>
              <w:top w:val="single" w:sz="8" w:space="0" w:color="auto"/>
              <w:left w:val="nil"/>
              <w:bottom w:val="single" w:sz="8" w:space="0" w:color="auto"/>
              <w:right w:val="single" w:sz="8" w:space="0" w:color="auto"/>
            </w:tcBorders>
            <w:shd w:val="clear" w:color="auto" w:fill="auto"/>
            <w:hideMark/>
          </w:tcPr>
          <w:p w14:paraId="069544BC" w14:textId="77777777" w:rsidR="00683F4A" w:rsidRPr="003B552F" w:rsidRDefault="00683F4A" w:rsidP="009657E1">
            <w:pPr>
              <w:spacing w:after="0"/>
              <w:jc w:val="right"/>
              <w:rPr>
                <w:rFonts w:ascii="Arial Narrow" w:eastAsia="Times New Roman" w:hAnsi="Arial Narrow"/>
                <w:b/>
                <w:bCs/>
                <w:color w:val="FF0000"/>
                <w:sz w:val="20"/>
                <w:szCs w:val="20"/>
                <w:lang w:eastAsia="en-GB"/>
              </w:rPr>
            </w:pPr>
            <w:r w:rsidRPr="003B552F">
              <w:rPr>
                <w:rFonts w:ascii="Arial Narrow" w:eastAsia="Times New Roman" w:hAnsi="Arial Narrow"/>
                <w:b/>
                <w:bCs/>
                <w:color w:val="FF0000"/>
                <w:sz w:val="20"/>
                <w:szCs w:val="20"/>
                <w:lang w:eastAsia="en-GB"/>
              </w:rPr>
              <w:t xml:space="preserve">             500,000 </w:t>
            </w:r>
          </w:p>
        </w:tc>
      </w:tr>
      <w:tr w:rsidR="00683F4A" w:rsidRPr="007D425D" w14:paraId="73730F10" w14:textId="77777777" w:rsidTr="009657E1">
        <w:trPr>
          <w:trHeight w:val="179"/>
          <w:jc w:val="center"/>
        </w:trPr>
        <w:tc>
          <w:tcPr>
            <w:tcW w:w="1570" w:type="dxa"/>
            <w:vMerge w:val="restart"/>
            <w:tcBorders>
              <w:top w:val="nil"/>
              <w:left w:val="single" w:sz="8" w:space="0" w:color="auto"/>
              <w:bottom w:val="single" w:sz="4" w:space="0" w:color="000000"/>
              <w:right w:val="nil"/>
            </w:tcBorders>
            <w:shd w:val="clear" w:color="auto" w:fill="auto"/>
            <w:hideMark/>
          </w:tcPr>
          <w:p w14:paraId="26558FA7" w14:textId="77777777" w:rsidR="00683F4A" w:rsidRPr="003B552F" w:rsidRDefault="00683F4A" w:rsidP="009657E1">
            <w:pPr>
              <w:spacing w:after="0"/>
              <w:jc w:val="left"/>
              <w:rPr>
                <w:rFonts w:ascii="Arial Narrow" w:eastAsia="Times New Roman" w:hAnsi="Arial Narrow"/>
                <w:b/>
                <w:bCs/>
                <w:sz w:val="20"/>
                <w:szCs w:val="20"/>
                <w:lang w:eastAsia="en-GB"/>
              </w:rPr>
            </w:pPr>
            <w:r w:rsidRPr="003B552F">
              <w:rPr>
                <w:rFonts w:ascii="Arial Narrow" w:eastAsia="Times New Roman" w:hAnsi="Arial Narrow"/>
                <w:b/>
                <w:bCs/>
                <w:sz w:val="20"/>
                <w:szCs w:val="20"/>
                <w:lang w:eastAsia="en-GB"/>
              </w:rPr>
              <w:t>Annualized Key Results 2016</w:t>
            </w:r>
          </w:p>
        </w:tc>
        <w:tc>
          <w:tcPr>
            <w:tcW w:w="7842" w:type="dxa"/>
            <w:gridSpan w:val="5"/>
            <w:tcBorders>
              <w:top w:val="nil"/>
              <w:left w:val="single" w:sz="4" w:space="0" w:color="auto"/>
              <w:bottom w:val="nil"/>
              <w:right w:val="single" w:sz="4" w:space="0" w:color="000000"/>
            </w:tcBorders>
            <w:shd w:val="clear" w:color="auto" w:fill="auto"/>
            <w:hideMark/>
          </w:tcPr>
          <w:p w14:paraId="3B74C39F" w14:textId="1D8A281D" w:rsidR="00683F4A" w:rsidRPr="00CD56B9" w:rsidRDefault="00683F4A" w:rsidP="009657E1">
            <w:pPr>
              <w:spacing w:after="0"/>
              <w:jc w:val="left"/>
              <w:rPr>
                <w:rFonts w:ascii="Arial Narrow" w:eastAsia="Times New Roman" w:hAnsi="Arial Narrow"/>
                <w:sz w:val="20"/>
                <w:szCs w:val="20"/>
                <w:lang w:val="en-US" w:eastAsia="en-GB"/>
              </w:rPr>
            </w:pPr>
            <w:r w:rsidRPr="00CD56B9">
              <w:rPr>
                <w:rFonts w:ascii="Arial Narrow" w:eastAsia="Times New Roman" w:hAnsi="Arial Narrow"/>
                <w:sz w:val="20"/>
                <w:szCs w:val="20"/>
                <w:lang w:val="en-US" w:eastAsia="en-GB"/>
              </w:rPr>
              <w:t xml:space="preserve">H: Financial policies and asset management </w:t>
            </w:r>
            <w:r w:rsidR="003F4020" w:rsidRPr="00CD56B9">
              <w:rPr>
                <w:rFonts w:ascii="Arial Narrow" w:eastAsia="Times New Roman" w:hAnsi="Arial Narrow"/>
                <w:sz w:val="20"/>
                <w:szCs w:val="20"/>
                <w:lang w:val="en-US" w:eastAsia="en-GB"/>
              </w:rPr>
              <w:t>system</w:t>
            </w:r>
            <w:r w:rsidRPr="00CD56B9">
              <w:rPr>
                <w:rFonts w:ascii="Arial Narrow" w:eastAsia="Times New Roman" w:hAnsi="Arial Narrow"/>
                <w:sz w:val="20"/>
                <w:szCs w:val="20"/>
                <w:lang w:val="en-US" w:eastAsia="en-GB"/>
              </w:rPr>
              <w:t xml:space="preserve"> reviewed (UNDP)</w:t>
            </w:r>
          </w:p>
        </w:tc>
        <w:tc>
          <w:tcPr>
            <w:tcW w:w="1230" w:type="dxa"/>
            <w:tcBorders>
              <w:top w:val="nil"/>
              <w:left w:val="nil"/>
              <w:bottom w:val="nil"/>
              <w:right w:val="single" w:sz="4" w:space="0" w:color="auto"/>
            </w:tcBorders>
            <w:shd w:val="clear" w:color="auto" w:fill="auto"/>
            <w:hideMark/>
          </w:tcPr>
          <w:p w14:paraId="09818F52" w14:textId="77777777" w:rsidR="00683F4A" w:rsidRPr="003B552F" w:rsidRDefault="00683F4A" w:rsidP="009657E1">
            <w:pPr>
              <w:spacing w:after="0"/>
              <w:jc w:val="left"/>
              <w:rPr>
                <w:rFonts w:ascii="Arial Narrow" w:eastAsia="Times New Roman" w:hAnsi="Arial Narrow"/>
                <w:sz w:val="20"/>
                <w:szCs w:val="20"/>
                <w:lang w:eastAsia="en-GB"/>
              </w:rPr>
            </w:pPr>
            <w:r w:rsidRPr="003B552F">
              <w:rPr>
                <w:rFonts w:ascii="Arial Narrow" w:eastAsia="Times New Roman" w:hAnsi="Arial Narrow"/>
                <w:sz w:val="20"/>
                <w:szCs w:val="20"/>
                <w:lang w:eastAsia="en-GB"/>
              </w:rPr>
              <w:t>UNDP</w:t>
            </w:r>
          </w:p>
        </w:tc>
        <w:tc>
          <w:tcPr>
            <w:tcW w:w="992" w:type="dxa"/>
            <w:tcBorders>
              <w:top w:val="nil"/>
              <w:left w:val="nil"/>
              <w:bottom w:val="nil"/>
              <w:right w:val="single" w:sz="4" w:space="0" w:color="auto"/>
            </w:tcBorders>
            <w:shd w:val="clear" w:color="auto" w:fill="auto"/>
            <w:hideMark/>
          </w:tcPr>
          <w:p w14:paraId="4A63E720"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500,000 </w:t>
            </w:r>
          </w:p>
        </w:tc>
        <w:tc>
          <w:tcPr>
            <w:tcW w:w="998" w:type="dxa"/>
            <w:gridSpan w:val="2"/>
            <w:tcBorders>
              <w:top w:val="nil"/>
              <w:left w:val="nil"/>
              <w:bottom w:val="nil"/>
              <w:right w:val="single" w:sz="4" w:space="0" w:color="auto"/>
            </w:tcBorders>
            <w:shd w:val="clear" w:color="auto" w:fill="auto"/>
            <w:hideMark/>
          </w:tcPr>
          <w:p w14:paraId="75A68226"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w:t>
            </w:r>
          </w:p>
        </w:tc>
        <w:tc>
          <w:tcPr>
            <w:tcW w:w="986" w:type="dxa"/>
            <w:tcBorders>
              <w:top w:val="nil"/>
              <w:left w:val="nil"/>
              <w:bottom w:val="nil"/>
              <w:right w:val="single" w:sz="4" w:space="0" w:color="auto"/>
            </w:tcBorders>
            <w:shd w:val="clear" w:color="auto" w:fill="auto"/>
            <w:hideMark/>
          </w:tcPr>
          <w:p w14:paraId="0FDBEF9B"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500,000 </w:t>
            </w:r>
          </w:p>
        </w:tc>
        <w:tc>
          <w:tcPr>
            <w:tcW w:w="1134" w:type="dxa"/>
            <w:tcBorders>
              <w:top w:val="nil"/>
              <w:left w:val="nil"/>
              <w:bottom w:val="nil"/>
              <w:right w:val="single" w:sz="8" w:space="0" w:color="auto"/>
            </w:tcBorders>
            <w:shd w:val="clear" w:color="auto" w:fill="auto"/>
            <w:hideMark/>
          </w:tcPr>
          <w:p w14:paraId="0383D445"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1,000,000 </w:t>
            </w:r>
          </w:p>
        </w:tc>
      </w:tr>
      <w:tr w:rsidR="00683F4A" w:rsidRPr="007D425D" w14:paraId="29BD1CC3" w14:textId="77777777" w:rsidTr="009657E1">
        <w:trPr>
          <w:trHeight w:val="179"/>
          <w:jc w:val="center"/>
        </w:trPr>
        <w:tc>
          <w:tcPr>
            <w:tcW w:w="1570" w:type="dxa"/>
            <w:vMerge/>
            <w:tcBorders>
              <w:top w:val="nil"/>
              <w:left w:val="single" w:sz="8" w:space="0" w:color="auto"/>
              <w:bottom w:val="single" w:sz="4" w:space="0" w:color="000000"/>
              <w:right w:val="nil"/>
            </w:tcBorders>
            <w:vAlign w:val="center"/>
            <w:hideMark/>
          </w:tcPr>
          <w:p w14:paraId="2015DB44" w14:textId="77777777" w:rsidR="00683F4A" w:rsidRPr="003B552F" w:rsidRDefault="00683F4A" w:rsidP="009657E1">
            <w:pPr>
              <w:spacing w:after="0"/>
              <w:jc w:val="left"/>
              <w:rPr>
                <w:rFonts w:ascii="Arial Narrow" w:eastAsia="Times New Roman" w:hAnsi="Arial Narrow"/>
                <w:b/>
                <w:bCs/>
                <w:sz w:val="20"/>
                <w:szCs w:val="20"/>
                <w:lang w:eastAsia="en-GB"/>
              </w:rPr>
            </w:pPr>
          </w:p>
        </w:tc>
        <w:tc>
          <w:tcPr>
            <w:tcW w:w="7842" w:type="dxa"/>
            <w:gridSpan w:val="5"/>
            <w:tcBorders>
              <w:top w:val="single" w:sz="8" w:space="0" w:color="auto"/>
              <w:left w:val="single" w:sz="8" w:space="0" w:color="auto"/>
              <w:bottom w:val="single" w:sz="8" w:space="0" w:color="auto"/>
              <w:right w:val="single" w:sz="4" w:space="0" w:color="000000"/>
            </w:tcBorders>
            <w:shd w:val="clear" w:color="auto" w:fill="auto"/>
            <w:hideMark/>
          </w:tcPr>
          <w:p w14:paraId="01897C53" w14:textId="5831AF35" w:rsidR="00683F4A" w:rsidRPr="00CD56B9" w:rsidRDefault="00683F4A" w:rsidP="009657E1">
            <w:pPr>
              <w:spacing w:after="0"/>
              <w:jc w:val="left"/>
              <w:rPr>
                <w:rFonts w:ascii="Arial Narrow" w:eastAsia="Times New Roman" w:hAnsi="Arial Narrow"/>
                <w:b/>
                <w:bCs/>
                <w:color w:val="FF0000"/>
                <w:sz w:val="20"/>
                <w:szCs w:val="20"/>
                <w:lang w:val="en-US" w:eastAsia="en-GB"/>
              </w:rPr>
            </w:pPr>
            <w:r w:rsidRPr="00CD56B9">
              <w:rPr>
                <w:rFonts w:ascii="Arial Narrow" w:eastAsia="Times New Roman" w:hAnsi="Arial Narrow"/>
                <w:b/>
                <w:bCs/>
                <w:color w:val="FF0000"/>
                <w:sz w:val="20"/>
                <w:szCs w:val="20"/>
                <w:lang w:val="en-US" w:eastAsia="en-GB"/>
              </w:rPr>
              <w:t xml:space="preserve">4.1.4-Total Budget for </w:t>
            </w:r>
            <w:r w:rsidR="003F4020" w:rsidRPr="00CD56B9">
              <w:rPr>
                <w:rFonts w:ascii="Arial Narrow" w:eastAsia="Times New Roman" w:hAnsi="Arial Narrow"/>
                <w:b/>
                <w:bCs/>
                <w:color w:val="FF0000"/>
                <w:sz w:val="20"/>
                <w:szCs w:val="20"/>
                <w:lang w:val="en-US" w:eastAsia="en-GB"/>
              </w:rPr>
              <w:t>Annualized</w:t>
            </w:r>
            <w:r w:rsidRPr="00CD56B9">
              <w:rPr>
                <w:rFonts w:ascii="Arial Narrow" w:eastAsia="Times New Roman" w:hAnsi="Arial Narrow"/>
                <w:b/>
                <w:bCs/>
                <w:color w:val="FF0000"/>
                <w:sz w:val="20"/>
                <w:szCs w:val="20"/>
                <w:lang w:val="en-US" w:eastAsia="en-GB"/>
              </w:rPr>
              <w:t xml:space="preserve"> Key Results for 2016</w:t>
            </w:r>
          </w:p>
        </w:tc>
        <w:tc>
          <w:tcPr>
            <w:tcW w:w="1230" w:type="dxa"/>
            <w:tcBorders>
              <w:top w:val="single" w:sz="8" w:space="0" w:color="auto"/>
              <w:left w:val="nil"/>
              <w:bottom w:val="single" w:sz="8" w:space="0" w:color="auto"/>
              <w:right w:val="single" w:sz="4" w:space="0" w:color="auto"/>
            </w:tcBorders>
            <w:shd w:val="clear" w:color="auto" w:fill="auto"/>
            <w:hideMark/>
          </w:tcPr>
          <w:p w14:paraId="12732D9C" w14:textId="77777777" w:rsidR="00683F4A" w:rsidRPr="00CD56B9" w:rsidRDefault="00683F4A" w:rsidP="009657E1">
            <w:pPr>
              <w:spacing w:after="0"/>
              <w:jc w:val="left"/>
              <w:rPr>
                <w:rFonts w:ascii="Arial Narrow" w:eastAsia="Times New Roman" w:hAnsi="Arial Narrow"/>
                <w:color w:val="FF0000"/>
                <w:sz w:val="20"/>
                <w:szCs w:val="20"/>
                <w:lang w:val="en-US" w:eastAsia="en-GB"/>
              </w:rPr>
            </w:pPr>
            <w:r w:rsidRPr="00CD56B9">
              <w:rPr>
                <w:rFonts w:ascii="Arial Narrow" w:eastAsia="Times New Roman" w:hAnsi="Arial Narrow"/>
                <w:color w:val="FF0000"/>
                <w:sz w:val="20"/>
                <w:szCs w:val="20"/>
                <w:lang w:val="en-US" w:eastAsia="en-GB"/>
              </w:rPr>
              <w:t> </w:t>
            </w:r>
          </w:p>
        </w:tc>
        <w:tc>
          <w:tcPr>
            <w:tcW w:w="992" w:type="dxa"/>
            <w:tcBorders>
              <w:top w:val="single" w:sz="8" w:space="0" w:color="auto"/>
              <w:left w:val="nil"/>
              <w:bottom w:val="single" w:sz="8" w:space="0" w:color="auto"/>
              <w:right w:val="single" w:sz="4" w:space="0" w:color="auto"/>
            </w:tcBorders>
            <w:shd w:val="clear" w:color="auto" w:fill="auto"/>
            <w:hideMark/>
          </w:tcPr>
          <w:p w14:paraId="67A968A7" w14:textId="77777777" w:rsidR="00683F4A" w:rsidRPr="003B552F" w:rsidRDefault="00683F4A" w:rsidP="009657E1">
            <w:pPr>
              <w:spacing w:after="0"/>
              <w:jc w:val="right"/>
              <w:rPr>
                <w:rFonts w:ascii="Arial Narrow" w:eastAsia="Times New Roman" w:hAnsi="Arial Narrow"/>
                <w:b/>
                <w:bCs/>
                <w:color w:val="FF0000"/>
                <w:sz w:val="20"/>
                <w:szCs w:val="20"/>
                <w:lang w:eastAsia="en-GB"/>
              </w:rPr>
            </w:pPr>
            <w:r w:rsidRPr="00CD56B9">
              <w:rPr>
                <w:rFonts w:ascii="Arial Narrow" w:eastAsia="Times New Roman" w:hAnsi="Arial Narrow"/>
                <w:b/>
                <w:bCs/>
                <w:color w:val="FF0000"/>
                <w:sz w:val="20"/>
                <w:szCs w:val="20"/>
                <w:lang w:val="en-US" w:eastAsia="en-GB"/>
              </w:rPr>
              <w:t xml:space="preserve">           </w:t>
            </w:r>
            <w:r w:rsidRPr="003B552F">
              <w:rPr>
                <w:rFonts w:ascii="Arial Narrow" w:eastAsia="Times New Roman" w:hAnsi="Arial Narrow"/>
                <w:b/>
                <w:bCs/>
                <w:color w:val="FF0000"/>
                <w:sz w:val="20"/>
                <w:szCs w:val="20"/>
                <w:lang w:eastAsia="en-GB"/>
              </w:rPr>
              <w:t xml:space="preserve">500,000 </w:t>
            </w:r>
          </w:p>
        </w:tc>
        <w:tc>
          <w:tcPr>
            <w:tcW w:w="998" w:type="dxa"/>
            <w:gridSpan w:val="2"/>
            <w:tcBorders>
              <w:top w:val="single" w:sz="8" w:space="0" w:color="auto"/>
              <w:left w:val="nil"/>
              <w:bottom w:val="single" w:sz="8" w:space="0" w:color="auto"/>
              <w:right w:val="single" w:sz="4" w:space="0" w:color="auto"/>
            </w:tcBorders>
            <w:shd w:val="clear" w:color="auto" w:fill="auto"/>
            <w:hideMark/>
          </w:tcPr>
          <w:p w14:paraId="6920AFBC" w14:textId="77777777" w:rsidR="00683F4A" w:rsidRPr="003B552F" w:rsidRDefault="00683F4A" w:rsidP="009657E1">
            <w:pPr>
              <w:spacing w:after="0"/>
              <w:jc w:val="right"/>
              <w:rPr>
                <w:rFonts w:ascii="Arial Narrow" w:eastAsia="Times New Roman" w:hAnsi="Arial Narrow"/>
                <w:b/>
                <w:bCs/>
                <w:color w:val="FF0000"/>
                <w:sz w:val="20"/>
                <w:szCs w:val="20"/>
                <w:lang w:eastAsia="en-GB"/>
              </w:rPr>
            </w:pPr>
            <w:r w:rsidRPr="003B552F">
              <w:rPr>
                <w:rFonts w:ascii="Arial Narrow" w:eastAsia="Times New Roman" w:hAnsi="Arial Narrow"/>
                <w:b/>
                <w:bCs/>
                <w:color w:val="FF0000"/>
                <w:sz w:val="20"/>
                <w:szCs w:val="20"/>
                <w:lang w:eastAsia="en-GB"/>
              </w:rPr>
              <w:t> </w:t>
            </w:r>
          </w:p>
        </w:tc>
        <w:tc>
          <w:tcPr>
            <w:tcW w:w="986" w:type="dxa"/>
            <w:tcBorders>
              <w:top w:val="single" w:sz="8" w:space="0" w:color="auto"/>
              <w:left w:val="nil"/>
              <w:bottom w:val="single" w:sz="8" w:space="0" w:color="auto"/>
              <w:right w:val="single" w:sz="4" w:space="0" w:color="auto"/>
            </w:tcBorders>
            <w:shd w:val="clear" w:color="auto" w:fill="auto"/>
            <w:hideMark/>
          </w:tcPr>
          <w:p w14:paraId="2602B862" w14:textId="77777777" w:rsidR="00683F4A" w:rsidRPr="003B552F" w:rsidRDefault="00683F4A" w:rsidP="009657E1">
            <w:pPr>
              <w:spacing w:after="0"/>
              <w:jc w:val="right"/>
              <w:rPr>
                <w:rFonts w:ascii="Arial Narrow" w:eastAsia="Times New Roman" w:hAnsi="Arial Narrow"/>
                <w:b/>
                <w:bCs/>
                <w:color w:val="FF0000"/>
                <w:sz w:val="20"/>
                <w:szCs w:val="20"/>
                <w:lang w:eastAsia="en-GB"/>
              </w:rPr>
            </w:pPr>
            <w:r w:rsidRPr="003B552F">
              <w:rPr>
                <w:rFonts w:ascii="Arial Narrow" w:eastAsia="Times New Roman" w:hAnsi="Arial Narrow"/>
                <w:b/>
                <w:bCs/>
                <w:color w:val="FF0000"/>
                <w:sz w:val="20"/>
                <w:szCs w:val="20"/>
                <w:lang w:eastAsia="en-GB"/>
              </w:rPr>
              <w:t xml:space="preserve">           500,000 </w:t>
            </w:r>
          </w:p>
        </w:tc>
        <w:tc>
          <w:tcPr>
            <w:tcW w:w="1134" w:type="dxa"/>
            <w:tcBorders>
              <w:top w:val="single" w:sz="8" w:space="0" w:color="auto"/>
              <w:left w:val="nil"/>
              <w:bottom w:val="single" w:sz="8" w:space="0" w:color="auto"/>
              <w:right w:val="single" w:sz="8" w:space="0" w:color="auto"/>
            </w:tcBorders>
            <w:shd w:val="clear" w:color="auto" w:fill="auto"/>
            <w:hideMark/>
          </w:tcPr>
          <w:p w14:paraId="51684F75" w14:textId="77777777" w:rsidR="00683F4A" w:rsidRPr="003B552F" w:rsidRDefault="00683F4A" w:rsidP="009657E1">
            <w:pPr>
              <w:spacing w:after="0"/>
              <w:jc w:val="right"/>
              <w:rPr>
                <w:rFonts w:ascii="Arial Narrow" w:eastAsia="Times New Roman" w:hAnsi="Arial Narrow"/>
                <w:b/>
                <w:bCs/>
                <w:color w:val="FF0000"/>
                <w:sz w:val="20"/>
                <w:szCs w:val="20"/>
                <w:lang w:eastAsia="en-GB"/>
              </w:rPr>
            </w:pPr>
            <w:r w:rsidRPr="003B552F">
              <w:rPr>
                <w:rFonts w:ascii="Arial Narrow" w:eastAsia="Times New Roman" w:hAnsi="Arial Narrow"/>
                <w:b/>
                <w:bCs/>
                <w:color w:val="FF0000"/>
                <w:sz w:val="20"/>
                <w:szCs w:val="20"/>
                <w:lang w:eastAsia="en-GB"/>
              </w:rPr>
              <w:t xml:space="preserve">          1,000,000 </w:t>
            </w:r>
          </w:p>
        </w:tc>
      </w:tr>
      <w:tr w:rsidR="00683F4A" w:rsidRPr="007D425D" w14:paraId="1AA9F9E8" w14:textId="77777777" w:rsidTr="009657E1">
        <w:trPr>
          <w:trHeight w:val="179"/>
          <w:jc w:val="center"/>
        </w:trPr>
        <w:tc>
          <w:tcPr>
            <w:tcW w:w="1570" w:type="dxa"/>
            <w:tcBorders>
              <w:top w:val="nil"/>
              <w:left w:val="single" w:sz="8" w:space="0" w:color="auto"/>
              <w:bottom w:val="single" w:sz="4" w:space="0" w:color="auto"/>
              <w:right w:val="single" w:sz="4" w:space="0" w:color="auto"/>
            </w:tcBorders>
            <w:shd w:val="clear" w:color="000000" w:fill="969696"/>
            <w:hideMark/>
          </w:tcPr>
          <w:p w14:paraId="570535D6" w14:textId="77777777" w:rsidR="00683F4A" w:rsidRPr="003B552F" w:rsidRDefault="00683F4A" w:rsidP="009657E1">
            <w:pPr>
              <w:spacing w:after="0"/>
              <w:jc w:val="left"/>
              <w:rPr>
                <w:rFonts w:ascii="Arial Narrow" w:eastAsia="Times New Roman" w:hAnsi="Arial Narrow"/>
                <w:b/>
                <w:bCs/>
                <w:sz w:val="20"/>
                <w:szCs w:val="20"/>
                <w:lang w:eastAsia="en-GB"/>
              </w:rPr>
            </w:pPr>
            <w:r w:rsidRPr="003B552F">
              <w:rPr>
                <w:rFonts w:ascii="Arial Narrow" w:eastAsia="Times New Roman" w:hAnsi="Arial Narrow"/>
                <w:b/>
                <w:bCs/>
                <w:sz w:val="20"/>
                <w:szCs w:val="20"/>
                <w:lang w:eastAsia="en-GB"/>
              </w:rPr>
              <w:t> </w:t>
            </w:r>
          </w:p>
        </w:tc>
        <w:tc>
          <w:tcPr>
            <w:tcW w:w="7842" w:type="dxa"/>
            <w:gridSpan w:val="5"/>
            <w:tcBorders>
              <w:top w:val="single" w:sz="8" w:space="0" w:color="auto"/>
              <w:left w:val="nil"/>
              <w:bottom w:val="single" w:sz="4" w:space="0" w:color="auto"/>
              <w:right w:val="single" w:sz="4" w:space="0" w:color="000000"/>
            </w:tcBorders>
            <w:shd w:val="clear" w:color="000000" w:fill="969696"/>
            <w:hideMark/>
          </w:tcPr>
          <w:p w14:paraId="7DEF3A24" w14:textId="77777777" w:rsidR="00683F4A" w:rsidRPr="003B552F" w:rsidRDefault="00683F4A" w:rsidP="009657E1">
            <w:pPr>
              <w:spacing w:after="0"/>
              <w:jc w:val="left"/>
              <w:rPr>
                <w:rFonts w:ascii="Arial Narrow" w:eastAsia="Times New Roman" w:hAnsi="Arial Narrow"/>
                <w:b/>
                <w:bCs/>
                <w:sz w:val="20"/>
                <w:szCs w:val="20"/>
                <w:lang w:eastAsia="en-GB"/>
              </w:rPr>
            </w:pPr>
            <w:r w:rsidRPr="003B552F">
              <w:rPr>
                <w:rFonts w:ascii="Arial Narrow" w:eastAsia="Times New Roman" w:hAnsi="Arial Narrow"/>
                <w:b/>
                <w:bCs/>
                <w:sz w:val="20"/>
                <w:szCs w:val="20"/>
                <w:lang w:eastAsia="en-GB"/>
              </w:rPr>
              <w:t>TOTAL- OUTPUT 4.1.4</w:t>
            </w:r>
          </w:p>
        </w:tc>
        <w:tc>
          <w:tcPr>
            <w:tcW w:w="1230" w:type="dxa"/>
            <w:tcBorders>
              <w:top w:val="nil"/>
              <w:left w:val="nil"/>
              <w:bottom w:val="nil"/>
              <w:right w:val="single" w:sz="4" w:space="0" w:color="auto"/>
            </w:tcBorders>
            <w:shd w:val="clear" w:color="000000" w:fill="969696"/>
            <w:hideMark/>
          </w:tcPr>
          <w:p w14:paraId="5D966A64" w14:textId="77777777" w:rsidR="00683F4A" w:rsidRPr="003B552F" w:rsidRDefault="00683F4A" w:rsidP="009657E1">
            <w:pPr>
              <w:spacing w:after="0"/>
              <w:jc w:val="left"/>
              <w:rPr>
                <w:rFonts w:ascii="Arial Narrow" w:eastAsia="Times New Roman" w:hAnsi="Arial Narrow"/>
                <w:b/>
                <w:bCs/>
                <w:sz w:val="20"/>
                <w:szCs w:val="20"/>
                <w:lang w:eastAsia="en-GB"/>
              </w:rPr>
            </w:pPr>
            <w:r w:rsidRPr="003B552F">
              <w:rPr>
                <w:rFonts w:ascii="Arial Narrow" w:eastAsia="Times New Roman" w:hAnsi="Arial Narrow"/>
                <w:b/>
                <w:bCs/>
                <w:sz w:val="20"/>
                <w:szCs w:val="20"/>
                <w:lang w:eastAsia="en-GB"/>
              </w:rPr>
              <w:t> </w:t>
            </w:r>
          </w:p>
        </w:tc>
        <w:tc>
          <w:tcPr>
            <w:tcW w:w="992" w:type="dxa"/>
            <w:tcBorders>
              <w:top w:val="nil"/>
              <w:left w:val="nil"/>
              <w:bottom w:val="nil"/>
              <w:right w:val="single" w:sz="4" w:space="0" w:color="auto"/>
            </w:tcBorders>
            <w:shd w:val="clear" w:color="000000" w:fill="969696"/>
            <w:hideMark/>
          </w:tcPr>
          <w:p w14:paraId="6E7C6D25" w14:textId="77777777" w:rsidR="00683F4A" w:rsidRPr="003B552F" w:rsidRDefault="00683F4A" w:rsidP="009657E1">
            <w:pPr>
              <w:spacing w:after="0"/>
              <w:jc w:val="right"/>
              <w:rPr>
                <w:rFonts w:ascii="Arial Narrow" w:eastAsia="Times New Roman" w:hAnsi="Arial Narrow"/>
                <w:b/>
                <w:bCs/>
                <w:sz w:val="20"/>
                <w:szCs w:val="20"/>
                <w:lang w:eastAsia="en-GB"/>
              </w:rPr>
            </w:pPr>
            <w:r w:rsidRPr="003B552F">
              <w:rPr>
                <w:rFonts w:ascii="Arial Narrow" w:eastAsia="Times New Roman" w:hAnsi="Arial Narrow"/>
                <w:b/>
                <w:bCs/>
                <w:sz w:val="20"/>
                <w:szCs w:val="20"/>
                <w:lang w:eastAsia="en-GB"/>
              </w:rPr>
              <w:t xml:space="preserve">        2,120,000 </w:t>
            </w:r>
          </w:p>
        </w:tc>
        <w:tc>
          <w:tcPr>
            <w:tcW w:w="998" w:type="dxa"/>
            <w:gridSpan w:val="2"/>
            <w:tcBorders>
              <w:top w:val="nil"/>
              <w:left w:val="nil"/>
              <w:bottom w:val="nil"/>
              <w:right w:val="single" w:sz="4" w:space="0" w:color="auto"/>
            </w:tcBorders>
            <w:shd w:val="clear" w:color="000000" w:fill="969696"/>
            <w:hideMark/>
          </w:tcPr>
          <w:p w14:paraId="36741715" w14:textId="77777777" w:rsidR="00683F4A" w:rsidRPr="003B552F" w:rsidRDefault="00683F4A" w:rsidP="009657E1">
            <w:pPr>
              <w:spacing w:after="0"/>
              <w:jc w:val="right"/>
              <w:rPr>
                <w:rFonts w:ascii="Arial Narrow" w:eastAsia="Times New Roman" w:hAnsi="Arial Narrow"/>
                <w:b/>
                <w:bCs/>
                <w:sz w:val="20"/>
                <w:szCs w:val="20"/>
                <w:lang w:eastAsia="en-GB"/>
              </w:rPr>
            </w:pPr>
            <w:r w:rsidRPr="003B552F">
              <w:rPr>
                <w:rFonts w:ascii="Arial Narrow" w:eastAsia="Times New Roman" w:hAnsi="Arial Narrow"/>
                <w:b/>
                <w:bCs/>
                <w:sz w:val="20"/>
                <w:szCs w:val="20"/>
                <w:lang w:eastAsia="en-GB"/>
              </w:rPr>
              <w:t xml:space="preserve">         3,000,000 </w:t>
            </w:r>
          </w:p>
        </w:tc>
        <w:tc>
          <w:tcPr>
            <w:tcW w:w="986" w:type="dxa"/>
            <w:tcBorders>
              <w:top w:val="nil"/>
              <w:left w:val="nil"/>
              <w:bottom w:val="nil"/>
              <w:right w:val="single" w:sz="4" w:space="0" w:color="auto"/>
            </w:tcBorders>
            <w:shd w:val="clear" w:color="000000" w:fill="969696"/>
            <w:hideMark/>
          </w:tcPr>
          <w:p w14:paraId="1EA6572C" w14:textId="77777777" w:rsidR="00683F4A" w:rsidRPr="003B552F" w:rsidRDefault="00683F4A" w:rsidP="009657E1">
            <w:pPr>
              <w:spacing w:after="0"/>
              <w:jc w:val="right"/>
              <w:rPr>
                <w:rFonts w:ascii="Arial Narrow" w:eastAsia="Times New Roman" w:hAnsi="Arial Narrow"/>
                <w:b/>
                <w:bCs/>
                <w:sz w:val="20"/>
                <w:szCs w:val="20"/>
                <w:lang w:eastAsia="en-GB"/>
              </w:rPr>
            </w:pPr>
            <w:r w:rsidRPr="003B552F">
              <w:rPr>
                <w:rFonts w:ascii="Arial Narrow" w:eastAsia="Times New Roman" w:hAnsi="Arial Narrow"/>
                <w:b/>
                <w:bCs/>
                <w:sz w:val="20"/>
                <w:szCs w:val="20"/>
                <w:lang w:eastAsia="en-GB"/>
              </w:rPr>
              <w:t xml:space="preserve">        7,047,000 </w:t>
            </w:r>
          </w:p>
        </w:tc>
        <w:tc>
          <w:tcPr>
            <w:tcW w:w="1134" w:type="dxa"/>
            <w:tcBorders>
              <w:top w:val="nil"/>
              <w:left w:val="nil"/>
              <w:bottom w:val="nil"/>
              <w:right w:val="single" w:sz="8" w:space="0" w:color="auto"/>
            </w:tcBorders>
            <w:shd w:val="clear" w:color="000000" w:fill="969696"/>
            <w:hideMark/>
          </w:tcPr>
          <w:p w14:paraId="6E6B04F4" w14:textId="77777777" w:rsidR="00683F4A" w:rsidRPr="003B552F" w:rsidRDefault="00683F4A" w:rsidP="009657E1">
            <w:pPr>
              <w:spacing w:after="0"/>
              <w:jc w:val="right"/>
              <w:rPr>
                <w:rFonts w:ascii="Arial Narrow" w:eastAsia="Times New Roman" w:hAnsi="Arial Narrow"/>
                <w:b/>
                <w:bCs/>
                <w:sz w:val="20"/>
                <w:szCs w:val="20"/>
                <w:lang w:eastAsia="en-GB"/>
              </w:rPr>
            </w:pPr>
            <w:r w:rsidRPr="003B552F">
              <w:rPr>
                <w:rFonts w:ascii="Arial Narrow" w:eastAsia="Times New Roman" w:hAnsi="Arial Narrow"/>
                <w:b/>
                <w:bCs/>
                <w:sz w:val="20"/>
                <w:szCs w:val="20"/>
                <w:lang w:eastAsia="en-GB"/>
              </w:rPr>
              <w:t xml:space="preserve">        12,167,000 </w:t>
            </w:r>
          </w:p>
        </w:tc>
      </w:tr>
    </w:tbl>
    <w:p w14:paraId="05E4F71A" w14:textId="77777777" w:rsidR="00683F4A" w:rsidRDefault="00683F4A" w:rsidP="00683F4A">
      <w:pPr>
        <w:rPr>
          <w:lang w:val="en-US"/>
        </w:rPr>
      </w:pPr>
    </w:p>
    <w:tbl>
      <w:tblPr>
        <w:tblW w:w="14752" w:type="dxa"/>
        <w:jc w:val="center"/>
        <w:tblLayout w:type="fixed"/>
        <w:tblLook w:val="04A0" w:firstRow="1" w:lastRow="0" w:firstColumn="1" w:lastColumn="0" w:noHBand="0" w:noVBand="1"/>
      </w:tblPr>
      <w:tblGrid>
        <w:gridCol w:w="1570"/>
        <w:gridCol w:w="1150"/>
        <w:gridCol w:w="2003"/>
        <w:gridCol w:w="1271"/>
        <w:gridCol w:w="2217"/>
        <w:gridCol w:w="1201"/>
        <w:gridCol w:w="1230"/>
        <w:gridCol w:w="992"/>
        <w:gridCol w:w="35"/>
        <w:gridCol w:w="957"/>
        <w:gridCol w:w="6"/>
        <w:gridCol w:w="65"/>
        <w:gridCol w:w="921"/>
        <w:gridCol w:w="106"/>
        <w:gridCol w:w="1028"/>
      </w:tblGrid>
      <w:tr w:rsidR="00683F4A" w:rsidRPr="007D425D" w14:paraId="3FCB5902" w14:textId="77777777" w:rsidTr="009657E1">
        <w:trPr>
          <w:trHeight w:val="168"/>
          <w:jc w:val="center"/>
        </w:trPr>
        <w:tc>
          <w:tcPr>
            <w:tcW w:w="1570" w:type="dxa"/>
            <w:vMerge w:val="restart"/>
            <w:tcBorders>
              <w:top w:val="single" w:sz="4" w:space="0" w:color="auto"/>
              <w:left w:val="single" w:sz="8" w:space="0" w:color="auto"/>
              <w:bottom w:val="single" w:sz="4" w:space="0" w:color="000000"/>
              <w:right w:val="single" w:sz="4" w:space="0" w:color="auto"/>
            </w:tcBorders>
            <w:shd w:val="clear" w:color="auto" w:fill="FBD4B4"/>
            <w:hideMark/>
          </w:tcPr>
          <w:p w14:paraId="3BE84E4D" w14:textId="77777777" w:rsidR="00683F4A" w:rsidRPr="003B552F" w:rsidRDefault="00683F4A" w:rsidP="009657E1">
            <w:pPr>
              <w:spacing w:after="0"/>
              <w:jc w:val="center"/>
              <w:rPr>
                <w:rFonts w:ascii="Arial Narrow" w:eastAsia="Times New Roman" w:hAnsi="Arial Narrow"/>
                <w:color w:val="000000"/>
                <w:sz w:val="20"/>
                <w:szCs w:val="20"/>
                <w:lang w:eastAsia="en-GB"/>
              </w:rPr>
            </w:pPr>
            <w:r w:rsidRPr="003B552F">
              <w:rPr>
                <w:rFonts w:ascii="Arial Narrow" w:eastAsia="Times New Roman" w:hAnsi="Arial Narrow"/>
                <w:color w:val="000000"/>
                <w:sz w:val="20"/>
                <w:szCs w:val="20"/>
                <w:lang w:eastAsia="en-GB"/>
              </w:rPr>
              <w:t> </w:t>
            </w:r>
          </w:p>
        </w:tc>
        <w:tc>
          <w:tcPr>
            <w:tcW w:w="1150" w:type="dxa"/>
            <w:vMerge w:val="restart"/>
            <w:tcBorders>
              <w:top w:val="single" w:sz="4" w:space="0" w:color="auto"/>
              <w:left w:val="single" w:sz="4" w:space="0" w:color="auto"/>
              <w:bottom w:val="single" w:sz="4" w:space="0" w:color="000000"/>
              <w:right w:val="single" w:sz="4" w:space="0" w:color="auto"/>
            </w:tcBorders>
            <w:shd w:val="clear" w:color="auto" w:fill="FBD4B4"/>
            <w:hideMark/>
          </w:tcPr>
          <w:p w14:paraId="5A10C01B" w14:textId="77777777" w:rsidR="00683F4A" w:rsidRPr="003B552F" w:rsidRDefault="00683F4A" w:rsidP="009657E1">
            <w:pPr>
              <w:spacing w:after="0"/>
              <w:jc w:val="center"/>
              <w:rPr>
                <w:rFonts w:ascii="Arial Narrow" w:eastAsia="Times New Roman" w:hAnsi="Arial Narrow"/>
                <w:b/>
                <w:bCs/>
                <w:sz w:val="20"/>
                <w:szCs w:val="20"/>
                <w:lang w:eastAsia="en-GB"/>
              </w:rPr>
            </w:pPr>
            <w:r w:rsidRPr="003B552F">
              <w:rPr>
                <w:rFonts w:ascii="Arial Narrow" w:eastAsia="Times New Roman" w:hAnsi="Arial Narrow"/>
                <w:b/>
                <w:bCs/>
                <w:sz w:val="20"/>
                <w:szCs w:val="20"/>
                <w:lang w:eastAsia="en-GB"/>
              </w:rPr>
              <w:t>UN Agency</w:t>
            </w:r>
          </w:p>
        </w:tc>
        <w:tc>
          <w:tcPr>
            <w:tcW w:w="2003" w:type="dxa"/>
            <w:vMerge w:val="restart"/>
            <w:tcBorders>
              <w:top w:val="single" w:sz="4" w:space="0" w:color="auto"/>
              <w:left w:val="single" w:sz="4" w:space="0" w:color="auto"/>
              <w:bottom w:val="single" w:sz="4" w:space="0" w:color="000000"/>
              <w:right w:val="single" w:sz="4" w:space="0" w:color="auto"/>
            </w:tcBorders>
            <w:shd w:val="clear" w:color="auto" w:fill="FBD4B4"/>
            <w:hideMark/>
          </w:tcPr>
          <w:p w14:paraId="4FA6A75F" w14:textId="77777777" w:rsidR="00683F4A" w:rsidRPr="003B552F" w:rsidRDefault="00683F4A" w:rsidP="009657E1">
            <w:pPr>
              <w:spacing w:after="0"/>
              <w:jc w:val="center"/>
              <w:rPr>
                <w:rFonts w:ascii="Arial Narrow" w:eastAsia="Times New Roman" w:hAnsi="Arial Narrow"/>
                <w:b/>
                <w:bCs/>
                <w:sz w:val="20"/>
                <w:szCs w:val="20"/>
                <w:lang w:eastAsia="en-GB"/>
              </w:rPr>
            </w:pPr>
            <w:r w:rsidRPr="003B552F">
              <w:rPr>
                <w:rFonts w:ascii="Arial Narrow" w:eastAsia="Times New Roman" w:hAnsi="Arial Narrow"/>
                <w:b/>
                <w:bCs/>
                <w:sz w:val="20"/>
                <w:szCs w:val="20"/>
                <w:lang w:eastAsia="en-GB"/>
              </w:rPr>
              <w:t>Indicators, Baseline and Targets</w:t>
            </w:r>
          </w:p>
        </w:tc>
        <w:tc>
          <w:tcPr>
            <w:tcW w:w="1271" w:type="dxa"/>
            <w:vMerge w:val="restart"/>
            <w:tcBorders>
              <w:top w:val="single" w:sz="4" w:space="0" w:color="auto"/>
              <w:left w:val="single" w:sz="4" w:space="0" w:color="auto"/>
              <w:bottom w:val="single" w:sz="4" w:space="0" w:color="000000"/>
              <w:right w:val="single" w:sz="4" w:space="0" w:color="auto"/>
            </w:tcBorders>
            <w:shd w:val="clear" w:color="auto" w:fill="FBD4B4"/>
            <w:hideMark/>
          </w:tcPr>
          <w:p w14:paraId="476FC000" w14:textId="77777777" w:rsidR="00683F4A" w:rsidRPr="003B552F" w:rsidRDefault="00683F4A" w:rsidP="009657E1">
            <w:pPr>
              <w:spacing w:after="0"/>
              <w:jc w:val="center"/>
              <w:rPr>
                <w:rFonts w:ascii="Arial Narrow" w:eastAsia="Times New Roman" w:hAnsi="Arial Narrow"/>
                <w:b/>
                <w:bCs/>
                <w:sz w:val="20"/>
                <w:szCs w:val="20"/>
                <w:lang w:eastAsia="en-GB"/>
              </w:rPr>
            </w:pPr>
            <w:r w:rsidRPr="003B552F">
              <w:rPr>
                <w:rFonts w:ascii="Arial Narrow" w:eastAsia="Times New Roman" w:hAnsi="Arial Narrow"/>
                <w:b/>
                <w:bCs/>
                <w:sz w:val="20"/>
                <w:szCs w:val="20"/>
                <w:lang w:eastAsia="en-GB"/>
              </w:rPr>
              <w:t>Means of Verification</w:t>
            </w:r>
          </w:p>
        </w:tc>
        <w:tc>
          <w:tcPr>
            <w:tcW w:w="2217" w:type="dxa"/>
            <w:vMerge w:val="restart"/>
            <w:tcBorders>
              <w:top w:val="single" w:sz="4" w:space="0" w:color="auto"/>
              <w:left w:val="single" w:sz="4" w:space="0" w:color="auto"/>
              <w:bottom w:val="single" w:sz="4" w:space="0" w:color="000000"/>
              <w:right w:val="single" w:sz="4" w:space="0" w:color="auto"/>
            </w:tcBorders>
            <w:shd w:val="clear" w:color="auto" w:fill="FBD4B4"/>
            <w:hideMark/>
          </w:tcPr>
          <w:p w14:paraId="2525ADB2" w14:textId="77777777" w:rsidR="00683F4A" w:rsidRPr="003B552F" w:rsidRDefault="00683F4A" w:rsidP="009657E1">
            <w:pPr>
              <w:spacing w:after="0"/>
              <w:jc w:val="center"/>
              <w:rPr>
                <w:rFonts w:ascii="Arial Narrow" w:eastAsia="Times New Roman" w:hAnsi="Arial Narrow"/>
                <w:b/>
                <w:bCs/>
                <w:sz w:val="20"/>
                <w:szCs w:val="20"/>
                <w:lang w:eastAsia="en-GB"/>
              </w:rPr>
            </w:pPr>
            <w:r w:rsidRPr="003B552F">
              <w:rPr>
                <w:rFonts w:ascii="Arial Narrow" w:eastAsia="Times New Roman" w:hAnsi="Arial Narrow"/>
                <w:b/>
                <w:bCs/>
                <w:sz w:val="20"/>
                <w:szCs w:val="20"/>
                <w:lang w:eastAsia="en-GB"/>
              </w:rPr>
              <w:t>Risk and assumptions</w:t>
            </w:r>
          </w:p>
        </w:tc>
        <w:tc>
          <w:tcPr>
            <w:tcW w:w="1201" w:type="dxa"/>
            <w:vMerge w:val="restart"/>
            <w:tcBorders>
              <w:top w:val="single" w:sz="4" w:space="0" w:color="auto"/>
              <w:left w:val="single" w:sz="4" w:space="0" w:color="auto"/>
              <w:bottom w:val="single" w:sz="4" w:space="0" w:color="000000"/>
              <w:right w:val="single" w:sz="4" w:space="0" w:color="auto"/>
            </w:tcBorders>
            <w:shd w:val="clear" w:color="auto" w:fill="FBD4B4"/>
            <w:hideMark/>
          </w:tcPr>
          <w:p w14:paraId="31855C82" w14:textId="77777777" w:rsidR="00683F4A" w:rsidRPr="003B552F" w:rsidRDefault="00683F4A" w:rsidP="009657E1">
            <w:pPr>
              <w:spacing w:after="0"/>
              <w:jc w:val="center"/>
              <w:rPr>
                <w:rFonts w:ascii="Arial Narrow" w:eastAsia="Times New Roman" w:hAnsi="Arial Narrow"/>
                <w:b/>
                <w:bCs/>
                <w:sz w:val="20"/>
                <w:szCs w:val="20"/>
                <w:lang w:eastAsia="en-GB"/>
              </w:rPr>
            </w:pPr>
            <w:r w:rsidRPr="003B552F">
              <w:rPr>
                <w:rFonts w:ascii="Arial Narrow" w:eastAsia="Times New Roman" w:hAnsi="Arial Narrow"/>
                <w:b/>
                <w:bCs/>
                <w:sz w:val="20"/>
                <w:szCs w:val="20"/>
                <w:lang w:eastAsia="en-GB"/>
              </w:rPr>
              <w:t>Key Partners</w:t>
            </w:r>
          </w:p>
        </w:tc>
        <w:tc>
          <w:tcPr>
            <w:tcW w:w="1230" w:type="dxa"/>
            <w:tcBorders>
              <w:top w:val="single" w:sz="4" w:space="0" w:color="auto"/>
              <w:left w:val="nil"/>
              <w:bottom w:val="nil"/>
              <w:right w:val="single" w:sz="4" w:space="0" w:color="auto"/>
            </w:tcBorders>
            <w:shd w:val="clear" w:color="auto" w:fill="FBD4B4"/>
            <w:hideMark/>
          </w:tcPr>
          <w:p w14:paraId="643AAEB5" w14:textId="77777777" w:rsidR="00683F4A" w:rsidRPr="003B552F" w:rsidRDefault="00683F4A" w:rsidP="009657E1">
            <w:pPr>
              <w:spacing w:after="0"/>
              <w:jc w:val="center"/>
              <w:rPr>
                <w:rFonts w:ascii="Arial Narrow" w:eastAsia="Times New Roman" w:hAnsi="Arial Narrow"/>
                <w:b/>
                <w:bCs/>
                <w:sz w:val="20"/>
                <w:szCs w:val="20"/>
                <w:lang w:eastAsia="en-GB"/>
              </w:rPr>
            </w:pPr>
            <w:r w:rsidRPr="003B552F">
              <w:rPr>
                <w:rFonts w:ascii="Arial Narrow" w:eastAsia="Times New Roman" w:hAnsi="Arial Narrow"/>
                <w:b/>
                <w:bCs/>
                <w:sz w:val="20"/>
                <w:szCs w:val="20"/>
                <w:lang w:eastAsia="en-GB"/>
              </w:rPr>
              <w:t> </w:t>
            </w:r>
          </w:p>
        </w:tc>
        <w:tc>
          <w:tcPr>
            <w:tcW w:w="4110" w:type="dxa"/>
            <w:gridSpan w:val="8"/>
            <w:tcBorders>
              <w:top w:val="single" w:sz="4" w:space="0" w:color="auto"/>
              <w:left w:val="nil"/>
              <w:bottom w:val="single" w:sz="4" w:space="0" w:color="auto"/>
              <w:right w:val="single" w:sz="8" w:space="0" w:color="000000"/>
            </w:tcBorders>
            <w:shd w:val="clear" w:color="auto" w:fill="FBD4B4"/>
            <w:hideMark/>
          </w:tcPr>
          <w:p w14:paraId="3A4D3A88" w14:textId="77777777" w:rsidR="00683F4A" w:rsidRPr="003B552F" w:rsidRDefault="00683F4A" w:rsidP="009657E1">
            <w:pPr>
              <w:spacing w:after="0"/>
              <w:jc w:val="center"/>
              <w:rPr>
                <w:rFonts w:ascii="Arial Narrow" w:eastAsia="Times New Roman" w:hAnsi="Arial Narrow"/>
                <w:b/>
                <w:bCs/>
                <w:sz w:val="20"/>
                <w:szCs w:val="20"/>
                <w:lang w:eastAsia="en-GB"/>
              </w:rPr>
            </w:pPr>
            <w:r w:rsidRPr="003B552F">
              <w:rPr>
                <w:rFonts w:ascii="Arial Narrow" w:eastAsia="Times New Roman" w:hAnsi="Arial Narrow"/>
                <w:b/>
                <w:bCs/>
                <w:sz w:val="20"/>
                <w:szCs w:val="20"/>
                <w:lang w:eastAsia="en-GB"/>
              </w:rPr>
              <w:t xml:space="preserve"> Indicative Resources (USD) </w:t>
            </w:r>
          </w:p>
        </w:tc>
      </w:tr>
      <w:tr w:rsidR="00683F4A" w:rsidRPr="007D425D" w14:paraId="014B026D" w14:textId="77777777" w:rsidTr="00683F4A">
        <w:trPr>
          <w:trHeight w:val="356"/>
          <w:jc w:val="center"/>
        </w:trPr>
        <w:tc>
          <w:tcPr>
            <w:tcW w:w="1570" w:type="dxa"/>
            <w:vMerge/>
            <w:tcBorders>
              <w:top w:val="nil"/>
              <w:left w:val="single" w:sz="8" w:space="0" w:color="auto"/>
              <w:bottom w:val="single" w:sz="4" w:space="0" w:color="000000"/>
              <w:right w:val="single" w:sz="4" w:space="0" w:color="auto"/>
            </w:tcBorders>
            <w:shd w:val="clear" w:color="auto" w:fill="FBD4B4"/>
            <w:vAlign w:val="center"/>
            <w:hideMark/>
          </w:tcPr>
          <w:p w14:paraId="77228740" w14:textId="77777777" w:rsidR="00683F4A" w:rsidRPr="003B552F" w:rsidRDefault="00683F4A" w:rsidP="009657E1">
            <w:pPr>
              <w:spacing w:after="0"/>
              <w:jc w:val="left"/>
              <w:rPr>
                <w:rFonts w:ascii="Arial Narrow" w:eastAsia="Times New Roman" w:hAnsi="Arial Narrow"/>
                <w:sz w:val="20"/>
                <w:szCs w:val="20"/>
                <w:lang w:eastAsia="en-GB"/>
              </w:rPr>
            </w:pPr>
          </w:p>
        </w:tc>
        <w:tc>
          <w:tcPr>
            <w:tcW w:w="1150" w:type="dxa"/>
            <w:vMerge/>
            <w:tcBorders>
              <w:top w:val="nil"/>
              <w:left w:val="single" w:sz="4" w:space="0" w:color="auto"/>
              <w:bottom w:val="single" w:sz="4" w:space="0" w:color="000000"/>
              <w:right w:val="single" w:sz="4" w:space="0" w:color="auto"/>
            </w:tcBorders>
            <w:vAlign w:val="center"/>
            <w:hideMark/>
          </w:tcPr>
          <w:p w14:paraId="02ABA72D" w14:textId="77777777" w:rsidR="00683F4A" w:rsidRPr="003B552F" w:rsidRDefault="00683F4A" w:rsidP="009657E1">
            <w:pPr>
              <w:spacing w:after="0"/>
              <w:jc w:val="left"/>
              <w:rPr>
                <w:rFonts w:ascii="Arial Narrow" w:eastAsia="Times New Roman" w:hAnsi="Arial Narrow"/>
                <w:b/>
                <w:bCs/>
                <w:sz w:val="20"/>
                <w:szCs w:val="20"/>
                <w:lang w:eastAsia="en-GB"/>
              </w:rPr>
            </w:pPr>
          </w:p>
        </w:tc>
        <w:tc>
          <w:tcPr>
            <w:tcW w:w="2003" w:type="dxa"/>
            <w:vMerge/>
            <w:tcBorders>
              <w:top w:val="nil"/>
              <w:left w:val="single" w:sz="4" w:space="0" w:color="auto"/>
              <w:bottom w:val="single" w:sz="4" w:space="0" w:color="000000"/>
              <w:right w:val="single" w:sz="4" w:space="0" w:color="auto"/>
            </w:tcBorders>
            <w:vAlign w:val="center"/>
            <w:hideMark/>
          </w:tcPr>
          <w:p w14:paraId="0E3925D1" w14:textId="77777777" w:rsidR="00683F4A" w:rsidRPr="003B552F" w:rsidRDefault="00683F4A" w:rsidP="009657E1">
            <w:pPr>
              <w:spacing w:after="0"/>
              <w:jc w:val="left"/>
              <w:rPr>
                <w:rFonts w:ascii="Arial Narrow" w:eastAsia="Times New Roman" w:hAnsi="Arial Narrow"/>
                <w:b/>
                <w:bCs/>
                <w:sz w:val="20"/>
                <w:szCs w:val="20"/>
                <w:lang w:eastAsia="en-GB"/>
              </w:rPr>
            </w:pPr>
          </w:p>
        </w:tc>
        <w:tc>
          <w:tcPr>
            <w:tcW w:w="1271" w:type="dxa"/>
            <w:vMerge/>
            <w:tcBorders>
              <w:top w:val="nil"/>
              <w:left w:val="single" w:sz="4" w:space="0" w:color="auto"/>
              <w:bottom w:val="single" w:sz="4" w:space="0" w:color="000000"/>
              <w:right w:val="single" w:sz="4" w:space="0" w:color="auto"/>
            </w:tcBorders>
            <w:vAlign w:val="center"/>
            <w:hideMark/>
          </w:tcPr>
          <w:p w14:paraId="416C8CCF" w14:textId="77777777" w:rsidR="00683F4A" w:rsidRPr="003B552F" w:rsidRDefault="00683F4A" w:rsidP="009657E1">
            <w:pPr>
              <w:spacing w:after="0"/>
              <w:jc w:val="left"/>
              <w:rPr>
                <w:rFonts w:ascii="Arial Narrow" w:eastAsia="Times New Roman" w:hAnsi="Arial Narrow"/>
                <w:b/>
                <w:bCs/>
                <w:sz w:val="20"/>
                <w:szCs w:val="20"/>
                <w:lang w:eastAsia="en-GB"/>
              </w:rPr>
            </w:pPr>
          </w:p>
        </w:tc>
        <w:tc>
          <w:tcPr>
            <w:tcW w:w="2217" w:type="dxa"/>
            <w:vMerge/>
            <w:tcBorders>
              <w:top w:val="nil"/>
              <w:left w:val="single" w:sz="4" w:space="0" w:color="auto"/>
              <w:bottom w:val="single" w:sz="4" w:space="0" w:color="000000"/>
              <w:right w:val="single" w:sz="4" w:space="0" w:color="auto"/>
            </w:tcBorders>
            <w:vAlign w:val="center"/>
            <w:hideMark/>
          </w:tcPr>
          <w:p w14:paraId="7C62AF6C" w14:textId="77777777" w:rsidR="00683F4A" w:rsidRPr="003B552F" w:rsidRDefault="00683F4A" w:rsidP="009657E1">
            <w:pPr>
              <w:spacing w:after="0"/>
              <w:jc w:val="left"/>
              <w:rPr>
                <w:rFonts w:ascii="Arial Narrow" w:eastAsia="Times New Roman" w:hAnsi="Arial Narrow"/>
                <w:b/>
                <w:bCs/>
                <w:sz w:val="20"/>
                <w:szCs w:val="20"/>
                <w:lang w:eastAsia="en-GB"/>
              </w:rPr>
            </w:pPr>
          </w:p>
        </w:tc>
        <w:tc>
          <w:tcPr>
            <w:tcW w:w="1201" w:type="dxa"/>
            <w:vMerge/>
            <w:tcBorders>
              <w:top w:val="nil"/>
              <w:left w:val="single" w:sz="4" w:space="0" w:color="auto"/>
              <w:right w:val="single" w:sz="4" w:space="0" w:color="auto"/>
            </w:tcBorders>
            <w:vAlign w:val="center"/>
            <w:hideMark/>
          </w:tcPr>
          <w:p w14:paraId="70F0B459" w14:textId="77777777" w:rsidR="00683F4A" w:rsidRPr="003B552F" w:rsidRDefault="00683F4A" w:rsidP="009657E1">
            <w:pPr>
              <w:spacing w:after="0"/>
              <w:jc w:val="left"/>
              <w:rPr>
                <w:rFonts w:ascii="Arial Narrow" w:eastAsia="Times New Roman" w:hAnsi="Arial Narrow"/>
                <w:b/>
                <w:bCs/>
                <w:sz w:val="20"/>
                <w:szCs w:val="20"/>
                <w:lang w:eastAsia="en-GB"/>
              </w:rPr>
            </w:pPr>
          </w:p>
        </w:tc>
        <w:tc>
          <w:tcPr>
            <w:tcW w:w="1230" w:type="dxa"/>
            <w:tcBorders>
              <w:top w:val="single" w:sz="4" w:space="0" w:color="auto"/>
              <w:left w:val="nil"/>
              <w:right w:val="single" w:sz="4" w:space="0" w:color="auto"/>
            </w:tcBorders>
            <w:shd w:val="clear" w:color="auto" w:fill="FBD4B4"/>
            <w:hideMark/>
          </w:tcPr>
          <w:p w14:paraId="5D43ACBF" w14:textId="77777777" w:rsidR="00683F4A" w:rsidRPr="003B552F" w:rsidRDefault="00683F4A" w:rsidP="009657E1">
            <w:pPr>
              <w:spacing w:after="0"/>
              <w:jc w:val="center"/>
              <w:rPr>
                <w:rFonts w:ascii="Arial Narrow" w:eastAsia="Times New Roman" w:hAnsi="Arial Narrow"/>
                <w:b/>
                <w:bCs/>
                <w:sz w:val="20"/>
                <w:szCs w:val="20"/>
                <w:lang w:eastAsia="en-GB"/>
              </w:rPr>
            </w:pPr>
            <w:r w:rsidRPr="003B552F">
              <w:rPr>
                <w:rFonts w:ascii="Arial Narrow" w:eastAsia="Times New Roman" w:hAnsi="Arial Narrow"/>
                <w:b/>
                <w:bCs/>
                <w:sz w:val="20"/>
                <w:szCs w:val="20"/>
                <w:lang w:eastAsia="en-GB"/>
              </w:rPr>
              <w:t>Agency</w:t>
            </w:r>
          </w:p>
        </w:tc>
        <w:tc>
          <w:tcPr>
            <w:tcW w:w="992" w:type="dxa"/>
            <w:tcBorders>
              <w:top w:val="nil"/>
              <w:left w:val="nil"/>
              <w:right w:val="single" w:sz="4" w:space="0" w:color="auto"/>
            </w:tcBorders>
            <w:shd w:val="clear" w:color="auto" w:fill="FBD4B4"/>
            <w:hideMark/>
          </w:tcPr>
          <w:p w14:paraId="08470351" w14:textId="77777777" w:rsidR="00683F4A" w:rsidRPr="003B552F" w:rsidRDefault="00683F4A" w:rsidP="009657E1">
            <w:pPr>
              <w:spacing w:after="0"/>
              <w:jc w:val="center"/>
              <w:rPr>
                <w:rFonts w:ascii="Arial Narrow" w:eastAsia="Times New Roman" w:hAnsi="Arial Narrow"/>
                <w:b/>
                <w:bCs/>
                <w:sz w:val="20"/>
                <w:szCs w:val="20"/>
                <w:lang w:eastAsia="en-GB"/>
              </w:rPr>
            </w:pPr>
            <w:r w:rsidRPr="003B552F">
              <w:rPr>
                <w:rFonts w:ascii="Arial Narrow" w:eastAsia="Times New Roman" w:hAnsi="Arial Narrow"/>
                <w:b/>
                <w:bCs/>
                <w:sz w:val="20"/>
                <w:szCs w:val="20"/>
                <w:lang w:eastAsia="en-GB"/>
              </w:rPr>
              <w:t xml:space="preserve"> Core </w:t>
            </w:r>
          </w:p>
        </w:tc>
        <w:tc>
          <w:tcPr>
            <w:tcW w:w="992" w:type="dxa"/>
            <w:gridSpan w:val="2"/>
            <w:tcBorders>
              <w:top w:val="nil"/>
              <w:left w:val="nil"/>
              <w:right w:val="single" w:sz="4" w:space="0" w:color="auto"/>
            </w:tcBorders>
            <w:shd w:val="clear" w:color="auto" w:fill="FBD4B4"/>
            <w:hideMark/>
          </w:tcPr>
          <w:p w14:paraId="2756EB6E" w14:textId="77777777" w:rsidR="00683F4A" w:rsidRPr="003B552F" w:rsidRDefault="00683F4A" w:rsidP="009657E1">
            <w:pPr>
              <w:spacing w:after="0"/>
              <w:jc w:val="center"/>
              <w:rPr>
                <w:rFonts w:ascii="Arial Narrow" w:eastAsia="Times New Roman" w:hAnsi="Arial Narrow"/>
                <w:b/>
                <w:bCs/>
                <w:sz w:val="20"/>
                <w:szCs w:val="20"/>
                <w:lang w:eastAsia="en-GB"/>
              </w:rPr>
            </w:pPr>
            <w:r w:rsidRPr="003B552F">
              <w:rPr>
                <w:rFonts w:ascii="Arial Narrow" w:eastAsia="Times New Roman" w:hAnsi="Arial Narrow"/>
                <w:b/>
                <w:bCs/>
                <w:sz w:val="20"/>
                <w:szCs w:val="20"/>
                <w:lang w:eastAsia="en-GB"/>
              </w:rPr>
              <w:t xml:space="preserve"> Non-Core </w:t>
            </w:r>
          </w:p>
        </w:tc>
        <w:tc>
          <w:tcPr>
            <w:tcW w:w="992" w:type="dxa"/>
            <w:gridSpan w:val="3"/>
            <w:tcBorders>
              <w:top w:val="nil"/>
              <w:left w:val="nil"/>
              <w:right w:val="single" w:sz="4" w:space="0" w:color="auto"/>
            </w:tcBorders>
            <w:shd w:val="clear" w:color="auto" w:fill="FBD4B4"/>
            <w:hideMark/>
          </w:tcPr>
          <w:p w14:paraId="4C92ACDB" w14:textId="77777777" w:rsidR="00683F4A" w:rsidRPr="003B552F" w:rsidRDefault="00683F4A" w:rsidP="009657E1">
            <w:pPr>
              <w:spacing w:after="0"/>
              <w:jc w:val="center"/>
              <w:rPr>
                <w:rFonts w:ascii="Arial Narrow" w:eastAsia="Times New Roman" w:hAnsi="Arial Narrow"/>
                <w:b/>
                <w:bCs/>
                <w:sz w:val="20"/>
                <w:szCs w:val="20"/>
                <w:lang w:eastAsia="en-GB"/>
              </w:rPr>
            </w:pPr>
            <w:r w:rsidRPr="003B552F">
              <w:rPr>
                <w:rFonts w:ascii="Arial Narrow" w:eastAsia="Times New Roman" w:hAnsi="Arial Narrow"/>
                <w:b/>
                <w:bCs/>
                <w:sz w:val="20"/>
                <w:szCs w:val="20"/>
                <w:lang w:eastAsia="en-GB"/>
              </w:rPr>
              <w:t xml:space="preserve"> Gap </w:t>
            </w:r>
          </w:p>
        </w:tc>
        <w:tc>
          <w:tcPr>
            <w:tcW w:w="1134" w:type="dxa"/>
            <w:gridSpan w:val="2"/>
            <w:tcBorders>
              <w:top w:val="nil"/>
              <w:left w:val="nil"/>
              <w:right w:val="single" w:sz="8" w:space="0" w:color="auto"/>
            </w:tcBorders>
            <w:shd w:val="clear" w:color="auto" w:fill="FBD4B4"/>
            <w:hideMark/>
          </w:tcPr>
          <w:p w14:paraId="31FE3BDB" w14:textId="77777777" w:rsidR="00683F4A" w:rsidRPr="003B552F" w:rsidRDefault="00683F4A" w:rsidP="009657E1">
            <w:pPr>
              <w:spacing w:after="0"/>
              <w:jc w:val="center"/>
              <w:rPr>
                <w:rFonts w:ascii="Arial Narrow" w:eastAsia="Times New Roman" w:hAnsi="Arial Narrow"/>
                <w:b/>
                <w:bCs/>
                <w:sz w:val="20"/>
                <w:szCs w:val="20"/>
                <w:lang w:eastAsia="en-GB"/>
              </w:rPr>
            </w:pPr>
            <w:r w:rsidRPr="003B552F">
              <w:rPr>
                <w:rFonts w:ascii="Arial Narrow" w:eastAsia="Times New Roman" w:hAnsi="Arial Narrow"/>
                <w:b/>
                <w:bCs/>
                <w:sz w:val="20"/>
                <w:szCs w:val="20"/>
                <w:lang w:eastAsia="en-GB"/>
              </w:rPr>
              <w:t xml:space="preserve"> Total </w:t>
            </w:r>
          </w:p>
        </w:tc>
      </w:tr>
      <w:tr w:rsidR="00683F4A" w:rsidRPr="00F72B0D" w14:paraId="10FA6FEA" w14:textId="77777777" w:rsidTr="00683F4A">
        <w:trPr>
          <w:trHeight w:val="1050"/>
          <w:jc w:val="center"/>
        </w:trPr>
        <w:tc>
          <w:tcPr>
            <w:tcW w:w="1570" w:type="dxa"/>
            <w:vMerge w:val="restart"/>
            <w:tcBorders>
              <w:top w:val="nil"/>
              <w:left w:val="single" w:sz="8" w:space="0" w:color="auto"/>
              <w:bottom w:val="single" w:sz="4" w:space="0" w:color="auto"/>
              <w:right w:val="single" w:sz="4" w:space="0" w:color="auto"/>
            </w:tcBorders>
            <w:shd w:val="clear" w:color="auto" w:fill="auto"/>
            <w:hideMark/>
          </w:tcPr>
          <w:p w14:paraId="35A8B61D" w14:textId="77777777" w:rsidR="00683F4A" w:rsidRPr="00CD56B9" w:rsidRDefault="00683F4A" w:rsidP="009657E1">
            <w:pPr>
              <w:spacing w:after="0"/>
              <w:jc w:val="left"/>
              <w:rPr>
                <w:rFonts w:ascii="Arial Narrow" w:eastAsia="Times New Roman" w:hAnsi="Arial Narrow"/>
                <w:b/>
                <w:bCs/>
                <w:sz w:val="20"/>
                <w:szCs w:val="20"/>
                <w:lang w:val="en-US" w:eastAsia="en-GB"/>
              </w:rPr>
            </w:pPr>
            <w:r w:rsidRPr="00CD56B9">
              <w:rPr>
                <w:rFonts w:ascii="Arial Narrow" w:eastAsia="Times New Roman" w:hAnsi="Arial Narrow"/>
                <w:b/>
                <w:bCs/>
                <w:sz w:val="20"/>
                <w:szCs w:val="20"/>
                <w:lang w:val="en-US" w:eastAsia="en-GB"/>
              </w:rPr>
              <w:t>Output 4.1.5 National institutions have capacity to promote and protect human rights, especially the vulnerable, women and children</w:t>
            </w:r>
          </w:p>
        </w:tc>
        <w:tc>
          <w:tcPr>
            <w:tcW w:w="1150" w:type="dxa"/>
            <w:vMerge w:val="restart"/>
            <w:tcBorders>
              <w:top w:val="single" w:sz="8" w:space="0" w:color="auto"/>
              <w:left w:val="single" w:sz="4" w:space="0" w:color="auto"/>
              <w:bottom w:val="single" w:sz="4" w:space="0" w:color="000000"/>
              <w:right w:val="single" w:sz="4" w:space="0" w:color="auto"/>
            </w:tcBorders>
            <w:shd w:val="clear" w:color="auto" w:fill="auto"/>
            <w:noWrap/>
            <w:hideMark/>
          </w:tcPr>
          <w:p w14:paraId="245F37F3" w14:textId="77777777" w:rsidR="00683F4A" w:rsidRPr="00CD56B9" w:rsidRDefault="00683F4A" w:rsidP="009657E1">
            <w:pPr>
              <w:spacing w:after="0"/>
              <w:jc w:val="center"/>
              <w:rPr>
                <w:rFonts w:ascii="Arial Narrow" w:eastAsia="Times New Roman" w:hAnsi="Arial Narrow"/>
                <w:sz w:val="20"/>
                <w:szCs w:val="20"/>
                <w:lang w:val="en-US" w:eastAsia="en-GB"/>
              </w:rPr>
            </w:pPr>
            <w:r w:rsidRPr="00CD56B9">
              <w:rPr>
                <w:rFonts w:ascii="Arial Narrow" w:eastAsia="Times New Roman" w:hAnsi="Arial Narrow"/>
                <w:sz w:val="20"/>
                <w:szCs w:val="20"/>
                <w:lang w:val="en-US" w:eastAsia="en-GB"/>
              </w:rPr>
              <w:t> </w:t>
            </w:r>
          </w:p>
        </w:tc>
        <w:tc>
          <w:tcPr>
            <w:tcW w:w="2003" w:type="dxa"/>
            <w:tcBorders>
              <w:top w:val="nil"/>
              <w:left w:val="nil"/>
              <w:bottom w:val="single" w:sz="4" w:space="0" w:color="auto"/>
              <w:right w:val="single" w:sz="4" w:space="0" w:color="auto"/>
            </w:tcBorders>
            <w:shd w:val="clear" w:color="auto" w:fill="auto"/>
            <w:hideMark/>
          </w:tcPr>
          <w:p w14:paraId="73F23A2B" w14:textId="77777777" w:rsidR="00683F4A" w:rsidRPr="00CD56B9" w:rsidRDefault="00683F4A" w:rsidP="009657E1">
            <w:pPr>
              <w:spacing w:after="0"/>
              <w:jc w:val="left"/>
              <w:rPr>
                <w:rFonts w:ascii="Arial Narrow" w:eastAsia="Times New Roman" w:hAnsi="Arial Narrow"/>
                <w:sz w:val="20"/>
                <w:szCs w:val="20"/>
                <w:lang w:val="en-US" w:eastAsia="en-GB"/>
              </w:rPr>
            </w:pPr>
            <w:r w:rsidRPr="00CD56B9">
              <w:rPr>
                <w:rFonts w:ascii="Arial Narrow" w:eastAsia="Times New Roman" w:hAnsi="Arial Narrow"/>
                <w:sz w:val="20"/>
                <w:szCs w:val="20"/>
                <w:lang w:val="en-US" w:eastAsia="en-GB"/>
              </w:rPr>
              <w:t>A gender responsive National Human Rights Action Plan for the Promotion and Protection of Human Rights Developed and implemented (2011: 0; 2016: 1)</w:t>
            </w:r>
          </w:p>
        </w:tc>
        <w:tc>
          <w:tcPr>
            <w:tcW w:w="1271" w:type="dxa"/>
            <w:tcBorders>
              <w:top w:val="nil"/>
              <w:left w:val="nil"/>
              <w:bottom w:val="single" w:sz="4" w:space="0" w:color="auto"/>
              <w:right w:val="single" w:sz="4" w:space="0" w:color="auto"/>
            </w:tcBorders>
            <w:shd w:val="clear" w:color="auto" w:fill="auto"/>
            <w:hideMark/>
          </w:tcPr>
          <w:p w14:paraId="2EAE7C1B" w14:textId="77777777" w:rsidR="00683F4A" w:rsidRPr="003B552F" w:rsidRDefault="00683F4A" w:rsidP="009657E1">
            <w:pPr>
              <w:spacing w:after="0"/>
              <w:jc w:val="left"/>
              <w:rPr>
                <w:rFonts w:ascii="Arial Narrow" w:eastAsia="Times New Roman" w:hAnsi="Arial Narrow"/>
                <w:sz w:val="20"/>
                <w:szCs w:val="20"/>
                <w:lang w:eastAsia="en-GB"/>
              </w:rPr>
            </w:pPr>
            <w:r w:rsidRPr="003B552F">
              <w:rPr>
                <w:rFonts w:ascii="Arial Narrow" w:eastAsia="Times New Roman" w:hAnsi="Arial Narrow"/>
                <w:sz w:val="20"/>
                <w:szCs w:val="20"/>
                <w:lang w:eastAsia="en-GB"/>
              </w:rPr>
              <w:t>Reports of MHRC</w:t>
            </w:r>
          </w:p>
        </w:tc>
        <w:tc>
          <w:tcPr>
            <w:tcW w:w="2217" w:type="dxa"/>
            <w:vMerge w:val="restart"/>
            <w:tcBorders>
              <w:top w:val="nil"/>
              <w:left w:val="single" w:sz="4" w:space="0" w:color="auto"/>
              <w:bottom w:val="single" w:sz="4" w:space="0" w:color="000000"/>
              <w:right w:val="single" w:sz="4" w:space="0" w:color="auto"/>
            </w:tcBorders>
            <w:shd w:val="clear" w:color="auto" w:fill="auto"/>
            <w:hideMark/>
          </w:tcPr>
          <w:p w14:paraId="76DBF4A4" w14:textId="77777777" w:rsidR="00683F4A" w:rsidRPr="00CD56B9" w:rsidRDefault="00683F4A" w:rsidP="009657E1">
            <w:pPr>
              <w:spacing w:after="0"/>
              <w:jc w:val="left"/>
              <w:rPr>
                <w:rFonts w:ascii="Arial Narrow" w:eastAsia="Times New Roman" w:hAnsi="Arial Narrow"/>
                <w:sz w:val="20"/>
                <w:szCs w:val="20"/>
                <w:lang w:val="en-US" w:eastAsia="en-GB"/>
              </w:rPr>
            </w:pPr>
            <w:r w:rsidRPr="00CD56B9">
              <w:rPr>
                <w:rFonts w:ascii="Arial Narrow" w:eastAsia="Times New Roman" w:hAnsi="Arial Narrow"/>
                <w:b/>
                <w:bCs/>
                <w:sz w:val="20"/>
                <w:szCs w:val="20"/>
                <w:lang w:val="en-US" w:eastAsia="en-GB"/>
              </w:rPr>
              <w:t>Assumption:</w:t>
            </w:r>
            <w:r w:rsidRPr="00CD56B9">
              <w:rPr>
                <w:rFonts w:ascii="Arial Narrow" w:eastAsia="Times New Roman" w:hAnsi="Arial Narrow"/>
                <w:sz w:val="20"/>
                <w:szCs w:val="20"/>
                <w:lang w:val="en-US" w:eastAsia="en-GB"/>
              </w:rPr>
              <w:t xml:space="preserve"> human rights infrastructure in place and human rights players buy into the infrastructure                                                            </w:t>
            </w:r>
            <w:r w:rsidRPr="00CD56B9">
              <w:rPr>
                <w:rFonts w:ascii="Arial Narrow" w:eastAsia="Times New Roman" w:hAnsi="Arial Narrow"/>
                <w:b/>
                <w:bCs/>
                <w:sz w:val="20"/>
                <w:szCs w:val="20"/>
                <w:lang w:val="en-US" w:eastAsia="en-GB"/>
              </w:rPr>
              <w:t>Risk:</w:t>
            </w:r>
            <w:r w:rsidRPr="00CD56B9">
              <w:rPr>
                <w:rFonts w:ascii="Arial Narrow" w:eastAsia="Times New Roman" w:hAnsi="Arial Narrow"/>
                <w:sz w:val="20"/>
                <w:szCs w:val="20"/>
                <w:lang w:val="en-US" w:eastAsia="en-GB"/>
              </w:rPr>
              <w:t xml:space="preserve"> unreliable funding sources; worsening human rights situation presenting potential danger to independence and existence of human rights constitutional bodies</w:t>
            </w:r>
          </w:p>
        </w:tc>
        <w:tc>
          <w:tcPr>
            <w:tcW w:w="1201" w:type="dxa"/>
            <w:vMerge w:val="restart"/>
            <w:tcBorders>
              <w:top w:val="nil"/>
              <w:left w:val="single" w:sz="4" w:space="0" w:color="auto"/>
              <w:bottom w:val="single" w:sz="4" w:space="0" w:color="auto"/>
              <w:right w:val="single" w:sz="4" w:space="0" w:color="auto"/>
            </w:tcBorders>
            <w:shd w:val="clear" w:color="auto" w:fill="auto"/>
            <w:hideMark/>
          </w:tcPr>
          <w:p w14:paraId="6F4539CD" w14:textId="77777777" w:rsidR="00683F4A" w:rsidRPr="00CD56B9" w:rsidRDefault="00683F4A" w:rsidP="009657E1">
            <w:pPr>
              <w:spacing w:after="0"/>
              <w:jc w:val="left"/>
              <w:rPr>
                <w:rFonts w:ascii="Arial Narrow" w:eastAsia="Times New Roman" w:hAnsi="Arial Narrow"/>
                <w:sz w:val="20"/>
                <w:szCs w:val="20"/>
                <w:lang w:val="en-US" w:eastAsia="en-GB"/>
              </w:rPr>
            </w:pPr>
            <w:r w:rsidRPr="00CD56B9">
              <w:rPr>
                <w:rFonts w:ascii="Arial Narrow" w:eastAsia="Times New Roman" w:hAnsi="Arial Narrow"/>
                <w:sz w:val="20"/>
                <w:szCs w:val="20"/>
                <w:lang w:val="en-US" w:eastAsia="en-GB"/>
              </w:rPr>
              <w:t>OPC, MoH, Parliaments</w:t>
            </w:r>
            <w:r w:rsidRPr="00CD56B9">
              <w:rPr>
                <w:rFonts w:ascii="Arial Narrow" w:eastAsia="Times New Roman" w:hAnsi="Arial Narrow"/>
                <w:sz w:val="20"/>
                <w:szCs w:val="20"/>
                <w:lang w:val="en-US" w:eastAsia="en-GB"/>
              </w:rPr>
              <w:br/>
              <w:t>ACB, Human Rights Commission, MOJ</w:t>
            </w:r>
            <w:r w:rsidRPr="00CD56B9">
              <w:rPr>
                <w:rFonts w:ascii="Arial Narrow" w:eastAsia="Times New Roman" w:hAnsi="Arial Narrow"/>
                <w:sz w:val="20"/>
                <w:szCs w:val="20"/>
                <w:lang w:val="en-US" w:eastAsia="en-GB"/>
              </w:rPr>
              <w:br/>
              <w:t>Ombudsman, MGCCD, Malawi Police, NSA, DCP</w:t>
            </w:r>
            <w:r w:rsidRPr="00CD56B9">
              <w:rPr>
                <w:rFonts w:ascii="Arial Narrow" w:eastAsia="Times New Roman" w:hAnsi="Arial Narrow"/>
                <w:sz w:val="20"/>
                <w:szCs w:val="20"/>
                <w:lang w:val="en-US" w:eastAsia="en-GB"/>
              </w:rPr>
              <w:br/>
              <w:t xml:space="preserve">Media Council, </w:t>
            </w:r>
            <w:r w:rsidRPr="00CD56B9">
              <w:rPr>
                <w:rFonts w:ascii="Arial Narrow" w:eastAsia="Times New Roman" w:hAnsi="Arial Narrow"/>
                <w:sz w:val="20"/>
                <w:szCs w:val="20"/>
                <w:lang w:val="en-US" w:eastAsia="en-GB"/>
              </w:rPr>
              <w:lastRenderedPageBreak/>
              <w:t>Academia, Law Commission</w:t>
            </w:r>
          </w:p>
        </w:tc>
        <w:tc>
          <w:tcPr>
            <w:tcW w:w="1230" w:type="dxa"/>
            <w:vMerge w:val="restart"/>
            <w:tcBorders>
              <w:top w:val="nil"/>
              <w:left w:val="single" w:sz="4" w:space="0" w:color="auto"/>
              <w:bottom w:val="single" w:sz="4" w:space="0" w:color="auto"/>
              <w:right w:val="single" w:sz="4" w:space="0" w:color="auto"/>
            </w:tcBorders>
            <w:shd w:val="clear" w:color="auto" w:fill="auto"/>
            <w:hideMark/>
          </w:tcPr>
          <w:p w14:paraId="4DC761FC" w14:textId="77777777" w:rsidR="00683F4A" w:rsidRPr="00CD56B9" w:rsidRDefault="00683F4A" w:rsidP="009657E1">
            <w:pPr>
              <w:spacing w:after="0"/>
              <w:jc w:val="center"/>
              <w:rPr>
                <w:rFonts w:ascii="Arial Narrow" w:eastAsia="Times New Roman" w:hAnsi="Arial Narrow"/>
                <w:sz w:val="20"/>
                <w:szCs w:val="20"/>
                <w:lang w:val="en-US" w:eastAsia="en-GB"/>
              </w:rPr>
            </w:pPr>
            <w:r w:rsidRPr="00CD56B9">
              <w:rPr>
                <w:rFonts w:ascii="Arial Narrow" w:eastAsia="Times New Roman" w:hAnsi="Arial Narrow"/>
                <w:sz w:val="20"/>
                <w:szCs w:val="20"/>
                <w:lang w:val="en-US" w:eastAsia="en-GB"/>
              </w:rPr>
              <w:lastRenderedPageBreak/>
              <w:t> </w:t>
            </w:r>
          </w:p>
        </w:tc>
        <w:tc>
          <w:tcPr>
            <w:tcW w:w="992" w:type="dxa"/>
            <w:vMerge w:val="restart"/>
            <w:tcBorders>
              <w:top w:val="nil"/>
              <w:left w:val="single" w:sz="4" w:space="0" w:color="auto"/>
              <w:bottom w:val="single" w:sz="4" w:space="0" w:color="auto"/>
              <w:right w:val="single" w:sz="4" w:space="0" w:color="auto"/>
            </w:tcBorders>
            <w:shd w:val="clear" w:color="auto" w:fill="auto"/>
            <w:noWrap/>
            <w:hideMark/>
          </w:tcPr>
          <w:p w14:paraId="7506EBC4" w14:textId="77777777" w:rsidR="00683F4A" w:rsidRPr="00CD56B9" w:rsidRDefault="00683F4A" w:rsidP="009657E1">
            <w:pPr>
              <w:spacing w:after="0"/>
              <w:jc w:val="right"/>
              <w:rPr>
                <w:rFonts w:ascii="Arial Narrow" w:eastAsia="Times New Roman" w:hAnsi="Arial Narrow"/>
                <w:sz w:val="20"/>
                <w:szCs w:val="20"/>
                <w:lang w:val="en-US" w:eastAsia="en-GB"/>
              </w:rPr>
            </w:pPr>
            <w:r w:rsidRPr="00CD56B9">
              <w:rPr>
                <w:rFonts w:ascii="Arial Narrow" w:eastAsia="Times New Roman" w:hAnsi="Arial Narrow"/>
                <w:sz w:val="20"/>
                <w:szCs w:val="20"/>
                <w:lang w:val="en-US" w:eastAsia="en-GB"/>
              </w:rPr>
              <w:t> </w:t>
            </w:r>
          </w:p>
        </w:tc>
        <w:tc>
          <w:tcPr>
            <w:tcW w:w="998" w:type="dxa"/>
            <w:gridSpan w:val="3"/>
            <w:vMerge w:val="restart"/>
            <w:tcBorders>
              <w:top w:val="nil"/>
              <w:left w:val="single" w:sz="4" w:space="0" w:color="auto"/>
              <w:bottom w:val="single" w:sz="4" w:space="0" w:color="auto"/>
              <w:right w:val="single" w:sz="4" w:space="0" w:color="auto"/>
            </w:tcBorders>
            <w:shd w:val="clear" w:color="auto" w:fill="auto"/>
            <w:noWrap/>
            <w:hideMark/>
          </w:tcPr>
          <w:p w14:paraId="258FBBA3" w14:textId="77777777" w:rsidR="00683F4A" w:rsidRPr="00CD56B9" w:rsidRDefault="00683F4A" w:rsidP="009657E1">
            <w:pPr>
              <w:spacing w:after="0"/>
              <w:jc w:val="right"/>
              <w:rPr>
                <w:rFonts w:ascii="Arial Narrow" w:eastAsia="Times New Roman" w:hAnsi="Arial Narrow"/>
                <w:sz w:val="20"/>
                <w:szCs w:val="20"/>
                <w:lang w:val="en-US" w:eastAsia="en-GB"/>
              </w:rPr>
            </w:pPr>
            <w:r w:rsidRPr="00CD56B9">
              <w:rPr>
                <w:rFonts w:ascii="Arial Narrow" w:eastAsia="Times New Roman" w:hAnsi="Arial Narrow"/>
                <w:sz w:val="20"/>
                <w:szCs w:val="20"/>
                <w:lang w:val="en-US" w:eastAsia="en-GB"/>
              </w:rPr>
              <w:t> </w:t>
            </w:r>
          </w:p>
        </w:tc>
        <w:tc>
          <w:tcPr>
            <w:tcW w:w="986" w:type="dxa"/>
            <w:gridSpan w:val="2"/>
            <w:vMerge w:val="restart"/>
            <w:tcBorders>
              <w:top w:val="nil"/>
              <w:left w:val="single" w:sz="4" w:space="0" w:color="auto"/>
              <w:bottom w:val="single" w:sz="4" w:space="0" w:color="auto"/>
              <w:right w:val="single" w:sz="4" w:space="0" w:color="auto"/>
            </w:tcBorders>
            <w:shd w:val="clear" w:color="auto" w:fill="auto"/>
            <w:noWrap/>
            <w:hideMark/>
          </w:tcPr>
          <w:p w14:paraId="161E1264" w14:textId="77777777" w:rsidR="00683F4A" w:rsidRPr="00CD56B9" w:rsidRDefault="00683F4A" w:rsidP="009657E1">
            <w:pPr>
              <w:spacing w:after="0"/>
              <w:jc w:val="right"/>
              <w:rPr>
                <w:rFonts w:ascii="Arial Narrow" w:eastAsia="Times New Roman" w:hAnsi="Arial Narrow"/>
                <w:sz w:val="20"/>
                <w:szCs w:val="20"/>
                <w:lang w:val="en-US" w:eastAsia="en-GB"/>
              </w:rPr>
            </w:pPr>
            <w:r w:rsidRPr="00CD56B9">
              <w:rPr>
                <w:rFonts w:ascii="Arial Narrow" w:eastAsia="Times New Roman" w:hAnsi="Arial Narrow"/>
                <w:sz w:val="20"/>
                <w:szCs w:val="20"/>
                <w:lang w:val="en-US" w:eastAsia="en-GB"/>
              </w:rPr>
              <w:t> </w:t>
            </w:r>
          </w:p>
        </w:tc>
        <w:tc>
          <w:tcPr>
            <w:tcW w:w="1134" w:type="dxa"/>
            <w:gridSpan w:val="2"/>
            <w:vMerge w:val="restart"/>
            <w:tcBorders>
              <w:top w:val="nil"/>
              <w:left w:val="single" w:sz="4" w:space="0" w:color="auto"/>
              <w:bottom w:val="single" w:sz="4" w:space="0" w:color="auto"/>
              <w:right w:val="single" w:sz="8" w:space="0" w:color="auto"/>
            </w:tcBorders>
            <w:shd w:val="clear" w:color="auto" w:fill="auto"/>
            <w:hideMark/>
          </w:tcPr>
          <w:p w14:paraId="1AB44652" w14:textId="77777777" w:rsidR="00683F4A" w:rsidRPr="00CD56B9" w:rsidRDefault="00683F4A" w:rsidP="009657E1">
            <w:pPr>
              <w:spacing w:after="0"/>
              <w:jc w:val="center"/>
              <w:rPr>
                <w:rFonts w:ascii="Arial Narrow" w:eastAsia="Times New Roman" w:hAnsi="Arial Narrow"/>
                <w:sz w:val="20"/>
                <w:szCs w:val="20"/>
                <w:lang w:val="en-US" w:eastAsia="en-GB"/>
              </w:rPr>
            </w:pPr>
            <w:r w:rsidRPr="00CD56B9">
              <w:rPr>
                <w:rFonts w:ascii="Arial Narrow" w:eastAsia="Times New Roman" w:hAnsi="Arial Narrow"/>
                <w:sz w:val="20"/>
                <w:szCs w:val="20"/>
                <w:lang w:val="en-US" w:eastAsia="en-GB"/>
              </w:rPr>
              <w:t> </w:t>
            </w:r>
          </w:p>
        </w:tc>
      </w:tr>
      <w:tr w:rsidR="00683F4A" w:rsidRPr="007D425D" w14:paraId="6F2FA9AD" w14:textId="77777777" w:rsidTr="00683F4A">
        <w:trPr>
          <w:trHeight w:val="724"/>
          <w:jc w:val="center"/>
        </w:trPr>
        <w:tc>
          <w:tcPr>
            <w:tcW w:w="1570" w:type="dxa"/>
            <w:vMerge/>
            <w:tcBorders>
              <w:top w:val="nil"/>
              <w:left w:val="single" w:sz="8" w:space="0" w:color="auto"/>
              <w:bottom w:val="single" w:sz="4" w:space="0" w:color="auto"/>
              <w:right w:val="single" w:sz="4" w:space="0" w:color="auto"/>
            </w:tcBorders>
            <w:vAlign w:val="center"/>
            <w:hideMark/>
          </w:tcPr>
          <w:p w14:paraId="72A4195B" w14:textId="77777777" w:rsidR="00683F4A" w:rsidRPr="00CD56B9" w:rsidRDefault="00683F4A" w:rsidP="009657E1">
            <w:pPr>
              <w:spacing w:after="0"/>
              <w:jc w:val="left"/>
              <w:rPr>
                <w:rFonts w:ascii="Arial Narrow" w:eastAsia="Times New Roman" w:hAnsi="Arial Narrow"/>
                <w:b/>
                <w:bCs/>
                <w:sz w:val="20"/>
                <w:szCs w:val="20"/>
                <w:lang w:val="en-US" w:eastAsia="en-GB"/>
              </w:rPr>
            </w:pPr>
          </w:p>
        </w:tc>
        <w:tc>
          <w:tcPr>
            <w:tcW w:w="1150" w:type="dxa"/>
            <w:vMerge/>
            <w:tcBorders>
              <w:top w:val="single" w:sz="8" w:space="0" w:color="auto"/>
              <w:left w:val="single" w:sz="4" w:space="0" w:color="auto"/>
              <w:bottom w:val="single" w:sz="4" w:space="0" w:color="000000"/>
              <w:right w:val="single" w:sz="4" w:space="0" w:color="auto"/>
            </w:tcBorders>
            <w:vAlign w:val="center"/>
            <w:hideMark/>
          </w:tcPr>
          <w:p w14:paraId="1C6D9E7D" w14:textId="77777777" w:rsidR="00683F4A" w:rsidRPr="00CD56B9" w:rsidRDefault="00683F4A" w:rsidP="009657E1">
            <w:pPr>
              <w:spacing w:after="0"/>
              <w:jc w:val="left"/>
              <w:rPr>
                <w:rFonts w:ascii="Arial Narrow" w:eastAsia="Times New Roman" w:hAnsi="Arial Narrow"/>
                <w:sz w:val="20"/>
                <w:szCs w:val="20"/>
                <w:lang w:val="en-US" w:eastAsia="en-GB"/>
              </w:rPr>
            </w:pPr>
          </w:p>
        </w:tc>
        <w:tc>
          <w:tcPr>
            <w:tcW w:w="2003" w:type="dxa"/>
            <w:tcBorders>
              <w:top w:val="nil"/>
              <w:left w:val="nil"/>
              <w:bottom w:val="single" w:sz="4" w:space="0" w:color="auto"/>
              <w:right w:val="single" w:sz="4" w:space="0" w:color="auto"/>
            </w:tcBorders>
            <w:shd w:val="clear" w:color="auto" w:fill="auto"/>
            <w:hideMark/>
          </w:tcPr>
          <w:p w14:paraId="3465E093" w14:textId="77777777" w:rsidR="00683F4A" w:rsidRPr="00CD56B9" w:rsidRDefault="00683F4A" w:rsidP="009657E1">
            <w:pPr>
              <w:spacing w:after="0"/>
              <w:jc w:val="left"/>
              <w:rPr>
                <w:rFonts w:ascii="Arial Narrow" w:eastAsia="Times New Roman" w:hAnsi="Arial Narrow"/>
                <w:sz w:val="20"/>
                <w:szCs w:val="20"/>
                <w:lang w:val="en-US" w:eastAsia="en-GB"/>
              </w:rPr>
            </w:pPr>
            <w:r w:rsidRPr="00CD56B9">
              <w:rPr>
                <w:rFonts w:ascii="Arial Narrow" w:eastAsia="Times New Roman" w:hAnsi="Arial Narrow"/>
                <w:sz w:val="20"/>
                <w:szCs w:val="20"/>
                <w:lang w:val="en-US" w:eastAsia="en-GB"/>
              </w:rPr>
              <w:t>Number of institutions aligning to a coordinated mechanism for human rights 92010: 0; 2011: 9)</w:t>
            </w:r>
          </w:p>
        </w:tc>
        <w:tc>
          <w:tcPr>
            <w:tcW w:w="1271" w:type="dxa"/>
            <w:tcBorders>
              <w:top w:val="nil"/>
              <w:left w:val="nil"/>
              <w:bottom w:val="single" w:sz="4" w:space="0" w:color="auto"/>
              <w:right w:val="single" w:sz="4" w:space="0" w:color="auto"/>
            </w:tcBorders>
            <w:shd w:val="clear" w:color="auto" w:fill="auto"/>
            <w:noWrap/>
            <w:hideMark/>
          </w:tcPr>
          <w:p w14:paraId="436545F6" w14:textId="77777777" w:rsidR="00683F4A" w:rsidRPr="003B552F" w:rsidRDefault="00683F4A" w:rsidP="009657E1">
            <w:pPr>
              <w:spacing w:after="0"/>
              <w:jc w:val="left"/>
              <w:rPr>
                <w:rFonts w:ascii="Arial Narrow" w:eastAsia="Times New Roman" w:hAnsi="Arial Narrow"/>
                <w:b/>
                <w:bCs/>
                <w:sz w:val="20"/>
                <w:szCs w:val="20"/>
                <w:lang w:eastAsia="en-GB"/>
              </w:rPr>
            </w:pPr>
            <w:r w:rsidRPr="003B552F">
              <w:rPr>
                <w:rFonts w:ascii="Arial Narrow" w:eastAsia="Times New Roman" w:hAnsi="Arial Narrow"/>
                <w:b/>
                <w:bCs/>
                <w:sz w:val="20"/>
                <w:szCs w:val="20"/>
                <w:lang w:eastAsia="en-GB"/>
              </w:rPr>
              <w:t>project reports</w:t>
            </w:r>
          </w:p>
        </w:tc>
        <w:tc>
          <w:tcPr>
            <w:tcW w:w="2217" w:type="dxa"/>
            <w:vMerge/>
            <w:tcBorders>
              <w:top w:val="nil"/>
              <w:left w:val="single" w:sz="4" w:space="0" w:color="auto"/>
              <w:bottom w:val="single" w:sz="4" w:space="0" w:color="auto"/>
              <w:right w:val="single" w:sz="4" w:space="0" w:color="auto"/>
            </w:tcBorders>
            <w:vAlign w:val="center"/>
            <w:hideMark/>
          </w:tcPr>
          <w:p w14:paraId="1F39D10D" w14:textId="77777777" w:rsidR="00683F4A" w:rsidRPr="003B552F" w:rsidRDefault="00683F4A" w:rsidP="009657E1">
            <w:pPr>
              <w:spacing w:after="0"/>
              <w:jc w:val="left"/>
              <w:rPr>
                <w:rFonts w:ascii="Arial Narrow" w:eastAsia="Times New Roman" w:hAnsi="Arial Narrow"/>
                <w:sz w:val="20"/>
                <w:szCs w:val="20"/>
                <w:lang w:eastAsia="en-GB"/>
              </w:rPr>
            </w:pPr>
          </w:p>
        </w:tc>
        <w:tc>
          <w:tcPr>
            <w:tcW w:w="1201" w:type="dxa"/>
            <w:vMerge/>
            <w:tcBorders>
              <w:top w:val="single" w:sz="4" w:space="0" w:color="auto"/>
              <w:left w:val="single" w:sz="4" w:space="0" w:color="auto"/>
              <w:bottom w:val="single" w:sz="4" w:space="0" w:color="auto"/>
              <w:right w:val="single" w:sz="4" w:space="0" w:color="auto"/>
            </w:tcBorders>
            <w:vAlign w:val="center"/>
            <w:hideMark/>
          </w:tcPr>
          <w:p w14:paraId="08159BAB" w14:textId="77777777" w:rsidR="00683F4A" w:rsidRPr="003B552F" w:rsidRDefault="00683F4A" w:rsidP="009657E1">
            <w:pPr>
              <w:spacing w:after="0"/>
              <w:jc w:val="left"/>
              <w:rPr>
                <w:rFonts w:ascii="Arial Narrow" w:eastAsia="Times New Roman" w:hAnsi="Arial Narrow"/>
                <w:sz w:val="20"/>
                <w:szCs w:val="20"/>
                <w:lang w:eastAsia="en-GB"/>
              </w:rPr>
            </w:pPr>
          </w:p>
        </w:tc>
        <w:tc>
          <w:tcPr>
            <w:tcW w:w="1230" w:type="dxa"/>
            <w:vMerge/>
            <w:tcBorders>
              <w:top w:val="single" w:sz="4" w:space="0" w:color="auto"/>
              <w:left w:val="single" w:sz="4" w:space="0" w:color="auto"/>
              <w:bottom w:val="single" w:sz="4" w:space="0" w:color="auto"/>
              <w:right w:val="single" w:sz="4" w:space="0" w:color="auto"/>
            </w:tcBorders>
            <w:vAlign w:val="center"/>
            <w:hideMark/>
          </w:tcPr>
          <w:p w14:paraId="4001AE96" w14:textId="77777777" w:rsidR="00683F4A" w:rsidRPr="003B552F" w:rsidRDefault="00683F4A" w:rsidP="009657E1">
            <w:pPr>
              <w:spacing w:after="0"/>
              <w:jc w:val="left"/>
              <w:rPr>
                <w:rFonts w:ascii="Arial Narrow" w:eastAsia="Times New Roman" w:hAnsi="Arial Narrow"/>
                <w:sz w:val="20"/>
                <w:szCs w:val="20"/>
                <w:lang w:eastAsia="en-GB"/>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B938490" w14:textId="77777777" w:rsidR="00683F4A" w:rsidRPr="003B552F" w:rsidRDefault="00683F4A" w:rsidP="009657E1">
            <w:pPr>
              <w:spacing w:after="0"/>
              <w:jc w:val="left"/>
              <w:rPr>
                <w:rFonts w:ascii="Arial Narrow" w:eastAsia="Times New Roman" w:hAnsi="Arial Narrow"/>
                <w:sz w:val="20"/>
                <w:szCs w:val="20"/>
                <w:lang w:eastAsia="en-GB"/>
              </w:rPr>
            </w:pPr>
          </w:p>
        </w:tc>
        <w:tc>
          <w:tcPr>
            <w:tcW w:w="998" w:type="dxa"/>
            <w:gridSpan w:val="3"/>
            <w:vMerge/>
            <w:tcBorders>
              <w:top w:val="single" w:sz="4" w:space="0" w:color="auto"/>
              <w:left w:val="single" w:sz="4" w:space="0" w:color="auto"/>
              <w:bottom w:val="single" w:sz="4" w:space="0" w:color="auto"/>
              <w:right w:val="single" w:sz="4" w:space="0" w:color="auto"/>
            </w:tcBorders>
            <w:vAlign w:val="center"/>
            <w:hideMark/>
          </w:tcPr>
          <w:p w14:paraId="05515A83" w14:textId="77777777" w:rsidR="00683F4A" w:rsidRPr="003B552F" w:rsidRDefault="00683F4A" w:rsidP="009657E1">
            <w:pPr>
              <w:spacing w:after="0"/>
              <w:jc w:val="left"/>
              <w:rPr>
                <w:rFonts w:ascii="Arial Narrow" w:eastAsia="Times New Roman" w:hAnsi="Arial Narrow"/>
                <w:sz w:val="20"/>
                <w:szCs w:val="20"/>
                <w:lang w:eastAsia="en-GB"/>
              </w:rPr>
            </w:pPr>
          </w:p>
        </w:tc>
        <w:tc>
          <w:tcPr>
            <w:tcW w:w="986" w:type="dxa"/>
            <w:gridSpan w:val="2"/>
            <w:vMerge/>
            <w:tcBorders>
              <w:top w:val="single" w:sz="4" w:space="0" w:color="auto"/>
              <w:left w:val="single" w:sz="4" w:space="0" w:color="auto"/>
              <w:bottom w:val="single" w:sz="4" w:space="0" w:color="auto"/>
              <w:right w:val="single" w:sz="4" w:space="0" w:color="auto"/>
            </w:tcBorders>
            <w:vAlign w:val="center"/>
            <w:hideMark/>
          </w:tcPr>
          <w:p w14:paraId="1D0A1109" w14:textId="77777777" w:rsidR="00683F4A" w:rsidRPr="003B552F" w:rsidRDefault="00683F4A" w:rsidP="009657E1">
            <w:pPr>
              <w:spacing w:after="0"/>
              <w:jc w:val="left"/>
              <w:rPr>
                <w:rFonts w:ascii="Arial Narrow" w:eastAsia="Times New Roman" w:hAnsi="Arial Narrow"/>
                <w:sz w:val="20"/>
                <w:szCs w:val="20"/>
                <w:lang w:eastAsia="en-GB"/>
              </w:rPr>
            </w:pPr>
          </w:p>
        </w:tc>
        <w:tc>
          <w:tcPr>
            <w:tcW w:w="1134" w:type="dxa"/>
            <w:gridSpan w:val="2"/>
            <w:vMerge/>
            <w:tcBorders>
              <w:top w:val="single" w:sz="4" w:space="0" w:color="auto"/>
              <w:left w:val="single" w:sz="4" w:space="0" w:color="auto"/>
              <w:bottom w:val="single" w:sz="4" w:space="0" w:color="auto"/>
              <w:right w:val="single" w:sz="8" w:space="0" w:color="auto"/>
            </w:tcBorders>
            <w:vAlign w:val="center"/>
            <w:hideMark/>
          </w:tcPr>
          <w:p w14:paraId="263C37A6" w14:textId="77777777" w:rsidR="00683F4A" w:rsidRPr="003B552F" w:rsidRDefault="00683F4A" w:rsidP="009657E1">
            <w:pPr>
              <w:spacing w:after="0"/>
              <w:jc w:val="left"/>
              <w:rPr>
                <w:rFonts w:ascii="Arial Narrow" w:eastAsia="Times New Roman" w:hAnsi="Arial Narrow"/>
                <w:sz w:val="20"/>
                <w:szCs w:val="20"/>
                <w:lang w:eastAsia="en-GB"/>
              </w:rPr>
            </w:pPr>
          </w:p>
        </w:tc>
      </w:tr>
      <w:tr w:rsidR="00683F4A" w:rsidRPr="00F72B0D" w14:paraId="5AECE088" w14:textId="77777777" w:rsidTr="00683F4A">
        <w:trPr>
          <w:trHeight w:val="1476"/>
          <w:jc w:val="center"/>
        </w:trPr>
        <w:tc>
          <w:tcPr>
            <w:tcW w:w="1570" w:type="dxa"/>
            <w:vMerge/>
            <w:tcBorders>
              <w:top w:val="nil"/>
              <w:left w:val="single" w:sz="8" w:space="0" w:color="auto"/>
              <w:bottom w:val="single" w:sz="4" w:space="0" w:color="auto"/>
              <w:right w:val="single" w:sz="4" w:space="0" w:color="auto"/>
            </w:tcBorders>
            <w:vAlign w:val="center"/>
            <w:hideMark/>
          </w:tcPr>
          <w:p w14:paraId="128D51E7" w14:textId="77777777" w:rsidR="00683F4A" w:rsidRPr="003B552F" w:rsidRDefault="00683F4A" w:rsidP="009657E1">
            <w:pPr>
              <w:spacing w:after="0"/>
              <w:jc w:val="left"/>
              <w:rPr>
                <w:rFonts w:ascii="Arial Narrow" w:eastAsia="Times New Roman" w:hAnsi="Arial Narrow"/>
                <w:b/>
                <w:bCs/>
                <w:sz w:val="20"/>
                <w:szCs w:val="20"/>
                <w:lang w:eastAsia="en-GB"/>
              </w:rPr>
            </w:pPr>
          </w:p>
        </w:tc>
        <w:tc>
          <w:tcPr>
            <w:tcW w:w="1150" w:type="dxa"/>
            <w:vMerge/>
            <w:tcBorders>
              <w:top w:val="single" w:sz="8" w:space="0" w:color="auto"/>
              <w:left w:val="single" w:sz="4" w:space="0" w:color="auto"/>
              <w:bottom w:val="single" w:sz="4" w:space="0" w:color="000000"/>
              <w:right w:val="single" w:sz="4" w:space="0" w:color="auto"/>
            </w:tcBorders>
            <w:vAlign w:val="center"/>
            <w:hideMark/>
          </w:tcPr>
          <w:p w14:paraId="528BCEBA" w14:textId="77777777" w:rsidR="00683F4A" w:rsidRPr="003B552F" w:rsidRDefault="00683F4A" w:rsidP="009657E1">
            <w:pPr>
              <w:spacing w:after="0"/>
              <w:jc w:val="left"/>
              <w:rPr>
                <w:rFonts w:ascii="Arial Narrow" w:eastAsia="Times New Roman" w:hAnsi="Arial Narrow"/>
                <w:sz w:val="20"/>
                <w:szCs w:val="20"/>
                <w:lang w:eastAsia="en-GB"/>
              </w:rPr>
            </w:pPr>
          </w:p>
        </w:tc>
        <w:tc>
          <w:tcPr>
            <w:tcW w:w="2003" w:type="dxa"/>
            <w:tcBorders>
              <w:top w:val="single" w:sz="4" w:space="0" w:color="auto"/>
              <w:left w:val="nil"/>
              <w:bottom w:val="single" w:sz="4" w:space="0" w:color="auto"/>
              <w:right w:val="single" w:sz="4" w:space="0" w:color="auto"/>
            </w:tcBorders>
            <w:shd w:val="clear" w:color="auto" w:fill="auto"/>
            <w:hideMark/>
          </w:tcPr>
          <w:p w14:paraId="58869E2B" w14:textId="051B79D2" w:rsidR="00683F4A" w:rsidRPr="00CD56B9" w:rsidRDefault="00683F4A" w:rsidP="009657E1">
            <w:pPr>
              <w:spacing w:after="0"/>
              <w:jc w:val="left"/>
              <w:rPr>
                <w:rFonts w:ascii="Arial Narrow" w:eastAsia="Times New Roman" w:hAnsi="Arial Narrow"/>
                <w:sz w:val="20"/>
                <w:szCs w:val="20"/>
                <w:lang w:val="en-US" w:eastAsia="en-GB"/>
              </w:rPr>
            </w:pPr>
            <w:r w:rsidRPr="00CD56B9">
              <w:rPr>
                <w:rFonts w:ascii="Arial Narrow" w:eastAsia="Times New Roman" w:hAnsi="Arial Narrow"/>
                <w:sz w:val="20"/>
                <w:szCs w:val="20"/>
                <w:lang w:val="en-US" w:eastAsia="en-GB"/>
              </w:rPr>
              <w:t>% of rural and urban population able to claim human rights (</w:t>
            </w:r>
            <w:r w:rsidR="003F4020" w:rsidRPr="00CD56B9">
              <w:rPr>
                <w:rFonts w:ascii="Arial Narrow" w:eastAsia="Times New Roman" w:hAnsi="Arial Narrow"/>
                <w:sz w:val="20"/>
                <w:szCs w:val="20"/>
                <w:lang w:val="en-US" w:eastAsia="en-GB"/>
              </w:rPr>
              <w:t>disaggregated</w:t>
            </w:r>
            <w:r w:rsidRPr="00CD56B9">
              <w:rPr>
                <w:rFonts w:ascii="Arial Narrow" w:eastAsia="Times New Roman" w:hAnsi="Arial Narrow"/>
                <w:sz w:val="20"/>
                <w:szCs w:val="20"/>
                <w:lang w:val="en-US" w:eastAsia="en-GB"/>
              </w:rPr>
              <w:t xml:space="preserve"> by Gender) (2010: 16% females; 19% males; 20% urban; 17% rural ; 2016: 50% Males: 50% Females; 50% Urban; 50 % rural)</w:t>
            </w:r>
          </w:p>
        </w:tc>
        <w:tc>
          <w:tcPr>
            <w:tcW w:w="1271" w:type="dxa"/>
            <w:tcBorders>
              <w:top w:val="single" w:sz="4" w:space="0" w:color="auto"/>
              <w:left w:val="nil"/>
              <w:bottom w:val="single" w:sz="4" w:space="0" w:color="auto"/>
              <w:right w:val="single" w:sz="4" w:space="0" w:color="auto"/>
            </w:tcBorders>
            <w:shd w:val="clear" w:color="auto" w:fill="auto"/>
            <w:hideMark/>
          </w:tcPr>
          <w:p w14:paraId="3F6EC757" w14:textId="77777777" w:rsidR="00683F4A" w:rsidRPr="003B552F" w:rsidRDefault="00683F4A" w:rsidP="009657E1">
            <w:pPr>
              <w:spacing w:after="0"/>
              <w:jc w:val="left"/>
              <w:rPr>
                <w:rFonts w:ascii="Arial Narrow" w:eastAsia="Times New Roman" w:hAnsi="Arial Narrow"/>
                <w:sz w:val="20"/>
                <w:szCs w:val="20"/>
                <w:lang w:eastAsia="en-GB"/>
              </w:rPr>
            </w:pPr>
            <w:r w:rsidRPr="003B552F">
              <w:rPr>
                <w:rFonts w:ascii="Arial Narrow" w:eastAsia="Times New Roman" w:hAnsi="Arial Narrow"/>
                <w:sz w:val="20"/>
                <w:szCs w:val="20"/>
                <w:lang w:eastAsia="en-GB"/>
              </w:rPr>
              <w:t>DCP Baseline, NICE Report</w:t>
            </w:r>
          </w:p>
        </w:tc>
        <w:tc>
          <w:tcPr>
            <w:tcW w:w="2217" w:type="dxa"/>
            <w:tcBorders>
              <w:top w:val="single" w:sz="4" w:space="0" w:color="auto"/>
              <w:left w:val="nil"/>
              <w:bottom w:val="single" w:sz="4" w:space="0" w:color="auto"/>
              <w:right w:val="single" w:sz="4" w:space="0" w:color="auto"/>
            </w:tcBorders>
            <w:shd w:val="clear" w:color="auto" w:fill="auto"/>
            <w:hideMark/>
          </w:tcPr>
          <w:p w14:paraId="17E227C7" w14:textId="0A1D208B" w:rsidR="00683F4A" w:rsidRPr="00CD56B9" w:rsidRDefault="00683F4A" w:rsidP="009657E1">
            <w:pPr>
              <w:spacing w:after="0"/>
              <w:jc w:val="left"/>
              <w:rPr>
                <w:rFonts w:ascii="Arial Narrow" w:eastAsia="Times New Roman" w:hAnsi="Arial Narrow"/>
                <w:sz w:val="20"/>
                <w:szCs w:val="20"/>
                <w:lang w:val="en-US" w:eastAsia="en-GB"/>
              </w:rPr>
            </w:pPr>
            <w:r w:rsidRPr="00CD56B9">
              <w:rPr>
                <w:rFonts w:ascii="Arial Narrow" w:eastAsia="Times New Roman" w:hAnsi="Arial Narrow"/>
                <w:b/>
                <w:bCs/>
                <w:sz w:val="20"/>
                <w:szCs w:val="20"/>
                <w:lang w:val="en-US" w:eastAsia="en-GB"/>
              </w:rPr>
              <w:t>Assumption:</w:t>
            </w:r>
            <w:r w:rsidRPr="00CD56B9">
              <w:rPr>
                <w:rFonts w:ascii="Arial Narrow" w:eastAsia="Times New Roman" w:hAnsi="Arial Narrow"/>
                <w:sz w:val="20"/>
                <w:szCs w:val="20"/>
                <w:lang w:val="en-US" w:eastAsia="en-GB"/>
              </w:rPr>
              <w:t xml:space="preserve"> DCP approach is re-designed; data available and new benchmarks set; new funding mechanism in place </w:t>
            </w:r>
            <w:r w:rsidRPr="00CD56B9">
              <w:rPr>
                <w:rFonts w:ascii="Arial Narrow" w:eastAsia="Times New Roman" w:hAnsi="Arial Narrow"/>
                <w:sz w:val="20"/>
                <w:szCs w:val="20"/>
                <w:lang w:val="en-US" w:eastAsia="en-GB"/>
              </w:rPr>
              <w:br/>
            </w:r>
            <w:r w:rsidRPr="00CD56B9">
              <w:rPr>
                <w:rFonts w:ascii="Arial Narrow" w:eastAsia="Times New Roman" w:hAnsi="Arial Narrow"/>
                <w:b/>
                <w:bCs/>
                <w:sz w:val="20"/>
                <w:szCs w:val="20"/>
                <w:lang w:val="en-US" w:eastAsia="en-GB"/>
              </w:rPr>
              <w:t>Risk:</w:t>
            </w:r>
            <w:r w:rsidRPr="00CD56B9">
              <w:rPr>
                <w:rFonts w:ascii="Arial Narrow" w:eastAsia="Times New Roman" w:hAnsi="Arial Narrow"/>
                <w:sz w:val="20"/>
                <w:szCs w:val="20"/>
                <w:lang w:val="en-US" w:eastAsia="en-GB"/>
              </w:rPr>
              <w:t xml:space="preserve"> DP support; Resources are available; </w:t>
            </w:r>
            <w:r w:rsidR="003F4020" w:rsidRPr="00CD56B9">
              <w:rPr>
                <w:rFonts w:ascii="Arial Narrow" w:eastAsia="Times New Roman" w:hAnsi="Arial Narrow"/>
                <w:sz w:val="20"/>
                <w:szCs w:val="20"/>
                <w:lang w:val="en-US" w:eastAsia="en-GB"/>
              </w:rPr>
              <w:t>willingness</w:t>
            </w:r>
            <w:r w:rsidRPr="00CD56B9">
              <w:rPr>
                <w:rFonts w:ascii="Arial Narrow" w:eastAsia="Times New Roman" w:hAnsi="Arial Narrow"/>
                <w:sz w:val="20"/>
                <w:szCs w:val="20"/>
                <w:lang w:val="en-US" w:eastAsia="en-GB"/>
              </w:rPr>
              <w:t xml:space="preserve"> of Program Steering Committee to adapt new implementation arrangements.</w:t>
            </w:r>
          </w:p>
        </w:tc>
        <w:tc>
          <w:tcPr>
            <w:tcW w:w="1201" w:type="dxa"/>
            <w:vMerge/>
            <w:tcBorders>
              <w:top w:val="single" w:sz="4" w:space="0" w:color="auto"/>
              <w:left w:val="single" w:sz="4" w:space="0" w:color="auto"/>
              <w:bottom w:val="single" w:sz="4" w:space="0" w:color="auto"/>
              <w:right w:val="single" w:sz="4" w:space="0" w:color="auto"/>
            </w:tcBorders>
            <w:vAlign w:val="center"/>
            <w:hideMark/>
          </w:tcPr>
          <w:p w14:paraId="5A1CC898" w14:textId="77777777" w:rsidR="00683F4A" w:rsidRPr="00CD56B9" w:rsidRDefault="00683F4A" w:rsidP="009657E1">
            <w:pPr>
              <w:spacing w:after="0"/>
              <w:jc w:val="left"/>
              <w:rPr>
                <w:rFonts w:ascii="Arial Narrow" w:eastAsia="Times New Roman" w:hAnsi="Arial Narrow"/>
                <w:sz w:val="20"/>
                <w:szCs w:val="20"/>
                <w:lang w:val="en-US" w:eastAsia="en-GB"/>
              </w:rPr>
            </w:pPr>
          </w:p>
        </w:tc>
        <w:tc>
          <w:tcPr>
            <w:tcW w:w="1230" w:type="dxa"/>
            <w:vMerge/>
            <w:tcBorders>
              <w:top w:val="single" w:sz="4" w:space="0" w:color="auto"/>
              <w:left w:val="single" w:sz="4" w:space="0" w:color="auto"/>
              <w:bottom w:val="single" w:sz="4" w:space="0" w:color="auto"/>
              <w:right w:val="single" w:sz="4" w:space="0" w:color="auto"/>
            </w:tcBorders>
            <w:vAlign w:val="center"/>
            <w:hideMark/>
          </w:tcPr>
          <w:p w14:paraId="1D485E1D" w14:textId="77777777" w:rsidR="00683F4A" w:rsidRPr="00CD56B9" w:rsidRDefault="00683F4A" w:rsidP="009657E1">
            <w:pPr>
              <w:spacing w:after="0"/>
              <w:jc w:val="left"/>
              <w:rPr>
                <w:rFonts w:ascii="Arial Narrow" w:eastAsia="Times New Roman" w:hAnsi="Arial Narrow"/>
                <w:sz w:val="20"/>
                <w:szCs w:val="20"/>
                <w:lang w:val="en-US" w:eastAsia="en-GB"/>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C4F51C7" w14:textId="77777777" w:rsidR="00683F4A" w:rsidRPr="00CD56B9" w:rsidRDefault="00683F4A" w:rsidP="009657E1">
            <w:pPr>
              <w:spacing w:after="0"/>
              <w:jc w:val="left"/>
              <w:rPr>
                <w:rFonts w:ascii="Arial Narrow" w:eastAsia="Times New Roman" w:hAnsi="Arial Narrow"/>
                <w:sz w:val="20"/>
                <w:szCs w:val="20"/>
                <w:lang w:val="en-US" w:eastAsia="en-GB"/>
              </w:rPr>
            </w:pPr>
          </w:p>
        </w:tc>
        <w:tc>
          <w:tcPr>
            <w:tcW w:w="998" w:type="dxa"/>
            <w:gridSpan w:val="3"/>
            <w:vMerge/>
            <w:tcBorders>
              <w:top w:val="single" w:sz="4" w:space="0" w:color="auto"/>
              <w:left w:val="single" w:sz="4" w:space="0" w:color="auto"/>
              <w:bottom w:val="single" w:sz="4" w:space="0" w:color="auto"/>
              <w:right w:val="single" w:sz="4" w:space="0" w:color="auto"/>
            </w:tcBorders>
            <w:vAlign w:val="center"/>
            <w:hideMark/>
          </w:tcPr>
          <w:p w14:paraId="0A0137EE" w14:textId="77777777" w:rsidR="00683F4A" w:rsidRPr="00CD56B9" w:rsidRDefault="00683F4A" w:rsidP="009657E1">
            <w:pPr>
              <w:spacing w:after="0"/>
              <w:jc w:val="left"/>
              <w:rPr>
                <w:rFonts w:ascii="Arial Narrow" w:eastAsia="Times New Roman" w:hAnsi="Arial Narrow"/>
                <w:sz w:val="20"/>
                <w:szCs w:val="20"/>
                <w:lang w:val="en-US" w:eastAsia="en-GB"/>
              </w:rPr>
            </w:pPr>
          </w:p>
        </w:tc>
        <w:tc>
          <w:tcPr>
            <w:tcW w:w="986" w:type="dxa"/>
            <w:gridSpan w:val="2"/>
            <w:vMerge/>
            <w:tcBorders>
              <w:top w:val="single" w:sz="4" w:space="0" w:color="auto"/>
              <w:left w:val="single" w:sz="4" w:space="0" w:color="auto"/>
              <w:bottom w:val="single" w:sz="4" w:space="0" w:color="auto"/>
              <w:right w:val="single" w:sz="4" w:space="0" w:color="auto"/>
            </w:tcBorders>
            <w:vAlign w:val="center"/>
            <w:hideMark/>
          </w:tcPr>
          <w:p w14:paraId="6BCB6A05" w14:textId="77777777" w:rsidR="00683F4A" w:rsidRPr="00CD56B9" w:rsidRDefault="00683F4A" w:rsidP="009657E1">
            <w:pPr>
              <w:spacing w:after="0"/>
              <w:jc w:val="left"/>
              <w:rPr>
                <w:rFonts w:ascii="Arial Narrow" w:eastAsia="Times New Roman" w:hAnsi="Arial Narrow"/>
                <w:sz w:val="20"/>
                <w:szCs w:val="20"/>
                <w:lang w:val="en-US" w:eastAsia="en-GB"/>
              </w:rPr>
            </w:pPr>
          </w:p>
        </w:tc>
        <w:tc>
          <w:tcPr>
            <w:tcW w:w="1134" w:type="dxa"/>
            <w:gridSpan w:val="2"/>
            <w:vMerge/>
            <w:tcBorders>
              <w:top w:val="single" w:sz="4" w:space="0" w:color="auto"/>
              <w:left w:val="single" w:sz="4" w:space="0" w:color="auto"/>
              <w:bottom w:val="single" w:sz="4" w:space="0" w:color="auto"/>
              <w:right w:val="single" w:sz="8" w:space="0" w:color="auto"/>
            </w:tcBorders>
            <w:vAlign w:val="center"/>
            <w:hideMark/>
          </w:tcPr>
          <w:p w14:paraId="75AF235F" w14:textId="77777777" w:rsidR="00683F4A" w:rsidRPr="00CD56B9" w:rsidRDefault="00683F4A" w:rsidP="009657E1">
            <w:pPr>
              <w:spacing w:after="0"/>
              <w:jc w:val="left"/>
              <w:rPr>
                <w:rFonts w:ascii="Arial Narrow" w:eastAsia="Times New Roman" w:hAnsi="Arial Narrow"/>
                <w:sz w:val="20"/>
                <w:szCs w:val="20"/>
                <w:lang w:val="en-US" w:eastAsia="en-GB"/>
              </w:rPr>
            </w:pPr>
          </w:p>
        </w:tc>
      </w:tr>
      <w:tr w:rsidR="00683F4A" w:rsidRPr="007D425D" w14:paraId="5C7B5331" w14:textId="77777777" w:rsidTr="009657E1">
        <w:trPr>
          <w:trHeight w:val="179"/>
          <w:jc w:val="center"/>
        </w:trPr>
        <w:tc>
          <w:tcPr>
            <w:tcW w:w="1570" w:type="dxa"/>
            <w:vMerge w:val="restart"/>
            <w:tcBorders>
              <w:top w:val="nil"/>
              <w:left w:val="single" w:sz="8" w:space="0" w:color="auto"/>
              <w:bottom w:val="single" w:sz="4" w:space="0" w:color="000000"/>
              <w:right w:val="single" w:sz="4" w:space="0" w:color="auto"/>
            </w:tcBorders>
            <w:shd w:val="clear" w:color="auto" w:fill="auto"/>
            <w:hideMark/>
          </w:tcPr>
          <w:p w14:paraId="4C6EA656" w14:textId="77777777" w:rsidR="00683F4A" w:rsidRPr="003B552F" w:rsidRDefault="00683F4A" w:rsidP="009657E1">
            <w:pPr>
              <w:spacing w:after="0"/>
              <w:jc w:val="left"/>
              <w:rPr>
                <w:rFonts w:ascii="Arial Narrow" w:eastAsia="Times New Roman" w:hAnsi="Arial Narrow"/>
                <w:b/>
                <w:bCs/>
                <w:sz w:val="20"/>
                <w:szCs w:val="20"/>
                <w:lang w:eastAsia="en-GB"/>
              </w:rPr>
            </w:pPr>
            <w:r w:rsidRPr="003B552F">
              <w:rPr>
                <w:rFonts w:ascii="Arial Narrow" w:eastAsia="Times New Roman" w:hAnsi="Arial Narrow"/>
                <w:b/>
                <w:bCs/>
                <w:sz w:val="20"/>
                <w:szCs w:val="20"/>
                <w:lang w:eastAsia="en-GB"/>
              </w:rPr>
              <w:lastRenderedPageBreak/>
              <w:t>Annualized Key Results 2012</w:t>
            </w:r>
          </w:p>
        </w:tc>
        <w:tc>
          <w:tcPr>
            <w:tcW w:w="7842" w:type="dxa"/>
            <w:gridSpan w:val="5"/>
            <w:tcBorders>
              <w:top w:val="single" w:sz="4" w:space="0" w:color="auto"/>
              <w:left w:val="nil"/>
              <w:bottom w:val="nil"/>
              <w:right w:val="single" w:sz="4" w:space="0" w:color="000000"/>
            </w:tcBorders>
            <w:shd w:val="clear" w:color="auto" w:fill="auto"/>
            <w:hideMark/>
          </w:tcPr>
          <w:p w14:paraId="4BEFFE6B" w14:textId="1A763144" w:rsidR="00683F4A" w:rsidRPr="00CD56B9" w:rsidRDefault="00683F4A" w:rsidP="009657E1">
            <w:pPr>
              <w:spacing w:after="0"/>
              <w:jc w:val="left"/>
              <w:rPr>
                <w:rFonts w:ascii="Arial Narrow" w:eastAsia="Times New Roman" w:hAnsi="Arial Narrow"/>
                <w:sz w:val="20"/>
                <w:szCs w:val="20"/>
                <w:lang w:val="en-US" w:eastAsia="en-GB"/>
              </w:rPr>
            </w:pPr>
            <w:r w:rsidRPr="00CD56B9">
              <w:rPr>
                <w:rFonts w:ascii="Arial Narrow" w:eastAsia="Times New Roman" w:hAnsi="Arial Narrow"/>
                <w:sz w:val="20"/>
                <w:szCs w:val="20"/>
                <w:lang w:val="en-US" w:eastAsia="en-GB"/>
              </w:rPr>
              <w:t xml:space="preserve">                                                                                                                </w:t>
            </w:r>
            <w:r w:rsidRPr="00CD56B9">
              <w:rPr>
                <w:rFonts w:ascii="Arial Narrow" w:eastAsia="Times New Roman" w:hAnsi="Arial Narrow"/>
                <w:sz w:val="20"/>
                <w:szCs w:val="20"/>
                <w:lang w:val="en-US" w:eastAsia="en-GB"/>
              </w:rPr>
              <w:br/>
              <w:t xml:space="preserve">A:  New implementation arrangements for </w:t>
            </w:r>
            <w:r w:rsidR="003F4020" w:rsidRPr="00CD56B9">
              <w:rPr>
                <w:rFonts w:ascii="Arial Narrow" w:eastAsia="Times New Roman" w:hAnsi="Arial Narrow"/>
                <w:sz w:val="20"/>
                <w:szCs w:val="20"/>
                <w:lang w:val="en-US" w:eastAsia="en-GB"/>
              </w:rPr>
              <w:t>Democracy</w:t>
            </w:r>
            <w:r w:rsidRPr="00CD56B9">
              <w:rPr>
                <w:rFonts w:ascii="Arial Narrow" w:eastAsia="Times New Roman" w:hAnsi="Arial Narrow"/>
                <w:sz w:val="20"/>
                <w:szCs w:val="20"/>
                <w:lang w:val="en-US" w:eastAsia="en-GB"/>
              </w:rPr>
              <w:t xml:space="preserve"> Consolidation and Civic Education in place (UNDP)</w:t>
            </w:r>
          </w:p>
        </w:tc>
        <w:tc>
          <w:tcPr>
            <w:tcW w:w="1230" w:type="dxa"/>
            <w:tcBorders>
              <w:top w:val="nil"/>
              <w:left w:val="nil"/>
              <w:bottom w:val="nil"/>
              <w:right w:val="single" w:sz="4" w:space="0" w:color="auto"/>
            </w:tcBorders>
            <w:shd w:val="clear" w:color="auto" w:fill="auto"/>
            <w:hideMark/>
          </w:tcPr>
          <w:p w14:paraId="51002C28" w14:textId="77777777" w:rsidR="00683F4A" w:rsidRPr="003B552F" w:rsidRDefault="00683F4A" w:rsidP="009657E1">
            <w:pPr>
              <w:spacing w:after="0"/>
              <w:jc w:val="left"/>
              <w:rPr>
                <w:rFonts w:ascii="Arial Narrow" w:eastAsia="Times New Roman" w:hAnsi="Arial Narrow"/>
                <w:sz w:val="20"/>
                <w:szCs w:val="20"/>
                <w:lang w:eastAsia="en-GB"/>
              </w:rPr>
            </w:pPr>
            <w:r w:rsidRPr="003B552F">
              <w:rPr>
                <w:rFonts w:ascii="Arial Narrow" w:eastAsia="Times New Roman" w:hAnsi="Arial Narrow"/>
                <w:sz w:val="20"/>
                <w:szCs w:val="20"/>
                <w:lang w:eastAsia="en-GB"/>
              </w:rPr>
              <w:t>UNDP</w:t>
            </w:r>
          </w:p>
        </w:tc>
        <w:tc>
          <w:tcPr>
            <w:tcW w:w="992" w:type="dxa"/>
            <w:tcBorders>
              <w:top w:val="single" w:sz="4" w:space="0" w:color="auto"/>
              <w:left w:val="nil"/>
              <w:bottom w:val="nil"/>
              <w:right w:val="single" w:sz="4" w:space="0" w:color="auto"/>
            </w:tcBorders>
            <w:shd w:val="clear" w:color="auto" w:fill="auto"/>
            <w:hideMark/>
          </w:tcPr>
          <w:p w14:paraId="0EAAD9D8"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500,000 </w:t>
            </w:r>
          </w:p>
        </w:tc>
        <w:tc>
          <w:tcPr>
            <w:tcW w:w="998" w:type="dxa"/>
            <w:gridSpan w:val="3"/>
            <w:tcBorders>
              <w:top w:val="single" w:sz="4" w:space="0" w:color="auto"/>
              <w:left w:val="nil"/>
              <w:bottom w:val="nil"/>
              <w:right w:val="single" w:sz="4" w:space="0" w:color="auto"/>
            </w:tcBorders>
            <w:shd w:val="clear" w:color="auto" w:fill="auto"/>
            <w:hideMark/>
          </w:tcPr>
          <w:p w14:paraId="4B73E8BE"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650,000 </w:t>
            </w:r>
          </w:p>
        </w:tc>
        <w:tc>
          <w:tcPr>
            <w:tcW w:w="986" w:type="dxa"/>
            <w:gridSpan w:val="2"/>
            <w:tcBorders>
              <w:top w:val="single" w:sz="4" w:space="0" w:color="auto"/>
              <w:left w:val="nil"/>
              <w:bottom w:val="nil"/>
              <w:right w:val="single" w:sz="4" w:space="0" w:color="auto"/>
            </w:tcBorders>
            <w:shd w:val="clear" w:color="auto" w:fill="auto"/>
            <w:hideMark/>
          </w:tcPr>
          <w:p w14:paraId="38B4A07C"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800,000 </w:t>
            </w:r>
          </w:p>
        </w:tc>
        <w:tc>
          <w:tcPr>
            <w:tcW w:w="1134" w:type="dxa"/>
            <w:gridSpan w:val="2"/>
            <w:tcBorders>
              <w:top w:val="nil"/>
              <w:left w:val="nil"/>
              <w:bottom w:val="nil"/>
              <w:right w:val="single" w:sz="8" w:space="0" w:color="auto"/>
            </w:tcBorders>
            <w:shd w:val="clear" w:color="auto" w:fill="auto"/>
            <w:hideMark/>
          </w:tcPr>
          <w:p w14:paraId="047D7843"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1,950,000 </w:t>
            </w:r>
          </w:p>
        </w:tc>
      </w:tr>
      <w:tr w:rsidR="00683F4A" w:rsidRPr="007D425D" w14:paraId="5A715F5D" w14:textId="77777777" w:rsidTr="009657E1">
        <w:trPr>
          <w:trHeight w:val="179"/>
          <w:jc w:val="center"/>
        </w:trPr>
        <w:tc>
          <w:tcPr>
            <w:tcW w:w="1570" w:type="dxa"/>
            <w:vMerge/>
            <w:tcBorders>
              <w:top w:val="nil"/>
              <w:left w:val="single" w:sz="8" w:space="0" w:color="auto"/>
              <w:bottom w:val="single" w:sz="4" w:space="0" w:color="000000"/>
              <w:right w:val="single" w:sz="4" w:space="0" w:color="auto"/>
            </w:tcBorders>
            <w:vAlign w:val="center"/>
            <w:hideMark/>
          </w:tcPr>
          <w:p w14:paraId="02336921" w14:textId="77777777" w:rsidR="00683F4A" w:rsidRPr="003B552F" w:rsidRDefault="00683F4A" w:rsidP="009657E1">
            <w:pPr>
              <w:spacing w:after="0"/>
              <w:jc w:val="left"/>
              <w:rPr>
                <w:rFonts w:ascii="Arial Narrow" w:eastAsia="Times New Roman" w:hAnsi="Arial Narrow"/>
                <w:b/>
                <w:bCs/>
                <w:sz w:val="20"/>
                <w:szCs w:val="20"/>
                <w:lang w:eastAsia="en-GB"/>
              </w:rPr>
            </w:pPr>
          </w:p>
        </w:tc>
        <w:tc>
          <w:tcPr>
            <w:tcW w:w="7842" w:type="dxa"/>
            <w:gridSpan w:val="5"/>
            <w:tcBorders>
              <w:top w:val="single" w:sz="8" w:space="0" w:color="auto"/>
              <w:left w:val="single" w:sz="8" w:space="0" w:color="auto"/>
              <w:bottom w:val="single" w:sz="8" w:space="0" w:color="auto"/>
              <w:right w:val="single" w:sz="4" w:space="0" w:color="000000"/>
            </w:tcBorders>
            <w:shd w:val="clear" w:color="auto" w:fill="auto"/>
            <w:hideMark/>
          </w:tcPr>
          <w:p w14:paraId="0954C0CD" w14:textId="434CBD18" w:rsidR="00683F4A" w:rsidRPr="00CD56B9" w:rsidRDefault="00683F4A" w:rsidP="009657E1">
            <w:pPr>
              <w:spacing w:after="0"/>
              <w:jc w:val="left"/>
              <w:rPr>
                <w:rFonts w:ascii="Arial Narrow" w:eastAsia="Times New Roman" w:hAnsi="Arial Narrow"/>
                <w:b/>
                <w:bCs/>
                <w:color w:val="FF0000"/>
                <w:sz w:val="20"/>
                <w:szCs w:val="20"/>
                <w:lang w:val="en-US" w:eastAsia="en-GB"/>
              </w:rPr>
            </w:pPr>
            <w:r w:rsidRPr="00CD56B9">
              <w:rPr>
                <w:rFonts w:ascii="Arial Narrow" w:eastAsia="Times New Roman" w:hAnsi="Arial Narrow"/>
                <w:b/>
                <w:bCs/>
                <w:color w:val="FF0000"/>
                <w:sz w:val="20"/>
                <w:szCs w:val="20"/>
                <w:lang w:val="en-US" w:eastAsia="en-GB"/>
              </w:rPr>
              <w:t xml:space="preserve">4.1.5-Total Budget for </w:t>
            </w:r>
            <w:r w:rsidR="003F4020" w:rsidRPr="00CD56B9">
              <w:rPr>
                <w:rFonts w:ascii="Arial Narrow" w:eastAsia="Times New Roman" w:hAnsi="Arial Narrow"/>
                <w:b/>
                <w:bCs/>
                <w:color w:val="FF0000"/>
                <w:sz w:val="20"/>
                <w:szCs w:val="20"/>
                <w:lang w:val="en-US" w:eastAsia="en-GB"/>
              </w:rPr>
              <w:t>Annualized</w:t>
            </w:r>
            <w:r w:rsidRPr="00CD56B9">
              <w:rPr>
                <w:rFonts w:ascii="Arial Narrow" w:eastAsia="Times New Roman" w:hAnsi="Arial Narrow"/>
                <w:b/>
                <w:bCs/>
                <w:color w:val="FF0000"/>
                <w:sz w:val="20"/>
                <w:szCs w:val="20"/>
                <w:lang w:val="en-US" w:eastAsia="en-GB"/>
              </w:rPr>
              <w:t xml:space="preserve"> Key Results for 2012</w:t>
            </w:r>
          </w:p>
        </w:tc>
        <w:tc>
          <w:tcPr>
            <w:tcW w:w="1230" w:type="dxa"/>
            <w:tcBorders>
              <w:top w:val="single" w:sz="8" w:space="0" w:color="auto"/>
              <w:left w:val="nil"/>
              <w:bottom w:val="single" w:sz="8" w:space="0" w:color="auto"/>
              <w:right w:val="single" w:sz="4" w:space="0" w:color="auto"/>
            </w:tcBorders>
            <w:shd w:val="clear" w:color="auto" w:fill="auto"/>
            <w:hideMark/>
          </w:tcPr>
          <w:p w14:paraId="13753997" w14:textId="77777777" w:rsidR="00683F4A" w:rsidRPr="00CD56B9" w:rsidRDefault="00683F4A" w:rsidP="009657E1">
            <w:pPr>
              <w:spacing w:after="0"/>
              <w:jc w:val="left"/>
              <w:rPr>
                <w:rFonts w:ascii="Arial Narrow" w:eastAsia="Times New Roman" w:hAnsi="Arial Narrow"/>
                <w:sz w:val="20"/>
                <w:szCs w:val="20"/>
                <w:lang w:val="en-US" w:eastAsia="en-GB"/>
              </w:rPr>
            </w:pPr>
            <w:r w:rsidRPr="00CD56B9">
              <w:rPr>
                <w:rFonts w:ascii="Arial Narrow" w:eastAsia="Times New Roman" w:hAnsi="Arial Narrow"/>
                <w:sz w:val="20"/>
                <w:szCs w:val="20"/>
                <w:lang w:val="en-US" w:eastAsia="en-GB"/>
              </w:rPr>
              <w:t> </w:t>
            </w:r>
          </w:p>
        </w:tc>
        <w:tc>
          <w:tcPr>
            <w:tcW w:w="992" w:type="dxa"/>
            <w:tcBorders>
              <w:top w:val="single" w:sz="8" w:space="0" w:color="auto"/>
              <w:left w:val="nil"/>
              <w:bottom w:val="single" w:sz="8" w:space="0" w:color="auto"/>
              <w:right w:val="single" w:sz="4" w:space="0" w:color="auto"/>
            </w:tcBorders>
            <w:shd w:val="clear" w:color="auto" w:fill="auto"/>
            <w:hideMark/>
          </w:tcPr>
          <w:p w14:paraId="132F1A69" w14:textId="77777777" w:rsidR="00683F4A" w:rsidRPr="003B552F" w:rsidRDefault="00683F4A" w:rsidP="009657E1">
            <w:pPr>
              <w:spacing w:after="0"/>
              <w:jc w:val="right"/>
              <w:rPr>
                <w:rFonts w:ascii="Arial Narrow" w:eastAsia="Times New Roman" w:hAnsi="Arial Narrow"/>
                <w:b/>
                <w:bCs/>
                <w:color w:val="FF0000"/>
                <w:sz w:val="20"/>
                <w:szCs w:val="20"/>
                <w:lang w:eastAsia="en-GB"/>
              </w:rPr>
            </w:pPr>
            <w:r w:rsidRPr="00CD56B9">
              <w:rPr>
                <w:rFonts w:ascii="Arial Narrow" w:eastAsia="Times New Roman" w:hAnsi="Arial Narrow"/>
                <w:b/>
                <w:bCs/>
                <w:color w:val="FF0000"/>
                <w:sz w:val="20"/>
                <w:szCs w:val="20"/>
                <w:lang w:val="en-US" w:eastAsia="en-GB"/>
              </w:rPr>
              <w:t xml:space="preserve">           </w:t>
            </w:r>
            <w:r w:rsidRPr="003B552F">
              <w:rPr>
                <w:rFonts w:ascii="Arial Narrow" w:eastAsia="Times New Roman" w:hAnsi="Arial Narrow"/>
                <w:b/>
                <w:bCs/>
                <w:color w:val="FF0000"/>
                <w:sz w:val="20"/>
                <w:szCs w:val="20"/>
                <w:lang w:eastAsia="en-GB"/>
              </w:rPr>
              <w:t xml:space="preserve">500,000 </w:t>
            </w:r>
          </w:p>
        </w:tc>
        <w:tc>
          <w:tcPr>
            <w:tcW w:w="998" w:type="dxa"/>
            <w:gridSpan w:val="3"/>
            <w:tcBorders>
              <w:top w:val="single" w:sz="8" w:space="0" w:color="auto"/>
              <w:left w:val="nil"/>
              <w:bottom w:val="single" w:sz="8" w:space="0" w:color="auto"/>
              <w:right w:val="single" w:sz="4" w:space="0" w:color="auto"/>
            </w:tcBorders>
            <w:shd w:val="clear" w:color="auto" w:fill="auto"/>
            <w:hideMark/>
          </w:tcPr>
          <w:p w14:paraId="1114DA18" w14:textId="77777777" w:rsidR="00683F4A" w:rsidRPr="003B552F" w:rsidRDefault="00683F4A" w:rsidP="009657E1">
            <w:pPr>
              <w:spacing w:after="0"/>
              <w:jc w:val="right"/>
              <w:rPr>
                <w:rFonts w:ascii="Arial Narrow" w:eastAsia="Times New Roman" w:hAnsi="Arial Narrow"/>
                <w:b/>
                <w:bCs/>
                <w:color w:val="FF0000"/>
                <w:sz w:val="20"/>
                <w:szCs w:val="20"/>
                <w:lang w:eastAsia="en-GB"/>
              </w:rPr>
            </w:pPr>
            <w:r w:rsidRPr="003B552F">
              <w:rPr>
                <w:rFonts w:ascii="Arial Narrow" w:eastAsia="Times New Roman" w:hAnsi="Arial Narrow"/>
                <w:b/>
                <w:bCs/>
                <w:color w:val="FF0000"/>
                <w:sz w:val="20"/>
                <w:szCs w:val="20"/>
                <w:lang w:eastAsia="en-GB"/>
              </w:rPr>
              <w:t xml:space="preserve">            650,000 </w:t>
            </w:r>
          </w:p>
        </w:tc>
        <w:tc>
          <w:tcPr>
            <w:tcW w:w="986" w:type="dxa"/>
            <w:gridSpan w:val="2"/>
            <w:tcBorders>
              <w:top w:val="single" w:sz="8" w:space="0" w:color="auto"/>
              <w:left w:val="nil"/>
              <w:bottom w:val="single" w:sz="8" w:space="0" w:color="auto"/>
              <w:right w:val="single" w:sz="4" w:space="0" w:color="auto"/>
            </w:tcBorders>
            <w:shd w:val="clear" w:color="auto" w:fill="auto"/>
            <w:hideMark/>
          </w:tcPr>
          <w:p w14:paraId="67FF7F6E" w14:textId="77777777" w:rsidR="00683F4A" w:rsidRPr="003B552F" w:rsidRDefault="00683F4A" w:rsidP="009657E1">
            <w:pPr>
              <w:spacing w:after="0"/>
              <w:jc w:val="right"/>
              <w:rPr>
                <w:rFonts w:ascii="Arial Narrow" w:eastAsia="Times New Roman" w:hAnsi="Arial Narrow"/>
                <w:b/>
                <w:bCs/>
                <w:color w:val="FF0000"/>
                <w:sz w:val="20"/>
                <w:szCs w:val="20"/>
                <w:lang w:eastAsia="en-GB"/>
              </w:rPr>
            </w:pPr>
            <w:r w:rsidRPr="003B552F">
              <w:rPr>
                <w:rFonts w:ascii="Arial Narrow" w:eastAsia="Times New Roman" w:hAnsi="Arial Narrow"/>
                <w:b/>
                <w:bCs/>
                <w:color w:val="FF0000"/>
                <w:sz w:val="20"/>
                <w:szCs w:val="20"/>
                <w:lang w:eastAsia="en-GB"/>
              </w:rPr>
              <w:t xml:space="preserve">           800,000 </w:t>
            </w:r>
          </w:p>
        </w:tc>
        <w:tc>
          <w:tcPr>
            <w:tcW w:w="1134" w:type="dxa"/>
            <w:gridSpan w:val="2"/>
            <w:tcBorders>
              <w:top w:val="single" w:sz="8" w:space="0" w:color="auto"/>
              <w:left w:val="nil"/>
              <w:bottom w:val="single" w:sz="8" w:space="0" w:color="auto"/>
              <w:right w:val="single" w:sz="8" w:space="0" w:color="auto"/>
            </w:tcBorders>
            <w:shd w:val="clear" w:color="auto" w:fill="auto"/>
            <w:hideMark/>
          </w:tcPr>
          <w:p w14:paraId="4FC883B4" w14:textId="77777777" w:rsidR="00683F4A" w:rsidRPr="003B552F" w:rsidRDefault="00683F4A" w:rsidP="009657E1">
            <w:pPr>
              <w:spacing w:after="0"/>
              <w:jc w:val="right"/>
              <w:rPr>
                <w:rFonts w:ascii="Arial Narrow" w:eastAsia="Times New Roman" w:hAnsi="Arial Narrow"/>
                <w:b/>
                <w:bCs/>
                <w:color w:val="FF0000"/>
                <w:sz w:val="20"/>
                <w:szCs w:val="20"/>
                <w:lang w:eastAsia="en-GB"/>
              </w:rPr>
            </w:pPr>
            <w:r w:rsidRPr="003B552F">
              <w:rPr>
                <w:rFonts w:ascii="Arial Narrow" w:eastAsia="Times New Roman" w:hAnsi="Arial Narrow"/>
                <w:b/>
                <w:bCs/>
                <w:color w:val="FF0000"/>
                <w:sz w:val="20"/>
                <w:szCs w:val="20"/>
                <w:lang w:eastAsia="en-GB"/>
              </w:rPr>
              <w:t xml:space="preserve">          1,950,000 </w:t>
            </w:r>
          </w:p>
        </w:tc>
      </w:tr>
      <w:tr w:rsidR="00683F4A" w:rsidRPr="007D425D" w14:paraId="47E532D8" w14:textId="77777777" w:rsidTr="009657E1">
        <w:trPr>
          <w:trHeight w:val="168"/>
          <w:jc w:val="center"/>
        </w:trPr>
        <w:tc>
          <w:tcPr>
            <w:tcW w:w="1570" w:type="dxa"/>
            <w:vMerge w:val="restart"/>
            <w:tcBorders>
              <w:top w:val="nil"/>
              <w:left w:val="single" w:sz="8" w:space="0" w:color="auto"/>
              <w:bottom w:val="single" w:sz="4" w:space="0" w:color="000000"/>
              <w:right w:val="nil"/>
            </w:tcBorders>
            <w:shd w:val="clear" w:color="auto" w:fill="auto"/>
            <w:hideMark/>
          </w:tcPr>
          <w:p w14:paraId="4A645DDB" w14:textId="77777777" w:rsidR="00683F4A" w:rsidRPr="003B552F" w:rsidRDefault="00683F4A" w:rsidP="009657E1">
            <w:pPr>
              <w:spacing w:after="0"/>
              <w:jc w:val="left"/>
              <w:rPr>
                <w:rFonts w:ascii="Arial Narrow" w:eastAsia="Times New Roman" w:hAnsi="Arial Narrow"/>
                <w:b/>
                <w:bCs/>
                <w:sz w:val="20"/>
                <w:szCs w:val="20"/>
                <w:lang w:eastAsia="en-GB"/>
              </w:rPr>
            </w:pPr>
            <w:r w:rsidRPr="003B552F">
              <w:rPr>
                <w:rFonts w:ascii="Arial Narrow" w:eastAsia="Times New Roman" w:hAnsi="Arial Narrow"/>
                <w:b/>
                <w:bCs/>
                <w:sz w:val="20"/>
                <w:szCs w:val="20"/>
                <w:lang w:eastAsia="en-GB"/>
              </w:rPr>
              <w:t>Annualized Key Results 2013</w:t>
            </w:r>
          </w:p>
        </w:tc>
        <w:tc>
          <w:tcPr>
            <w:tcW w:w="7842" w:type="dxa"/>
            <w:gridSpan w:val="5"/>
            <w:tcBorders>
              <w:top w:val="nil"/>
              <w:left w:val="single" w:sz="4" w:space="0" w:color="auto"/>
              <w:bottom w:val="single" w:sz="4" w:space="0" w:color="auto"/>
              <w:right w:val="single" w:sz="4" w:space="0" w:color="000000"/>
            </w:tcBorders>
            <w:shd w:val="clear" w:color="auto" w:fill="auto"/>
            <w:hideMark/>
          </w:tcPr>
          <w:p w14:paraId="07718A0E" w14:textId="77777777" w:rsidR="00683F4A" w:rsidRPr="00CD56B9" w:rsidRDefault="00683F4A" w:rsidP="009657E1">
            <w:pPr>
              <w:spacing w:after="0"/>
              <w:jc w:val="left"/>
              <w:rPr>
                <w:rFonts w:ascii="Arial Narrow" w:eastAsia="Times New Roman" w:hAnsi="Arial Narrow"/>
                <w:sz w:val="20"/>
                <w:szCs w:val="20"/>
                <w:lang w:val="en-US" w:eastAsia="en-GB"/>
              </w:rPr>
            </w:pPr>
            <w:r w:rsidRPr="00CD56B9">
              <w:rPr>
                <w:rFonts w:ascii="Arial Narrow" w:eastAsia="Times New Roman" w:hAnsi="Arial Narrow"/>
                <w:sz w:val="20"/>
                <w:szCs w:val="20"/>
                <w:lang w:val="en-US" w:eastAsia="en-GB"/>
              </w:rPr>
              <w:t xml:space="preserve">B: A strategy to  mainstream human rights into policy analysis and planning developed (UNDP)        </w:t>
            </w:r>
          </w:p>
        </w:tc>
        <w:tc>
          <w:tcPr>
            <w:tcW w:w="1230" w:type="dxa"/>
            <w:tcBorders>
              <w:top w:val="nil"/>
              <w:left w:val="nil"/>
              <w:bottom w:val="single" w:sz="4" w:space="0" w:color="auto"/>
              <w:right w:val="single" w:sz="4" w:space="0" w:color="auto"/>
            </w:tcBorders>
            <w:shd w:val="clear" w:color="auto" w:fill="auto"/>
            <w:hideMark/>
          </w:tcPr>
          <w:p w14:paraId="29C9F95A" w14:textId="77777777" w:rsidR="00683F4A" w:rsidRPr="003B552F" w:rsidRDefault="00683F4A" w:rsidP="009657E1">
            <w:pPr>
              <w:spacing w:after="0"/>
              <w:jc w:val="left"/>
              <w:rPr>
                <w:rFonts w:ascii="Arial Narrow" w:eastAsia="Times New Roman" w:hAnsi="Arial Narrow"/>
                <w:sz w:val="20"/>
                <w:szCs w:val="20"/>
                <w:lang w:eastAsia="en-GB"/>
              </w:rPr>
            </w:pPr>
            <w:r w:rsidRPr="003B552F">
              <w:rPr>
                <w:rFonts w:ascii="Arial Narrow" w:eastAsia="Times New Roman" w:hAnsi="Arial Narrow"/>
                <w:sz w:val="20"/>
                <w:szCs w:val="20"/>
                <w:lang w:eastAsia="en-GB"/>
              </w:rPr>
              <w:t>UNDP</w:t>
            </w:r>
          </w:p>
        </w:tc>
        <w:tc>
          <w:tcPr>
            <w:tcW w:w="992" w:type="dxa"/>
            <w:tcBorders>
              <w:top w:val="nil"/>
              <w:left w:val="nil"/>
              <w:bottom w:val="single" w:sz="4" w:space="0" w:color="auto"/>
              <w:right w:val="single" w:sz="4" w:space="0" w:color="auto"/>
            </w:tcBorders>
            <w:shd w:val="clear" w:color="auto" w:fill="auto"/>
            <w:hideMark/>
          </w:tcPr>
          <w:p w14:paraId="446FC95D"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20,000 </w:t>
            </w:r>
          </w:p>
        </w:tc>
        <w:tc>
          <w:tcPr>
            <w:tcW w:w="998" w:type="dxa"/>
            <w:gridSpan w:val="3"/>
            <w:tcBorders>
              <w:top w:val="nil"/>
              <w:left w:val="nil"/>
              <w:bottom w:val="single" w:sz="4" w:space="0" w:color="auto"/>
              <w:right w:val="single" w:sz="4" w:space="0" w:color="auto"/>
            </w:tcBorders>
            <w:shd w:val="clear" w:color="auto" w:fill="auto"/>
            <w:hideMark/>
          </w:tcPr>
          <w:p w14:paraId="0F8CBC32"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w:t>
            </w:r>
          </w:p>
        </w:tc>
        <w:tc>
          <w:tcPr>
            <w:tcW w:w="986" w:type="dxa"/>
            <w:gridSpan w:val="2"/>
            <w:tcBorders>
              <w:top w:val="nil"/>
              <w:left w:val="nil"/>
              <w:bottom w:val="single" w:sz="4" w:space="0" w:color="auto"/>
              <w:right w:val="single" w:sz="4" w:space="0" w:color="auto"/>
            </w:tcBorders>
            <w:shd w:val="clear" w:color="auto" w:fill="auto"/>
            <w:hideMark/>
          </w:tcPr>
          <w:p w14:paraId="251C819D"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w:t>
            </w:r>
          </w:p>
        </w:tc>
        <w:tc>
          <w:tcPr>
            <w:tcW w:w="1134" w:type="dxa"/>
            <w:gridSpan w:val="2"/>
            <w:tcBorders>
              <w:top w:val="nil"/>
              <w:left w:val="nil"/>
              <w:bottom w:val="single" w:sz="4" w:space="0" w:color="auto"/>
              <w:right w:val="single" w:sz="8" w:space="0" w:color="auto"/>
            </w:tcBorders>
            <w:shd w:val="clear" w:color="auto" w:fill="auto"/>
            <w:hideMark/>
          </w:tcPr>
          <w:p w14:paraId="51A52765"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20,000 </w:t>
            </w:r>
          </w:p>
        </w:tc>
      </w:tr>
      <w:tr w:rsidR="00683F4A" w:rsidRPr="007D425D" w14:paraId="1396EC6E" w14:textId="77777777" w:rsidTr="009657E1">
        <w:trPr>
          <w:trHeight w:val="168"/>
          <w:jc w:val="center"/>
        </w:trPr>
        <w:tc>
          <w:tcPr>
            <w:tcW w:w="1570" w:type="dxa"/>
            <w:vMerge/>
            <w:tcBorders>
              <w:top w:val="nil"/>
              <w:left w:val="single" w:sz="8" w:space="0" w:color="auto"/>
              <w:bottom w:val="single" w:sz="4" w:space="0" w:color="000000"/>
              <w:right w:val="nil"/>
            </w:tcBorders>
            <w:vAlign w:val="center"/>
            <w:hideMark/>
          </w:tcPr>
          <w:p w14:paraId="3EDC6A8D" w14:textId="77777777" w:rsidR="00683F4A" w:rsidRPr="003B552F" w:rsidRDefault="00683F4A" w:rsidP="009657E1">
            <w:pPr>
              <w:spacing w:after="0"/>
              <w:jc w:val="left"/>
              <w:rPr>
                <w:rFonts w:ascii="Arial Narrow" w:eastAsia="Times New Roman" w:hAnsi="Arial Narrow"/>
                <w:b/>
                <w:bCs/>
                <w:sz w:val="20"/>
                <w:szCs w:val="20"/>
                <w:lang w:eastAsia="en-GB"/>
              </w:rPr>
            </w:pPr>
          </w:p>
        </w:tc>
        <w:tc>
          <w:tcPr>
            <w:tcW w:w="7842"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8F07426" w14:textId="71FF0ED1" w:rsidR="00683F4A" w:rsidRPr="00CD56B9" w:rsidRDefault="00683F4A" w:rsidP="009657E1">
            <w:pPr>
              <w:spacing w:after="0"/>
              <w:jc w:val="left"/>
              <w:rPr>
                <w:rFonts w:ascii="Arial Narrow" w:eastAsia="Times New Roman" w:hAnsi="Arial Narrow"/>
                <w:sz w:val="20"/>
                <w:szCs w:val="20"/>
                <w:lang w:val="en-US" w:eastAsia="en-GB"/>
              </w:rPr>
            </w:pPr>
            <w:r w:rsidRPr="00CD56B9">
              <w:rPr>
                <w:rFonts w:ascii="Arial Narrow" w:eastAsia="Times New Roman" w:hAnsi="Arial Narrow"/>
                <w:sz w:val="20"/>
                <w:szCs w:val="20"/>
                <w:lang w:val="en-US" w:eastAsia="en-GB"/>
              </w:rPr>
              <w:t xml:space="preserve">C: 70 village rights </w:t>
            </w:r>
            <w:r w:rsidR="003F4020" w:rsidRPr="00CD56B9">
              <w:rPr>
                <w:rFonts w:ascii="Arial Narrow" w:eastAsia="Times New Roman" w:hAnsi="Arial Narrow"/>
                <w:sz w:val="20"/>
                <w:szCs w:val="20"/>
                <w:lang w:val="en-US" w:eastAsia="en-GB"/>
              </w:rPr>
              <w:t>committees</w:t>
            </w:r>
            <w:r w:rsidRPr="00CD56B9">
              <w:rPr>
                <w:rFonts w:ascii="Arial Narrow" w:eastAsia="Times New Roman" w:hAnsi="Arial Narrow"/>
                <w:sz w:val="20"/>
                <w:szCs w:val="20"/>
                <w:lang w:val="en-US" w:eastAsia="en-GB"/>
              </w:rPr>
              <w:t xml:space="preserve"> in 21 districts established and oriented on good governance (UNDP)                                                 </w:t>
            </w:r>
          </w:p>
        </w:tc>
        <w:tc>
          <w:tcPr>
            <w:tcW w:w="1230" w:type="dxa"/>
            <w:tcBorders>
              <w:top w:val="nil"/>
              <w:left w:val="nil"/>
              <w:bottom w:val="single" w:sz="4" w:space="0" w:color="auto"/>
              <w:right w:val="single" w:sz="4" w:space="0" w:color="auto"/>
            </w:tcBorders>
            <w:shd w:val="clear" w:color="auto" w:fill="auto"/>
            <w:hideMark/>
          </w:tcPr>
          <w:p w14:paraId="2BA48FE0" w14:textId="77777777" w:rsidR="00683F4A" w:rsidRPr="003B552F" w:rsidRDefault="00683F4A" w:rsidP="009657E1">
            <w:pPr>
              <w:spacing w:after="0"/>
              <w:jc w:val="left"/>
              <w:rPr>
                <w:rFonts w:ascii="Arial Narrow" w:eastAsia="Times New Roman" w:hAnsi="Arial Narrow"/>
                <w:sz w:val="20"/>
                <w:szCs w:val="20"/>
                <w:lang w:eastAsia="en-GB"/>
              </w:rPr>
            </w:pPr>
            <w:r w:rsidRPr="003B552F">
              <w:rPr>
                <w:rFonts w:ascii="Arial Narrow" w:eastAsia="Times New Roman" w:hAnsi="Arial Narrow"/>
                <w:sz w:val="20"/>
                <w:szCs w:val="20"/>
                <w:lang w:eastAsia="en-GB"/>
              </w:rPr>
              <w:t>UNDP</w:t>
            </w:r>
          </w:p>
        </w:tc>
        <w:tc>
          <w:tcPr>
            <w:tcW w:w="992" w:type="dxa"/>
            <w:tcBorders>
              <w:top w:val="nil"/>
              <w:left w:val="nil"/>
              <w:bottom w:val="single" w:sz="4" w:space="0" w:color="auto"/>
              <w:right w:val="single" w:sz="4" w:space="0" w:color="auto"/>
            </w:tcBorders>
            <w:shd w:val="clear" w:color="auto" w:fill="auto"/>
            <w:hideMark/>
          </w:tcPr>
          <w:p w14:paraId="63305572"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600,000 </w:t>
            </w:r>
          </w:p>
        </w:tc>
        <w:tc>
          <w:tcPr>
            <w:tcW w:w="998" w:type="dxa"/>
            <w:gridSpan w:val="3"/>
            <w:tcBorders>
              <w:top w:val="nil"/>
              <w:left w:val="nil"/>
              <w:bottom w:val="single" w:sz="4" w:space="0" w:color="auto"/>
              <w:right w:val="single" w:sz="4" w:space="0" w:color="auto"/>
            </w:tcBorders>
            <w:shd w:val="clear" w:color="auto" w:fill="auto"/>
            <w:hideMark/>
          </w:tcPr>
          <w:p w14:paraId="504AE4C8"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600,000 </w:t>
            </w:r>
          </w:p>
        </w:tc>
        <w:tc>
          <w:tcPr>
            <w:tcW w:w="986" w:type="dxa"/>
            <w:gridSpan w:val="2"/>
            <w:tcBorders>
              <w:top w:val="nil"/>
              <w:left w:val="nil"/>
              <w:bottom w:val="single" w:sz="4" w:space="0" w:color="auto"/>
              <w:right w:val="single" w:sz="4" w:space="0" w:color="auto"/>
            </w:tcBorders>
            <w:shd w:val="clear" w:color="auto" w:fill="auto"/>
            <w:hideMark/>
          </w:tcPr>
          <w:p w14:paraId="6437BBD9"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800,000 </w:t>
            </w:r>
          </w:p>
        </w:tc>
        <w:tc>
          <w:tcPr>
            <w:tcW w:w="1134" w:type="dxa"/>
            <w:gridSpan w:val="2"/>
            <w:tcBorders>
              <w:top w:val="nil"/>
              <w:left w:val="nil"/>
              <w:bottom w:val="single" w:sz="4" w:space="0" w:color="auto"/>
              <w:right w:val="single" w:sz="8" w:space="0" w:color="auto"/>
            </w:tcBorders>
            <w:shd w:val="clear" w:color="auto" w:fill="auto"/>
            <w:hideMark/>
          </w:tcPr>
          <w:p w14:paraId="492E62F3"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2,000,000 </w:t>
            </w:r>
          </w:p>
        </w:tc>
      </w:tr>
      <w:tr w:rsidR="00683F4A" w:rsidRPr="007D425D" w14:paraId="131338AE" w14:textId="77777777" w:rsidTr="009657E1">
        <w:trPr>
          <w:trHeight w:val="179"/>
          <w:jc w:val="center"/>
        </w:trPr>
        <w:tc>
          <w:tcPr>
            <w:tcW w:w="1570" w:type="dxa"/>
            <w:vMerge/>
            <w:tcBorders>
              <w:top w:val="nil"/>
              <w:left w:val="single" w:sz="8" w:space="0" w:color="auto"/>
              <w:bottom w:val="single" w:sz="4" w:space="0" w:color="000000"/>
              <w:right w:val="nil"/>
            </w:tcBorders>
            <w:vAlign w:val="center"/>
            <w:hideMark/>
          </w:tcPr>
          <w:p w14:paraId="1FF8FDDF" w14:textId="77777777" w:rsidR="00683F4A" w:rsidRPr="003B552F" w:rsidRDefault="00683F4A" w:rsidP="009657E1">
            <w:pPr>
              <w:spacing w:after="0"/>
              <w:jc w:val="left"/>
              <w:rPr>
                <w:rFonts w:ascii="Arial Narrow" w:eastAsia="Times New Roman" w:hAnsi="Arial Narrow"/>
                <w:b/>
                <w:bCs/>
                <w:sz w:val="20"/>
                <w:szCs w:val="20"/>
                <w:lang w:eastAsia="en-GB"/>
              </w:rPr>
            </w:pPr>
          </w:p>
        </w:tc>
        <w:tc>
          <w:tcPr>
            <w:tcW w:w="7842" w:type="dxa"/>
            <w:gridSpan w:val="5"/>
            <w:tcBorders>
              <w:top w:val="single" w:sz="4" w:space="0" w:color="auto"/>
              <w:left w:val="single" w:sz="4" w:space="0" w:color="auto"/>
              <w:bottom w:val="nil"/>
              <w:right w:val="single" w:sz="4" w:space="0" w:color="000000"/>
            </w:tcBorders>
            <w:shd w:val="clear" w:color="auto" w:fill="auto"/>
            <w:hideMark/>
          </w:tcPr>
          <w:p w14:paraId="2E30198C" w14:textId="77777777" w:rsidR="00683F4A" w:rsidRPr="003B552F" w:rsidRDefault="00683F4A" w:rsidP="009657E1">
            <w:pPr>
              <w:spacing w:after="0"/>
              <w:jc w:val="left"/>
              <w:rPr>
                <w:rFonts w:ascii="Arial Narrow" w:eastAsia="Times New Roman" w:hAnsi="Arial Narrow"/>
                <w:sz w:val="20"/>
                <w:szCs w:val="20"/>
                <w:lang w:eastAsia="en-GB"/>
              </w:rPr>
            </w:pPr>
            <w:r w:rsidRPr="00CD56B9">
              <w:rPr>
                <w:rFonts w:ascii="Arial Narrow" w:eastAsia="Times New Roman" w:hAnsi="Arial Narrow"/>
                <w:sz w:val="20"/>
                <w:szCs w:val="20"/>
                <w:lang w:val="en-US" w:eastAsia="en-GB"/>
              </w:rPr>
              <w:t xml:space="preserve">D: Capacity of government and civil society for preparation of CRC and African Charter report strengthened. </w:t>
            </w:r>
            <w:r w:rsidRPr="003B552F">
              <w:rPr>
                <w:rFonts w:ascii="Arial Narrow" w:eastAsia="Times New Roman" w:hAnsi="Arial Narrow"/>
                <w:sz w:val="20"/>
                <w:szCs w:val="20"/>
                <w:lang w:eastAsia="en-GB"/>
              </w:rPr>
              <w:t>(UNICEF)</w:t>
            </w:r>
          </w:p>
        </w:tc>
        <w:tc>
          <w:tcPr>
            <w:tcW w:w="1230" w:type="dxa"/>
            <w:tcBorders>
              <w:top w:val="nil"/>
              <w:left w:val="nil"/>
              <w:bottom w:val="nil"/>
              <w:right w:val="single" w:sz="4" w:space="0" w:color="auto"/>
            </w:tcBorders>
            <w:shd w:val="clear" w:color="auto" w:fill="auto"/>
            <w:hideMark/>
          </w:tcPr>
          <w:p w14:paraId="0650D8EB" w14:textId="77777777" w:rsidR="00683F4A" w:rsidRPr="003B552F" w:rsidRDefault="00683F4A" w:rsidP="009657E1">
            <w:pPr>
              <w:spacing w:after="0"/>
              <w:jc w:val="left"/>
              <w:rPr>
                <w:rFonts w:ascii="Arial Narrow" w:eastAsia="Times New Roman" w:hAnsi="Arial Narrow"/>
                <w:sz w:val="20"/>
                <w:szCs w:val="20"/>
                <w:lang w:eastAsia="en-GB"/>
              </w:rPr>
            </w:pPr>
            <w:r w:rsidRPr="003B552F">
              <w:rPr>
                <w:rFonts w:ascii="Arial Narrow" w:eastAsia="Times New Roman" w:hAnsi="Arial Narrow"/>
                <w:sz w:val="20"/>
                <w:szCs w:val="20"/>
                <w:lang w:eastAsia="en-GB"/>
              </w:rPr>
              <w:t>UNICEF</w:t>
            </w:r>
          </w:p>
        </w:tc>
        <w:tc>
          <w:tcPr>
            <w:tcW w:w="992" w:type="dxa"/>
            <w:tcBorders>
              <w:top w:val="nil"/>
              <w:left w:val="nil"/>
              <w:bottom w:val="nil"/>
              <w:right w:val="single" w:sz="4" w:space="0" w:color="auto"/>
            </w:tcBorders>
            <w:shd w:val="clear" w:color="auto" w:fill="auto"/>
            <w:hideMark/>
          </w:tcPr>
          <w:p w14:paraId="669E66AB"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35,000 </w:t>
            </w:r>
          </w:p>
        </w:tc>
        <w:tc>
          <w:tcPr>
            <w:tcW w:w="998" w:type="dxa"/>
            <w:gridSpan w:val="3"/>
            <w:tcBorders>
              <w:top w:val="nil"/>
              <w:left w:val="nil"/>
              <w:bottom w:val="nil"/>
              <w:right w:val="single" w:sz="4" w:space="0" w:color="auto"/>
            </w:tcBorders>
            <w:shd w:val="clear" w:color="auto" w:fill="auto"/>
            <w:hideMark/>
          </w:tcPr>
          <w:p w14:paraId="65D589E8"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w:t>
            </w:r>
          </w:p>
        </w:tc>
        <w:tc>
          <w:tcPr>
            <w:tcW w:w="986" w:type="dxa"/>
            <w:gridSpan w:val="2"/>
            <w:tcBorders>
              <w:top w:val="nil"/>
              <w:left w:val="nil"/>
              <w:bottom w:val="nil"/>
              <w:right w:val="single" w:sz="4" w:space="0" w:color="auto"/>
            </w:tcBorders>
            <w:shd w:val="clear" w:color="auto" w:fill="auto"/>
            <w:hideMark/>
          </w:tcPr>
          <w:p w14:paraId="4C1876AD"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25,000 </w:t>
            </w:r>
          </w:p>
        </w:tc>
        <w:tc>
          <w:tcPr>
            <w:tcW w:w="1134" w:type="dxa"/>
            <w:gridSpan w:val="2"/>
            <w:tcBorders>
              <w:top w:val="nil"/>
              <w:left w:val="nil"/>
              <w:bottom w:val="nil"/>
              <w:right w:val="single" w:sz="8" w:space="0" w:color="auto"/>
            </w:tcBorders>
            <w:shd w:val="clear" w:color="auto" w:fill="auto"/>
            <w:hideMark/>
          </w:tcPr>
          <w:p w14:paraId="618DAC2E"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60,000 </w:t>
            </w:r>
          </w:p>
        </w:tc>
      </w:tr>
      <w:tr w:rsidR="00683F4A" w:rsidRPr="007D425D" w14:paraId="337C1E28" w14:textId="77777777" w:rsidTr="009657E1">
        <w:trPr>
          <w:trHeight w:val="179"/>
          <w:jc w:val="center"/>
        </w:trPr>
        <w:tc>
          <w:tcPr>
            <w:tcW w:w="1570" w:type="dxa"/>
            <w:vMerge/>
            <w:tcBorders>
              <w:top w:val="nil"/>
              <w:left w:val="single" w:sz="8" w:space="0" w:color="auto"/>
              <w:bottom w:val="single" w:sz="4" w:space="0" w:color="000000"/>
              <w:right w:val="nil"/>
            </w:tcBorders>
            <w:vAlign w:val="center"/>
            <w:hideMark/>
          </w:tcPr>
          <w:p w14:paraId="63722820" w14:textId="77777777" w:rsidR="00683F4A" w:rsidRPr="003B552F" w:rsidRDefault="00683F4A" w:rsidP="009657E1">
            <w:pPr>
              <w:spacing w:after="0"/>
              <w:jc w:val="left"/>
              <w:rPr>
                <w:rFonts w:ascii="Arial Narrow" w:eastAsia="Times New Roman" w:hAnsi="Arial Narrow"/>
                <w:b/>
                <w:bCs/>
                <w:sz w:val="20"/>
                <w:szCs w:val="20"/>
                <w:lang w:eastAsia="en-GB"/>
              </w:rPr>
            </w:pPr>
          </w:p>
        </w:tc>
        <w:tc>
          <w:tcPr>
            <w:tcW w:w="7842" w:type="dxa"/>
            <w:gridSpan w:val="5"/>
            <w:tcBorders>
              <w:top w:val="single" w:sz="8" w:space="0" w:color="auto"/>
              <w:left w:val="single" w:sz="8" w:space="0" w:color="auto"/>
              <w:bottom w:val="single" w:sz="8" w:space="0" w:color="auto"/>
              <w:right w:val="single" w:sz="4" w:space="0" w:color="000000"/>
            </w:tcBorders>
            <w:shd w:val="clear" w:color="auto" w:fill="auto"/>
            <w:hideMark/>
          </w:tcPr>
          <w:p w14:paraId="2D7A4751" w14:textId="60E8649B" w:rsidR="00683F4A" w:rsidRPr="00CD56B9" w:rsidRDefault="00683F4A" w:rsidP="009657E1">
            <w:pPr>
              <w:spacing w:after="0"/>
              <w:jc w:val="left"/>
              <w:rPr>
                <w:rFonts w:ascii="Arial Narrow" w:eastAsia="Times New Roman" w:hAnsi="Arial Narrow"/>
                <w:b/>
                <w:bCs/>
                <w:color w:val="FF0000"/>
                <w:sz w:val="20"/>
                <w:szCs w:val="20"/>
                <w:lang w:val="en-US" w:eastAsia="en-GB"/>
              </w:rPr>
            </w:pPr>
            <w:r w:rsidRPr="00CD56B9">
              <w:rPr>
                <w:rFonts w:ascii="Arial Narrow" w:eastAsia="Times New Roman" w:hAnsi="Arial Narrow"/>
                <w:b/>
                <w:bCs/>
                <w:color w:val="FF0000"/>
                <w:sz w:val="20"/>
                <w:szCs w:val="20"/>
                <w:lang w:val="en-US" w:eastAsia="en-GB"/>
              </w:rPr>
              <w:t xml:space="preserve">4.1.5-Total Budget for </w:t>
            </w:r>
            <w:r w:rsidR="003F4020" w:rsidRPr="00CD56B9">
              <w:rPr>
                <w:rFonts w:ascii="Arial Narrow" w:eastAsia="Times New Roman" w:hAnsi="Arial Narrow"/>
                <w:b/>
                <w:bCs/>
                <w:color w:val="FF0000"/>
                <w:sz w:val="20"/>
                <w:szCs w:val="20"/>
                <w:lang w:val="en-US" w:eastAsia="en-GB"/>
              </w:rPr>
              <w:t>Annualized</w:t>
            </w:r>
            <w:r w:rsidRPr="00CD56B9">
              <w:rPr>
                <w:rFonts w:ascii="Arial Narrow" w:eastAsia="Times New Roman" w:hAnsi="Arial Narrow"/>
                <w:b/>
                <w:bCs/>
                <w:color w:val="FF0000"/>
                <w:sz w:val="20"/>
                <w:szCs w:val="20"/>
                <w:lang w:val="en-US" w:eastAsia="en-GB"/>
              </w:rPr>
              <w:t xml:space="preserve"> Key Results for 2013</w:t>
            </w:r>
          </w:p>
        </w:tc>
        <w:tc>
          <w:tcPr>
            <w:tcW w:w="1230" w:type="dxa"/>
            <w:tcBorders>
              <w:top w:val="single" w:sz="8" w:space="0" w:color="auto"/>
              <w:left w:val="nil"/>
              <w:bottom w:val="single" w:sz="8" w:space="0" w:color="auto"/>
              <w:right w:val="single" w:sz="4" w:space="0" w:color="auto"/>
            </w:tcBorders>
            <w:shd w:val="clear" w:color="auto" w:fill="auto"/>
            <w:hideMark/>
          </w:tcPr>
          <w:p w14:paraId="470EB349" w14:textId="77777777" w:rsidR="00683F4A" w:rsidRPr="00CD56B9" w:rsidRDefault="00683F4A" w:rsidP="009657E1">
            <w:pPr>
              <w:spacing w:after="0"/>
              <w:jc w:val="left"/>
              <w:rPr>
                <w:rFonts w:ascii="Arial Narrow" w:eastAsia="Times New Roman" w:hAnsi="Arial Narrow"/>
                <w:b/>
                <w:bCs/>
                <w:color w:val="FF0000"/>
                <w:sz w:val="20"/>
                <w:szCs w:val="20"/>
                <w:lang w:val="en-US" w:eastAsia="en-GB"/>
              </w:rPr>
            </w:pPr>
            <w:r w:rsidRPr="00CD56B9">
              <w:rPr>
                <w:rFonts w:ascii="Arial Narrow" w:eastAsia="Times New Roman" w:hAnsi="Arial Narrow"/>
                <w:b/>
                <w:bCs/>
                <w:color w:val="FF0000"/>
                <w:sz w:val="20"/>
                <w:szCs w:val="20"/>
                <w:lang w:val="en-US" w:eastAsia="en-GB"/>
              </w:rPr>
              <w:t> </w:t>
            </w:r>
          </w:p>
        </w:tc>
        <w:tc>
          <w:tcPr>
            <w:tcW w:w="992" w:type="dxa"/>
            <w:tcBorders>
              <w:top w:val="single" w:sz="8" w:space="0" w:color="auto"/>
              <w:left w:val="nil"/>
              <w:bottom w:val="single" w:sz="8" w:space="0" w:color="auto"/>
              <w:right w:val="single" w:sz="4" w:space="0" w:color="auto"/>
            </w:tcBorders>
            <w:shd w:val="clear" w:color="auto" w:fill="auto"/>
            <w:hideMark/>
          </w:tcPr>
          <w:p w14:paraId="1A00CE97" w14:textId="77777777" w:rsidR="00683F4A" w:rsidRPr="003B552F" w:rsidRDefault="00683F4A" w:rsidP="009657E1">
            <w:pPr>
              <w:spacing w:after="0"/>
              <w:jc w:val="right"/>
              <w:rPr>
                <w:rFonts w:ascii="Arial Narrow" w:eastAsia="Times New Roman" w:hAnsi="Arial Narrow"/>
                <w:b/>
                <w:bCs/>
                <w:color w:val="FF0000"/>
                <w:sz w:val="20"/>
                <w:szCs w:val="20"/>
                <w:lang w:eastAsia="en-GB"/>
              </w:rPr>
            </w:pPr>
            <w:r w:rsidRPr="00CD56B9">
              <w:rPr>
                <w:rFonts w:ascii="Arial Narrow" w:eastAsia="Times New Roman" w:hAnsi="Arial Narrow"/>
                <w:b/>
                <w:bCs/>
                <w:color w:val="FF0000"/>
                <w:sz w:val="20"/>
                <w:szCs w:val="20"/>
                <w:lang w:val="en-US" w:eastAsia="en-GB"/>
              </w:rPr>
              <w:t xml:space="preserve">           </w:t>
            </w:r>
            <w:r w:rsidRPr="003B552F">
              <w:rPr>
                <w:rFonts w:ascii="Arial Narrow" w:eastAsia="Times New Roman" w:hAnsi="Arial Narrow"/>
                <w:b/>
                <w:bCs/>
                <w:color w:val="FF0000"/>
                <w:sz w:val="20"/>
                <w:szCs w:val="20"/>
                <w:lang w:eastAsia="en-GB"/>
              </w:rPr>
              <w:t xml:space="preserve">655,000 </w:t>
            </w:r>
          </w:p>
        </w:tc>
        <w:tc>
          <w:tcPr>
            <w:tcW w:w="998" w:type="dxa"/>
            <w:gridSpan w:val="3"/>
            <w:tcBorders>
              <w:top w:val="single" w:sz="8" w:space="0" w:color="auto"/>
              <w:left w:val="nil"/>
              <w:bottom w:val="single" w:sz="8" w:space="0" w:color="auto"/>
              <w:right w:val="single" w:sz="4" w:space="0" w:color="auto"/>
            </w:tcBorders>
            <w:shd w:val="clear" w:color="auto" w:fill="auto"/>
            <w:hideMark/>
          </w:tcPr>
          <w:p w14:paraId="2C022CE1" w14:textId="77777777" w:rsidR="00683F4A" w:rsidRPr="003B552F" w:rsidRDefault="00683F4A" w:rsidP="009657E1">
            <w:pPr>
              <w:spacing w:after="0"/>
              <w:jc w:val="right"/>
              <w:rPr>
                <w:rFonts w:ascii="Arial Narrow" w:eastAsia="Times New Roman" w:hAnsi="Arial Narrow"/>
                <w:b/>
                <w:bCs/>
                <w:color w:val="FF0000"/>
                <w:sz w:val="20"/>
                <w:szCs w:val="20"/>
                <w:lang w:eastAsia="en-GB"/>
              </w:rPr>
            </w:pPr>
            <w:r w:rsidRPr="003B552F">
              <w:rPr>
                <w:rFonts w:ascii="Arial Narrow" w:eastAsia="Times New Roman" w:hAnsi="Arial Narrow"/>
                <w:b/>
                <w:bCs/>
                <w:color w:val="FF0000"/>
                <w:sz w:val="20"/>
                <w:szCs w:val="20"/>
                <w:lang w:eastAsia="en-GB"/>
              </w:rPr>
              <w:t xml:space="preserve">            600,000 </w:t>
            </w:r>
          </w:p>
        </w:tc>
        <w:tc>
          <w:tcPr>
            <w:tcW w:w="986" w:type="dxa"/>
            <w:gridSpan w:val="2"/>
            <w:tcBorders>
              <w:top w:val="single" w:sz="8" w:space="0" w:color="auto"/>
              <w:left w:val="nil"/>
              <w:bottom w:val="single" w:sz="8" w:space="0" w:color="auto"/>
              <w:right w:val="single" w:sz="4" w:space="0" w:color="auto"/>
            </w:tcBorders>
            <w:shd w:val="clear" w:color="auto" w:fill="auto"/>
            <w:hideMark/>
          </w:tcPr>
          <w:p w14:paraId="6A808C27" w14:textId="77777777" w:rsidR="00683F4A" w:rsidRPr="003B552F" w:rsidRDefault="00683F4A" w:rsidP="009657E1">
            <w:pPr>
              <w:spacing w:after="0"/>
              <w:jc w:val="right"/>
              <w:rPr>
                <w:rFonts w:ascii="Arial Narrow" w:eastAsia="Times New Roman" w:hAnsi="Arial Narrow"/>
                <w:b/>
                <w:bCs/>
                <w:color w:val="FF0000"/>
                <w:sz w:val="20"/>
                <w:szCs w:val="20"/>
                <w:lang w:eastAsia="en-GB"/>
              </w:rPr>
            </w:pPr>
            <w:r w:rsidRPr="003B552F">
              <w:rPr>
                <w:rFonts w:ascii="Arial Narrow" w:eastAsia="Times New Roman" w:hAnsi="Arial Narrow"/>
                <w:b/>
                <w:bCs/>
                <w:color w:val="FF0000"/>
                <w:sz w:val="20"/>
                <w:szCs w:val="20"/>
                <w:lang w:eastAsia="en-GB"/>
              </w:rPr>
              <w:t xml:space="preserve">           825,000 </w:t>
            </w:r>
          </w:p>
        </w:tc>
        <w:tc>
          <w:tcPr>
            <w:tcW w:w="1134" w:type="dxa"/>
            <w:gridSpan w:val="2"/>
            <w:tcBorders>
              <w:top w:val="single" w:sz="8" w:space="0" w:color="auto"/>
              <w:left w:val="nil"/>
              <w:bottom w:val="single" w:sz="8" w:space="0" w:color="auto"/>
              <w:right w:val="single" w:sz="8" w:space="0" w:color="auto"/>
            </w:tcBorders>
            <w:shd w:val="clear" w:color="auto" w:fill="auto"/>
            <w:hideMark/>
          </w:tcPr>
          <w:p w14:paraId="608D9AE5" w14:textId="77777777" w:rsidR="00683F4A" w:rsidRPr="003B552F" w:rsidRDefault="00683F4A" w:rsidP="009657E1">
            <w:pPr>
              <w:spacing w:after="0"/>
              <w:jc w:val="right"/>
              <w:rPr>
                <w:rFonts w:ascii="Arial Narrow" w:eastAsia="Times New Roman" w:hAnsi="Arial Narrow"/>
                <w:b/>
                <w:bCs/>
                <w:color w:val="FF0000"/>
                <w:sz w:val="20"/>
                <w:szCs w:val="20"/>
                <w:lang w:eastAsia="en-GB"/>
              </w:rPr>
            </w:pPr>
            <w:r w:rsidRPr="003B552F">
              <w:rPr>
                <w:rFonts w:ascii="Arial Narrow" w:eastAsia="Times New Roman" w:hAnsi="Arial Narrow"/>
                <w:b/>
                <w:bCs/>
                <w:color w:val="FF0000"/>
                <w:sz w:val="20"/>
                <w:szCs w:val="20"/>
                <w:lang w:eastAsia="en-GB"/>
              </w:rPr>
              <w:t xml:space="preserve">          2,080,000 </w:t>
            </w:r>
          </w:p>
        </w:tc>
      </w:tr>
      <w:tr w:rsidR="00683F4A" w:rsidRPr="007D425D" w14:paraId="04D13D6D" w14:textId="77777777" w:rsidTr="009657E1">
        <w:trPr>
          <w:trHeight w:val="168"/>
          <w:jc w:val="center"/>
        </w:trPr>
        <w:tc>
          <w:tcPr>
            <w:tcW w:w="1570" w:type="dxa"/>
            <w:vMerge w:val="restart"/>
            <w:tcBorders>
              <w:top w:val="nil"/>
              <w:left w:val="single" w:sz="8" w:space="0" w:color="auto"/>
              <w:bottom w:val="single" w:sz="4" w:space="0" w:color="000000"/>
              <w:right w:val="nil"/>
            </w:tcBorders>
            <w:shd w:val="clear" w:color="auto" w:fill="auto"/>
            <w:hideMark/>
          </w:tcPr>
          <w:p w14:paraId="3B9DABA4" w14:textId="77777777" w:rsidR="00683F4A" w:rsidRPr="003B552F" w:rsidRDefault="00683F4A" w:rsidP="009657E1">
            <w:pPr>
              <w:spacing w:after="0"/>
              <w:jc w:val="left"/>
              <w:rPr>
                <w:rFonts w:ascii="Arial Narrow" w:eastAsia="Times New Roman" w:hAnsi="Arial Narrow"/>
                <w:b/>
                <w:bCs/>
                <w:sz w:val="20"/>
                <w:szCs w:val="20"/>
                <w:lang w:eastAsia="en-GB"/>
              </w:rPr>
            </w:pPr>
            <w:r w:rsidRPr="003B552F">
              <w:rPr>
                <w:rFonts w:ascii="Arial Narrow" w:eastAsia="Times New Roman" w:hAnsi="Arial Narrow"/>
                <w:b/>
                <w:bCs/>
                <w:sz w:val="20"/>
                <w:szCs w:val="20"/>
                <w:lang w:eastAsia="en-GB"/>
              </w:rPr>
              <w:t>Annualized Key Results 2014</w:t>
            </w:r>
          </w:p>
        </w:tc>
        <w:tc>
          <w:tcPr>
            <w:tcW w:w="7842" w:type="dxa"/>
            <w:gridSpan w:val="5"/>
            <w:tcBorders>
              <w:top w:val="nil"/>
              <w:left w:val="single" w:sz="4" w:space="0" w:color="auto"/>
              <w:bottom w:val="single" w:sz="4" w:space="0" w:color="auto"/>
              <w:right w:val="single" w:sz="4" w:space="0" w:color="000000"/>
            </w:tcBorders>
            <w:shd w:val="clear" w:color="auto" w:fill="auto"/>
            <w:hideMark/>
          </w:tcPr>
          <w:p w14:paraId="2ACE7484" w14:textId="77777777" w:rsidR="00683F4A" w:rsidRPr="00CD56B9" w:rsidRDefault="00683F4A" w:rsidP="009657E1">
            <w:pPr>
              <w:spacing w:after="0"/>
              <w:jc w:val="left"/>
              <w:rPr>
                <w:rFonts w:ascii="Arial Narrow" w:eastAsia="Times New Roman" w:hAnsi="Arial Narrow"/>
                <w:sz w:val="20"/>
                <w:szCs w:val="20"/>
                <w:lang w:val="en-US" w:eastAsia="en-GB"/>
              </w:rPr>
            </w:pPr>
            <w:r w:rsidRPr="00CD56B9">
              <w:rPr>
                <w:rFonts w:ascii="Arial Narrow" w:eastAsia="Times New Roman" w:hAnsi="Arial Narrow"/>
                <w:sz w:val="20"/>
                <w:szCs w:val="20"/>
                <w:lang w:val="en-US" w:eastAsia="en-GB"/>
              </w:rPr>
              <w:t>B: A National Human Rights Action Plan aligned with the DG Sector strategy in place (UNDP)</w:t>
            </w:r>
            <w:r w:rsidRPr="00CD56B9">
              <w:rPr>
                <w:rFonts w:ascii="Arial Narrow" w:eastAsia="Times New Roman" w:hAnsi="Arial Narrow"/>
                <w:sz w:val="20"/>
                <w:szCs w:val="20"/>
                <w:lang w:val="en-US" w:eastAsia="en-GB"/>
              </w:rPr>
              <w:br/>
              <w:t xml:space="preserve">                  </w:t>
            </w:r>
          </w:p>
        </w:tc>
        <w:tc>
          <w:tcPr>
            <w:tcW w:w="1230" w:type="dxa"/>
            <w:tcBorders>
              <w:top w:val="nil"/>
              <w:left w:val="nil"/>
              <w:bottom w:val="single" w:sz="4" w:space="0" w:color="auto"/>
              <w:right w:val="single" w:sz="4" w:space="0" w:color="auto"/>
            </w:tcBorders>
            <w:shd w:val="clear" w:color="auto" w:fill="auto"/>
            <w:hideMark/>
          </w:tcPr>
          <w:p w14:paraId="4D58BFCC" w14:textId="77777777" w:rsidR="00683F4A" w:rsidRPr="003B552F" w:rsidRDefault="00683F4A" w:rsidP="009657E1">
            <w:pPr>
              <w:spacing w:after="0"/>
              <w:jc w:val="left"/>
              <w:rPr>
                <w:rFonts w:ascii="Arial Narrow" w:eastAsia="Times New Roman" w:hAnsi="Arial Narrow"/>
                <w:sz w:val="20"/>
                <w:szCs w:val="20"/>
                <w:lang w:eastAsia="en-GB"/>
              </w:rPr>
            </w:pPr>
            <w:r w:rsidRPr="003B552F">
              <w:rPr>
                <w:rFonts w:ascii="Arial Narrow" w:eastAsia="Times New Roman" w:hAnsi="Arial Narrow"/>
                <w:sz w:val="20"/>
                <w:szCs w:val="20"/>
                <w:lang w:eastAsia="en-GB"/>
              </w:rPr>
              <w:t>UNDP</w:t>
            </w:r>
          </w:p>
        </w:tc>
        <w:tc>
          <w:tcPr>
            <w:tcW w:w="992" w:type="dxa"/>
            <w:tcBorders>
              <w:top w:val="nil"/>
              <w:left w:val="nil"/>
              <w:bottom w:val="single" w:sz="4" w:space="0" w:color="auto"/>
              <w:right w:val="single" w:sz="4" w:space="0" w:color="auto"/>
            </w:tcBorders>
            <w:shd w:val="clear" w:color="auto" w:fill="auto"/>
            <w:hideMark/>
          </w:tcPr>
          <w:p w14:paraId="60C2D8C3"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20,000 </w:t>
            </w:r>
          </w:p>
        </w:tc>
        <w:tc>
          <w:tcPr>
            <w:tcW w:w="998" w:type="dxa"/>
            <w:gridSpan w:val="3"/>
            <w:tcBorders>
              <w:top w:val="nil"/>
              <w:left w:val="nil"/>
              <w:bottom w:val="single" w:sz="4" w:space="0" w:color="auto"/>
              <w:right w:val="single" w:sz="4" w:space="0" w:color="auto"/>
            </w:tcBorders>
            <w:shd w:val="clear" w:color="auto" w:fill="auto"/>
            <w:hideMark/>
          </w:tcPr>
          <w:p w14:paraId="2E02A102"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w:t>
            </w:r>
          </w:p>
        </w:tc>
        <w:tc>
          <w:tcPr>
            <w:tcW w:w="986" w:type="dxa"/>
            <w:gridSpan w:val="2"/>
            <w:tcBorders>
              <w:top w:val="nil"/>
              <w:left w:val="nil"/>
              <w:bottom w:val="single" w:sz="4" w:space="0" w:color="auto"/>
              <w:right w:val="single" w:sz="4" w:space="0" w:color="auto"/>
            </w:tcBorders>
            <w:shd w:val="clear" w:color="auto" w:fill="auto"/>
            <w:hideMark/>
          </w:tcPr>
          <w:p w14:paraId="35E7A058"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w:t>
            </w:r>
          </w:p>
        </w:tc>
        <w:tc>
          <w:tcPr>
            <w:tcW w:w="1134" w:type="dxa"/>
            <w:gridSpan w:val="2"/>
            <w:tcBorders>
              <w:top w:val="nil"/>
              <w:left w:val="nil"/>
              <w:bottom w:val="single" w:sz="4" w:space="0" w:color="auto"/>
              <w:right w:val="single" w:sz="8" w:space="0" w:color="auto"/>
            </w:tcBorders>
            <w:shd w:val="clear" w:color="auto" w:fill="auto"/>
            <w:hideMark/>
          </w:tcPr>
          <w:p w14:paraId="11FF28E9"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20,000 </w:t>
            </w:r>
          </w:p>
        </w:tc>
      </w:tr>
      <w:tr w:rsidR="00683F4A" w:rsidRPr="007D425D" w14:paraId="76A67AEF" w14:textId="77777777" w:rsidTr="009657E1">
        <w:trPr>
          <w:trHeight w:val="168"/>
          <w:jc w:val="center"/>
        </w:trPr>
        <w:tc>
          <w:tcPr>
            <w:tcW w:w="1570" w:type="dxa"/>
            <w:vMerge/>
            <w:tcBorders>
              <w:top w:val="nil"/>
              <w:left w:val="single" w:sz="8" w:space="0" w:color="auto"/>
              <w:bottom w:val="single" w:sz="4" w:space="0" w:color="000000"/>
              <w:right w:val="nil"/>
            </w:tcBorders>
            <w:vAlign w:val="center"/>
            <w:hideMark/>
          </w:tcPr>
          <w:p w14:paraId="6A2E3CB6" w14:textId="77777777" w:rsidR="00683F4A" w:rsidRPr="003B552F" w:rsidRDefault="00683F4A" w:rsidP="009657E1">
            <w:pPr>
              <w:spacing w:after="0"/>
              <w:jc w:val="left"/>
              <w:rPr>
                <w:rFonts w:ascii="Arial Narrow" w:eastAsia="Times New Roman" w:hAnsi="Arial Narrow"/>
                <w:b/>
                <w:bCs/>
                <w:sz w:val="20"/>
                <w:szCs w:val="20"/>
                <w:lang w:eastAsia="en-GB"/>
              </w:rPr>
            </w:pPr>
          </w:p>
        </w:tc>
        <w:tc>
          <w:tcPr>
            <w:tcW w:w="7842"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ADC0237" w14:textId="4E6871BD" w:rsidR="00683F4A" w:rsidRPr="00CD56B9" w:rsidRDefault="00683F4A" w:rsidP="009657E1">
            <w:pPr>
              <w:spacing w:after="0"/>
              <w:jc w:val="left"/>
              <w:rPr>
                <w:rFonts w:ascii="Arial Narrow" w:eastAsia="Times New Roman" w:hAnsi="Arial Narrow"/>
                <w:sz w:val="20"/>
                <w:szCs w:val="20"/>
                <w:lang w:val="en-US" w:eastAsia="en-GB"/>
              </w:rPr>
            </w:pPr>
            <w:r w:rsidRPr="00CD56B9">
              <w:rPr>
                <w:rFonts w:ascii="Arial Narrow" w:eastAsia="Times New Roman" w:hAnsi="Arial Narrow"/>
                <w:sz w:val="20"/>
                <w:szCs w:val="20"/>
                <w:lang w:val="en-US" w:eastAsia="en-GB"/>
              </w:rPr>
              <w:t xml:space="preserve">C: Additional 70 village rights </w:t>
            </w:r>
            <w:r w:rsidR="003F4020" w:rsidRPr="00CD56B9">
              <w:rPr>
                <w:rFonts w:ascii="Arial Narrow" w:eastAsia="Times New Roman" w:hAnsi="Arial Narrow"/>
                <w:sz w:val="20"/>
                <w:szCs w:val="20"/>
                <w:lang w:val="en-US" w:eastAsia="en-GB"/>
              </w:rPr>
              <w:t>committees</w:t>
            </w:r>
            <w:r w:rsidRPr="00CD56B9">
              <w:rPr>
                <w:rFonts w:ascii="Arial Narrow" w:eastAsia="Times New Roman" w:hAnsi="Arial Narrow"/>
                <w:sz w:val="20"/>
                <w:szCs w:val="20"/>
                <w:lang w:val="en-US" w:eastAsia="en-GB"/>
              </w:rPr>
              <w:t xml:space="preserve"> in 24 districts established and oriented on good governance (UNDP)              </w:t>
            </w:r>
          </w:p>
        </w:tc>
        <w:tc>
          <w:tcPr>
            <w:tcW w:w="1230" w:type="dxa"/>
            <w:tcBorders>
              <w:top w:val="nil"/>
              <w:left w:val="nil"/>
              <w:bottom w:val="single" w:sz="4" w:space="0" w:color="auto"/>
              <w:right w:val="single" w:sz="4" w:space="0" w:color="auto"/>
            </w:tcBorders>
            <w:shd w:val="clear" w:color="auto" w:fill="auto"/>
            <w:hideMark/>
          </w:tcPr>
          <w:p w14:paraId="354DA144" w14:textId="77777777" w:rsidR="00683F4A" w:rsidRPr="003B552F" w:rsidRDefault="00683F4A" w:rsidP="009657E1">
            <w:pPr>
              <w:spacing w:after="0"/>
              <w:jc w:val="left"/>
              <w:rPr>
                <w:rFonts w:ascii="Arial Narrow" w:eastAsia="Times New Roman" w:hAnsi="Arial Narrow"/>
                <w:sz w:val="20"/>
                <w:szCs w:val="20"/>
                <w:lang w:eastAsia="en-GB"/>
              </w:rPr>
            </w:pPr>
            <w:r w:rsidRPr="003B552F">
              <w:rPr>
                <w:rFonts w:ascii="Arial Narrow" w:eastAsia="Times New Roman" w:hAnsi="Arial Narrow"/>
                <w:sz w:val="20"/>
                <w:szCs w:val="20"/>
                <w:lang w:eastAsia="en-GB"/>
              </w:rPr>
              <w:t>UNDP</w:t>
            </w:r>
          </w:p>
        </w:tc>
        <w:tc>
          <w:tcPr>
            <w:tcW w:w="992" w:type="dxa"/>
            <w:tcBorders>
              <w:top w:val="nil"/>
              <w:left w:val="nil"/>
              <w:bottom w:val="single" w:sz="4" w:space="0" w:color="auto"/>
              <w:right w:val="single" w:sz="4" w:space="0" w:color="auto"/>
            </w:tcBorders>
            <w:shd w:val="clear" w:color="auto" w:fill="auto"/>
            <w:hideMark/>
          </w:tcPr>
          <w:p w14:paraId="7E308AC3"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600,000 </w:t>
            </w:r>
          </w:p>
        </w:tc>
        <w:tc>
          <w:tcPr>
            <w:tcW w:w="998" w:type="dxa"/>
            <w:gridSpan w:val="3"/>
            <w:tcBorders>
              <w:top w:val="nil"/>
              <w:left w:val="nil"/>
              <w:bottom w:val="single" w:sz="4" w:space="0" w:color="auto"/>
              <w:right w:val="single" w:sz="4" w:space="0" w:color="auto"/>
            </w:tcBorders>
            <w:shd w:val="clear" w:color="auto" w:fill="auto"/>
            <w:hideMark/>
          </w:tcPr>
          <w:p w14:paraId="27484B9C"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500,000 </w:t>
            </w:r>
          </w:p>
        </w:tc>
        <w:tc>
          <w:tcPr>
            <w:tcW w:w="986" w:type="dxa"/>
            <w:gridSpan w:val="2"/>
            <w:tcBorders>
              <w:top w:val="nil"/>
              <w:left w:val="nil"/>
              <w:bottom w:val="single" w:sz="4" w:space="0" w:color="auto"/>
              <w:right w:val="single" w:sz="4" w:space="0" w:color="auto"/>
            </w:tcBorders>
            <w:shd w:val="clear" w:color="auto" w:fill="auto"/>
            <w:hideMark/>
          </w:tcPr>
          <w:p w14:paraId="1B896163"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1,010,000 </w:t>
            </w:r>
          </w:p>
        </w:tc>
        <w:tc>
          <w:tcPr>
            <w:tcW w:w="1134" w:type="dxa"/>
            <w:gridSpan w:val="2"/>
            <w:tcBorders>
              <w:top w:val="nil"/>
              <w:left w:val="nil"/>
              <w:bottom w:val="single" w:sz="4" w:space="0" w:color="auto"/>
              <w:right w:val="single" w:sz="8" w:space="0" w:color="auto"/>
            </w:tcBorders>
            <w:shd w:val="clear" w:color="auto" w:fill="auto"/>
            <w:hideMark/>
          </w:tcPr>
          <w:p w14:paraId="0069D1E9"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2,110,000 </w:t>
            </w:r>
          </w:p>
        </w:tc>
      </w:tr>
      <w:tr w:rsidR="00683F4A" w:rsidRPr="007D425D" w14:paraId="28CC510B" w14:textId="77777777" w:rsidTr="009657E1">
        <w:trPr>
          <w:trHeight w:val="179"/>
          <w:jc w:val="center"/>
        </w:trPr>
        <w:tc>
          <w:tcPr>
            <w:tcW w:w="1570" w:type="dxa"/>
            <w:vMerge/>
            <w:tcBorders>
              <w:top w:val="nil"/>
              <w:left w:val="single" w:sz="8" w:space="0" w:color="auto"/>
              <w:bottom w:val="single" w:sz="4" w:space="0" w:color="000000"/>
              <w:right w:val="nil"/>
            </w:tcBorders>
            <w:vAlign w:val="center"/>
            <w:hideMark/>
          </w:tcPr>
          <w:p w14:paraId="6BC711DE" w14:textId="77777777" w:rsidR="00683F4A" w:rsidRPr="003B552F" w:rsidRDefault="00683F4A" w:rsidP="009657E1">
            <w:pPr>
              <w:spacing w:after="0"/>
              <w:jc w:val="left"/>
              <w:rPr>
                <w:rFonts w:ascii="Arial Narrow" w:eastAsia="Times New Roman" w:hAnsi="Arial Narrow"/>
                <w:b/>
                <w:bCs/>
                <w:sz w:val="20"/>
                <w:szCs w:val="20"/>
                <w:lang w:eastAsia="en-GB"/>
              </w:rPr>
            </w:pPr>
          </w:p>
        </w:tc>
        <w:tc>
          <w:tcPr>
            <w:tcW w:w="7842" w:type="dxa"/>
            <w:gridSpan w:val="5"/>
            <w:tcBorders>
              <w:top w:val="single" w:sz="4" w:space="0" w:color="auto"/>
              <w:left w:val="single" w:sz="4" w:space="0" w:color="auto"/>
              <w:bottom w:val="nil"/>
              <w:right w:val="single" w:sz="4" w:space="0" w:color="000000"/>
            </w:tcBorders>
            <w:shd w:val="clear" w:color="auto" w:fill="auto"/>
            <w:hideMark/>
          </w:tcPr>
          <w:p w14:paraId="4F056137" w14:textId="77777777" w:rsidR="00683F4A" w:rsidRPr="003B552F" w:rsidRDefault="00683F4A" w:rsidP="009657E1">
            <w:pPr>
              <w:spacing w:after="0"/>
              <w:jc w:val="left"/>
              <w:rPr>
                <w:rFonts w:ascii="Arial Narrow" w:eastAsia="Times New Roman" w:hAnsi="Arial Narrow"/>
                <w:sz w:val="20"/>
                <w:szCs w:val="20"/>
                <w:lang w:eastAsia="en-GB"/>
              </w:rPr>
            </w:pPr>
            <w:r w:rsidRPr="00CD56B9">
              <w:rPr>
                <w:rFonts w:ascii="Arial Narrow" w:eastAsia="Times New Roman" w:hAnsi="Arial Narrow"/>
                <w:sz w:val="20"/>
                <w:szCs w:val="20"/>
                <w:lang w:val="en-US" w:eastAsia="en-GB"/>
              </w:rPr>
              <w:t xml:space="preserve">E: Timely submission of government and civil society CRC and African Charter reports. </w:t>
            </w:r>
            <w:r w:rsidRPr="003B552F">
              <w:rPr>
                <w:rFonts w:ascii="Arial Narrow" w:eastAsia="Times New Roman" w:hAnsi="Arial Narrow"/>
                <w:sz w:val="20"/>
                <w:szCs w:val="20"/>
                <w:lang w:eastAsia="en-GB"/>
              </w:rPr>
              <w:t xml:space="preserve">(UNICEF)                     </w:t>
            </w:r>
          </w:p>
        </w:tc>
        <w:tc>
          <w:tcPr>
            <w:tcW w:w="1230" w:type="dxa"/>
            <w:tcBorders>
              <w:top w:val="nil"/>
              <w:left w:val="nil"/>
              <w:bottom w:val="nil"/>
              <w:right w:val="single" w:sz="4" w:space="0" w:color="auto"/>
            </w:tcBorders>
            <w:shd w:val="clear" w:color="auto" w:fill="auto"/>
            <w:hideMark/>
          </w:tcPr>
          <w:p w14:paraId="1C6F66A8" w14:textId="77777777" w:rsidR="00683F4A" w:rsidRPr="003B552F" w:rsidRDefault="00683F4A" w:rsidP="009657E1">
            <w:pPr>
              <w:spacing w:after="0"/>
              <w:jc w:val="left"/>
              <w:rPr>
                <w:rFonts w:ascii="Arial Narrow" w:eastAsia="Times New Roman" w:hAnsi="Arial Narrow"/>
                <w:sz w:val="20"/>
                <w:szCs w:val="20"/>
                <w:lang w:eastAsia="en-GB"/>
              </w:rPr>
            </w:pPr>
            <w:r w:rsidRPr="003B552F">
              <w:rPr>
                <w:rFonts w:ascii="Arial Narrow" w:eastAsia="Times New Roman" w:hAnsi="Arial Narrow"/>
                <w:sz w:val="20"/>
                <w:szCs w:val="20"/>
                <w:lang w:eastAsia="en-GB"/>
              </w:rPr>
              <w:t>UNICEF</w:t>
            </w:r>
          </w:p>
        </w:tc>
        <w:tc>
          <w:tcPr>
            <w:tcW w:w="992" w:type="dxa"/>
            <w:tcBorders>
              <w:top w:val="nil"/>
              <w:left w:val="nil"/>
              <w:bottom w:val="nil"/>
              <w:right w:val="single" w:sz="4" w:space="0" w:color="auto"/>
            </w:tcBorders>
            <w:shd w:val="clear" w:color="auto" w:fill="auto"/>
            <w:noWrap/>
            <w:hideMark/>
          </w:tcPr>
          <w:p w14:paraId="78C1EF2E"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31,825 </w:t>
            </w:r>
          </w:p>
        </w:tc>
        <w:tc>
          <w:tcPr>
            <w:tcW w:w="998" w:type="dxa"/>
            <w:gridSpan w:val="3"/>
            <w:tcBorders>
              <w:top w:val="nil"/>
              <w:left w:val="nil"/>
              <w:bottom w:val="nil"/>
              <w:right w:val="single" w:sz="4" w:space="0" w:color="auto"/>
            </w:tcBorders>
            <w:shd w:val="clear" w:color="auto" w:fill="auto"/>
            <w:noWrap/>
            <w:hideMark/>
          </w:tcPr>
          <w:p w14:paraId="4301A1BC"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w:t>
            </w:r>
          </w:p>
        </w:tc>
        <w:tc>
          <w:tcPr>
            <w:tcW w:w="986" w:type="dxa"/>
            <w:gridSpan w:val="2"/>
            <w:tcBorders>
              <w:top w:val="nil"/>
              <w:left w:val="nil"/>
              <w:bottom w:val="nil"/>
              <w:right w:val="single" w:sz="4" w:space="0" w:color="auto"/>
            </w:tcBorders>
            <w:shd w:val="clear" w:color="auto" w:fill="auto"/>
            <w:noWrap/>
            <w:hideMark/>
          </w:tcPr>
          <w:p w14:paraId="30A68409"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50,000 </w:t>
            </w:r>
          </w:p>
        </w:tc>
        <w:tc>
          <w:tcPr>
            <w:tcW w:w="1134" w:type="dxa"/>
            <w:gridSpan w:val="2"/>
            <w:tcBorders>
              <w:top w:val="nil"/>
              <w:left w:val="nil"/>
              <w:bottom w:val="nil"/>
              <w:right w:val="single" w:sz="8" w:space="0" w:color="auto"/>
            </w:tcBorders>
            <w:shd w:val="clear" w:color="auto" w:fill="auto"/>
            <w:hideMark/>
          </w:tcPr>
          <w:p w14:paraId="7F2425D5"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81,825 </w:t>
            </w:r>
          </w:p>
        </w:tc>
      </w:tr>
      <w:tr w:rsidR="00683F4A" w:rsidRPr="007D425D" w14:paraId="62A92630" w14:textId="77777777" w:rsidTr="009657E1">
        <w:trPr>
          <w:trHeight w:val="179"/>
          <w:jc w:val="center"/>
        </w:trPr>
        <w:tc>
          <w:tcPr>
            <w:tcW w:w="1570" w:type="dxa"/>
            <w:vMerge/>
            <w:tcBorders>
              <w:top w:val="nil"/>
              <w:left w:val="single" w:sz="8" w:space="0" w:color="auto"/>
              <w:bottom w:val="single" w:sz="4" w:space="0" w:color="000000"/>
              <w:right w:val="nil"/>
            </w:tcBorders>
            <w:vAlign w:val="center"/>
            <w:hideMark/>
          </w:tcPr>
          <w:p w14:paraId="414DE5CB" w14:textId="77777777" w:rsidR="00683F4A" w:rsidRPr="003B552F" w:rsidRDefault="00683F4A" w:rsidP="009657E1">
            <w:pPr>
              <w:spacing w:after="0"/>
              <w:jc w:val="left"/>
              <w:rPr>
                <w:rFonts w:ascii="Arial Narrow" w:eastAsia="Times New Roman" w:hAnsi="Arial Narrow"/>
                <w:b/>
                <w:bCs/>
                <w:sz w:val="20"/>
                <w:szCs w:val="20"/>
                <w:lang w:eastAsia="en-GB"/>
              </w:rPr>
            </w:pPr>
          </w:p>
        </w:tc>
        <w:tc>
          <w:tcPr>
            <w:tcW w:w="7842" w:type="dxa"/>
            <w:gridSpan w:val="5"/>
            <w:tcBorders>
              <w:top w:val="single" w:sz="8" w:space="0" w:color="auto"/>
              <w:left w:val="single" w:sz="8" w:space="0" w:color="auto"/>
              <w:bottom w:val="single" w:sz="8" w:space="0" w:color="auto"/>
              <w:right w:val="single" w:sz="4" w:space="0" w:color="000000"/>
            </w:tcBorders>
            <w:shd w:val="clear" w:color="auto" w:fill="auto"/>
            <w:hideMark/>
          </w:tcPr>
          <w:p w14:paraId="64756B92" w14:textId="17E03AED" w:rsidR="00683F4A" w:rsidRPr="00CD56B9" w:rsidRDefault="00683F4A" w:rsidP="009657E1">
            <w:pPr>
              <w:spacing w:after="0"/>
              <w:jc w:val="left"/>
              <w:rPr>
                <w:rFonts w:ascii="Arial Narrow" w:eastAsia="Times New Roman" w:hAnsi="Arial Narrow"/>
                <w:b/>
                <w:bCs/>
                <w:color w:val="FF0000"/>
                <w:sz w:val="20"/>
                <w:szCs w:val="20"/>
                <w:lang w:val="en-US" w:eastAsia="en-GB"/>
              </w:rPr>
            </w:pPr>
            <w:r w:rsidRPr="00CD56B9">
              <w:rPr>
                <w:rFonts w:ascii="Arial Narrow" w:eastAsia="Times New Roman" w:hAnsi="Arial Narrow"/>
                <w:b/>
                <w:bCs/>
                <w:color w:val="FF0000"/>
                <w:sz w:val="20"/>
                <w:szCs w:val="20"/>
                <w:lang w:val="en-US" w:eastAsia="en-GB"/>
              </w:rPr>
              <w:t xml:space="preserve">4.1.5-Total Budget for </w:t>
            </w:r>
            <w:r w:rsidR="003F4020" w:rsidRPr="00CD56B9">
              <w:rPr>
                <w:rFonts w:ascii="Arial Narrow" w:eastAsia="Times New Roman" w:hAnsi="Arial Narrow"/>
                <w:b/>
                <w:bCs/>
                <w:color w:val="FF0000"/>
                <w:sz w:val="20"/>
                <w:szCs w:val="20"/>
                <w:lang w:val="en-US" w:eastAsia="en-GB"/>
              </w:rPr>
              <w:t>Annualized</w:t>
            </w:r>
            <w:r w:rsidRPr="00CD56B9">
              <w:rPr>
                <w:rFonts w:ascii="Arial Narrow" w:eastAsia="Times New Roman" w:hAnsi="Arial Narrow"/>
                <w:b/>
                <w:bCs/>
                <w:color w:val="FF0000"/>
                <w:sz w:val="20"/>
                <w:szCs w:val="20"/>
                <w:lang w:val="en-US" w:eastAsia="en-GB"/>
              </w:rPr>
              <w:t xml:space="preserve"> Key Results for 2014</w:t>
            </w:r>
          </w:p>
        </w:tc>
        <w:tc>
          <w:tcPr>
            <w:tcW w:w="1230" w:type="dxa"/>
            <w:tcBorders>
              <w:top w:val="single" w:sz="8" w:space="0" w:color="auto"/>
              <w:left w:val="nil"/>
              <w:bottom w:val="single" w:sz="8" w:space="0" w:color="auto"/>
              <w:right w:val="single" w:sz="4" w:space="0" w:color="auto"/>
            </w:tcBorders>
            <w:shd w:val="clear" w:color="auto" w:fill="auto"/>
            <w:hideMark/>
          </w:tcPr>
          <w:p w14:paraId="07AC9D2E" w14:textId="77777777" w:rsidR="00683F4A" w:rsidRPr="00CD56B9" w:rsidRDefault="00683F4A" w:rsidP="009657E1">
            <w:pPr>
              <w:spacing w:after="0"/>
              <w:jc w:val="left"/>
              <w:rPr>
                <w:rFonts w:ascii="Arial Narrow" w:eastAsia="Times New Roman" w:hAnsi="Arial Narrow"/>
                <w:sz w:val="20"/>
                <w:szCs w:val="20"/>
                <w:lang w:val="en-US" w:eastAsia="en-GB"/>
              </w:rPr>
            </w:pPr>
            <w:r w:rsidRPr="00CD56B9">
              <w:rPr>
                <w:rFonts w:ascii="Arial Narrow" w:eastAsia="Times New Roman" w:hAnsi="Arial Narrow"/>
                <w:sz w:val="20"/>
                <w:szCs w:val="20"/>
                <w:lang w:val="en-US" w:eastAsia="en-GB"/>
              </w:rPr>
              <w:t> </w:t>
            </w:r>
          </w:p>
        </w:tc>
        <w:tc>
          <w:tcPr>
            <w:tcW w:w="992" w:type="dxa"/>
            <w:tcBorders>
              <w:top w:val="single" w:sz="8" w:space="0" w:color="auto"/>
              <w:left w:val="nil"/>
              <w:bottom w:val="single" w:sz="8" w:space="0" w:color="auto"/>
              <w:right w:val="single" w:sz="4" w:space="0" w:color="auto"/>
            </w:tcBorders>
            <w:shd w:val="clear" w:color="auto" w:fill="auto"/>
            <w:noWrap/>
            <w:hideMark/>
          </w:tcPr>
          <w:p w14:paraId="041698B9" w14:textId="77777777" w:rsidR="00683F4A" w:rsidRPr="003B552F" w:rsidRDefault="00683F4A" w:rsidP="009657E1">
            <w:pPr>
              <w:spacing w:after="0"/>
              <w:jc w:val="right"/>
              <w:rPr>
                <w:rFonts w:ascii="Arial Narrow" w:eastAsia="Times New Roman" w:hAnsi="Arial Narrow"/>
                <w:b/>
                <w:bCs/>
                <w:color w:val="FF0000"/>
                <w:sz w:val="20"/>
                <w:szCs w:val="20"/>
                <w:lang w:eastAsia="en-GB"/>
              </w:rPr>
            </w:pPr>
            <w:r w:rsidRPr="00CD56B9">
              <w:rPr>
                <w:rFonts w:ascii="Arial Narrow" w:eastAsia="Times New Roman" w:hAnsi="Arial Narrow"/>
                <w:b/>
                <w:bCs/>
                <w:color w:val="FF0000"/>
                <w:sz w:val="20"/>
                <w:szCs w:val="20"/>
                <w:lang w:val="en-US" w:eastAsia="en-GB"/>
              </w:rPr>
              <w:t xml:space="preserve">           </w:t>
            </w:r>
            <w:r w:rsidRPr="003B552F">
              <w:rPr>
                <w:rFonts w:ascii="Arial Narrow" w:eastAsia="Times New Roman" w:hAnsi="Arial Narrow"/>
                <w:b/>
                <w:bCs/>
                <w:color w:val="FF0000"/>
                <w:sz w:val="20"/>
                <w:szCs w:val="20"/>
                <w:lang w:eastAsia="en-GB"/>
              </w:rPr>
              <w:t xml:space="preserve">651,825 </w:t>
            </w:r>
          </w:p>
        </w:tc>
        <w:tc>
          <w:tcPr>
            <w:tcW w:w="998" w:type="dxa"/>
            <w:gridSpan w:val="3"/>
            <w:tcBorders>
              <w:top w:val="single" w:sz="8" w:space="0" w:color="auto"/>
              <w:left w:val="nil"/>
              <w:bottom w:val="single" w:sz="8" w:space="0" w:color="auto"/>
              <w:right w:val="single" w:sz="4" w:space="0" w:color="auto"/>
            </w:tcBorders>
            <w:shd w:val="clear" w:color="auto" w:fill="auto"/>
            <w:noWrap/>
            <w:hideMark/>
          </w:tcPr>
          <w:p w14:paraId="71EDAEB8" w14:textId="77777777" w:rsidR="00683F4A" w:rsidRPr="003B552F" w:rsidRDefault="00683F4A" w:rsidP="009657E1">
            <w:pPr>
              <w:spacing w:after="0"/>
              <w:jc w:val="right"/>
              <w:rPr>
                <w:rFonts w:ascii="Arial Narrow" w:eastAsia="Times New Roman" w:hAnsi="Arial Narrow"/>
                <w:b/>
                <w:bCs/>
                <w:color w:val="FF0000"/>
                <w:sz w:val="20"/>
                <w:szCs w:val="20"/>
                <w:lang w:eastAsia="en-GB"/>
              </w:rPr>
            </w:pPr>
            <w:r w:rsidRPr="003B552F">
              <w:rPr>
                <w:rFonts w:ascii="Arial Narrow" w:eastAsia="Times New Roman" w:hAnsi="Arial Narrow"/>
                <w:b/>
                <w:bCs/>
                <w:color w:val="FF0000"/>
                <w:sz w:val="20"/>
                <w:szCs w:val="20"/>
                <w:lang w:eastAsia="en-GB"/>
              </w:rPr>
              <w:t xml:space="preserve">            500,000 </w:t>
            </w:r>
          </w:p>
        </w:tc>
        <w:tc>
          <w:tcPr>
            <w:tcW w:w="986" w:type="dxa"/>
            <w:gridSpan w:val="2"/>
            <w:tcBorders>
              <w:top w:val="single" w:sz="8" w:space="0" w:color="auto"/>
              <w:left w:val="nil"/>
              <w:bottom w:val="single" w:sz="8" w:space="0" w:color="auto"/>
              <w:right w:val="single" w:sz="4" w:space="0" w:color="auto"/>
            </w:tcBorders>
            <w:shd w:val="clear" w:color="auto" w:fill="auto"/>
            <w:noWrap/>
            <w:hideMark/>
          </w:tcPr>
          <w:p w14:paraId="4654CDEB" w14:textId="77777777" w:rsidR="00683F4A" w:rsidRPr="003B552F" w:rsidRDefault="00683F4A" w:rsidP="009657E1">
            <w:pPr>
              <w:spacing w:after="0"/>
              <w:jc w:val="right"/>
              <w:rPr>
                <w:rFonts w:ascii="Arial Narrow" w:eastAsia="Times New Roman" w:hAnsi="Arial Narrow"/>
                <w:b/>
                <w:bCs/>
                <w:color w:val="FF0000"/>
                <w:sz w:val="20"/>
                <w:szCs w:val="20"/>
                <w:lang w:eastAsia="en-GB"/>
              </w:rPr>
            </w:pPr>
            <w:r w:rsidRPr="003B552F">
              <w:rPr>
                <w:rFonts w:ascii="Arial Narrow" w:eastAsia="Times New Roman" w:hAnsi="Arial Narrow"/>
                <w:b/>
                <w:bCs/>
                <w:color w:val="FF0000"/>
                <w:sz w:val="20"/>
                <w:szCs w:val="20"/>
                <w:lang w:eastAsia="en-GB"/>
              </w:rPr>
              <w:t xml:space="preserve">        1,060,000 </w:t>
            </w:r>
          </w:p>
        </w:tc>
        <w:tc>
          <w:tcPr>
            <w:tcW w:w="1134" w:type="dxa"/>
            <w:gridSpan w:val="2"/>
            <w:tcBorders>
              <w:top w:val="single" w:sz="8" w:space="0" w:color="auto"/>
              <w:left w:val="nil"/>
              <w:bottom w:val="single" w:sz="8" w:space="0" w:color="auto"/>
              <w:right w:val="single" w:sz="8" w:space="0" w:color="auto"/>
            </w:tcBorders>
            <w:shd w:val="clear" w:color="auto" w:fill="auto"/>
            <w:hideMark/>
          </w:tcPr>
          <w:p w14:paraId="3E6C7AA0" w14:textId="77777777" w:rsidR="00683F4A" w:rsidRPr="003B552F" w:rsidRDefault="00683F4A" w:rsidP="009657E1">
            <w:pPr>
              <w:spacing w:after="0"/>
              <w:jc w:val="right"/>
              <w:rPr>
                <w:rFonts w:ascii="Arial Narrow" w:eastAsia="Times New Roman" w:hAnsi="Arial Narrow"/>
                <w:b/>
                <w:bCs/>
                <w:color w:val="FF0000"/>
                <w:sz w:val="20"/>
                <w:szCs w:val="20"/>
                <w:lang w:eastAsia="en-GB"/>
              </w:rPr>
            </w:pPr>
            <w:r w:rsidRPr="003B552F">
              <w:rPr>
                <w:rFonts w:ascii="Arial Narrow" w:eastAsia="Times New Roman" w:hAnsi="Arial Narrow"/>
                <w:b/>
                <w:bCs/>
                <w:color w:val="FF0000"/>
                <w:sz w:val="20"/>
                <w:szCs w:val="20"/>
                <w:lang w:eastAsia="en-GB"/>
              </w:rPr>
              <w:t xml:space="preserve">          2,211,825 </w:t>
            </w:r>
          </w:p>
        </w:tc>
      </w:tr>
      <w:tr w:rsidR="00683F4A" w:rsidRPr="007D425D" w14:paraId="1769BE29" w14:textId="77777777" w:rsidTr="009657E1">
        <w:trPr>
          <w:trHeight w:val="168"/>
          <w:jc w:val="center"/>
        </w:trPr>
        <w:tc>
          <w:tcPr>
            <w:tcW w:w="1570" w:type="dxa"/>
            <w:vMerge w:val="restart"/>
            <w:tcBorders>
              <w:top w:val="nil"/>
              <w:left w:val="single" w:sz="8" w:space="0" w:color="auto"/>
              <w:bottom w:val="single" w:sz="4" w:space="0" w:color="000000"/>
              <w:right w:val="single" w:sz="4" w:space="0" w:color="auto"/>
            </w:tcBorders>
            <w:shd w:val="clear" w:color="auto" w:fill="auto"/>
            <w:hideMark/>
          </w:tcPr>
          <w:p w14:paraId="0E2AE605" w14:textId="77777777" w:rsidR="00683F4A" w:rsidRPr="003B552F" w:rsidRDefault="00683F4A" w:rsidP="009657E1">
            <w:pPr>
              <w:spacing w:after="0"/>
              <w:jc w:val="left"/>
              <w:rPr>
                <w:rFonts w:ascii="Arial Narrow" w:eastAsia="Times New Roman" w:hAnsi="Arial Narrow"/>
                <w:b/>
                <w:bCs/>
                <w:sz w:val="20"/>
                <w:szCs w:val="20"/>
                <w:lang w:eastAsia="en-GB"/>
              </w:rPr>
            </w:pPr>
            <w:r w:rsidRPr="003B552F">
              <w:rPr>
                <w:rFonts w:ascii="Arial Narrow" w:eastAsia="Times New Roman" w:hAnsi="Arial Narrow"/>
                <w:b/>
                <w:bCs/>
                <w:sz w:val="20"/>
                <w:szCs w:val="20"/>
                <w:lang w:eastAsia="en-GB"/>
              </w:rPr>
              <w:t>Annualized Key Results 2015</w:t>
            </w:r>
          </w:p>
        </w:tc>
        <w:tc>
          <w:tcPr>
            <w:tcW w:w="7842" w:type="dxa"/>
            <w:gridSpan w:val="5"/>
            <w:tcBorders>
              <w:top w:val="nil"/>
              <w:left w:val="nil"/>
              <w:bottom w:val="single" w:sz="4" w:space="0" w:color="auto"/>
              <w:right w:val="single" w:sz="4" w:space="0" w:color="000000"/>
            </w:tcBorders>
            <w:shd w:val="clear" w:color="auto" w:fill="auto"/>
            <w:hideMark/>
          </w:tcPr>
          <w:p w14:paraId="1EC6F47B" w14:textId="77777777" w:rsidR="00683F4A" w:rsidRPr="00CD56B9" w:rsidRDefault="00683F4A" w:rsidP="009657E1">
            <w:pPr>
              <w:spacing w:after="0"/>
              <w:jc w:val="left"/>
              <w:rPr>
                <w:rFonts w:ascii="Arial Narrow" w:eastAsia="Times New Roman" w:hAnsi="Arial Narrow"/>
                <w:sz w:val="20"/>
                <w:szCs w:val="20"/>
                <w:lang w:val="en-US" w:eastAsia="en-GB"/>
              </w:rPr>
            </w:pPr>
            <w:r w:rsidRPr="00CD56B9">
              <w:rPr>
                <w:rFonts w:ascii="Arial Narrow" w:eastAsia="Times New Roman" w:hAnsi="Arial Narrow"/>
                <w:sz w:val="20"/>
                <w:szCs w:val="20"/>
                <w:lang w:val="en-US" w:eastAsia="en-GB"/>
              </w:rPr>
              <w:t xml:space="preserve">B: Capacity of government and Civil Society to engage with the UPR strengthened(UNDP)          </w:t>
            </w:r>
          </w:p>
        </w:tc>
        <w:tc>
          <w:tcPr>
            <w:tcW w:w="1230" w:type="dxa"/>
            <w:tcBorders>
              <w:top w:val="nil"/>
              <w:left w:val="nil"/>
              <w:bottom w:val="single" w:sz="4" w:space="0" w:color="auto"/>
              <w:right w:val="single" w:sz="4" w:space="0" w:color="auto"/>
            </w:tcBorders>
            <w:shd w:val="clear" w:color="auto" w:fill="auto"/>
            <w:hideMark/>
          </w:tcPr>
          <w:p w14:paraId="519DE208" w14:textId="77777777" w:rsidR="00683F4A" w:rsidRPr="003B552F" w:rsidRDefault="00683F4A" w:rsidP="009657E1">
            <w:pPr>
              <w:spacing w:after="0"/>
              <w:jc w:val="left"/>
              <w:rPr>
                <w:rFonts w:ascii="Arial Narrow" w:eastAsia="Times New Roman" w:hAnsi="Arial Narrow"/>
                <w:sz w:val="20"/>
                <w:szCs w:val="20"/>
                <w:lang w:eastAsia="en-GB"/>
              </w:rPr>
            </w:pPr>
            <w:r w:rsidRPr="003B552F">
              <w:rPr>
                <w:rFonts w:ascii="Arial Narrow" w:eastAsia="Times New Roman" w:hAnsi="Arial Narrow"/>
                <w:sz w:val="20"/>
                <w:szCs w:val="20"/>
                <w:lang w:eastAsia="en-GB"/>
              </w:rPr>
              <w:t>UNDP</w:t>
            </w:r>
          </w:p>
        </w:tc>
        <w:tc>
          <w:tcPr>
            <w:tcW w:w="992" w:type="dxa"/>
            <w:tcBorders>
              <w:top w:val="nil"/>
              <w:left w:val="nil"/>
              <w:bottom w:val="single" w:sz="4" w:space="0" w:color="auto"/>
              <w:right w:val="single" w:sz="4" w:space="0" w:color="auto"/>
            </w:tcBorders>
            <w:shd w:val="clear" w:color="auto" w:fill="auto"/>
            <w:noWrap/>
            <w:hideMark/>
          </w:tcPr>
          <w:p w14:paraId="30F53475"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30,000 </w:t>
            </w:r>
          </w:p>
        </w:tc>
        <w:tc>
          <w:tcPr>
            <w:tcW w:w="998" w:type="dxa"/>
            <w:gridSpan w:val="3"/>
            <w:tcBorders>
              <w:top w:val="nil"/>
              <w:left w:val="nil"/>
              <w:bottom w:val="single" w:sz="4" w:space="0" w:color="auto"/>
              <w:right w:val="single" w:sz="4" w:space="0" w:color="auto"/>
            </w:tcBorders>
            <w:shd w:val="clear" w:color="auto" w:fill="auto"/>
            <w:noWrap/>
            <w:hideMark/>
          </w:tcPr>
          <w:p w14:paraId="49EA4764"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w:t>
            </w:r>
          </w:p>
        </w:tc>
        <w:tc>
          <w:tcPr>
            <w:tcW w:w="986" w:type="dxa"/>
            <w:gridSpan w:val="2"/>
            <w:tcBorders>
              <w:top w:val="nil"/>
              <w:left w:val="nil"/>
              <w:bottom w:val="single" w:sz="4" w:space="0" w:color="auto"/>
              <w:right w:val="single" w:sz="4" w:space="0" w:color="auto"/>
            </w:tcBorders>
            <w:shd w:val="clear" w:color="auto" w:fill="auto"/>
            <w:noWrap/>
            <w:hideMark/>
          </w:tcPr>
          <w:p w14:paraId="3BC1ADD5"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w:t>
            </w:r>
          </w:p>
        </w:tc>
        <w:tc>
          <w:tcPr>
            <w:tcW w:w="1134" w:type="dxa"/>
            <w:gridSpan w:val="2"/>
            <w:tcBorders>
              <w:top w:val="nil"/>
              <w:left w:val="nil"/>
              <w:bottom w:val="single" w:sz="4" w:space="0" w:color="auto"/>
              <w:right w:val="single" w:sz="8" w:space="0" w:color="auto"/>
            </w:tcBorders>
            <w:shd w:val="clear" w:color="auto" w:fill="auto"/>
            <w:hideMark/>
          </w:tcPr>
          <w:p w14:paraId="10368A71"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30,000 </w:t>
            </w:r>
          </w:p>
        </w:tc>
      </w:tr>
      <w:tr w:rsidR="00683F4A" w:rsidRPr="007D425D" w14:paraId="0118CFE2" w14:textId="77777777" w:rsidTr="009657E1">
        <w:trPr>
          <w:trHeight w:val="168"/>
          <w:jc w:val="center"/>
        </w:trPr>
        <w:tc>
          <w:tcPr>
            <w:tcW w:w="1570" w:type="dxa"/>
            <w:vMerge/>
            <w:tcBorders>
              <w:top w:val="nil"/>
              <w:left w:val="single" w:sz="8" w:space="0" w:color="auto"/>
              <w:bottom w:val="single" w:sz="4" w:space="0" w:color="000000"/>
              <w:right w:val="single" w:sz="4" w:space="0" w:color="auto"/>
            </w:tcBorders>
            <w:vAlign w:val="center"/>
            <w:hideMark/>
          </w:tcPr>
          <w:p w14:paraId="4EB0EBB5" w14:textId="77777777" w:rsidR="00683F4A" w:rsidRPr="003B552F" w:rsidRDefault="00683F4A" w:rsidP="009657E1">
            <w:pPr>
              <w:spacing w:after="0"/>
              <w:jc w:val="left"/>
              <w:rPr>
                <w:rFonts w:ascii="Arial Narrow" w:eastAsia="Times New Roman" w:hAnsi="Arial Narrow"/>
                <w:b/>
                <w:bCs/>
                <w:sz w:val="20"/>
                <w:szCs w:val="20"/>
                <w:lang w:eastAsia="en-GB"/>
              </w:rPr>
            </w:pPr>
          </w:p>
        </w:tc>
        <w:tc>
          <w:tcPr>
            <w:tcW w:w="7842" w:type="dxa"/>
            <w:gridSpan w:val="5"/>
            <w:tcBorders>
              <w:top w:val="single" w:sz="4" w:space="0" w:color="auto"/>
              <w:left w:val="nil"/>
              <w:bottom w:val="single" w:sz="4" w:space="0" w:color="auto"/>
              <w:right w:val="single" w:sz="4" w:space="0" w:color="000000"/>
            </w:tcBorders>
            <w:shd w:val="clear" w:color="auto" w:fill="auto"/>
            <w:hideMark/>
          </w:tcPr>
          <w:p w14:paraId="744F5D29" w14:textId="104152B8" w:rsidR="00683F4A" w:rsidRPr="00CD56B9" w:rsidRDefault="00683F4A" w:rsidP="009657E1">
            <w:pPr>
              <w:spacing w:after="0"/>
              <w:jc w:val="left"/>
              <w:rPr>
                <w:rFonts w:ascii="Arial Narrow" w:eastAsia="Times New Roman" w:hAnsi="Arial Narrow"/>
                <w:sz w:val="20"/>
                <w:szCs w:val="20"/>
                <w:lang w:val="en-US" w:eastAsia="en-GB"/>
              </w:rPr>
            </w:pPr>
            <w:r w:rsidRPr="00CD56B9">
              <w:rPr>
                <w:rFonts w:ascii="Arial Narrow" w:eastAsia="Times New Roman" w:hAnsi="Arial Narrow"/>
                <w:sz w:val="20"/>
                <w:szCs w:val="20"/>
                <w:lang w:val="en-US" w:eastAsia="en-GB"/>
              </w:rPr>
              <w:t xml:space="preserve">C : Additional 70 village rights </w:t>
            </w:r>
            <w:r w:rsidR="003F4020" w:rsidRPr="00CD56B9">
              <w:rPr>
                <w:rFonts w:ascii="Arial Narrow" w:eastAsia="Times New Roman" w:hAnsi="Arial Narrow"/>
                <w:sz w:val="20"/>
                <w:szCs w:val="20"/>
                <w:lang w:val="en-US" w:eastAsia="en-GB"/>
              </w:rPr>
              <w:t>committees</w:t>
            </w:r>
            <w:r w:rsidRPr="00CD56B9">
              <w:rPr>
                <w:rFonts w:ascii="Arial Narrow" w:eastAsia="Times New Roman" w:hAnsi="Arial Narrow"/>
                <w:sz w:val="20"/>
                <w:szCs w:val="20"/>
                <w:lang w:val="en-US" w:eastAsia="en-GB"/>
              </w:rPr>
              <w:t xml:space="preserve"> in 27 districts established and oriented on good governance (UNDP)                   </w:t>
            </w:r>
          </w:p>
        </w:tc>
        <w:tc>
          <w:tcPr>
            <w:tcW w:w="1230" w:type="dxa"/>
            <w:tcBorders>
              <w:top w:val="nil"/>
              <w:left w:val="nil"/>
              <w:bottom w:val="single" w:sz="4" w:space="0" w:color="auto"/>
              <w:right w:val="single" w:sz="4" w:space="0" w:color="auto"/>
            </w:tcBorders>
            <w:shd w:val="clear" w:color="auto" w:fill="auto"/>
            <w:hideMark/>
          </w:tcPr>
          <w:p w14:paraId="23B5E901" w14:textId="77777777" w:rsidR="00683F4A" w:rsidRPr="003B552F" w:rsidRDefault="00683F4A" w:rsidP="009657E1">
            <w:pPr>
              <w:spacing w:after="0"/>
              <w:jc w:val="left"/>
              <w:rPr>
                <w:rFonts w:ascii="Arial Narrow" w:eastAsia="Times New Roman" w:hAnsi="Arial Narrow"/>
                <w:sz w:val="20"/>
                <w:szCs w:val="20"/>
                <w:lang w:eastAsia="en-GB"/>
              </w:rPr>
            </w:pPr>
            <w:r w:rsidRPr="003B552F">
              <w:rPr>
                <w:rFonts w:ascii="Arial Narrow" w:eastAsia="Times New Roman" w:hAnsi="Arial Narrow"/>
                <w:sz w:val="20"/>
                <w:szCs w:val="20"/>
                <w:lang w:eastAsia="en-GB"/>
              </w:rPr>
              <w:t>UNDP</w:t>
            </w:r>
          </w:p>
        </w:tc>
        <w:tc>
          <w:tcPr>
            <w:tcW w:w="992" w:type="dxa"/>
            <w:tcBorders>
              <w:top w:val="nil"/>
              <w:left w:val="nil"/>
              <w:bottom w:val="single" w:sz="4" w:space="0" w:color="auto"/>
              <w:right w:val="single" w:sz="4" w:space="0" w:color="auto"/>
            </w:tcBorders>
            <w:shd w:val="clear" w:color="auto" w:fill="auto"/>
            <w:hideMark/>
          </w:tcPr>
          <w:p w14:paraId="14B88FA0"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600,000 </w:t>
            </w:r>
          </w:p>
        </w:tc>
        <w:tc>
          <w:tcPr>
            <w:tcW w:w="998" w:type="dxa"/>
            <w:gridSpan w:val="3"/>
            <w:tcBorders>
              <w:top w:val="nil"/>
              <w:left w:val="nil"/>
              <w:bottom w:val="single" w:sz="4" w:space="0" w:color="auto"/>
              <w:right w:val="single" w:sz="4" w:space="0" w:color="auto"/>
            </w:tcBorders>
            <w:shd w:val="clear" w:color="auto" w:fill="auto"/>
            <w:hideMark/>
          </w:tcPr>
          <w:p w14:paraId="076AB2D0"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700,000 </w:t>
            </w:r>
          </w:p>
        </w:tc>
        <w:tc>
          <w:tcPr>
            <w:tcW w:w="986" w:type="dxa"/>
            <w:gridSpan w:val="2"/>
            <w:tcBorders>
              <w:top w:val="nil"/>
              <w:left w:val="nil"/>
              <w:bottom w:val="single" w:sz="4" w:space="0" w:color="auto"/>
              <w:right w:val="single" w:sz="4" w:space="0" w:color="auto"/>
            </w:tcBorders>
            <w:shd w:val="clear" w:color="auto" w:fill="auto"/>
            <w:hideMark/>
          </w:tcPr>
          <w:p w14:paraId="235A8631"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1,300,000 </w:t>
            </w:r>
          </w:p>
        </w:tc>
        <w:tc>
          <w:tcPr>
            <w:tcW w:w="1134" w:type="dxa"/>
            <w:gridSpan w:val="2"/>
            <w:tcBorders>
              <w:top w:val="nil"/>
              <w:left w:val="nil"/>
              <w:bottom w:val="single" w:sz="4" w:space="0" w:color="auto"/>
              <w:right w:val="single" w:sz="8" w:space="0" w:color="auto"/>
            </w:tcBorders>
            <w:shd w:val="clear" w:color="auto" w:fill="auto"/>
            <w:hideMark/>
          </w:tcPr>
          <w:p w14:paraId="62DADB38"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2,600,000 </w:t>
            </w:r>
          </w:p>
        </w:tc>
      </w:tr>
      <w:tr w:rsidR="00683F4A" w:rsidRPr="007D425D" w14:paraId="687D55C7" w14:textId="77777777" w:rsidTr="009657E1">
        <w:trPr>
          <w:trHeight w:val="179"/>
          <w:jc w:val="center"/>
        </w:trPr>
        <w:tc>
          <w:tcPr>
            <w:tcW w:w="1570" w:type="dxa"/>
            <w:vMerge/>
            <w:tcBorders>
              <w:top w:val="nil"/>
              <w:left w:val="single" w:sz="8" w:space="0" w:color="auto"/>
              <w:bottom w:val="single" w:sz="4" w:space="0" w:color="000000"/>
              <w:right w:val="single" w:sz="4" w:space="0" w:color="auto"/>
            </w:tcBorders>
            <w:vAlign w:val="center"/>
            <w:hideMark/>
          </w:tcPr>
          <w:p w14:paraId="2FEBD117" w14:textId="77777777" w:rsidR="00683F4A" w:rsidRPr="003B552F" w:rsidRDefault="00683F4A" w:rsidP="009657E1">
            <w:pPr>
              <w:spacing w:after="0"/>
              <w:jc w:val="left"/>
              <w:rPr>
                <w:rFonts w:ascii="Arial Narrow" w:eastAsia="Times New Roman" w:hAnsi="Arial Narrow"/>
                <w:b/>
                <w:bCs/>
                <w:sz w:val="20"/>
                <w:szCs w:val="20"/>
                <w:lang w:eastAsia="en-GB"/>
              </w:rPr>
            </w:pPr>
          </w:p>
        </w:tc>
        <w:tc>
          <w:tcPr>
            <w:tcW w:w="7842" w:type="dxa"/>
            <w:gridSpan w:val="5"/>
            <w:tcBorders>
              <w:top w:val="single" w:sz="4" w:space="0" w:color="auto"/>
              <w:left w:val="nil"/>
              <w:bottom w:val="single" w:sz="4" w:space="0" w:color="auto"/>
              <w:right w:val="single" w:sz="4" w:space="0" w:color="000000"/>
            </w:tcBorders>
            <w:shd w:val="clear" w:color="auto" w:fill="auto"/>
            <w:hideMark/>
          </w:tcPr>
          <w:p w14:paraId="04C13DD8" w14:textId="77777777" w:rsidR="00683F4A" w:rsidRPr="00CD56B9" w:rsidRDefault="00683F4A" w:rsidP="009657E1">
            <w:pPr>
              <w:spacing w:after="0"/>
              <w:jc w:val="left"/>
              <w:rPr>
                <w:rFonts w:ascii="Arial Narrow" w:eastAsia="Times New Roman" w:hAnsi="Arial Narrow"/>
                <w:sz w:val="20"/>
                <w:szCs w:val="20"/>
                <w:lang w:val="en-US" w:eastAsia="en-GB"/>
              </w:rPr>
            </w:pPr>
            <w:r w:rsidRPr="00CD56B9">
              <w:rPr>
                <w:rFonts w:ascii="Arial Narrow" w:eastAsia="Times New Roman" w:hAnsi="Arial Narrow"/>
                <w:sz w:val="20"/>
                <w:szCs w:val="20"/>
                <w:lang w:val="en-US" w:eastAsia="en-GB"/>
              </w:rPr>
              <w:t xml:space="preserve">F: Children's voices and inputs are reflected in the next Malawi Growth and Development Strategy (MGDS) (UNICEF.)              </w:t>
            </w:r>
          </w:p>
        </w:tc>
        <w:tc>
          <w:tcPr>
            <w:tcW w:w="1230" w:type="dxa"/>
            <w:tcBorders>
              <w:top w:val="nil"/>
              <w:left w:val="nil"/>
              <w:bottom w:val="single" w:sz="4" w:space="0" w:color="auto"/>
              <w:right w:val="single" w:sz="4" w:space="0" w:color="auto"/>
            </w:tcBorders>
            <w:shd w:val="clear" w:color="auto" w:fill="auto"/>
            <w:hideMark/>
          </w:tcPr>
          <w:p w14:paraId="046E4853" w14:textId="77777777" w:rsidR="00683F4A" w:rsidRPr="003B552F" w:rsidRDefault="00683F4A" w:rsidP="009657E1">
            <w:pPr>
              <w:spacing w:after="0"/>
              <w:jc w:val="left"/>
              <w:rPr>
                <w:rFonts w:ascii="Arial Narrow" w:eastAsia="Times New Roman" w:hAnsi="Arial Narrow"/>
                <w:sz w:val="20"/>
                <w:szCs w:val="20"/>
                <w:lang w:eastAsia="en-GB"/>
              </w:rPr>
            </w:pPr>
            <w:r w:rsidRPr="003B552F">
              <w:rPr>
                <w:rFonts w:ascii="Arial Narrow" w:eastAsia="Times New Roman" w:hAnsi="Arial Narrow"/>
                <w:sz w:val="20"/>
                <w:szCs w:val="20"/>
                <w:lang w:eastAsia="en-GB"/>
              </w:rPr>
              <w:t>UNICEF</w:t>
            </w:r>
          </w:p>
        </w:tc>
        <w:tc>
          <w:tcPr>
            <w:tcW w:w="992" w:type="dxa"/>
            <w:tcBorders>
              <w:top w:val="nil"/>
              <w:left w:val="nil"/>
              <w:bottom w:val="single" w:sz="4" w:space="0" w:color="auto"/>
              <w:right w:val="single" w:sz="4" w:space="0" w:color="auto"/>
            </w:tcBorders>
            <w:shd w:val="clear" w:color="auto" w:fill="auto"/>
            <w:noWrap/>
            <w:hideMark/>
          </w:tcPr>
          <w:p w14:paraId="15D94081"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184,500 </w:t>
            </w:r>
          </w:p>
        </w:tc>
        <w:tc>
          <w:tcPr>
            <w:tcW w:w="998" w:type="dxa"/>
            <w:gridSpan w:val="3"/>
            <w:tcBorders>
              <w:top w:val="nil"/>
              <w:left w:val="nil"/>
              <w:bottom w:val="single" w:sz="4" w:space="0" w:color="auto"/>
              <w:right w:val="single" w:sz="4" w:space="0" w:color="auto"/>
            </w:tcBorders>
            <w:shd w:val="clear" w:color="auto" w:fill="auto"/>
            <w:noWrap/>
            <w:hideMark/>
          </w:tcPr>
          <w:p w14:paraId="4A8C545D"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w:t>
            </w:r>
          </w:p>
        </w:tc>
        <w:tc>
          <w:tcPr>
            <w:tcW w:w="986" w:type="dxa"/>
            <w:gridSpan w:val="2"/>
            <w:tcBorders>
              <w:top w:val="nil"/>
              <w:left w:val="nil"/>
              <w:bottom w:val="single" w:sz="4" w:space="0" w:color="auto"/>
              <w:right w:val="single" w:sz="4" w:space="0" w:color="auto"/>
            </w:tcBorders>
            <w:shd w:val="clear" w:color="auto" w:fill="auto"/>
            <w:noWrap/>
            <w:hideMark/>
          </w:tcPr>
          <w:p w14:paraId="048D5E86"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83,333 </w:t>
            </w:r>
          </w:p>
        </w:tc>
        <w:tc>
          <w:tcPr>
            <w:tcW w:w="1134" w:type="dxa"/>
            <w:gridSpan w:val="2"/>
            <w:tcBorders>
              <w:top w:val="nil"/>
              <w:left w:val="nil"/>
              <w:bottom w:val="single" w:sz="4" w:space="0" w:color="auto"/>
              <w:right w:val="single" w:sz="8" w:space="0" w:color="auto"/>
            </w:tcBorders>
            <w:shd w:val="clear" w:color="auto" w:fill="auto"/>
            <w:hideMark/>
          </w:tcPr>
          <w:p w14:paraId="3E6FF7AC"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267,833 </w:t>
            </w:r>
          </w:p>
        </w:tc>
      </w:tr>
      <w:tr w:rsidR="00683F4A" w:rsidRPr="007D425D" w14:paraId="2BEFCE96" w14:textId="77777777" w:rsidTr="00683F4A">
        <w:trPr>
          <w:trHeight w:val="179"/>
          <w:jc w:val="center"/>
        </w:trPr>
        <w:tc>
          <w:tcPr>
            <w:tcW w:w="1570" w:type="dxa"/>
            <w:tcBorders>
              <w:top w:val="nil"/>
              <w:left w:val="single" w:sz="8" w:space="0" w:color="auto"/>
              <w:bottom w:val="single" w:sz="4" w:space="0" w:color="auto"/>
              <w:right w:val="single" w:sz="4" w:space="0" w:color="auto"/>
            </w:tcBorders>
            <w:shd w:val="clear" w:color="auto" w:fill="auto"/>
            <w:hideMark/>
          </w:tcPr>
          <w:p w14:paraId="2B509A65" w14:textId="77777777" w:rsidR="00683F4A" w:rsidRPr="003B552F" w:rsidRDefault="00683F4A" w:rsidP="009657E1">
            <w:pPr>
              <w:spacing w:after="0"/>
              <w:jc w:val="left"/>
              <w:rPr>
                <w:rFonts w:ascii="Arial Narrow" w:eastAsia="Times New Roman" w:hAnsi="Arial Narrow"/>
                <w:b/>
                <w:bCs/>
                <w:sz w:val="20"/>
                <w:szCs w:val="20"/>
                <w:lang w:eastAsia="en-GB"/>
              </w:rPr>
            </w:pPr>
            <w:r w:rsidRPr="003B552F">
              <w:rPr>
                <w:rFonts w:ascii="Arial Narrow" w:eastAsia="Times New Roman" w:hAnsi="Arial Narrow"/>
                <w:b/>
                <w:bCs/>
                <w:sz w:val="20"/>
                <w:szCs w:val="20"/>
                <w:lang w:eastAsia="en-GB"/>
              </w:rPr>
              <w:lastRenderedPageBreak/>
              <w:t> </w:t>
            </w:r>
          </w:p>
        </w:tc>
        <w:tc>
          <w:tcPr>
            <w:tcW w:w="7842" w:type="dxa"/>
            <w:gridSpan w:val="5"/>
            <w:tcBorders>
              <w:top w:val="single" w:sz="8" w:space="0" w:color="auto"/>
              <w:left w:val="single" w:sz="8" w:space="0" w:color="auto"/>
              <w:bottom w:val="single" w:sz="4" w:space="0" w:color="auto"/>
              <w:right w:val="single" w:sz="4" w:space="0" w:color="000000"/>
            </w:tcBorders>
            <w:shd w:val="clear" w:color="auto" w:fill="auto"/>
            <w:hideMark/>
          </w:tcPr>
          <w:p w14:paraId="4E3FEC22" w14:textId="350F0E4C" w:rsidR="00683F4A" w:rsidRPr="00CD56B9" w:rsidRDefault="00683F4A" w:rsidP="009657E1">
            <w:pPr>
              <w:spacing w:after="0"/>
              <w:jc w:val="left"/>
              <w:rPr>
                <w:rFonts w:ascii="Arial Narrow" w:eastAsia="Times New Roman" w:hAnsi="Arial Narrow"/>
                <w:b/>
                <w:bCs/>
                <w:color w:val="FF0000"/>
                <w:sz w:val="20"/>
                <w:szCs w:val="20"/>
                <w:lang w:val="en-US" w:eastAsia="en-GB"/>
              </w:rPr>
            </w:pPr>
            <w:r w:rsidRPr="00CD56B9">
              <w:rPr>
                <w:rFonts w:ascii="Arial Narrow" w:eastAsia="Times New Roman" w:hAnsi="Arial Narrow"/>
                <w:b/>
                <w:bCs/>
                <w:color w:val="FF0000"/>
                <w:sz w:val="20"/>
                <w:szCs w:val="20"/>
                <w:lang w:val="en-US" w:eastAsia="en-GB"/>
              </w:rPr>
              <w:t xml:space="preserve">4.1.5-Total  Budget for </w:t>
            </w:r>
            <w:r w:rsidR="003F4020" w:rsidRPr="00CD56B9">
              <w:rPr>
                <w:rFonts w:ascii="Arial Narrow" w:eastAsia="Times New Roman" w:hAnsi="Arial Narrow"/>
                <w:b/>
                <w:bCs/>
                <w:color w:val="FF0000"/>
                <w:sz w:val="20"/>
                <w:szCs w:val="20"/>
                <w:lang w:val="en-US" w:eastAsia="en-GB"/>
              </w:rPr>
              <w:t>Annualized</w:t>
            </w:r>
            <w:r w:rsidRPr="00CD56B9">
              <w:rPr>
                <w:rFonts w:ascii="Arial Narrow" w:eastAsia="Times New Roman" w:hAnsi="Arial Narrow"/>
                <w:b/>
                <w:bCs/>
                <w:color w:val="FF0000"/>
                <w:sz w:val="20"/>
                <w:szCs w:val="20"/>
                <w:lang w:val="en-US" w:eastAsia="en-GB"/>
              </w:rPr>
              <w:t xml:space="preserve"> Key Results for 2015</w:t>
            </w:r>
          </w:p>
        </w:tc>
        <w:tc>
          <w:tcPr>
            <w:tcW w:w="1230" w:type="dxa"/>
            <w:tcBorders>
              <w:top w:val="single" w:sz="8" w:space="0" w:color="auto"/>
              <w:left w:val="nil"/>
              <w:bottom w:val="single" w:sz="8" w:space="0" w:color="auto"/>
              <w:right w:val="single" w:sz="4" w:space="0" w:color="auto"/>
            </w:tcBorders>
            <w:shd w:val="clear" w:color="auto" w:fill="auto"/>
            <w:hideMark/>
          </w:tcPr>
          <w:p w14:paraId="0552AD38" w14:textId="77777777" w:rsidR="00683F4A" w:rsidRPr="00CD56B9" w:rsidRDefault="00683F4A" w:rsidP="009657E1">
            <w:pPr>
              <w:spacing w:after="0"/>
              <w:jc w:val="left"/>
              <w:rPr>
                <w:rFonts w:ascii="Arial Narrow" w:eastAsia="Times New Roman" w:hAnsi="Arial Narrow"/>
                <w:sz w:val="20"/>
                <w:szCs w:val="20"/>
                <w:lang w:val="en-US" w:eastAsia="en-GB"/>
              </w:rPr>
            </w:pPr>
            <w:r w:rsidRPr="00CD56B9">
              <w:rPr>
                <w:rFonts w:ascii="Arial Narrow" w:eastAsia="Times New Roman" w:hAnsi="Arial Narrow"/>
                <w:sz w:val="20"/>
                <w:szCs w:val="20"/>
                <w:lang w:val="en-US" w:eastAsia="en-GB"/>
              </w:rPr>
              <w:t> </w:t>
            </w:r>
          </w:p>
        </w:tc>
        <w:tc>
          <w:tcPr>
            <w:tcW w:w="1027" w:type="dxa"/>
            <w:gridSpan w:val="2"/>
            <w:tcBorders>
              <w:top w:val="single" w:sz="8" w:space="0" w:color="auto"/>
              <w:left w:val="nil"/>
              <w:bottom w:val="single" w:sz="8" w:space="0" w:color="auto"/>
              <w:right w:val="single" w:sz="4" w:space="0" w:color="auto"/>
            </w:tcBorders>
            <w:shd w:val="clear" w:color="auto" w:fill="auto"/>
            <w:noWrap/>
            <w:hideMark/>
          </w:tcPr>
          <w:p w14:paraId="4FCC0127" w14:textId="77777777" w:rsidR="00683F4A" w:rsidRPr="003B552F" w:rsidRDefault="00683F4A" w:rsidP="009657E1">
            <w:pPr>
              <w:spacing w:after="0"/>
              <w:jc w:val="right"/>
              <w:rPr>
                <w:rFonts w:ascii="Arial Narrow" w:eastAsia="Times New Roman" w:hAnsi="Arial Narrow"/>
                <w:b/>
                <w:bCs/>
                <w:color w:val="FF0000"/>
                <w:sz w:val="20"/>
                <w:szCs w:val="20"/>
                <w:lang w:eastAsia="en-GB"/>
              </w:rPr>
            </w:pPr>
            <w:r w:rsidRPr="00CD56B9">
              <w:rPr>
                <w:rFonts w:ascii="Arial Narrow" w:eastAsia="Times New Roman" w:hAnsi="Arial Narrow"/>
                <w:b/>
                <w:bCs/>
                <w:color w:val="FF0000"/>
                <w:sz w:val="20"/>
                <w:szCs w:val="20"/>
                <w:lang w:val="en-US" w:eastAsia="en-GB"/>
              </w:rPr>
              <w:t xml:space="preserve">           </w:t>
            </w:r>
            <w:r w:rsidRPr="003B552F">
              <w:rPr>
                <w:rFonts w:ascii="Arial Narrow" w:eastAsia="Times New Roman" w:hAnsi="Arial Narrow"/>
                <w:b/>
                <w:bCs/>
                <w:color w:val="FF0000"/>
                <w:sz w:val="20"/>
                <w:szCs w:val="20"/>
                <w:lang w:eastAsia="en-GB"/>
              </w:rPr>
              <w:t xml:space="preserve">814,500 </w:t>
            </w:r>
          </w:p>
        </w:tc>
        <w:tc>
          <w:tcPr>
            <w:tcW w:w="1028" w:type="dxa"/>
            <w:gridSpan w:val="3"/>
            <w:tcBorders>
              <w:top w:val="single" w:sz="8" w:space="0" w:color="auto"/>
              <w:left w:val="nil"/>
              <w:bottom w:val="single" w:sz="8" w:space="0" w:color="auto"/>
              <w:right w:val="single" w:sz="4" w:space="0" w:color="auto"/>
            </w:tcBorders>
            <w:shd w:val="clear" w:color="auto" w:fill="auto"/>
            <w:noWrap/>
            <w:hideMark/>
          </w:tcPr>
          <w:p w14:paraId="60551DC4" w14:textId="77777777" w:rsidR="00683F4A" w:rsidRPr="003B552F" w:rsidRDefault="00683F4A" w:rsidP="009657E1">
            <w:pPr>
              <w:spacing w:after="0"/>
              <w:jc w:val="right"/>
              <w:rPr>
                <w:rFonts w:ascii="Arial Narrow" w:eastAsia="Times New Roman" w:hAnsi="Arial Narrow"/>
                <w:b/>
                <w:bCs/>
                <w:color w:val="FF0000"/>
                <w:sz w:val="20"/>
                <w:szCs w:val="20"/>
                <w:lang w:eastAsia="en-GB"/>
              </w:rPr>
            </w:pPr>
            <w:r w:rsidRPr="003B552F">
              <w:rPr>
                <w:rFonts w:ascii="Arial Narrow" w:eastAsia="Times New Roman" w:hAnsi="Arial Narrow"/>
                <w:b/>
                <w:bCs/>
                <w:color w:val="FF0000"/>
                <w:sz w:val="20"/>
                <w:szCs w:val="20"/>
                <w:lang w:eastAsia="en-GB"/>
              </w:rPr>
              <w:t xml:space="preserve">            700,000 </w:t>
            </w:r>
          </w:p>
        </w:tc>
        <w:tc>
          <w:tcPr>
            <w:tcW w:w="1027" w:type="dxa"/>
            <w:gridSpan w:val="2"/>
            <w:tcBorders>
              <w:top w:val="single" w:sz="8" w:space="0" w:color="auto"/>
              <w:left w:val="nil"/>
              <w:bottom w:val="single" w:sz="8" w:space="0" w:color="auto"/>
              <w:right w:val="single" w:sz="4" w:space="0" w:color="auto"/>
            </w:tcBorders>
            <w:shd w:val="clear" w:color="auto" w:fill="auto"/>
            <w:noWrap/>
            <w:hideMark/>
          </w:tcPr>
          <w:p w14:paraId="3C63D7EC" w14:textId="77777777" w:rsidR="00683F4A" w:rsidRPr="003B552F" w:rsidRDefault="00683F4A" w:rsidP="009657E1">
            <w:pPr>
              <w:spacing w:after="0"/>
              <w:jc w:val="right"/>
              <w:rPr>
                <w:rFonts w:ascii="Arial Narrow" w:eastAsia="Times New Roman" w:hAnsi="Arial Narrow"/>
                <w:b/>
                <w:bCs/>
                <w:color w:val="FF0000"/>
                <w:sz w:val="20"/>
                <w:szCs w:val="20"/>
                <w:lang w:eastAsia="en-GB"/>
              </w:rPr>
            </w:pPr>
            <w:r w:rsidRPr="003B552F">
              <w:rPr>
                <w:rFonts w:ascii="Arial Narrow" w:eastAsia="Times New Roman" w:hAnsi="Arial Narrow"/>
                <w:b/>
                <w:bCs/>
                <w:color w:val="FF0000"/>
                <w:sz w:val="20"/>
                <w:szCs w:val="20"/>
                <w:lang w:eastAsia="en-GB"/>
              </w:rPr>
              <w:t xml:space="preserve">        1,383,333 </w:t>
            </w:r>
          </w:p>
        </w:tc>
        <w:tc>
          <w:tcPr>
            <w:tcW w:w="1028" w:type="dxa"/>
            <w:tcBorders>
              <w:top w:val="single" w:sz="8" w:space="0" w:color="auto"/>
              <w:left w:val="nil"/>
              <w:bottom w:val="single" w:sz="8" w:space="0" w:color="auto"/>
              <w:right w:val="single" w:sz="8" w:space="0" w:color="auto"/>
            </w:tcBorders>
            <w:shd w:val="clear" w:color="auto" w:fill="auto"/>
            <w:hideMark/>
          </w:tcPr>
          <w:p w14:paraId="5D5F4BE7" w14:textId="77777777" w:rsidR="00683F4A" w:rsidRPr="003B552F" w:rsidRDefault="00683F4A" w:rsidP="009657E1">
            <w:pPr>
              <w:spacing w:after="0"/>
              <w:jc w:val="right"/>
              <w:rPr>
                <w:rFonts w:ascii="Arial Narrow" w:eastAsia="Times New Roman" w:hAnsi="Arial Narrow"/>
                <w:b/>
                <w:bCs/>
                <w:color w:val="FF0000"/>
                <w:sz w:val="20"/>
                <w:szCs w:val="20"/>
                <w:lang w:eastAsia="en-GB"/>
              </w:rPr>
            </w:pPr>
            <w:r w:rsidRPr="003B552F">
              <w:rPr>
                <w:rFonts w:ascii="Arial Narrow" w:eastAsia="Times New Roman" w:hAnsi="Arial Narrow"/>
                <w:b/>
                <w:bCs/>
                <w:color w:val="FF0000"/>
                <w:sz w:val="20"/>
                <w:szCs w:val="20"/>
                <w:lang w:eastAsia="en-GB"/>
              </w:rPr>
              <w:t xml:space="preserve">          2,897,833 </w:t>
            </w:r>
          </w:p>
        </w:tc>
      </w:tr>
      <w:tr w:rsidR="00683F4A" w:rsidRPr="007D425D" w14:paraId="2A1C66C0" w14:textId="77777777" w:rsidTr="00683F4A">
        <w:trPr>
          <w:trHeight w:val="168"/>
          <w:jc w:val="center"/>
        </w:trPr>
        <w:tc>
          <w:tcPr>
            <w:tcW w:w="1570" w:type="dxa"/>
            <w:vMerge w:val="restart"/>
            <w:tcBorders>
              <w:top w:val="single" w:sz="4" w:space="0" w:color="auto"/>
              <w:left w:val="single" w:sz="8" w:space="0" w:color="auto"/>
              <w:bottom w:val="single" w:sz="4" w:space="0" w:color="000000"/>
              <w:right w:val="single" w:sz="4" w:space="0" w:color="auto"/>
            </w:tcBorders>
            <w:shd w:val="clear" w:color="auto" w:fill="auto"/>
            <w:hideMark/>
          </w:tcPr>
          <w:p w14:paraId="29D51906" w14:textId="77777777" w:rsidR="00683F4A" w:rsidRPr="003B552F" w:rsidRDefault="00683F4A" w:rsidP="009657E1">
            <w:pPr>
              <w:spacing w:after="0"/>
              <w:jc w:val="left"/>
              <w:rPr>
                <w:rFonts w:ascii="Arial Narrow" w:eastAsia="Times New Roman" w:hAnsi="Arial Narrow"/>
                <w:b/>
                <w:bCs/>
                <w:sz w:val="20"/>
                <w:szCs w:val="20"/>
                <w:lang w:eastAsia="en-GB"/>
              </w:rPr>
            </w:pPr>
            <w:r w:rsidRPr="003B552F">
              <w:rPr>
                <w:rFonts w:ascii="Arial Narrow" w:eastAsia="Times New Roman" w:hAnsi="Arial Narrow"/>
                <w:b/>
                <w:bCs/>
                <w:sz w:val="20"/>
                <w:szCs w:val="20"/>
                <w:lang w:eastAsia="en-GB"/>
              </w:rPr>
              <w:t>Annualized Key Results 2016</w:t>
            </w:r>
          </w:p>
        </w:tc>
        <w:tc>
          <w:tcPr>
            <w:tcW w:w="7842" w:type="dxa"/>
            <w:gridSpan w:val="5"/>
            <w:tcBorders>
              <w:top w:val="single" w:sz="4" w:space="0" w:color="auto"/>
              <w:left w:val="nil"/>
              <w:bottom w:val="single" w:sz="4" w:space="0" w:color="auto"/>
              <w:right w:val="single" w:sz="4" w:space="0" w:color="000000"/>
            </w:tcBorders>
            <w:shd w:val="clear" w:color="auto" w:fill="auto"/>
            <w:hideMark/>
          </w:tcPr>
          <w:p w14:paraId="6F2DCE6C" w14:textId="77777777" w:rsidR="00683F4A" w:rsidRPr="00CD56B9" w:rsidRDefault="00683F4A" w:rsidP="009657E1">
            <w:pPr>
              <w:spacing w:after="0"/>
              <w:jc w:val="left"/>
              <w:rPr>
                <w:rFonts w:ascii="Arial Narrow" w:eastAsia="Times New Roman" w:hAnsi="Arial Narrow"/>
                <w:sz w:val="20"/>
                <w:szCs w:val="20"/>
                <w:lang w:val="en-US" w:eastAsia="en-GB"/>
              </w:rPr>
            </w:pPr>
            <w:r w:rsidRPr="00CD56B9">
              <w:rPr>
                <w:rFonts w:ascii="Arial Narrow" w:eastAsia="Times New Roman" w:hAnsi="Arial Narrow"/>
                <w:sz w:val="20"/>
                <w:szCs w:val="20"/>
                <w:lang w:val="en-US" w:eastAsia="en-GB"/>
              </w:rPr>
              <w:t>B: Leadership and technical capacities of MHRC and Office of the Ombudsman strengthened to deliver more effectively on their human rights mandates (UNDP)</w:t>
            </w:r>
          </w:p>
        </w:tc>
        <w:tc>
          <w:tcPr>
            <w:tcW w:w="1230" w:type="dxa"/>
            <w:tcBorders>
              <w:top w:val="single" w:sz="4" w:space="0" w:color="auto"/>
              <w:left w:val="nil"/>
              <w:bottom w:val="single" w:sz="4" w:space="0" w:color="auto"/>
              <w:right w:val="single" w:sz="4" w:space="0" w:color="auto"/>
            </w:tcBorders>
            <w:shd w:val="clear" w:color="auto" w:fill="auto"/>
            <w:hideMark/>
          </w:tcPr>
          <w:p w14:paraId="4B54FDDE" w14:textId="77777777" w:rsidR="00683F4A" w:rsidRPr="003B552F" w:rsidRDefault="00683F4A" w:rsidP="009657E1">
            <w:pPr>
              <w:spacing w:after="0"/>
              <w:jc w:val="left"/>
              <w:rPr>
                <w:rFonts w:ascii="Arial Narrow" w:eastAsia="Times New Roman" w:hAnsi="Arial Narrow"/>
                <w:sz w:val="20"/>
                <w:szCs w:val="20"/>
                <w:lang w:eastAsia="en-GB"/>
              </w:rPr>
            </w:pPr>
            <w:r w:rsidRPr="003B552F">
              <w:rPr>
                <w:rFonts w:ascii="Arial Narrow" w:eastAsia="Times New Roman" w:hAnsi="Arial Narrow"/>
                <w:sz w:val="20"/>
                <w:szCs w:val="20"/>
                <w:lang w:eastAsia="en-GB"/>
              </w:rPr>
              <w:t>UNDP</w:t>
            </w:r>
          </w:p>
        </w:tc>
        <w:tc>
          <w:tcPr>
            <w:tcW w:w="1027" w:type="dxa"/>
            <w:gridSpan w:val="2"/>
            <w:tcBorders>
              <w:top w:val="single" w:sz="4" w:space="0" w:color="auto"/>
              <w:left w:val="nil"/>
              <w:bottom w:val="single" w:sz="4" w:space="0" w:color="auto"/>
              <w:right w:val="single" w:sz="4" w:space="0" w:color="auto"/>
            </w:tcBorders>
            <w:shd w:val="clear" w:color="auto" w:fill="auto"/>
            <w:noWrap/>
            <w:hideMark/>
          </w:tcPr>
          <w:p w14:paraId="169C1893"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40,000 </w:t>
            </w:r>
          </w:p>
        </w:tc>
        <w:tc>
          <w:tcPr>
            <w:tcW w:w="1028" w:type="dxa"/>
            <w:gridSpan w:val="3"/>
            <w:tcBorders>
              <w:top w:val="single" w:sz="4" w:space="0" w:color="auto"/>
              <w:left w:val="nil"/>
              <w:bottom w:val="single" w:sz="4" w:space="0" w:color="auto"/>
              <w:right w:val="single" w:sz="4" w:space="0" w:color="auto"/>
            </w:tcBorders>
            <w:shd w:val="clear" w:color="auto" w:fill="auto"/>
            <w:noWrap/>
            <w:hideMark/>
          </w:tcPr>
          <w:p w14:paraId="7D677A98"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w:t>
            </w:r>
          </w:p>
        </w:tc>
        <w:tc>
          <w:tcPr>
            <w:tcW w:w="1027" w:type="dxa"/>
            <w:gridSpan w:val="2"/>
            <w:tcBorders>
              <w:top w:val="single" w:sz="4" w:space="0" w:color="auto"/>
              <w:left w:val="nil"/>
              <w:bottom w:val="single" w:sz="4" w:space="0" w:color="auto"/>
              <w:right w:val="single" w:sz="4" w:space="0" w:color="auto"/>
            </w:tcBorders>
            <w:shd w:val="clear" w:color="auto" w:fill="auto"/>
            <w:noWrap/>
            <w:hideMark/>
          </w:tcPr>
          <w:p w14:paraId="05D70618"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w:t>
            </w:r>
          </w:p>
        </w:tc>
        <w:tc>
          <w:tcPr>
            <w:tcW w:w="1028" w:type="dxa"/>
            <w:tcBorders>
              <w:top w:val="single" w:sz="4" w:space="0" w:color="auto"/>
              <w:left w:val="nil"/>
              <w:bottom w:val="single" w:sz="4" w:space="0" w:color="auto"/>
              <w:right w:val="single" w:sz="8" w:space="0" w:color="auto"/>
            </w:tcBorders>
            <w:shd w:val="clear" w:color="auto" w:fill="auto"/>
            <w:hideMark/>
          </w:tcPr>
          <w:p w14:paraId="25117759"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40,000 </w:t>
            </w:r>
          </w:p>
        </w:tc>
      </w:tr>
      <w:tr w:rsidR="00683F4A" w:rsidRPr="007D425D" w14:paraId="5D3A5506" w14:textId="77777777" w:rsidTr="009657E1">
        <w:trPr>
          <w:trHeight w:val="168"/>
          <w:jc w:val="center"/>
        </w:trPr>
        <w:tc>
          <w:tcPr>
            <w:tcW w:w="1570" w:type="dxa"/>
            <w:vMerge/>
            <w:tcBorders>
              <w:top w:val="single" w:sz="4" w:space="0" w:color="auto"/>
              <w:left w:val="single" w:sz="8" w:space="0" w:color="auto"/>
              <w:bottom w:val="single" w:sz="4" w:space="0" w:color="000000"/>
              <w:right w:val="single" w:sz="4" w:space="0" w:color="auto"/>
            </w:tcBorders>
            <w:vAlign w:val="center"/>
            <w:hideMark/>
          </w:tcPr>
          <w:p w14:paraId="1E9EB04A" w14:textId="77777777" w:rsidR="00683F4A" w:rsidRPr="003B552F" w:rsidRDefault="00683F4A" w:rsidP="009657E1">
            <w:pPr>
              <w:spacing w:after="0"/>
              <w:jc w:val="left"/>
              <w:rPr>
                <w:rFonts w:ascii="Arial Narrow" w:eastAsia="Times New Roman" w:hAnsi="Arial Narrow"/>
                <w:b/>
                <w:bCs/>
                <w:sz w:val="20"/>
                <w:szCs w:val="20"/>
                <w:lang w:eastAsia="en-GB"/>
              </w:rPr>
            </w:pPr>
          </w:p>
        </w:tc>
        <w:tc>
          <w:tcPr>
            <w:tcW w:w="7842" w:type="dxa"/>
            <w:gridSpan w:val="5"/>
            <w:tcBorders>
              <w:top w:val="single" w:sz="4" w:space="0" w:color="auto"/>
              <w:left w:val="nil"/>
              <w:bottom w:val="single" w:sz="4" w:space="0" w:color="auto"/>
              <w:right w:val="single" w:sz="4" w:space="0" w:color="000000"/>
            </w:tcBorders>
            <w:shd w:val="clear" w:color="auto" w:fill="auto"/>
            <w:hideMark/>
          </w:tcPr>
          <w:p w14:paraId="48DDC6DF" w14:textId="77777777" w:rsidR="00683F4A" w:rsidRPr="00CD56B9" w:rsidRDefault="00683F4A" w:rsidP="009657E1">
            <w:pPr>
              <w:spacing w:after="0"/>
              <w:jc w:val="left"/>
              <w:rPr>
                <w:rFonts w:ascii="Arial Narrow" w:eastAsia="Times New Roman" w:hAnsi="Arial Narrow"/>
                <w:sz w:val="20"/>
                <w:szCs w:val="20"/>
                <w:lang w:val="en-US" w:eastAsia="en-GB"/>
              </w:rPr>
            </w:pPr>
            <w:r w:rsidRPr="00CD56B9">
              <w:rPr>
                <w:rFonts w:ascii="Arial Narrow" w:eastAsia="Times New Roman" w:hAnsi="Arial Narrow"/>
                <w:sz w:val="20"/>
                <w:szCs w:val="20"/>
                <w:lang w:val="en-US" w:eastAsia="en-GB"/>
              </w:rPr>
              <w:t xml:space="preserve">C: Additional 70 village rights committees in 28 districts established and oriented on good governance (UNDP)                                   </w:t>
            </w:r>
          </w:p>
        </w:tc>
        <w:tc>
          <w:tcPr>
            <w:tcW w:w="1230" w:type="dxa"/>
            <w:tcBorders>
              <w:top w:val="nil"/>
              <w:left w:val="nil"/>
              <w:bottom w:val="single" w:sz="4" w:space="0" w:color="auto"/>
              <w:right w:val="single" w:sz="4" w:space="0" w:color="auto"/>
            </w:tcBorders>
            <w:shd w:val="clear" w:color="auto" w:fill="auto"/>
            <w:hideMark/>
          </w:tcPr>
          <w:p w14:paraId="7F23377E" w14:textId="77777777" w:rsidR="00683F4A" w:rsidRPr="003B552F" w:rsidRDefault="00683F4A" w:rsidP="009657E1">
            <w:pPr>
              <w:spacing w:after="0"/>
              <w:jc w:val="left"/>
              <w:rPr>
                <w:rFonts w:ascii="Arial Narrow" w:eastAsia="Times New Roman" w:hAnsi="Arial Narrow"/>
                <w:sz w:val="20"/>
                <w:szCs w:val="20"/>
                <w:lang w:eastAsia="en-GB"/>
              </w:rPr>
            </w:pPr>
            <w:r w:rsidRPr="003B552F">
              <w:rPr>
                <w:rFonts w:ascii="Arial Narrow" w:eastAsia="Times New Roman" w:hAnsi="Arial Narrow"/>
                <w:sz w:val="20"/>
                <w:szCs w:val="20"/>
                <w:lang w:eastAsia="en-GB"/>
              </w:rPr>
              <w:t>UNDP</w:t>
            </w:r>
          </w:p>
        </w:tc>
        <w:tc>
          <w:tcPr>
            <w:tcW w:w="1027" w:type="dxa"/>
            <w:gridSpan w:val="2"/>
            <w:tcBorders>
              <w:top w:val="nil"/>
              <w:left w:val="nil"/>
              <w:bottom w:val="single" w:sz="4" w:space="0" w:color="auto"/>
              <w:right w:val="single" w:sz="4" w:space="0" w:color="auto"/>
            </w:tcBorders>
            <w:shd w:val="clear" w:color="auto" w:fill="auto"/>
            <w:hideMark/>
          </w:tcPr>
          <w:p w14:paraId="0514DEDA"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490,000 </w:t>
            </w:r>
          </w:p>
        </w:tc>
        <w:tc>
          <w:tcPr>
            <w:tcW w:w="1028" w:type="dxa"/>
            <w:gridSpan w:val="3"/>
            <w:tcBorders>
              <w:top w:val="nil"/>
              <w:left w:val="nil"/>
              <w:bottom w:val="single" w:sz="4" w:space="0" w:color="auto"/>
              <w:right w:val="single" w:sz="4" w:space="0" w:color="auto"/>
            </w:tcBorders>
            <w:shd w:val="clear" w:color="auto" w:fill="auto"/>
            <w:hideMark/>
          </w:tcPr>
          <w:p w14:paraId="0CB61143"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750,000 </w:t>
            </w:r>
          </w:p>
        </w:tc>
        <w:tc>
          <w:tcPr>
            <w:tcW w:w="1027" w:type="dxa"/>
            <w:gridSpan w:val="2"/>
            <w:tcBorders>
              <w:top w:val="nil"/>
              <w:left w:val="nil"/>
              <w:bottom w:val="single" w:sz="4" w:space="0" w:color="auto"/>
              <w:right w:val="single" w:sz="4" w:space="0" w:color="auto"/>
            </w:tcBorders>
            <w:shd w:val="clear" w:color="auto" w:fill="auto"/>
            <w:hideMark/>
          </w:tcPr>
          <w:p w14:paraId="3FC0F66E"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1,300,000 </w:t>
            </w:r>
          </w:p>
        </w:tc>
        <w:tc>
          <w:tcPr>
            <w:tcW w:w="1028" w:type="dxa"/>
            <w:tcBorders>
              <w:top w:val="nil"/>
              <w:left w:val="nil"/>
              <w:bottom w:val="single" w:sz="4" w:space="0" w:color="auto"/>
              <w:right w:val="single" w:sz="8" w:space="0" w:color="auto"/>
            </w:tcBorders>
            <w:shd w:val="clear" w:color="auto" w:fill="auto"/>
            <w:hideMark/>
          </w:tcPr>
          <w:p w14:paraId="68BAB18D"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2,540,000 </w:t>
            </w:r>
          </w:p>
        </w:tc>
      </w:tr>
      <w:tr w:rsidR="00683F4A" w:rsidRPr="007D425D" w14:paraId="30DCA154" w14:textId="77777777" w:rsidTr="009657E1">
        <w:trPr>
          <w:trHeight w:val="179"/>
          <w:jc w:val="center"/>
        </w:trPr>
        <w:tc>
          <w:tcPr>
            <w:tcW w:w="1570" w:type="dxa"/>
            <w:vMerge/>
            <w:tcBorders>
              <w:top w:val="single" w:sz="4" w:space="0" w:color="auto"/>
              <w:left w:val="single" w:sz="8" w:space="0" w:color="auto"/>
              <w:bottom w:val="single" w:sz="4" w:space="0" w:color="000000"/>
              <w:right w:val="single" w:sz="4" w:space="0" w:color="auto"/>
            </w:tcBorders>
            <w:vAlign w:val="center"/>
            <w:hideMark/>
          </w:tcPr>
          <w:p w14:paraId="21DCA91D" w14:textId="77777777" w:rsidR="00683F4A" w:rsidRPr="003B552F" w:rsidRDefault="00683F4A" w:rsidP="009657E1">
            <w:pPr>
              <w:spacing w:after="0"/>
              <w:jc w:val="left"/>
              <w:rPr>
                <w:rFonts w:ascii="Arial Narrow" w:eastAsia="Times New Roman" w:hAnsi="Arial Narrow"/>
                <w:b/>
                <w:bCs/>
                <w:sz w:val="20"/>
                <w:szCs w:val="20"/>
                <w:lang w:eastAsia="en-GB"/>
              </w:rPr>
            </w:pPr>
          </w:p>
        </w:tc>
        <w:tc>
          <w:tcPr>
            <w:tcW w:w="7842" w:type="dxa"/>
            <w:gridSpan w:val="5"/>
            <w:tcBorders>
              <w:top w:val="single" w:sz="4" w:space="0" w:color="auto"/>
              <w:left w:val="nil"/>
              <w:bottom w:val="nil"/>
              <w:right w:val="single" w:sz="4" w:space="0" w:color="000000"/>
            </w:tcBorders>
            <w:shd w:val="clear" w:color="auto" w:fill="auto"/>
            <w:noWrap/>
            <w:hideMark/>
          </w:tcPr>
          <w:p w14:paraId="29508086" w14:textId="77777777" w:rsidR="00683F4A" w:rsidRPr="00CD56B9" w:rsidRDefault="00683F4A" w:rsidP="009657E1">
            <w:pPr>
              <w:spacing w:after="0"/>
              <w:jc w:val="left"/>
              <w:rPr>
                <w:rFonts w:ascii="Arial Narrow" w:eastAsia="Times New Roman" w:hAnsi="Arial Narrow"/>
                <w:sz w:val="20"/>
                <w:szCs w:val="20"/>
                <w:lang w:val="en-US" w:eastAsia="en-GB"/>
              </w:rPr>
            </w:pPr>
            <w:r w:rsidRPr="00CD56B9">
              <w:rPr>
                <w:rFonts w:ascii="Arial Narrow" w:eastAsia="Times New Roman" w:hAnsi="Arial Narrow"/>
                <w:sz w:val="20"/>
                <w:szCs w:val="20"/>
                <w:lang w:val="en-US" w:eastAsia="en-GB"/>
              </w:rPr>
              <w:t>G: Timely drafting and submission of MDG report (UNICEF)</w:t>
            </w:r>
          </w:p>
        </w:tc>
        <w:tc>
          <w:tcPr>
            <w:tcW w:w="1230" w:type="dxa"/>
            <w:tcBorders>
              <w:top w:val="nil"/>
              <w:left w:val="nil"/>
              <w:bottom w:val="nil"/>
              <w:right w:val="single" w:sz="4" w:space="0" w:color="auto"/>
            </w:tcBorders>
            <w:shd w:val="clear" w:color="auto" w:fill="auto"/>
            <w:noWrap/>
            <w:hideMark/>
          </w:tcPr>
          <w:p w14:paraId="105F56FF" w14:textId="77777777" w:rsidR="00683F4A" w:rsidRPr="003B552F" w:rsidRDefault="00683F4A" w:rsidP="009657E1">
            <w:pPr>
              <w:spacing w:after="0"/>
              <w:jc w:val="left"/>
              <w:rPr>
                <w:rFonts w:ascii="Arial Narrow" w:eastAsia="Times New Roman" w:hAnsi="Arial Narrow"/>
                <w:sz w:val="20"/>
                <w:szCs w:val="20"/>
                <w:lang w:eastAsia="en-GB"/>
              </w:rPr>
            </w:pPr>
            <w:r w:rsidRPr="003B552F">
              <w:rPr>
                <w:rFonts w:ascii="Arial Narrow" w:eastAsia="Times New Roman" w:hAnsi="Arial Narrow"/>
                <w:sz w:val="20"/>
                <w:szCs w:val="20"/>
                <w:lang w:eastAsia="en-GB"/>
              </w:rPr>
              <w:t>UNICEF</w:t>
            </w:r>
          </w:p>
        </w:tc>
        <w:tc>
          <w:tcPr>
            <w:tcW w:w="1027" w:type="dxa"/>
            <w:gridSpan w:val="2"/>
            <w:tcBorders>
              <w:top w:val="nil"/>
              <w:left w:val="nil"/>
              <w:bottom w:val="nil"/>
              <w:right w:val="single" w:sz="4" w:space="0" w:color="auto"/>
            </w:tcBorders>
            <w:shd w:val="clear" w:color="auto" w:fill="auto"/>
            <w:noWrap/>
            <w:hideMark/>
          </w:tcPr>
          <w:p w14:paraId="34991E99"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35,000 </w:t>
            </w:r>
          </w:p>
        </w:tc>
        <w:tc>
          <w:tcPr>
            <w:tcW w:w="1028" w:type="dxa"/>
            <w:gridSpan w:val="3"/>
            <w:tcBorders>
              <w:top w:val="nil"/>
              <w:left w:val="nil"/>
              <w:bottom w:val="nil"/>
              <w:right w:val="single" w:sz="4" w:space="0" w:color="auto"/>
            </w:tcBorders>
            <w:shd w:val="clear" w:color="auto" w:fill="auto"/>
            <w:noWrap/>
            <w:hideMark/>
          </w:tcPr>
          <w:p w14:paraId="7137A2A1"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w:t>
            </w:r>
          </w:p>
        </w:tc>
        <w:tc>
          <w:tcPr>
            <w:tcW w:w="1027" w:type="dxa"/>
            <w:gridSpan w:val="2"/>
            <w:tcBorders>
              <w:top w:val="nil"/>
              <w:left w:val="nil"/>
              <w:bottom w:val="nil"/>
              <w:right w:val="single" w:sz="4" w:space="0" w:color="auto"/>
            </w:tcBorders>
            <w:shd w:val="clear" w:color="auto" w:fill="auto"/>
            <w:noWrap/>
            <w:hideMark/>
          </w:tcPr>
          <w:p w14:paraId="7E66EC87"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w:t>
            </w:r>
          </w:p>
        </w:tc>
        <w:tc>
          <w:tcPr>
            <w:tcW w:w="1028" w:type="dxa"/>
            <w:tcBorders>
              <w:top w:val="nil"/>
              <w:left w:val="nil"/>
              <w:bottom w:val="nil"/>
              <w:right w:val="single" w:sz="8" w:space="0" w:color="auto"/>
            </w:tcBorders>
            <w:shd w:val="clear" w:color="auto" w:fill="auto"/>
            <w:hideMark/>
          </w:tcPr>
          <w:p w14:paraId="4D8CE291" w14:textId="77777777" w:rsidR="00683F4A" w:rsidRPr="003B552F" w:rsidRDefault="00683F4A" w:rsidP="009657E1">
            <w:pPr>
              <w:spacing w:after="0"/>
              <w:jc w:val="right"/>
              <w:rPr>
                <w:rFonts w:ascii="Arial Narrow" w:eastAsia="Times New Roman" w:hAnsi="Arial Narrow"/>
                <w:sz w:val="20"/>
                <w:szCs w:val="20"/>
                <w:lang w:eastAsia="en-GB"/>
              </w:rPr>
            </w:pPr>
            <w:r w:rsidRPr="003B552F">
              <w:rPr>
                <w:rFonts w:ascii="Arial Narrow" w:eastAsia="Times New Roman" w:hAnsi="Arial Narrow"/>
                <w:sz w:val="20"/>
                <w:szCs w:val="20"/>
                <w:lang w:eastAsia="en-GB"/>
              </w:rPr>
              <w:t xml:space="preserve">               35,000 </w:t>
            </w:r>
          </w:p>
        </w:tc>
      </w:tr>
      <w:tr w:rsidR="00683F4A" w:rsidRPr="007D425D" w14:paraId="4766394D" w14:textId="77777777" w:rsidTr="009657E1">
        <w:trPr>
          <w:trHeight w:val="179"/>
          <w:jc w:val="center"/>
        </w:trPr>
        <w:tc>
          <w:tcPr>
            <w:tcW w:w="1570" w:type="dxa"/>
            <w:tcBorders>
              <w:top w:val="nil"/>
              <w:left w:val="single" w:sz="8" w:space="0" w:color="auto"/>
              <w:bottom w:val="single" w:sz="4" w:space="0" w:color="auto"/>
              <w:right w:val="single" w:sz="4" w:space="0" w:color="auto"/>
            </w:tcBorders>
            <w:shd w:val="clear" w:color="auto" w:fill="auto"/>
            <w:hideMark/>
          </w:tcPr>
          <w:p w14:paraId="1B25E664" w14:textId="77777777" w:rsidR="00683F4A" w:rsidRPr="003B552F" w:rsidRDefault="00683F4A" w:rsidP="009657E1">
            <w:pPr>
              <w:spacing w:after="0"/>
              <w:jc w:val="left"/>
              <w:rPr>
                <w:rFonts w:ascii="Arial Narrow" w:eastAsia="Times New Roman" w:hAnsi="Arial Narrow"/>
                <w:b/>
                <w:bCs/>
                <w:sz w:val="20"/>
                <w:szCs w:val="20"/>
                <w:lang w:eastAsia="en-GB"/>
              </w:rPr>
            </w:pPr>
            <w:r w:rsidRPr="003B552F">
              <w:rPr>
                <w:rFonts w:ascii="Arial Narrow" w:eastAsia="Times New Roman" w:hAnsi="Arial Narrow"/>
                <w:b/>
                <w:bCs/>
                <w:sz w:val="20"/>
                <w:szCs w:val="20"/>
                <w:lang w:eastAsia="en-GB"/>
              </w:rPr>
              <w:t> </w:t>
            </w:r>
          </w:p>
        </w:tc>
        <w:tc>
          <w:tcPr>
            <w:tcW w:w="7842" w:type="dxa"/>
            <w:gridSpan w:val="5"/>
            <w:tcBorders>
              <w:top w:val="single" w:sz="8" w:space="0" w:color="auto"/>
              <w:left w:val="single" w:sz="8" w:space="0" w:color="auto"/>
              <w:bottom w:val="single" w:sz="4" w:space="0" w:color="auto"/>
              <w:right w:val="single" w:sz="4" w:space="0" w:color="000000"/>
            </w:tcBorders>
            <w:shd w:val="clear" w:color="auto" w:fill="auto"/>
            <w:hideMark/>
          </w:tcPr>
          <w:p w14:paraId="180439C3" w14:textId="1DA44EF5" w:rsidR="00683F4A" w:rsidRPr="00CD56B9" w:rsidRDefault="00683F4A" w:rsidP="009657E1">
            <w:pPr>
              <w:spacing w:after="0"/>
              <w:jc w:val="left"/>
              <w:rPr>
                <w:rFonts w:ascii="Arial Narrow" w:eastAsia="Times New Roman" w:hAnsi="Arial Narrow"/>
                <w:b/>
                <w:bCs/>
                <w:color w:val="FF0000"/>
                <w:sz w:val="20"/>
                <w:szCs w:val="20"/>
                <w:lang w:val="en-US" w:eastAsia="en-GB"/>
              </w:rPr>
            </w:pPr>
            <w:r w:rsidRPr="00CD56B9">
              <w:rPr>
                <w:rFonts w:ascii="Arial Narrow" w:eastAsia="Times New Roman" w:hAnsi="Arial Narrow"/>
                <w:b/>
                <w:bCs/>
                <w:color w:val="FF0000"/>
                <w:sz w:val="20"/>
                <w:szCs w:val="20"/>
                <w:lang w:val="en-US" w:eastAsia="en-GB"/>
              </w:rPr>
              <w:t xml:space="preserve">4.1.5-Total Budget for </w:t>
            </w:r>
            <w:r w:rsidR="003F4020" w:rsidRPr="00CD56B9">
              <w:rPr>
                <w:rFonts w:ascii="Arial Narrow" w:eastAsia="Times New Roman" w:hAnsi="Arial Narrow"/>
                <w:b/>
                <w:bCs/>
                <w:color w:val="FF0000"/>
                <w:sz w:val="20"/>
                <w:szCs w:val="20"/>
                <w:lang w:val="en-US" w:eastAsia="en-GB"/>
              </w:rPr>
              <w:t>Annualized</w:t>
            </w:r>
            <w:r w:rsidRPr="00CD56B9">
              <w:rPr>
                <w:rFonts w:ascii="Arial Narrow" w:eastAsia="Times New Roman" w:hAnsi="Arial Narrow"/>
                <w:b/>
                <w:bCs/>
                <w:color w:val="FF0000"/>
                <w:sz w:val="20"/>
                <w:szCs w:val="20"/>
                <w:lang w:val="en-US" w:eastAsia="en-GB"/>
              </w:rPr>
              <w:t xml:space="preserve"> Key Results for 2015</w:t>
            </w:r>
          </w:p>
        </w:tc>
        <w:tc>
          <w:tcPr>
            <w:tcW w:w="1230" w:type="dxa"/>
            <w:tcBorders>
              <w:top w:val="single" w:sz="8" w:space="0" w:color="auto"/>
              <w:left w:val="nil"/>
              <w:bottom w:val="single" w:sz="4" w:space="0" w:color="auto"/>
              <w:right w:val="single" w:sz="4" w:space="0" w:color="auto"/>
            </w:tcBorders>
            <w:shd w:val="clear" w:color="auto" w:fill="auto"/>
            <w:noWrap/>
            <w:hideMark/>
          </w:tcPr>
          <w:p w14:paraId="7528A07D" w14:textId="77777777" w:rsidR="00683F4A" w:rsidRPr="00CD56B9" w:rsidRDefault="00683F4A" w:rsidP="009657E1">
            <w:pPr>
              <w:spacing w:after="0"/>
              <w:jc w:val="left"/>
              <w:rPr>
                <w:rFonts w:ascii="Arial Narrow" w:eastAsia="Times New Roman" w:hAnsi="Arial Narrow"/>
                <w:sz w:val="20"/>
                <w:szCs w:val="20"/>
                <w:lang w:val="en-US" w:eastAsia="en-GB"/>
              </w:rPr>
            </w:pPr>
            <w:r w:rsidRPr="00CD56B9">
              <w:rPr>
                <w:rFonts w:ascii="Arial Narrow" w:eastAsia="Times New Roman" w:hAnsi="Arial Narrow"/>
                <w:sz w:val="20"/>
                <w:szCs w:val="20"/>
                <w:lang w:val="en-US" w:eastAsia="en-GB"/>
              </w:rPr>
              <w:t> </w:t>
            </w:r>
          </w:p>
        </w:tc>
        <w:tc>
          <w:tcPr>
            <w:tcW w:w="1027" w:type="dxa"/>
            <w:gridSpan w:val="2"/>
            <w:tcBorders>
              <w:top w:val="single" w:sz="8" w:space="0" w:color="auto"/>
              <w:left w:val="nil"/>
              <w:bottom w:val="single" w:sz="4" w:space="0" w:color="auto"/>
              <w:right w:val="single" w:sz="4" w:space="0" w:color="auto"/>
            </w:tcBorders>
            <w:shd w:val="clear" w:color="auto" w:fill="auto"/>
            <w:noWrap/>
            <w:hideMark/>
          </w:tcPr>
          <w:p w14:paraId="32A1D385" w14:textId="77777777" w:rsidR="00683F4A" w:rsidRPr="003B552F" w:rsidRDefault="00683F4A" w:rsidP="009657E1">
            <w:pPr>
              <w:spacing w:after="0"/>
              <w:jc w:val="right"/>
              <w:rPr>
                <w:rFonts w:ascii="Arial Narrow" w:eastAsia="Times New Roman" w:hAnsi="Arial Narrow"/>
                <w:b/>
                <w:bCs/>
                <w:color w:val="FF0000"/>
                <w:sz w:val="20"/>
                <w:szCs w:val="20"/>
                <w:lang w:eastAsia="en-GB"/>
              </w:rPr>
            </w:pPr>
            <w:r w:rsidRPr="00CD56B9">
              <w:rPr>
                <w:rFonts w:ascii="Arial Narrow" w:eastAsia="Times New Roman" w:hAnsi="Arial Narrow"/>
                <w:b/>
                <w:bCs/>
                <w:color w:val="FF0000"/>
                <w:sz w:val="20"/>
                <w:szCs w:val="20"/>
                <w:lang w:val="en-US" w:eastAsia="en-GB"/>
              </w:rPr>
              <w:t xml:space="preserve">           </w:t>
            </w:r>
            <w:r w:rsidRPr="003B552F">
              <w:rPr>
                <w:rFonts w:ascii="Arial Narrow" w:eastAsia="Times New Roman" w:hAnsi="Arial Narrow"/>
                <w:b/>
                <w:bCs/>
                <w:color w:val="FF0000"/>
                <w:sz w:val="20"/>
                <w:szCs w:val="20"/>
                <w:lang w:eastAsia="en-GB"/>
              </w:rPr>
              <w:t xml:space="preserve">565,000 </w:t>
            </w:r>
          </w:p>
        </w:tc>
        <w:tc>
          <w:tcPr>
            <w:tcW w:w="1028" w:type="dxa"/>
            <w:gridSpan w:val="3"/>
            <w:tcBorders>
              <w:top w:val="single" w:sz="8" w:space="0" w:color="auto"/>
              <w:left w:val="nil"/>
              <w:bottom w:val="single" w:sz="4" w:space="0" w:color="auto"/>
              <w:right w:val="single" w:sz="4" w:space="0" w:color="auto"/>
            </w:tcBorders>
            <w:shd w:val="clear" w:color="auto" w:fill="auto"/>
            <w:noWrap/>
            <w:hideMark/>
          </w:tcPr>
          <w:p w14:paraId="053C75C1" w14:textId="77777777" w:rsidR="00683F4A" w:rsidRPr="003B552F" w:rsidRDefault="00683F4A" w:rsidP="009657E1">
            <w:pPr>
              <w:spacing w:after="0"/>
              <w:jc w:val="right"/>
              <w:rPr>
                <w:rFonts w:ascii="Arial Narrow" w:eastAsia="Times New Roman" w:hAnsi="Arial Narrow"/>
                <w:b/>
                <w:bCs/>
                <w:color w:val="FF0000"/>
                <w:sz w:val="20"/>
                <w:szCs w:val="20"/>
                <w:lang w:eastAsia="en-GB"/>
              </w:rPr>
            </w:pPr>
            <w:r w:rsidRPr="003B552F">
              <w:rPr>
                <w:rFonts w:ascii="Arial Narrow" w:eastAsia="Times New Roman" w:hAnsi="Arial Narrow"/>
                <w:b/>
                <w:bCs/>
                <w:color w:val="FF0000"/>
                <w:sz w:val="20"/>
                <w:szCs w:val="20"/>
                <w:lang w:eastAsia="en-GB"/>
              </w:rPr>
              <w:t xml:space="preserve">            750,000 </w:t>
            </w:r>
          </w:p>
        </w:tc>
        <w:tc>
          <w:tcPr>
            <w:tcW w:w="1027" w:type="dxa"/>
            <w:gridSpan w:val="2"/>
            <w:tcBorders>
              <w:top w:val="single" w:sz="8" w:space="0" w:color="auto"/>
              <w:left w:val="nil"/>
              <w:bottom w:val="single" w:sz="4" w:space="0" w:color="auto"/>
              <w:right w:val="single" w:sz="4" w:space="0" w:color="auto"/>
            </w:tcBorders>
            <w:shd w:val="clear" w:color="auto" w:fill="auto"/>
            <w:noWrap/>
            <w:hideMark/>
          </w:tcPr>
          <w:p w14:paraId="7B7E17D2" w14:textId="77777777" w:rsidR="00683F4A" w:rsidRPr="003B552F" w:rsidRDefault="00683F4A" w:rsidP="009657E1">
            <w:pPr>
              <w:spacing w:after="0"/>
              <w:jc w:val="right"/>
              <w:rPr>
                <w:rFonts w:ascii="Arial Narrow" w:eastAsia="Times New Roman" w:hAnsi="Arial Narrow"/>
                <w:b/>
                <w:bCs/>
                <w:color w:val="FF0000"/>
                <w:sz w:val="20"/>
                <w:szCs w:val="20"/>
                <w:lang w:eastAsia="en-GB"/>
              </w:rPr>
            </w:pPr>
            <w:r w:rsidRPr="003B552F">
              <w:rPr>
                <w:rFonts w:ascii="Arial Narrow" w:eastAsia="Times New Roman" w:hAnsi="Arial Narrow"/>
                <w:b/>
                <w:bCs/>
                <w:color w:val="FF0000"/>
                <w:sz w:val="20"/>
                <w:szCs w:val="20"/>
                <w:lang w:eastAsia="en-GB"/>
              </w:rPr>
              <w:t xml:space="preserve">        1,300,000 </w:t>
            </w:r>
          </w:p>
        </w:tc>
        <w:tc>
          <w:tcPr>
            <w:tcW w:w="1028" w:type="dxa"/>
            <w:tcBorders>
              <w:top w:val="single" w:sz="8" w:space="0" w:color="auto"/>
              <w:left w:val="nil"/>
              <w:bottom w:val="single" w:sz="4" w:space="0" w:color="auto"/>
              <w:right w:val="single" w:sz="8" w:space="0" w:color="auto"/>
            </w:tcBorders>
            <w:shd w:val="clear" w:color="auto" w:fill="auto"/>
            <w:hideMark/>
          </w:tcPr>
          <w:p w14:paraId="2F64C1A9" w14:textId="77777777" w:rsidR="00683F4A" w:rsidRPr="003B552F" w:rsidRDefault="00683F4A" w:rsidP="009657E1">
            <w:pPr>
              <w:spacing w:after="0"/>
              <w:jc w:val="right"/>
              <w:rPr>
                <w:rFonts w:ascii="Arial Narrow" w:eastAsia="Times New Roman" w:hAnsi="Arial Narrow"/>
                <w:b/>
                <w:bCs/>
                <w:color w:val="FF0000"/>
                <w:sz w:val="20"/>
                <w:szCs w:val="20"/>
                <w:lang w:eastAsia="en-GB"/>
              </w:rPr>
            </w:pPr>
            <w:r w:rsidRPr="003B552F">
              <w:rPr>
                <w:rFonts w:ascii="Arial Narrow" w:eastAsia="Times New Roman" w:hAnsi="Arial Narrow"/>
                <w:b/>
                <w:bCs/>
                <w:color w:val="FF0000"/>
                <w:sz w:val="20"/>
                <w:szCs w:val="20"/>
                <w:lang w:eastAsia="en-GB"/>
              </w:rPr>
              <w:t xml:space="preserve">          2,615,000 </w:t>
            </w:r>
          </w:p>
        </w:tc>
      </w:tr>
      <w:tr w:rsidR="00683F4A" w:rsidRPr="007D425D" w14:paraId="34DB3600" w14:textId="77777777" w:rsidTr="009657E1">
        <w:trPr>
          <w:trHeight w:val="168"/>
          <w:jc w:val="center"/>
        </w:trPr>
        <w:tc>
          <w:tcPr>
            <w:tcW w:w="1570" w:type="dxa"/>
            <w:tcBorders>
              <w:top w:val="single" w:sz="4" w:space="0" w:color="auto"/>
              <w:left w:val="single" w:sz="4" w:space="0" w:color="auto"/>
              <w:bottom w:val="single" w:sz="4" w:space="0" w:color="auto"/>
              <w:right w:val="single" w:sz="4" w:space="0" w:color="auto"/>
            </w:tcBorders>
            <w:shd w:val="clear" w:color="000000" w:fill="969696"/>
            <w:hideMark/>
          </w:tcPr>
          <w:p w14:paraId="37B10EB2" w14:textId="77777777" w:rsidR="00683F4A" w:rsidRPr="003B552F" w:rsidRDefault="00683F4A" w:rsidP="009657E1">
            <w:pPr>
              <w:spacing w:after="0"/>
              <w:jc w:val="left"/>
              <w:rPr>
                <w:rFonts w:ascii="Arial Narrow" w:eastAsia="Times New Roman" w:hAnsi="Arial Narrow"/>
                <w:b/>
                <w:bCs/>
                <w:sz w:val="20"/>
                <w:szCs w:val="20"/>
                <w:lang w:eastAsia="en-GB"/>
              </w:rPr>
            </w:pPr>
            <w:r w:rsidRPr="003B552F">
              <w:rPr>
                <w:rFonts w:ascii="Arial Narrow" w:eastAsia="Times New Roman" w:hAnsi="Arial Narrow"/>
                <w:b/>
                <w:bCs/>
                <w:sz w:val="20"/>
                <w:szCs w:val="20"/>
                <w:lang w:eastAsia="en-GB"/>
              </w:rPr>
              <w:t> </w:t>
            </w:r>
          </w:p>
        </w:tc>
        <w:tc>
          <w:tcPr>
            <w:tcW w:w="7842" w:type="dxa"/>
            <w:gridSpan w:val="5"/>
            <w:tcBorders>
              <w:top w:val="single" w:sz="4" w:space="0" w:color="auto"/>
              <w:left w:val="nil"/>
              <w:bottom w:val="single" w:sz="4" w:space="0" w:color="auto"/>
              <w:right w:val="single" w:sz="4" w:space="0" w:color="000000"/>
            </w:tcBorders>
            <w:shd w:val="clear" w:color="000000" w:fill="969696"/>
            <w:vAlign w:val="center"/>
            <w:hideMark/>
          </w:tcPr>
          <w:p w14:paraId="1E8DA6B2" w14:textId="77777777" w:rsidR="00683F4A" w:rsidRPr="003B552F" w:rsidRDefault="00683F4A" w:rsidP="009657E1">
            <w:pPr>
              <w:spacing w:after="0"/>
              <w:jc w:val="left"/>
              <w:rPr>
                <w:rFonts w:ascii="Arial Narrow" w:eastAsia="Times New Roman" w:hAnsi="Arial Narrow"/>
                <w:b/>
                <w:bCs/>
                <w:sz w:val="20"/>
                <w:szCs w:val="20"/>
                <w:lang w:eastAsia="en-GB"/>
              </w:rPr>
            </w:pPr>
            <w:r w:rsidRPr="003B552F">
              <w:rPr>
                <w:rFonts w:ascii="Arial Narrow" w:eastAsia="Times New Roman" w:hAnsi="Arial Narrow"/>
                <w:b/>
                <w:bCs/>
                <w:sz w:val="20"/>
                <w:szCs w:val="20"/>
                <w:lang w:eastAsia="en-GB"/>
              </w:rPr>
              <w:t>TOTAL- OUTPUT 4.1.5</w:t>
            </w:r>
          </w:p>
        </w:tc>
        <w:tc>
          <w:tcPr>
            <w:tcW w:w="1230" w:type="dxa"/>
            <w:tcBorders>
              <w:top w:val="single" w:sz="4" w:space="0" w:color="auto"/>
              <w:left w:val="nil"/>
              <w:bottom w:val="single" w:sz="4" w:space="0" w:color="auto"/>
              <w:right w:val="single" w:sz="4" w:space="0" w:color="auto"/>
            </w:tcBorders>
            <w:shd w:val="clear" w:color="000000" w:fill="969696"/>
            <w:hideMark/>
          </w:tcPr>
          <w:p w14:paraId="3B40C0F3" w14:textId="77777777" w:rsidR="00683F4A" w:rsidRPr="003B552F" w:rsidRDefault="00683F4A" w:rsidP="009657E1">
            <w:pPr>
              <w:spacing w:after="0"/>
              <w:jc w:val="left"/>
              <w:rPr>
                <w:rFonts w:ascii="Arial Narrow" w:eastAsia="Times New Roman" w:hAnsi="Arial Narrow"/>
                <w:b/>
                <w:bCs/>
                <w:sz w:val="20"/>
                <w:szCs w:val="20"/>
                <w:lang w:eastAsia="en-GB"/>
              </w:rPr>
            </w:pPr>
            <w:r w:rsidRPr="003B552F">
              <w:rPr>
                <w:rFonts w:ascii="Arial Narrow" w:eastAsia="Times New Roman" w:hAnsi="Arial Narrow"/>
                <w:b/>
                <w:bCs/>
                <w:sz w:val="20"/>
                <w:szCs w:val="20"/>
                <w:lang w:eastAsia="en-GB"/>
              </w:rPr>
              <w:t> </w:t>
            </w:r>
          </w:p>
        </w:tc>
        <w:tc>
          <w:tcPr>
            <w:tcW w:w="1027" w:type="dxa"/>
            <w:gridSpan w:val="2"/>
            <w:tcBorders>
              <w:top w:val="single" w:sz="4" w:space="0" w:color="auto"/>
              <w:left w:val="nil"/>
              <w:bottom w:val="single" w:sz="4" w:space="0" w:color="auto"/>
              <w:right w:val="single" w:sz="4" w:space="0" w:color="auto"/>
            </w:tcBorders>
            <w:shd w:val="clear" w:color="000000" w:fill="969696"/>
            <w:hideMark/>
          </w:tcPr>
          <w:p w14:paraId="3E36EC4A" w14:textId="77777777" w:rsidR="00683F4A" w:rsidRPr="003B552F" w:rsidRDefault="00683F4A" w:rsidP="009657E1">
            <w:pPr>
              <w:spacing w:after="0"/>
              <w:jc w:val="right"/>
              <w:rPr>
                <w:rFonts w:ascii="Arial Narrow" w:eastAsia="Times New Roman" w:hAnsi="Arial Narrow"/>
                <w:b/>
                <w:bCs/>
                <w:sz w:val="20"/>
                <w:szCs w:val="20"/>
                <w:lang w:eastAsia="en-GB"/>
              </w:rPr>
            </w:pPr>
            <w:r w:rsidRPr="003B552F">
              <w:rPr>
                <w:rFonts w:ascii="Arial Narrow" w:eastAsia="Times New Roman" w:hAnsi="Arial Narrow"/>
                <w:b/>
                <w:bCs/>
                <w:sz w:val="20"/>
                <w:szCs w:val="20"/>
                <w:lang w:eastAsia="en-GB"/>
              </w:rPr>
              <w:t xml:space="preserve">        3,186,325 </w:t>
            </w:r>
          </w:p>
        </w:tc>
        <w:tc>
          <w:tcPr>
            <w:tcW w:w="1028" w:type="dxa"/>
            <w:gridSpan w:val="3"/>
            <w:tcBorders>
              <w:top w:val="single" w:sz="4" w:space="0" w:color="auto"/>
              <w:left w:val="nil"/>
              <w:bottom w:val="single" w:sz="4" w:space="0" w:color="auto"/>
              <w:right w:val="single" w:sz="4" w:space="0" w:color="auto"/>
            </w:tcBorders>
            <w:shd w:val="clear" w:color="000000" w:fill="969696"/>
            <w:hideMark/>
          </w:tcPr>
          <w:p w14:paraId="5C13ADB2" w14:textId="77777777" w:rsidR="00683F4A" w:rsidRPr="003B552F" w:rsidRDefault="00683F4A" w:rsidP="009657E1">
            <w:pPr>
              <w:spacing w:after="0"/>
              <w:jc w:val="right"/>
              <w:rPr>
                <w:rFonts w:ascii="Arial Narrow" w:eastAsia="Times New Roman" w:hAnsi="Arial Narrow"/>
                <w:b/>
                <w:bCs/>
                <w:sz w:val="20"/>
                <w:szCs w:val="20"/>
                <w:lang w:eastAsia="en-GB"/>
              </w:rPr>
            </w:pPr>
            <w:r w:rsidRPr="003B552F">
              <w:rPr>
                <w:rFonts w:ascii="Arial Narrow" w:eastAsia="Times New Roman" w:hAnsi="Arial Narrow"/>
                <w:b/>
                <w:bCs/>
                <w:sz w:val="20"/>
                <w:szCs w:val="20"/>
                <w:lang w:eastAsia="en-GB"/>
              </w:rPr>
              <w:t xml:space="preserve">         3,200,000 </w:t>
            </w:r>
          </w:p>
        </w:tc>
        <w:tc>
          <w:tcPr>
            <w:tcW w:w="1027" w:type="dxa"/>
            <w:gridSpan w:val="2"/>
            <w:tcBorders>
              <w:top w:val="single" w:sz="4" w:space="0" w:color="auto"/>
              <w:left w:val="nil"/>
              <w:bottom w:val="single" w:sz="4" w:space="0" w:color="auto"/>
              <w:right w:val="single" w:sz="4" w:space="0" w:color="auto"/>
            </w:tcBorders>
            <w:shd w:val="clear" w:color="000000" w:fill="969696"/>
            <w:hideMark/>
          </w:tcPr>
          <w:p w14:paraId="79FB6532" w14:textId="77777777" w:rsidR="00683F4A" w:rsidRPr="003B552F" w:rsidRDefault="00683F4A" w:rsidP="009657E1">
            <w:pPr>
              <w:spacing w:after="0"/>
              <w:jc w:val="right"/>
              <w:rPr>
                <w:rFonts w:ascii="Arial Narrow" w:eastAsia="Times New Roman" w:hAnsi="Arial Narrow"/>
                <w:b/>
                <w:bCs/>
                <w:sz w:val="20"/>
                <w:szCs w:val="20"/>
                <w:lang w:eastAsia="en-GB"/>
              </w:rPr>
            </w:pPr>
            <w:r w:rsidRPr="003B552F">
              <w:rPr>
                <w:rFonts w:ascii="Arial Narrow" w:eastAsia="Times New Roman" w:hAnsi="Arial Narrow"/>
                <w:b/>
                <w:bCs/>
                <w:sz w:val="20"/>
                <w:szCs w:val="20"/>
                <w:lang w:eastAsia="en-GB"/>
              </w:rPr>
              <w:t xml:space="preserve">        5,368,333 </w:t>
            </w:r>
          </w:p>
        </w:tc>
        <w:tc>
          <w:tcPr>
            <w:tcW w:w="1028" w:type="dxa"/>
            <w:tcBorders>
              <w:top w:val="single" w:sz="4" w:space="0" w:color="auto"/>
              <w:left w:val="nil"/>
              <w:bottom w:val="single" w:sz="4" w:space="0" w:color="auto"/>
              <w:right w:val="single" w:sz="4" w:space="0" w:color="auto"/>
            </w:tcBorders>
            <w:shd w:val="clear" w:color="000000" w:fill="969696"/>
            <w:vAlign w:val="center"/>
            <w:hideMark/>
          </w:tcPr>
          <w:p w14:paraId="3C661FB5" w14:textId="77777777" w:rsidR="00683F4A" w:rsidRPr="003B552F" w:rsidRDefault="00683F4A" w:rsidP="009657E1">
            <w:pPr>
              <w:spacing w:after="0"/>
              <w:jc w:val="left"/>
              <w:rPr>
                <w:rFonts w:ascii="Arial Narrow" w:eastAsia="Times New Roman" w:hAnsi="Arial Narrow"/>
                <w:b/>
                <w:bCs/>
                <w:sz w:val="20"/>
                <w:szCs w:val="20"/>
                <w:lang w:eastAsia="en-GB"/>
              </w:rPr>
            </w:pPr>
            <w:r>
              <w:rPr>
                <w:rFonts w:ascii="Arial Narrow" w:eastAsia="Times New Roman" w:hAnsi="Arial Narrow"/>
                <w:b/>
                <w:bCs/>
                <w:sz w:val="20"/>
                <w:szCs w:val="20"/>
                <w:lang w:eastAsia="en-GB"/>
              </w:rPr>
              <w:t xml:space="preserve">       </w:t>
            </w:r>
            <w:r w:rsidRPr="003B552F">
              <w:rPr>
                <w:rFonts w:ascii="Arial Narrow" w:eastAsia="Times New Roman" w:hAnsi="Arial Narrow"/>
                <w:b/>
                <w:bCs/>
                <w:sz w:val="20"/>
                <w:szCs w:val="20"/>
                <w:lang w:eastAsia="en-GB"/>
              </w:rPr>
              <w:t xml:space="preserve">11,754,658 </w:t>
            </w:r>
          </w:p>
        </w:tc>
      </w:tr>
    </w:tbl>
    <w:p w14:paraId="58B37045" w14:textId="77777777" w:rsidR="00683F4A" w:rsidRDefault="00683F4A" w:rsidP="00683F4A">
      <w:pPr>
        <w:rPr>
          <w:lang w:val="en-US"/>
        </w:rPr>
      </w:pPr>
    </w:p>
    <w:p w14:paraId="76E6F1D6" w14:textId="77777777" w:rsidR="00683F4A" w:rsidRDefault="00683F4A" w:rsidP="00683F4A">
      <w:pPr>
        <w:rPr>
          <w:lang w:val="en-US"/>
        </w:rPr>
      </w:pPr>
    </w:p>
    <w:tbl>
      <w:tblPr>
        <w:tblW w:w="14752" w:type="dxa"/>
        <w:jc w:val="center"/>
        <w:tblLayout w:type="fixed"/>
        <w:tblLook w:val="04A0" w:firstRow="1" w:lastRow="0" w:firstColumn="1" w:lastColumn="0" w:noHBand="0" w:noVBand="1"/>
      </w:tblPr>
      <w:tblGrid>
        <w:gridCol w:w="1570"/>
        <w:gridCol w:w="7842"/>
        <w:gridCol w:w="1230"/>
        <w:gridCol w:w="1027"/>
        <w:gridCol w:w="1028"/>
        <w:gridCol w:w="1027"/>
        <w:gridCol w:w="1028"/>
      </w:tblGrid>
      <w:tr w:rsidR="00683F4A" w:rsidRPr="007D425D" w14:paraId="4DACD4A4" w14:textId="77777777" w:rsidTr="009657E1">
        <w:trPr>
          <w:trHeight w:val="168"/>
          <w:jc w:val="center"/>
        </w:trPr>
        <w:tc>
          <w:tcPr>
            <w:tcW w:w="1570" w:type="dxa"/>
            <w:tcBorders>
              <w:top w:val="single" w:sz="4" w:space="0" w:color="auto"/>
              <w:left w:val="single" w:sz="4" w:space="0" w:color="auto"/>
              <w:bottom w:val="single" w:sz="4" w:space="0" w:color="auto"/>
              <w:right w:val="single" w:sz="4" w:space="0" w:color="auto"/>
            </w:tcBorders>
            <w:shd w:val="clear" w:color="auto" w:fill="auto"/>
            <w:noWrap/>
            <w:hideMark/>
          </w:tcPr>
          <w:p w14:paraId="14D898BA" w14:textId="77777777" w:rsidR="00683F4A" w:rsidRPr="003B552F" w:rsidRDefault="00683F4A" w:rsidP="009657E1">
            <w:pPr>
              <w:spacing w:after="0"/>
              <w:jc w:val="left"/>
              <w:rPr>
                <w:rFonts w:ascii="Arial Narrow" w:eastAsia="Times New Roman" w:hAnsi="Arial Narrow"/>
                <w:color w:val="000000"/>
                <w:sz w:val="20"/>
                <w:szCs w:val="20"/>
                <w:lang w:eastAsia="en-GB"/>
              </w:rPr>
            </w:pPr>
            <w:r w:rsidRPr="003B552F">
              <w:rPr>
                <w:rFonts w:ascii="Arial Narrow" w:eastAsia="Times New Roman" w:hAnsi="Arial Narrow"/>
                <w:color w:val="000000"/>
                <w:sz w:val="20"/>
                <w:szCs w:val="20"/>
                <w:lang w:eastAsia="en-GB"/>
              </w:rPr>
              <w:t> </w:t>
            </w:r>
          </w:p>
        </w:tc>
        <w:tc>
          <w:tcPr>
            <w:tcW w:w="7842" w:type="dxa"/>
            <w:tcBorders>
              <w:top w:val="single" w:sz="4" w:space="0" w:color="auto"/>
              <w:left w:val="nil"/>
              <w:bottom w:val="single" w:sz="4" w:space="0" w:color="auto"/>
              <w:right w:val="single" w:sz="4" w:space="0" w:color="000000"/>
            </w:tcBorders>
            <w:shd w:val="clear" w:color="000000" w:fill="FFFF00"/>
            <w:vAlign w:val="center"/>
            <w:hideMark/>
          </w:tcPr>
          <w:p w14:paraId="5467E652" w14:textId="77777777" w:rsidR="00683F4A" w:rsidRPr="003B552F" w:rsidRDefault="00683F4A" w:rsidP="009657E1">
            <w:pPr>
              <w:spacing w:after="0"/>
              <w:jc w:val="left"/>
              <w:rPr>
                <w:rFonts w:ascii="Arial Narrow" w:eastAsia="Times New Roman" w:hAnsi="Arial Narrow"/>
                <w:b/>
                <w:bCs/>
                <w:sz w:val="20"/>
                <w:szCs w:val="20"/>
                <w:lang w:eastAsia="en-GB"/>
              </w:rPr>
            </w:pPr>
            <w:r w:rsidRPr="003B552F">
              <w:rPr>
                <w:rFonts w:ascii="Arial Narrow" w:eastAsia="Times New Roman" w:hAnsi="Arial Narrow"/>
                <w:b/>
                <w:bCs/>
                <w:sz w:val="20"/>
                <w:szCs w:val="20"/>
                <w:lang w:eastAsia="en-GB"/>
              </w:rPr>
              <w:t>TOTAL FOR OUTCOME 4.1 (UNDAF)</w:t>
            </w:r>
          </w:p>
        </w:tc>
        <w:tc>
          <w:tcPr>
            <w:tcW w:w="1230" w:type="dxa"/>
            <w:tcBorders>
              <w:top w:val="single" w:sz="4" w:space="0" w:color="auto"/>
              <w:left w:val="nil"/>
              <w:bottom w:val="single" w:sz="4" w:space="0" w:color="auto"/>
              <w:right w:val="single" w:sz="4" w:space="0" w:color="auto"/>
            </w:tcBorders>
            <w:shd w:val="clear" w:color="000000" w:fill="FFFF00"/>
            <w:noWrap/>
            <w:vAlign w:val="center"/>
            <w:hideMark/>
          </w:tcPr>
          <w:p w14:paraId="30FBADF5" w14:textId="77777777" w:rsidR="00683F4A" w:rsidRPr="003B552F" w:rsidRDefault="00683F4A" w:rsidP="009657E1">
            <w:pPr>
              <w:spacing w:after="0"/>
              <w:jc w:val="left"/>
              <w:rPr>
                <w:rFonts w:ascii="Arial Narrow" w:eastAsia="Times New Roman" w:hAnsi="Arial Narrow"/>
                <w:color w:val="000000"/>
                <w:sz w:val="20"/>
                <w:szCs w:val="20"/>
                <w:lang w:eastAsia="en-GB"/>
              </w:rPr>
            </w:pPr>
            <w:r w:rsidRPr="003B552F">
              <w:rPr>
                <w:rFonts w:ascii="Arial Narrow" w:eastAsia="Times New Roman" w:hAnsi="Arial Narrow"/>
                <w:color w:val="000000"/>
                <w:sz w:val="20"/>
                <w:szCs w:val="20"/>
                <w:lang w:eastAsia="en-GB"/>
              </w:rPr>
              <w:t> </w:t>
            </w:r>
          </w:p>
        </w:tc>
        <w:tc>
          <w:tcPr>
            <w:tcW w:w="1027" w:type="dxa"/>
            <w:tcBorders>
              <w:top w:val="single" w:sz="4" w:space="0" w:color="auto"/>
              <w:left w:val="nil"/>
              <w:bottom w:val="single" w:sz="4" w:space="0" w:color="auto"/>
              <w:right w:val="single" w:sz="4" w:space="0" w:color="auto"/>
            </w:tcBorders>
            <w:shd w:val="clear" w:color="000000" w:fill="FFFF00"/>
            <w:noWrap/>
            <w:vAlign w:val="center"/>
            <w:hideMark/>
          </w:tcPr>
          <w:p w14:paraId="424D657F" w14:textId="77777777" w:rsidR="00683F4A" w:rsidRPr="003B552F" w:rsidRDefault="00683F4A" w:rsidP="009657E1">
            <w:pPr>
              <w:spacing w:after="0"/>
              <w:jc w:val="left"/>
              <w:rPr>
                <w:rFonts w:ascii="Arial Narrow" w:eastAsia="Times New Roman" w:hAnsi="Arial Narrow"/>
                <w:color w:val="000000"/>
                <w:sz w:val="18"/>
                <w:szCs w:val="20"/>
                <w:lang w:eastAsia="en-GB"/>
              </w:rPr>
            </w:pPr>
            <w:r w:rsidRPr="003B552F">
              <w:rPr>
                <w:rFonts w:ascii="Arial Narrow" w:eastAsia="Times New Roman" w:hAnsi="Arial Narrow"/>
                <w:color w:val="000000"/>
                <w:sz w:val="18"/>
                <w:szCs w:val="20"/>
                <w:lang w:eastAsia="en-GB"/>
              </w:rPr>
              <w:t xml:space="preserve">      12,200,000 </w:t>
            </w:r>
          </w:p>
        </w:tc>
        <w:tc>
          <w:tcPr>
            <w:tcW w:w="1028" w:type="dxa"/>
            <w:tcBorders>
              <w:top w:val="single" w:sz="4" w:space="0" w:color="auto"/>
              <w:left w:val="nil"/>
              <w:bottom w:val="single" w:sz="4" w:space="0" w:color="auto"/>
              <w:right w:val="single" w:sz="4" w:space="0" w:color="auto"/>
            </w:tcBorders>
            <w:shd w:val="clear" w:color="000000" w:fill="FFFF00"/>
            <w:noWrap/>
            <w:vAlign w:val="center"/>
            <w:hideMark/>
          </w:tcPr>
          <w:p w14:paraId="2E3B9CA5" w14:textId="77777777" w:rsidR="00683F4A" w:rsidRPr="003B552F" w:rsidRDefault="00683F4A" w:rsidP="009657E1">
            <w:pPr>
              <w:spacing w:after="0"/>
              <w:jc w:val="left"/>
              <w:rPr>
                <w:rFonts w:ascii="Arial Narrow" w:eastAsia="Times New Roman" w:hAnsi="Arial Narrow"/>
                <w:color w:val="000000"/>
                <w:sz w:val="18"/>
                <w:szCs w:val="20"/>
                <w:lang w:eastAsia="en-GB"/>
              </w:rPr>
            </w:pPr>
            <w:r w:rsidRPr="003B552F">
              <w:rPr>
                <w:rFonts w:ascii="Arial Narrow" w:eastAsia="Times New Roman" w:hAnsi="Arial Narrow"/>
                <w:color w:val="000000"/>
                <w:sz w:val="18"/>
                <w:szCs w:val="20"/>
                <w:lang w:eastAsia="en-GB"/>
              </w:rPr>
              <w:t xml:space="preserve">       18,300,000 </w:t>
            </w:r>
          </w:p>
        </w:tc>
        <w:tc>
          <w:tcPr>
            <w:tcW w:w="1027" w:type="dxa"/>
            <w:tcBorders>
              <w:top w:val="single" w:sz="4" w:space="0" w:color="auto"/>
              <w:left w:val="nil"/>
              <w:bottom w:val="single" w:sz="4" w:space="0" w:color="auto"/>
              <w:right w:val="single" w:sz="4" w:space="0" w:color="auto"/>
            </w:tcBorders>
            <w:shd w:val="clear" w:color="000000" w:fill="FFFF00"/>
            <w:noWrap/>
            <w:vAlign w:val="center"/>
            <w:hideMark/>
          </w:tcPr>
          <w:p w14:paraId="3FF521CF" w14:textId="77777777" w:rsidR="00683F4A" w:rsidRPr="003B552F" w:rsidRDefault="00683F4A" w:rsidP="009657E1">
            <w:pPr>
              <w:spacing w:after="0"/>
              <w:jc w:val="left"/>
              <w:rPr>
                <w:rFonts w:ascii="Arial Narrow" w:eastAsia="Times New Roman" w:hAnsi="Arial Narrow"/>
                <w:color w:val="000000"/>
                <w:sz w:val="18"/>
                <w:szCs w:val="20"/>
                <w:lang w:eastAsia="en-GB"/>
              </w:rPr>
            </w:pPr>
            <w:r w:rsidRPr="003B552F">
              <w:rPr>
                <w:rFonts w:ascii="Arial Narrow" w:eastAsia="Times New Roman" w:hAnsi="Arial Narrow"/>
                <w:color w:val="000000"/>
                <w:sz w:val="18"/>
                <w:szCs w:val="20"/>
                <w:lang w:eastAsia="en-GB"/>
              </w:rPr>
              <w:t xml:space="preserve">      18,060,000 </w:t>
            </w:r>
          </w:p>
        </w:tc>
        <w:tc>
          <w:tcPr>
            <w:tcW w:w="1028" w:type="dxa"/>
            <w:tcBorders>
              <w:top w:val="single" w:sz="4" w:space="0" w:color="auto"/>
              <w:left w:val="nil"/>
              <w:bottom w:val="single" w:sz="4" w:space="0" w:color="auto"/>
              <w:right w:val="single" w:sz="4" w:space="0" w:color="auto"/>
            </w:tcBorders>
            <w:shd w:val="clear" w:color="000000" w:fill="FFFF00"/>
            <w:noWrap/>
            <w:vAlign w:val="center"/>
            <w:hideMark/>
          </w:tcPr>
          <w:p w14:paraId="3A1EE10F" w14:textId="77777777" w:rsidR="00683F4A" w:rsidRPr="003B552F" w:rsidRDefault="00683F4A" w:rsidP="009657E1">
            <w:pPr>
              <w:spacing w:after="0"/>
              <w:jc w:val="left"/>
              <w:rPr>
                <w:rFonts w:ascii="Arial Narrow" w:eastAsia="Times New Roman" w:hAnsi="Arial Narrow"/>
                <w:color w:val="000000"/>
                <w:sz w:val="18"/>
                <w:szCs w:val="20"/>
                <w:lang w:eastAsia="en-GB"/>
              </w:rPr>
            </w:pPr>
            <w:r w:rsidRPr="003B552F">
              <w:rPr>
                <w:rFonts w:ascii="Arial Narrow" w:eastAsia="Times New Roman" w:hAnsi="Arial Narrow"/>
                <w:color w:val="000000"/>
                <w:sz w:val="18"/>
                <w:szCs w:val="20"/>
                <w:lang w:eastAsia="en-GB"/>
              </w:rPr>
              <w:t xml:space="preserve">        48,560,000 </w:t>
            </w:r>
          </w:p>
        </w:tc>
      </w:tr>
      <w:tr w:rsidR="00683F4A" w:rsidRPr="007D425D" w14:paraId="42B07C65" w14:textId="77777777" w:rsidTr="009657E1">
        <w:trPr>
          <w:trHeight w:val="168"/>
          <w:jc w:val="center"/>
        </w:trPr>
        <w:tc>
          <w:tcPr>
            <w:tcW w:w="1570" w:type="dxa"/>
            <w:tcBorders>
              <w:top w:val="nil"/>
              <w:left w:val="single" w:sz="4" w:space="0" w:color="auto"/>
              <w:bottom w:val="single" w:sz="4" w:space="0" w:color="auto"/>
              <w:right w:val="nil"/>
            </w:tcBorders>
            <w:shd w:val="clear" w:color="auto" w:fill="auto"/>
            <w:noWrap/>
            <w:hideMark/>
          </w:tcPr>
          <w:p w14:paraId="7A666966" w14:textId="77777777" w:rsidR="00683F4A" w:rsidRPr="003B552F" w:rsidRDefault="00683F4A" w:rsidP="009657E1">
            <w:pPr>
              <w:spacing w:after="0"/>
              <w:jc w:val="left"/>
              <w:rPr>
                <w:rFonts w:ascii="Arial Narrow" w:eastAsia="Times New Roman" w:hAnsi="Arial Narrow"/>
                <w:color w:val="000000"/>
                <w:sz w:val="20"/>
                <w:szCs w:val="20"/>
                <w:lang w:eastAsia="en-GB"/>
              </w:rPr>
            </w:pPr>
            <w:r w:rsidRPr="003B552F">
              <w:rPr>
                <w:rFonts w:ascii="Arial Narrow" w:eastAsia="Times New Roman" w:hAnsi="Arial Narrow"/>
                <w:color w:val="000000"/>
                <w:sz w:val="20"/>
                <w:szCs w:val="20"/>
                <w:lang w:eastAsia="en-GB"/>
              </w:rPr>
              <w:t> </w:t>
            </w:r>
          </w:p>
        </w:tc>
        <w:tc>
          <w:tcPr>
            <w:tcW w:w="7842" w:type="dxa"/>
            <w:tcBorders>
              <w:top w:val="single" w:sz="4" w:space="0" w:color="auto"/>
              <w:left w:val="single" w:sz="4" w:space="0" w:color="auto"/>
              <w:bottom w:val="single" w:sz="4" w:space="0" w:color="auto"/>
              <w:right w:val="single" w:sz="4" w:space="0" w:color="000000"/>
            </w:tcBorders>
            <w:shd w:val="clear" w:color="000000" w:fill="FFFF00"/>
            <w:vAlign w:val="center"/>
            <w:hideMark/>
          </w:tcPr>
          <w:p w14:paraId="45E65561" w14:textId="77777777" w:rsidR="00683F4A" w:rsidRPr="00CD56B9" w:rsidRDefault="00683F4A" w:rsidP="009657E1">
            <w:pPr>
              <w:spacing w:after="0"/>
              <w:jc w:val="left"/>
              <w:rPr>
                <w:rFonts w:ascii="Arial Narrow" w:eastAsia="Times New Roman" w:hAnsi="Arial Narrow"/>
                <w:b/>
                <w:bCs/>
                <w:sz w:val="20"/>
                <w:szCs w:val="20"/>
                <w:lang w:val="en-US" w:eastAsia="en-GB"/>
              </w:rPr>
            </w:pPr>
            <w:r w:rsidRPr="00CD56B9">
              <w:rPr>
                <w:rFonts w:ascii="Arial Narrow" w:eastAsia="Times New Roman" w:hAnsi="Arial Narrow"/>
                <w:b/>
                <w:bCs/>
                <w:sz w:val="20"/>
                <w:szCs w:val="20"/>
                <w:lang w:val="en-US" w:eastAsia="en-GB"/>
              </w:rPr>
              <w:t>TOTAL FOR OUTCOME 4.1 (UNDAF-AP)</w:t>
            </w:r>
          </w:p>
        </w:tc>
        <w:tc>
          <w:tcPr>
            <w:tcW w:w="1230" w:type="dxa"/>
            <w:tcBorders>
              <w:top w:val="nil"/>
              <w:left w:val="nil"/>
              <w:bottom w:val="single" w:sz="4" w:space="0" w:color="auto"/>
              <w:right w:val="single" w:sz="4" w:space="0" w:color="auto"/>
            </w:tcBorders>
            <w:shd w:val="clear" w:color="000000" w:fill="FFFF00"/>
            <w:noWrap/>
            <w:vAlign w:val="center"/>
            <w:hideMark/>
          </w:tcPr>
          <w:p w14:paraId="306656A9" w14:textId="77777777" w:rsidR="00683F4A" w:rsidRPr="00CD56B9" w:rsidRDefault="00683F4A" w:rsidP="009657E1">
            <w:pPr>
              <w:spacing w:after="0"/>
              <w:jc w:val="left"/>
              <w:rPr>
                <w:rFonts w:ascii="Arial Narrow" w:eastAsia="Times New Roman" w:hAnsi="Arial Narrow"/>
                <w:color w:val="000000"/>
                <w:sz w:val="20"/>
                <w:szCs w:val="20"/>
                <w:lang w:val="en-US" w:eastAsia="en-GB"/>
              </w:rPr>
            </w:pPr>
            <w:r w:rsidRPr="00CD56B9">
              <w:rPr>
                <w:rFonts w:ascii="Arial Narrow" w:eastAsia="Times New Roman" w:hAnsi="Arial Narrow"/>
                <w:color w:val="000000"/>
                <w:sz w:val="20"/>
                <w:szCs w:val="20"/>
                <w:lang w:val="en-US" w:eastAsia="en-GB"/>
              </w:rPr>
              <w:t> </w:t>
            </w:r>
          </w:p>
        </w:tc>
        <w:tc>
          <w:tcPr>
            <w:tcW w:w="1027" w:type="dxa"/>
            <w:tcBorders>
              <w:top w:val="nil"/>
              <w:left w:val="nil"/>
              <w:bottom w:val="single" w:sz="4" w:space="0" w:color="auto"/>
              <w:right w:val="single" w:sz="4" w:space="0" w:color="auto"/>
            </w:tcBorders>
            <w:shd w:val="clear" w:color="000000" w:fill="FFFF00"/>
            <w:noWrap/>
            <w:vAlign w:val="center"/>
            <w:hideMark/>
          </w:tcPr>
          <w:p w14:paraId="611764DD" w14:textId="77777777" w:rsidR="00683F4A" w:rsidRPr="003B552F" w:rsidRDefault="00683F4A" w:rsidP="009657E1">
            <w:pPr>
              <w:spacing w:after="0"/>
              <w:jc w:val="left"/>
              <w:rPr>
                <w:rFonts w:ascii="Arial Narrow" w:eastAsia="Times New Roman" w:hAnsi="Arial Narrow"/>
                <w:color w:val="000000"/>
                <w:sz w:val="18"/>
                <w:szCs w:val="20"/>
                <w:lang w:eastAsia="en-GB"/>
              </w:rPr>
            </w:pPr>
            <w:r w:rsidRPr="00CD56B9">
              <w:rPr>
                <w:rFonts w:ascii="Arial Narrow" w:eastAsia="Times New Roman" w:hAnsi="Arial Narrow"/>
                <w:color w:val="000000"/>
                <w:sz w:val="18"/>
                <w:szCs w:val="20"/>
                <w:lang w:val="en-US" w:eastAsia="en-GB"/>
              </w:rPr>
              <w:t xml:space="preserve">      </w:t>
            </w:r>
            <w:r w:rsidRPr="003B552F">
              <w:rPr>
                <w:rFonts w:ascii="Arial Narrow" w:eastAsia="Times New Roman" w:hAnsi="Arial Narrow"/>
                <w:color w:val="000000"/>
                <w:sz w:val="18"/>
                <w:szCs w:val="20"/>
                <w:lang w:eastAsia="en-GB"/>
              </w:rPr>
              <w:t xml:space="preserve">10,757,997 </w:t>
            </w:r>
          </w:p>
        </w:tc>
        <w:tc>
          <w:tcPr>
            <w:tcW w:w="1028" w:type="dxa"/>
            <w:tcBorders>
              <w:top w:val="nil"/>
              <w:left w:val="nil"/>
              <w:bottom w:val="single" w:sz="4" w:space="0" w:color="auto"/>
              <w:right w:val="single" w:sz="4" w:space="0" w:color="auto"/>
            </w:tcBorders>
            <w:shd w:val="clear" w:color="000000" w:fill="FFFF00"/>
            <w:noWrap/>
            <w:vAlign w:val="center"/>
            <w:hideMark/>
          </w:tcPr>
          <w:p w14:paraId="59855976" w14:textId="77777777" w:rsidR="00683F4A" w:rsidRPr="003B552F" w:rsidRDefault="00683F4A" w:rsidP="009657E1">
            <w:pPr>
              <w:spacing w:after="0"/>
              <w:jc w:val="left"/>
              <w:rPr>
                <w:rFonts w:ascii="Arial Narrow" w:eastAsia="Times New Roman" w:hAnsi="Arial Narrow"/>
                <w:color w:val="000000"/>
                <w:sz w:val="18"/>
                <w:szCs w:val="20"/>
                <w:lang w:eastAsia="en-GB"/>
              </w:rPr>
            </w:pPr>
            <w:r w:rsidRPr="003B552F">
              <w:rPr>
                <w:rFonts w:ascii="Arial Narrow" w:eastAsia="Times New Roman" w:hAnsi="Arial Narrow"/>
                <w:color w:val="000000"/>
                <w:sz w:val="18"/>
                <w:szCs w:val="20"/>
                <w:lang w:eastAsia="en-GB"/>
              </w:rPr>
              <w:t xml:space="preserve">       12,820,000 </w:t>
            </w:r>
          </w:p>
        </w:tc>
        <w:tc>
          <w:tcPr>
            <w:tcW w:w="1027" w:type="dxa"/>
            <w:tcBorders>
              <w:top w:val="nil"/>
              <w:left w:val="nil"/>
              <w:bottom w:val="single" w:sz="4" w:space="0" w:color="auto"/>
              <w:right w:val="single" w:sz="4" w:space="0" w:color="auto"/>
            </w:tcBorders>
            <w:shd w:val="clear" w:color="000000" w:fill="FFFF00"/>
            <w:noWrap/>
            <w:vAlign w:val="center"/>
            <w:hideMark/>
          </w:tcPr>
          <w:p w14:paraId="6BC5E246" w14:textId="77777777" w:rsidR="00683F4A" w:rsidRPr="003B552F" w:rsidRDefault="00683F4A" w:rsidP="009657E1">
            <w:pPr>
              <w:spacing w:after="0"/>
              <w:jc w:val="left"/>
              <w:rPr>
                <w:rFonts w:ascii="Arial Narrow" w:eastAsia="Times New Roman" w:hAnsi="Arial Narrow"/>
                <w:color w:val="000000"/>
                <w:sz w:val="18"/>
                <w:szCs w:val="20"/>
                <w:lang w:eastAsia="en-GB"/>
              </w:rPr>
            </w:pPr>
            <w:r w:rsidRPr="003B552F">
              <w:rPr>
                <w:rFonts w:ascii="Arial Narrow" w:eastAsia="Times New Roman" w:hAnsi="Arial Narrow"/>
                <w:color w:val="000000"/>
                <w:sz w:val="18"/>
                <w:szCs w:val="20"/>
                <w:lang w:eastAsia="en-GB"/>
              </w:rPr>
              <w:t xml:space="preserve">      24,982,003 </w:t>
            </w:r>
          </w:p>
        </w:tc>
        <w:tc>
          <w:tcPr>
            <w:tcW w:w="1028" w:type="dxa"/>
            <w:tcBorders>
              <w:top w:val="nil"/>
              <w:left w:val="nil"/>
              <w:bottom w:val="single" w:sz="4" w:space="0" w:color="auto"/>
              <w:right w:val="single" w:sz="4" w:space="0" w:color="auto"/>
            </w:tcBorders>
            <w:shd w:val="clear" w:color="000000" w:fill="FFFF00"/>
            <w:noWrap/>
            <w:vAlign w:val="center"/>
            <w:hideMark/>
          </w:tcPr>
          <w:p w14:paraId="2186928A" w14:textId="77777777" w:rsidR="00683F4A" w:rsidRPr="003B552F" w:rsidRDefault="00683F4A" w:rsidP="009657E1">
            <w:pPr>
              <w:spacing w:after="0"/>
              <w:jc w:val="left"/>
              <w:rPr>
                <w:rFonts w:ascii="Arial Narrow" w:eastAsia="Times New Roman" w:hAnsi="Arial Narrow"/>
                <w:color w:val="000000"/>
                <w:sz w:val="18"/>
                <w:szCs w:val="20"/>
                <w:lang w:eastAsia="en-GB"/>
              </w:rPr>
            </w:pPr>
            <w:r w:rsidRPr="003B552F">
              <w:rPr>
                <w:rFonts w:ascii="Arial Narrow" w:eastAsia="Times New Roman" w:hAnsi="Arial Narrow"/>
                <w:color w:val="000000"/>
                <w:sz w:val="18"/>
                <w:szCs w:val="20"/>
                <w:lang w:eastAsia="en-GB"/>
              </w:rPr>
              <w:t xml:space="preserve">        48,560,000 </w:t>
            </w:r>
          </w:p>
        </w:tc>
      </w:tr>
    </w:tbl>
    <w:p w14:paraId="07A0F461" w14:textId="77777777" w:rsidR="00683F4A" w:rsidRPr="00683F4A" w:rsidRDefault="00683F4A" w:rsidP="00683F4A">
      <w:pPr>
        <w:rPr>
          <w:lang w:val="en-US"/>
        </w:rPr>
        <w:sectPr w:rsidR="00683F4A" w:rsidRPr="00683F4A" w:rsidSect="00BF7CA6">
          <w:pgSz w:w="16838" w:h="11906" w:orient="landscape"/>
          <w:pgMar w:top="1134" w:right="1701" w:bottom="1134" w:left="1701" w:header="708" w:footer="708" w:gutter="0"/>
          <w:cols w:space="708"/>
          <w:docGrid w:linePitch="360"/>
        </w:sectPr>
      </w:pPr>
    </w:p>
    <w:p w14:paraId="44CBDDDE" w14:textId="77777777" w:rsidR="00FE276C" w:rsidRPr="00683F4A" w:rsidRDefault="000D7686" w:rsidP="00683F4A">
      <w:pPr>
        <w:pStyle w:val="Overskrift1"/>
        <w:rPr>
          <w:lang w:val="en-US"/>
        </w:rPr>
      </w:pPr>
      <w:bookmarkStart w:id="55" w:name="_Toc439245607"/>
      <w:r>
        <w:rPr>
          <w:lang w:val="en-US"/>
        </w:rPr>
        <w:lastRenderedPageBreak/>
        <w:t>Annex 7</w:t>
      </w:r>
      <w:r w:rsidR="00683F4A" w:rsidRPr="00E55B95">
        <w:rPr>
          <w:lang w:val="en-US"/>
        </w:rPr>
        <w:t xml:space="preserve">. </w:t>
      </w:r>
      <w:r w:rsidR="00BF7CA6" w:rsidRPr="00CD56B9">
        <w:rPr>
          <w:rFonts w:eastAsia="Calibri"/>
          <w:lang w:val="en-US"/>
        </w:rPr>
        <w:t xml:space="preserve">UNDAF Outcome 4.1 </w:t>
      </w:r>
      <w:r w:rsidR="00683F4A" w:rsidRPr="00CD56B9">
        <w:rPr>
          <w:rFonts w:eastAsia="Calibri"/>
          <w:lang w:val="en-US"/>
        </w:rPr>
        <w:t xml:space="preserve">- </w:t>
      </w:r>
      <w:r w:rsidR="00BF7CA6" w:rsidRPr="00CD56B9">
        <w:rPr>
          <w:rFonts w:eastAsia="Calibri"/>
          <w:lang w:val="en-US"/>
        </w:rPr>
        <w:t>Results Matrix</w:t>
      </w:r>
      <w:r w:rsidR="00C46815" w:rsidRPr="00CD56B9">
        <w:rPr>
          <w:rFonts w:eastAsia="Calibri"/>
          <w:lang w:val="en-US"/>
        </w:rPr>
        <w:t xml:space="preserve"> (2013 Revision)</w:t>
      </w:r>
      <w:bookmarkEnd w:id="55"/>
    </w:p>
    <w:p w14:paraId="5C0B6311" w14:textId="77777777" w:rsidR="00C46815" w:rsidRPr="00CD56B9" w:rsidRDefault="00C46815" w:rsidP="00BF7CA6">
      <w:pPr>
        <w:rPr>
          <w:lang w:val="en-US"/>
        </w:rPr>
      </w:pPr>
    </w:p>
    <w:p w14:paraId="3BE45FB6" w14:textId="77777777" w:rsidR="00C46815" w:rsidRPr="00BF7CA6" w:rsidRDefault="00001BD9" w:rsidP="00C46815">
      <w:pPr>
        <w:jc w:val="center"/>
        <w:sectPr w:rsidR="00C46815" w:rsidRPr="00BF7CA6" w:rsidSect="00BF7CA6">
          <w:pgSz w:w="16838" w:h="11906" w:orient="landscape"/>
          <w:pgMar w:top="1134" w:right="1701" w:bottom="1134" w:left="1701" w:header="708" w:footer="708" w:gutter="0"/>
          <w:cols w:space="708"/>
          <w:docGrid w:linePitch="360"/>
        </w:sectPr>
      </w:pPr>
      <w:r w:rsidRPr="007D425D">
        <w:rPr>
          <w:rFonts w:ascii="Calibri" w:eastAsia="Calibri" w:hAnsi="Calibri"/>
          <w:noProof/>
          <w:lang w:eastAsia="da-DK"/>
        </w:rPr>
        <w:drawing>
          <wp:inline distT="0" distB="0" distL="0" distR="0" wp14:anchorId="7D3B399D" wp14:editId="641E34F8">
            <wp:extent cx="8762365" cy="4612005"/>
            <wp:effectExtent l="0" t="0" r="635"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8762365" cy="4612005"/>
                    </a:xfrm>
                    <a:prstGeom prst="rect">
                      <a:avLst/>
                    </a:prstGeom>
                    <a:noFill/>
                    <a:ln>
                      <a:noFill/>
                    </a:ln>
                  </pic:spPr>
                </pic:pic>
              </a:graphicData>
            </a:graphic>
          </wp:inline>
        </w:drawing>
      </w:r>
    </w:p>
    <w:p w14:paraId="4338AF78" w14:textId="77777777" w:rsidR="002D7570" w:rsidRPr="00CD56B9" w:rsidRDefault="000D7686" w:rsidP="00D476B8">
      <w:pPr>
        <w:pStyle w:val="Overskrift1"/>
        <w:rPr>
          <w:rFonts w:eastAsia="Calibri"/>
          <w:lang w:val="en-US"/>
        </w:rPr>
      </w:pPr>
      <w:bookmarkStart w:id="56" w:name="_Toc439245608"/>
      <w:r>
        <w:rPr>
          <w:lang w:val="en-US"/>
        </w:rPr>
        <w:lastRenderedPageBreak/>
        <w:t>Annex 8</w:t>
      </w:r>
      <w:r w:rsidR="002D7570">
        <w:rPr>
          <w:lang w:val="en-US"/>
        </w:rPr>
        <w:t>.</w:t>
      </w:r>
      <w:r w:rsidR="002D7570" w:rsidRPr="005F6B3F">
        <w:rPr>
          <w:lang w:val="en-US"/>
        </w:rPr>
        <w:t xml:space="preserve"> </w:t>
      </w:r>
      <w:r w:rsidR="002D7570" w:rsidRPr="00CD56B9">
        <w:rPr>
          <w:rFonts w:eastAsia="Calibri"/>
          <w:lang w:val="en-US"/>
        </w:rPr>
        <w:t xml:space="preserve">UNDAF Outcome 4.1 </w:t>
      </w:r>
      <w:r w:rsidR="004C7F4E" w:rsidRPr="00CD56B9">
        <w:rPr>
          <w:rFonts w:eastAsia="Calibri"/>
          <w:lang w:val="en-US"/>
        </w:rPr>
        <w:t xml:space="preserve">- </w:t>
      </w:r>
      <w:r w:rsidR="002D7570" w:rsidRPr="00CD56B9">
        <w:rPr>
          <w:rFonts w:eastAsia="Calibri"/>
          <w:lang w:val="en-US"/>
        </w:rPr>
        <w:t>Results Chain</w:t>
      </w:r>
      <w:r w:rsidR="00A970D5" w:rsidRPr="00CD56B9">
        <w:rPr>
          <w:rFonts w:eastAsia="Calibri"/>
          <w:lang w:val="en-US"/>
        </w:rPr>
        <w:t xml:space="preserve">, </w:t>
      </w:r>
      <w:r w:rsidR="008C7AE7" w:rsidRPr="00CD56B9">
        <w:rPr>
          <w:rFonts w:eastAsia="Calibri"/>
          <w:lang w:val="en-US"/>
        </w:rPr>
        <w:t>Project Linkages</w:t>
      </w:r>
      <w:r w:rsidR="00A970D5" w:rsidRPr="00CD56B9">
        <w:rPr>
          <w:rFonts w:eastAsia="Calibri"/>
          <w:lang w:val="en-US"/>
        </w:rPr>
        <w:t xml:space="preserve"> and </w:t>
      </w:r>
      <w:r w:rsidR="00CC1361" w:rsidRPr="00CD56B9">
        <w:rPr>
          <w:rFonts w:eastAsia="Calibri"/>
          <w:lang w:val="en-US"/>
        </w:rPr>
        <w:t xml:space="preserve">Output </w:t>
      </w:r>
      <w:r w:rsidR="00A970D5" w:rsidRPr="00CD56B9">
        <w:rPr>
          <w:rFonts w:eastAsia="Calibri"/>
          <w:lang w:val="en-US"/>
        </w:rPr>
        <w:t>Achievements</w:t>
      </w:r>
      <w:bookmarkEnd w:id="56"/>
    </w:p>
    <w:p w14:paraId="70B06D13" w14:textId="77777777" w:rsidR="00D476B8" w:rsidRPr="00CD56B9" w:rsidRDefault="00D476B8" w:rsidP="002F3EBA">
      <w:pPr>
        <w:rPr>
          <w:lang w:val="en-US"/>
        </w:rPr>
      </w:pPr>
    </w:p>
    <w:tbl>
      <w:tblPr>
        <w:tblpPr w:leftFromText="141" w:rightFromText="141" w:vertAnchor="text" w:horzAnchor="margin" w:tblpY="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8"/>
        <w:gridCol w:w="1621"/>
        <w:gridCol w:w="1621"/>
        <w:gridCol w:w="1079"/>
        <w:gridCol w:w="541"/>
        <w:gridCol w:w="1620"/>
        <w:gridCol w:w="1620"/>
        <w:gridCol w:w="538"/>
        <w:gridCol w:w="1082"/>
        <w:gridCol w:w="1620"/>
        <w:gridCol w:w="1620"/>
      </w:tblGrid>
      <w:tr w:rsidR="002D7570" w:rsidRPr="00F72B0D" w14:paraId="23354AA3" w14:textId="77777777" w:rsidTr="007D425D">
        <w:trPr>
          <w:cantSplit/>
          <w:tblHeader/>
        </w:trPr>
        <w:tc>
          <w:tcPr>
            <w:tcW w:w="496" w:type="pct"/>
            <w:shd w:val="clear" w:color="auto" w:fill="F2F2F2"/>
            <w:vAlign w:val="center"/>
          </w:tcPr>
          <w:p w14:paraId="3B5573FA" w14:textId="77777777" w:rsidR="002D7570" w:rsidRPr="007D425D" w:rsidRDefault="002D7570" w:rsidP="007D425D">
            <w:pPr>
              <w:spacing w:after="0"/>
              <w:jc w:val="center"/>
              <w:rPr>
                <w:rFonts w:eastAsia="Calibri" w:cs="Arial"/>
                <w:b/>
                <w:sz w:val="20"/>
                <w:szCs w:val="20"/>
              </w:rPr>
            </w:pPr>
            <w:r w:rsidRPr="007D425D">
              <w:rPr>
                <w:rFonts w:eastAsia="Calibri" w:cs="Arial"/>
                <w:b/>
                <w:sz w:val="20"/>
                <w:szCs w:val="20"/>
              </w:rPr>
              <w:t>UNDAF</w:t>
            </w:r>
          </w:p>
          <w:p w14:paraId="584F243F" w14:textId="77777777" w:rsidR="002D7570" w:rsidRPr="007D425D" w:rsidRDefault="002D7570" w:rsidP="007D425D">
            <w:pPr>
              <w:spacing w:after="0"/>
              <w:jc w:val="center"/>
              <w:rPr>
                <w:rFonts w:eastAsia="Calibri" w:cs="Arial"/>
                <w:b/>
                <w:sz w:val="20"/>
                <w:szCs w:val="20"/>
                <w:lang w:val="en-US"/>
              </w:rPr>
            </w:pPr>
            <w:r w:rsidRPr="007D425D">
              <w:rPr>
                <w:rFonts w:eastAsia="Calibri" w:cs="Arial"/>
                <w:b/>
                <w:sz w:val="20"/>
                <w:szCs w:val="20"/>
              </w:rPr>
              <w:t>Outcome</w:t>
            </w:r>
          </w:p>
        </w:tc>
        <w:tc>
          <w:tcPr>
            <w:tcW w:w="4504" w:type="pct"/>
            <w:gridSpan w:val="10"/>
            <w:shd w:val="clear" w:color="auto" w:fill="F2F2F2"/>
          </w:tcPr>
          <w:p w14:paraId="6F2E6A56" w14:textId="77777777" w:rsidR="002D7570" w:rsidRPr="007D425D" w:rsidRDefault="002F3EBA" w:rsidP="007D425D">
            <w:pPr>
              <w:tabs>
                <w:tab w:val="center" w:pos="6924"/>
                <w:tab w:val="left" w:pos="11820"/>
              </w:tabs>
              <w:spacing w:after="0"/>
              <w:jc w:val="left"/>
              <w:rPr>
                <w:rFonts w:eastAsia="Calibri" w:cs="Arial"/>
                <w:b/>
                <w:sz w:val="20"/>
                <w:szCs w:val="20"/>
                <w:lang w:val="en-US"/>
              </w:rPr>
            </w:pPr>
            <w:r w:rsidRPr="007D425D">
              <w:rPr>
                <w:rFonts w:eastAsia="Calibri" w:cs="Arial"/>
                <w:b/>
                <w:sz w:val="20"/>
                <w:szCs w:val="20"/>
                <w:lang w:val="en-US"/>
              </w:rPr>
              <w:tab/>
            </w:r>
            <w:r w:rsidR="002D7570" w:rsidRPr="007D425D">
              <w:rPr>
                <w:rFonts w:eastAsia="Calibri" w:cs="Arial"/>
                <w:b/>
                <w:sz w:val="20"/>
                <w:szCs w:val="20"/>
                <w:lang w:val="en-US"/>
              </w:rPr>
              <w:t>UNDAF OUTCOME 4.1:</w:t>
            </w:r>
            <w:r w:rsidRPr="007D425D">
              <w:rPr>
                <w:rFonts w:eastAsia="Calibri" w:cs="Arial"/>
                <w:b/>
                <w:sz w:val="20"/>
                <w:szCs w:val="20"/>
                <w:lang w:val="en-US"/>
              </w:rPr>
              <w:tab/>
            </w:r>
          </w:p>
          <w:p w14:paraId="62B26332" w14:textId="77777777" w:rsidR="002D7570" w:rsidRPr="007D425D" w:rsidRDefault="002D7570" w:rsidP="007D425D">
            <w:pPr>
              <w:spacing w:after="0"/>
              <w:jc w:val="center"/>
              <w:rPr>
                <w:rFonts w:eastAsia="Calibri" w:cs="Arial"/>
                <w:b/>
                <w:sz w:val="20"/>
                <w:szCs w:val="20"/>
                <w:lang w:val="en-US"/>
              </w:rPr>
            </w:pPr>
          </w:p>
          <w:p w14:paraId="70945C0A" w14:textId="77777777" w:rsidR="002D7570" w:rsidRPr="007D425D" w:rsidRDefault="002D7570" w:rsidP="007D425D">
            <w:pPr>
              <w:spacing w:after="0"/>
              <w:jc w:val="center"/>
              <w:rPr>
                <w:rFonts w:eastAsia="Calibri" w:cs="Arial"/>
                <w:b/>
                <w:sz w:val="20"/>
                <w:szCs w:val="20"/>
                <w:lang w:val="en-US"/>
              </w:rPr>
            </w:pPr>
            <w:r w:rsidRPr="007D425D">
              <w:rPr>
                <w:rFonts w:eastAsia="Calibri" w:cs="Arial"/>
                <w:b/>
                <w:sz w:val="20"/>
                <w:szCs w:val="20"/>
                <w:lang w:val="en-US"/>
              </w:rPr>
              <w:t>National institutions foster democratic governance and human rights to promote transparency, accountability, participation and access to justice for all especially women and children by 2016</w:t>
            </w:r>
          </w:p>
          <w:p w14:paraId="069BD489" w14:textId="77777777" w:rsidR="002D7570" w:rsidRPr="007D425D" w:rsidRDefault="002D7570" w:rsidP="007D425D">
            <w:pPr>
              <w:spacing w:after="0"/>
              <w:jc w:val="left"/>
              <w:rPr>
                <w:rFonts w:eastAsia="Calibri" w:cs="Arial"/>
                <w:b/>
                <w:sz w:val="20"/>
                <w:szCs w:val="20"/>
                <w:lang w:val="en-US"/>
              </w:rPr>
            </w:pPr>
          </w:p>
        </w:tc>
      </w:tr>
      <w:tr w:rsidR="009D7BFA" w:rsidRPr="00F72B0D" w14:paraId="306A9100" w14:textId="77777777" w:rsidTr="007D425D">
        <w:trPr>
          <w:cantSplit/>
          <w:tblHeader/>
        </w:trPr>
        <w:tc>
          <w:tcPr>
            <w:tcW w:w="496" w:type="pct"/>
            <w:shd w:val="clear" w:color="auto" w:fill="auto"/>
            <w:vAlign w:val="center"/>
          </w:tcPr>
          <w:p w14:paraId="4E7D11E7" w14:textId="77777777" w:rsidR="002D7570" w:rsidRPr="007D425D" w:rsidRDefault="002D7570" w:rsidP="007D425D">
            <w:pPr>
              <w:spacing w:after="0"/>
              <w:jc w:val="center"/>
              <w:rPr>
                <w:rFonts w:eastAsia="Calibri" w:cs="Arial"/>
                <w:b/>
                <w:bCs/>
                <w:sz w:val="20"/>
                <w:szCs w:val="20"/>
                <w:lang w:val="en-US"/>
              </w:rPr>
            </w:pPr>
            <w:r w:rsidRPr="007D425D">
              <w:rPr>
                <w:rFonts w:eastAsia="Calibri" w:cs="Arial"/>
                <w:b/>
                <w:bCs/>
                <w:sz w:val="20"/>
                <w:szCs w:val="20"/>
                <w:lang w:val="en-US"/>
              </w:rPr>
              <w:t>UNDAF</w:t>
            </w:r>
          </w:p>
          <w:p w14:paraId="2F2497B9" w14:textId="77777777" w:rsidR="002D7570" w:rsidRPr="007D425D" w:rsidRDefault="002D7570" w:rsidP="007D425D">
            <w:pPr>
              <w:spacing w:after="0"/>
              <w:jc w:val="center"/>
              <w:rPr>
                <w:rFonts w:eastAsia="Calibri" w:cs="Arial"/>
                <w:b/>
                <w:sz w:val="20"/>
                <w:szCs w:val="20"/>
              </w:rPr>
            </w:pPr>
            <w:r w:rsidRPr="007D425D">
              <w:rPr>
                <w:rFonts w:eastAsia="Calibri" w:cs="Arial"/>
                <w:b/>
                <w:bCs/>
                <w:sz w:val="20"/>
                <w:szCs w:val="20"/>
                <w:lang w:val="en-US"/>
              </w:rPr>
              <w:t>Outputs</w:t>
            </w:r>
          </w:p>
        </w:tc>
        <w:tc>
          <w:tcPr>
            <w:tcW w:w="1501" w:type="pct"/>
            <w:gridSpan w:val="3"/>
            <w:shd w:val="clear" w:color="auto" w:fill="auto"/>
          </w:tcPr>
          <w:p w14:paraId="29DD4EA7" w14:textId="77777777" w:rsidR="002D7570" w:rsidRPr="007D425D" w:rsidRDefault="002D7570" w:rsidP="007D425D">
            <w:pPr>
              <w:spacing w:after="0"/>
              <w:jc w:val="center"/>
              <w:rPr>
                <w:rFonts w:eastAsia="Calibri" w:cs="Arial"/>
                <w:sz w:val="20"/>
                <w:szCs w:val="20"/>
                <w:lang w:val="en-US"/>
              </w:rPr>
            </w:pPr>
            <w:r w:rsidRPr="007D425D">
              <w:rPr>
                <w:rFonts w:eastAsia="Calibri" w:cs="Arial"/>
                <w:b/>
                <w:bCs/>
                <w:sz w:val="20"/>
                <w:szCs w:val="20"/>
                <w:lang w:val="en-US"/>
              </w:rPr>
              <w:t>Output 4.1.1:</w:t>
            </w:r>
            <w:r w:rsidRPr="007D425D">
              <w:rPr>
                <w:rFonts w:eastAsia="Calibri" w:cs="Arial"/>
                <w:sz w:val="20"/>
                <w:szCs w:val="20"/>
                <w:lang w:val="en-US"/>
              </w:rPr>
              <w:t xml:space="preserve"> </w:t>
            </w:r>
          </w:p>
          <w:p w14:paraId="2A1F2A38" w14:textId="77777777" w:rsidR="002D7570" w:rsidRPr="007D425D" w:rsidRDefault="002D7570" w:rsidP="007D425D">
            <w:pPr>
              <w:spacing w:after="0"/>
              <w:jc w:val="center"/>
              <w:rPr>
                <w:rFonts w:eastAsia="Calibri" w:cs="Arial"/>
                <w:sz w:val="20"/>
                <w:szCs w:val="20"/>
                <w:lang w:val="en-US"/>
              </w:rPr>
            </w:pPr>
          </w:p>
          <w:p w14:paraId="08A3801D" w14:textId="77777777" w:rsidR="002D7570" w:rsidRPr="007D425D" w:rsidRDefault="002D7570" w:rsidP="007D425D">
            <w:pPr>
              <w:spacing w:after="0"/>
              <w:jc w:val="center"/>
              <w:rPr>
                <w:rFonts w:eastAsia="Calibri" w:cs="Arial"/>
                <w:sz w:val="20"/>
                <w:szCs w:val="20"/>
                <w:lang w:val="en-US"/>
              </w:rPr>
            </w:pPr>
            <w:r w:rsidRPr="007D425D">
              <w:rPr>
                <w:rFonts w:eastAsia="Calibri" w:cs="Arial"/>
                <w:sz w:val="20"/>
                <w:szCs w:val="20"/>
                <w:lang w:val="en-US"/>
              </w:rPr>
              <w:t>Democratic Governance sector strategy operationalized</w:t>
            </w:r>
          </w:p>
          <w:p w14:paraId="03767CE1" w14:textId="77777777" w:rsidR="002D7570" w:rsidRPr="007D425D" w:rsidRDefault="002D7570" w:rsidP="007D425D">
            <w:pPr>
              <w:spacing w:after="0"/>
              <w:jc w:val="left"/>
              <w:rPr>
                <w:rFonts w:eastAsia="Calibri" w:cs="Arial"/>
                <w:b/>
                <w:sz w:val="20"/>
                <w:szCs w:val="20"/>
                <w:lang w:val="en-US"/>
              </w:rPr>
            </w:pPr>
          </w:p>
        </w:tc>
        <w:tc>
          <w:tcPr>
            <w:tcW w:w="1501" w:type="pct"/>
            <w:gridSpan w:val="4"/>
            <w:shd w:val="clear" w:color="auto" w:fill="auto"/>
          </w:tcPr>
          <w:p w14:paraId="73A17AE2" w14:textId="77777777" w:rsidR="002D7570" w:rsidRPr="007D425D" w:rsidRDefault="002D7570" w:rsidP="007D425D">
            <w:pPr>
              <w:spacing w:after="0"/>
              <w:jc w:val="center"/>
              <w:rPr>
                <w:rFonts w:eastAsia="Calibri" w:cs="Arial"/>
                <w:sz w:val="20"/>
                <w:szCs w:val="20"/>
                <w:lang w:val="en-US"/>
              </w:rPr>
            </w:pPr>
            <w:r w:rsidRPr="007D425D">
              <w:rPr>
                <w:rFonts w:eastAsia="Calibri" w:cs="Arial"/>
                <w:b/>
                <w:bCs/>
                <w:sz w:val="20"/>
                <w:szCs w:val="20"/>
                <w:lang w:val="en-US"/>
              </w:rPr>
              <w:t>Output 4.1.2:</w:t>
            </w:r>
            <w:r w:rsidRPr="007D425D">
              <w:rPr>
                <w:rFonts w:eastAsia="Calibri" w:cs="Arial"/>
                <w:sz w:val="20"/>
                <w:szCs w:val="20"/>
                <w:lang w:val="en-US"/>
              </w:rPr>
              <w:t xml:space="preserve"> </w:t>
            </w:r>
          </w:p>
          <w:p w14:paraId="14F42451" w14:textId="77777777" w:rsidR="002D7570" w:rsidRPr="007D425D" w:rsidRDefault="002D7570" w:rsidP="007D425D">
            <w:pPr>
              <w:spacing w:after="0"/>
              <w:jc w:val="center"/>
              <w:rPr>
                <w:rFonts w:eastAsia="Calibri" w:cs="Arial"/>
                <w:sz w:val="20"/>
                <w:szCs w:val="20"/>
                <w:lang w:val="en-US"/>
              </w:rPr>
            </w:pPr>
          </w:p>
          <w:p w14:paraId="752206C6" w14:textId="77777777" w:rsidR="002D7570" w:rsidRPr="007D425D" w:rsidRDefault="002D7570" w:rsidP="007D425D">
            <w:pPr>
              <w:spacing w:after="0"/>
              <w:jc w:val="center"/>
              <w:rPr>
                <w:rFonts w:eastAsia="Calibri" w:cs="Arial"/>
                <w:sz w:val="20"/>
                <w:szCs w:val="20"/>
                <w:lang w:val="en-US"/>
              </w:rPr>
            </w:pPr>
            <w:r w:rsidRPr="007D425D">
              <w:rPr>
                <w:rFonts w:eastAsia="Calibri" w:cs="Arial"/>
                <w:sz w:val="20"/>
                <w:szCs w:val="20"/>
                <w:lang w:val="en-US"/>
              </w:rPr>
              <w:t>Capacity of national institutions strengthened for collaborative dialogue to support the establishment and operationalization of the national peace architecture</w:t>
            </w:r>
          </w:p>
          <w:p w14:paraId="356AC17B" w14:textId="77777777" w:rsidR="002D7570" w:rsidRPr="007D425D" w:rsidRDefault="002D7570" w:rsidP="007D425D">
            <w:pPr>
              <w:spacing w:after="0"/>
              <w:jc w:val="left"/>
              <w:rPr>
                <w:rFonts w:eastAsia="Calibri" w:cs="Arial"/>
                <w:b/>
                <w:sz w:val="20"/>
                <w:szCs w:val="20"/>
                <w:lang w:val="en-US"/>
              </w:rPr>
            </w:pPr>
          </w:p>
        </w:tc>
        <w:tc>
          <w:tcPr>
            <w:tcW w:w="1502" w:type="pct"/>
            <w:gridSpan w:val="3"/>
            <w:shd w:val="clear" w:color="auto" w:fill="auto"/>
          </w:tcPr>
          <w:p w14:paraId="5B8D66B8" w14:textId="77777777" w:rsidR="002D7570" w:rsidRPr="007D425D" w:rsidRDefault="002D7570" w:rsidP="007D425D">
            <w:pPr>
              <w:spacing w:after="0"/>
              <w:jc w:val="center"/>
              <w:rPr>
                <w:rFonts w:eastAsia="Calibri" w:cs="Arial"/>
                <w:sz w:val="20"/>
                <w:szCs w:val="20"/>
                <w:lang w:val="en-US"/>
              </w:rPr>
            </w:pPr>
            <w:r w:rsidRPr="007D425D">
              <w:rPr>
                <w:rFonts w:eastAsia="Calibri" w:cs="Arial"/>
                <w:b/>
                <w:bCs/>
                <w:sz w:val="20"/>
                <w:szCs w:val="20"/>
                <w:lang w:val="en-US"/>
              </w:rPr>
              <w:t>Output 4.1.3:</w:t>
            </w:r>
            <w:r w:rsidRPr="007D425D">
              <w:rPr>
                <w:rFonts w:eastAsia="Calibri" w:cs="Arial"/>
                <w:sz w:val="20"/>
                <w:szCs w:val="20"/>
                <w:lang w:val="en-US"/>
              </w:rPr>
              <w:t xml:space="preserve"> </w:t>
            </w:r>
          </w:p>
          <w:p w14:paraId="5AAA9548" w14:textId="77777777" w:rsidR="002D7570" w:rsidRPr="007D425D" w:rsidRDefault="002D7570" w:rsidP="007D425D">
            <w:pPr>
              <w:spacing w:after="0"/>
              <w:jc w:val="center"/>
              <w:rPr>
                <w:rFonts w:eastAsia="Calibri" w:cs="Arial"/>
                <w:sz w:val="20"/>
                <w:szCs w:val="20"/>
                <w:lang w:val="en-US"/>
              </w:rPr>
            </w:pPr>
          </w:p>
          <w:p w14:paraId="5D2DCF55" w14:textId="77777777" w:rsidR="002D7570" w:rsidRPr="007D425D" w:rsidRDefault="002D7570" w:rsidP="007D425D">
            <w:pPr>
              <w:spacing w:after="0"/>
              <w:jc w:val="center"/>
              <w:rPr>
                <w:rFonts w:eastAsia="Calibri" w:cs="Arial"/>
                <w:sz w:val="20"/>
                <w:szCs w:val="20"/>
                <w:lang w:val="en-US"/>
              </w:rPr>
            </w:pPr>
            <w:r w:rsidRPr="007D425D">
              <w:rPr>
                <w:rFonts w:eastAsia="Calibri" w:cs="Arial"/>
                <w:sz w:val="20"/>
                <w:szCs w:val="20"/>
                <w:lang w:val="en-US"/>
              </w:rPr>
              <w:t>Local governance structures strengthened in participatory planning, budgeting and managing integrated rural development</w:t>
            </w:r>
          </w:p>
          <w:p w14:paraId="4177EA76" w14:textId="77777777" w:rsidR="002D7570" w:rsidRPr="007D425D" w:rsidRDefault="002D7570" w:rsidP="007D425D">
            <w:pPr>
              <w:spacing w:after="0"/>
              <w:jc w:val="left"/>
              <w:rPr>
                <w:rFonts w:eastAsia="Calibri" w:cs="Arial"/>
                <w:b/>
                <w:sz w:val="20"/>
                <w:szCs w:val="20"/>
                <w:lang w:val="en-US"/>
              </w:rPr>
            </w:pPr>
          </w:p>
        </w:tc>
      </w:tr>
      <w:tr w:rsidR="002D7570" w:rsidRPr="00F72B0D" w14:paraId="68D8AA2B" w14:textId="77777777" w:rsidTr="007D425D">
        <w:trPr>
          <w:cantSplit/>
          <w:tblHeader/>
        </w:trPr>
        <w:tc>
          <w:tcPr>
            <w:tcW w:w="496" w:type="pct"/>
            <w:shd w:val="clear" w:color="auto" w:fill="auto"/>
            <w:vAlign w:val="center"/>
          </w:tcPr>
          <w:p w14:paraId="03498891" w14:textId="77777777" w:rsidR="002D7570" w:rsidRPr="007D425D" w:rsidRDefault="002D7570" w:rsidP="007D425D">
            <w:pPr>
              <w:spacing w:after="0"/>
              <w:jc w:val="center"/>
              <w:rPr>
                <w:rFonts w:eastAsia="Calibri" w:cs="Arial"/>
                <w:b/>
                <w:bCs/>
                <w:sz w:val="20"/>
                <w:szCs w:val="20"/>
                <w:lang w:val="en-US"/>
              </w:rPr>
            </w:pPr>
          </w:p>
        </w:tc>
        <w:tc>
          <w:tcPr>
            <w:tcW w:w="4504" w:type="pct"/>
            <w:gridSpan w:val="10"/>
            <w:shd w:val="clear" w:color="auto" w:fill="auto"/>
          </w:tcPr>
          <w:p w14:paraId="3708D4CE" w14:textId="77777777" w:rsidR="002D7570" w:rsidRPr="007D425D" w:rsidRDefault="002D7570" w:rsidP="007D425D">
            <w:pPr>
              <w:spacing w:after="0"/>
              <w:jc w:val="center"/>
              <w:rPr>
                <w:rFonts w:eastAsia="Calibri" w:cs="Arial"/>
                <w:b/>
                <w:bCs/>
                <w:sz w:val="20"/>
                <w:szCs w:val="20"/>
                <w:lang w:val="en-US"/>
              </w:rPr>
            </w:pPr>
          </w:p>
        </w:tc>
      </w:tr>
      <w:tr w:rsidR="009D7BFA" w:rsidRPr="007D425D" w14:paraId="4CCDA7AD" w14:textId="77777777" w:rsidTr="007D425D">
        <w:trPr>
          <w:cantSplit/>
        </w:trPr>
        <w:tc>
          <w:tcPr>
            <w:tcW w:w="496" w:type="pct"/>
            <w:shd w:val="clear" w:color="auto" w:fill="F2F2F2"/>
            <w:vAlign w:val="center"/>
          </w:tcPr>
          <w:p w14:paraId="5B052177" w14:textId="77777777" w:rsidR="00045FB4" w:rsidRPr="007D425D" w:rsidRDefault="00045FB4" w:rsidP="007D425D">
            <w:pPr>
              <w:spacing w:after="0"/>
              <w:jc w:val="center"/>
              <w:rPr>
                <w:rFonts w:eastAsia="Calibri" w:cs="Arial"/>
                <w:b/>
                <w:sz w:val="20"/>
                <w:szCs w:val="20"/>
                <w:lang w:val="en-US"/>
              </w:rPr>
            </w:pPr>
            <w:r w:rsidRPr="007D425D">
              <w:rPr>
                <w:rFonts w:eastAsia="Calibri" w:cs="Arial"/>
                <w:b/>
                <w:sz w:val="20"/>
                <w:szCs w:val="20"/>
                <w:lang w:val="en-US"/>
              </w:rPr>
              <w:t>Support projects with a bearing on Outcome 4.1</w:t>
            </w:r>
          </w:p>
        </w:tc>
        <w:tc>
          <w:tcPr>
            <w:tcW w:w="563" w:type="pct"/>
            <w:shd w:val="clear" w:color="auto" w:fill="F2F2F2"/>
            <w:vAlign w:val="center"/>
          </w:tcPr>
          <w:p w14:paraId="6EE1B702" w14:textId="77777777" w:rsidR="00045FB4" w:rsidRPr="007D425D" w:rsidRDefault="00045FB4" w:rsidP="007D425D">
            <w:pPr>
              <w:spacing w:after="0"/>
              <w:jc w:val="center"/>
              <w:rPr>
                <w:rFonts w:eastAsia="Calibri" w:cs="Arial"/>
                <w:b/>
                <w:sz w:val="20"/>
                <w:szCs w:val="20"/>
                <w:lang w:val="en-US"/>
              </w:rPr>
            </w:pPr>
            <w:r w:rsidRPr="007D425D">
              <w:rPr>
                <w:rFonts w:eastAsia="Calibri" w:cs="Arial"/>
                <w:b/>
                <w:sz w:val="20"/>
                <w:szCs w:val="20"/>
                <w:lang w:val="en-US"/>
              </w:rPr>
              <w:t>Malawi Electoral Cycle Support Project Document</w:t>
            </w:r>
          </w:p>
          <w:p w14:paraId="6436AD54" w14:textId="77777777" w:rsidR="00045FB4" w:rsidRPr="007D425D" w:rsidRDefault="00045FB4" w:rsidP="007D425D">
            <w:pPr>
              <w:spacing w:after="0"/>
              <w:jc w:val="center"/>
              <w:rPr>
                <w:rFonts w:eastAsia="Calibri" w:cs="Arial"/>
                <w:b/>
                <w:sz w:val="20"/>
                <w:szCs w:val="20"/>
              </w:rPr>
            </w:pPr>
            <w:r w:rsidRPr="007D425D">
              <w:rPr>
                <w:rFonts w:eastAsia="Calibri" w:cs="Arial"/>
                <w:b/>
                <w:sz w:val="20"/>
                <w:szCs w:val="20"/>
              </w:rPr>
              <w:t>2013-2016</w:t>
            </w:r>
          </w:p>
          <w:p w14:paraId="20A4550C" w14:textId="77777777" w:rsidR="00045FB4" w:rsidRPr="007D425D" w:rsidRDefault="00045FB4" w:rsidP="007D425D">
            <w:pPr>
              <w:spacing w:after="0"/>
              <w:jc w:val="center"/>
              <w:rPr>
                <w:rFonts w:eastAsia="Calibri" w:cs="Arial"/>
                <w:sz w:val="20"/>
                <w:szCs w:val="20"/>
              </w:rPr>
            </w:pPr>
            <w:r w:rsidRPr="007D425D">
              <w:rPr>
                <w:rFonts w:eastAsia="Calibri" w:cs="Arial"/>
                <w:sz w:val="20"/>
                <w:szCs w:val="20"/>
              </w:rPr>
              <w:t>(4.1.1)</w:t>
            </w:r>
          </w:p>
        </w:tc>
        <w:tc>
          <w:tcPr>
            <w:tcW w:w="563" w:type="pct"/>
            <w:shd w:val="clear" w:color="auto" w:fill="F2F2F2"/>
            <w:vAlign w:val="center"/>
          </w:tcPr>
          <w:p w14:paraId="5B5F658E" w14:textId="77777777" w:rsidR="00045FB4" w:rsidRPr="007D425D" w:rsidRDefault="00045FB4" w:rsidP="007D425D">
            <w:pPr>
              <w:spacing w:after="0"/>
              <w:jc w:val="center"/>
              <w:rPr>
                <w:rFonts w:eastAsia="Calibri" w:cs="Arial"/>
                <w:b/>
                <w:sz w:val="20"/>
                <w:szCs w:val="20"/>
              </w:rPr>
            </w:pPr>
            <w:r w:rsidRPr="007D425D">
              <w:rPr>
                <w:rFonts w:eastAsia="Calibri" w:cs="Arial"/>
                <w:b/>
                <w:sz w:val="20"/>
                <w:szCs w:val="20"/>
              </w:rPr>
              <w:t>DG SWAp Support Project</w:t>
            </w:r>
          </w:p>
          <w:p w14:paraId="75C7DB43" w14:textId="77777777" w:rsidR="00045FB4" w:rsidRPr="007D425D" w:rsidRDefault="00045FB4" w:rsidP="007D425D">
            <w:pPr>
              <w:spacing w:after="0"/>
              <w:jc w:val="center"/>
              <w:rPr>
                <w:rFonts w:eastAsia="Calibri" w:cs="Arial"/>
                <w:b/>
                <w:sz w:val="20"/>
                <w:szCs w:val="20"/>
              </w:rPr>
            </w:pPr>
            <w:r w:rsidRPr="007D425D">
              <w:rPr>
                <w:rFonts w:eastAsia="Calibri" w:cs="Arial"/>
                <w:b/>
                <w:sz w:val="20"/>
                <w:szCs w:val="20"/>
              </w:rPr>
              <w:t>2012-2016</w:t>
            </w:r>
          </w:p>
          <w:p w14:paraId="0F33A203" w14:textId="77777777" w:rsidR="00045FB4" w:rsidRPr="007D425D" w:rsidRDefault="00045FB4" w:rsidP="007D425D">
            <w:pPr>
              <w:spacing w:after="0"/>
              <w:jc w:val="center"/>
              <w:rPr>
                <w:rFonts w:eastAsia="Calibri" w:cs="Arial"/>
                <w:sz w:val="20"/>
                <w:szCs w:val="20"/>
              </w:rPr>
            </w:pPr>
            <w:r w:rsidRPr="007D425D">
              <w:rPr>
                <w:rFonts w:eastAsia="Calibri" w:cs="Arial"/>
                <w:sz w:val="20"/>
                <w:szCs w:val="20"/>
              </w:rPr>
              <w:t>(4.1.1)</w:t>
            </w:r>
          </w:p>
        </w:tc>
        <w:tc>
          <w:tcPr>
            <w:tcW w:w="563" w:type="pct"/>
            <w:gridSpan w:val="2"/>
            <w:shd w:val="clear" w:color="auto" w:fill="F2F2F2"/>
            <w:vAlign w:val="center"/>
          </w:tcPr>
          <w:p w14:paraId="4ADB0C8E" w14:textId="77777777" w:rsidR="00045FB4" w:rsidRPr="007D425D" w:rsidRDefault="00045FB4" w:rsidP="007D425D">
            <w:pPr>
              <w:spacing w:after="0"/>
              <w:jc w:val="center"/>
              <w:rPr>
                <w:rFonts w:eastAsia="Calibri" w:cs="Arial"/>
                <w:b/>
                <w:sz w:val="20"/>
                <w:szCs w:val="20"/>
                <w:lang w:val="en-US"/>
              </w:rPr>
            </w:pPr>
            <w:r w:rsidRPr="007D425D">
              <w:rPr>
                <w:rFonts w:eastAsia="Calibri" w:cs="Arial"/>
                <w:b/>
                <w:sz w:val="20"/>
                <w:szCs w:val="20"/>
                <w:lang w:val="en-US"/>
              </w:rPr>
              <w:t>Strengthening Political parties project</w:t>
            </w:r>
          </w:p>
          <w:p w14:paraId="507D77A8" w14:textId="77777777" w:rsidR="00045FB4" w:rsidRPr="007D425D" w:rsidRDefault="00045FB4" w:rsidP="007D425D">
            <w:pPr>
              <w:spacing w:after="0"/>
              <w:jc w:val="center"/>
              <w:rPr>
                <w:rFonts w:eastAsia="Calibri" w:cs="Arial"/>
                <w:b/>
                <w:sz w:val="20"/>
                <w:szCs w:val="20"/>
                <w:lang w:val="en-US"/>
              </w:rPr>
            </w:pPr>
            <w:r w:rsidRPr="007D425D">
              <w:rPr>
                <w:rFonts w:eastAsia="Calibri" w:cs="Arial"/>
                <w:b/>
                <w:sz w:val="20"/>
                <w:szCs w:val="20"/>
                <w:lang w:val="en-US"/>
              </w:rPr>
              <w:t>2013-2016</w:t>
            </w:r>
          </w:p>
          <w:p w14:paraId="78643A39" w14:textId="77777777" w:rsidR="00045FB4" w:rsidRPr="007D425D" w:rsidRDefault="00045FB4" w:rsidP="007D425D">
            <w:pPr>
              <w:spacing w:after="0"/>
              <w:jc w:val="center"/>
              <w:rPr>
                <w:rFonts w:eastAsia="Calibri" w:cs="Arial"/>
                <w:sz w:val="20"/>
                <w:szCs w:val="20"/>
                <w:lang w:val="en-US"/>
              </w:rPr>
            </w:pPr>
            <w:r w:rsidRPr="007D425D">
              <w:rPr>
                <w:rFonts w:eastAsia="Calibri" w:cs="Arial"/>
                <w:sz w:val="20"/>
                <w:szCs w:val="20"/>
                <w:lang w:val="en-US"/>
              </w:rPr>
              <w:t>(4.1.1)</w:t>
            </w:r>
          </w:p>
        </w:tc>
        <w:tc>
          <w:tcPr>
            <w:tcW w:w="563" w:type="pct"/>
            <w:tcBorders>
              <w:bottom w:val="single" w:sz="4" w:space="0" w:color="auto"/>
            </w:tcBorders>
            <w:shd w:val="clear" w:color="auto" w:fill="F2F2F2"/>
            <w:vAlign w:val="center"/>
          </w:tcPr>
          <w:p w14:paraId="381AA6E0" w14:textId="77777777" w:rsidR="00045FB4" w:rsidRPr="007D425D" w:rsidRDefault="00045FB4" w:rsidP="007D425D">
            <w:pPr>
              <w:spacing w:after="0"/>
              <w:jc w:val="center"/>
              <w:rPr>
                <w:rFonts w:eastAsia="Calibri" w:cs="Arial"/>
                <w:b/>
                <w:sz w:val="20"/>
                <w:szCs w:val="20"/>
              </w:rPr>
            </w:pPr>
            <w:r w:rsidRPr="007D425D">
              <w:rPr>
                <w:rFonts w:eastAsia="Calibri" w:cs="Arial"/>
                <w:b/>
                <w:sz w:val="20"/>
                <w:szCs w:val="20"/>
              </w:rPr>
              <w:t>Human Rights Support Project 2012-2016</w:t>
            </w:r>
          </w:p>
          <w:p w14:paraId="7180B71D" w14:textId="77777777" w:rsidR="00045FB4" w:rsidRPr="007D425D" w:rsidRDefault="00045FB4" w:rsidP="007D425D">
            <w:pPr>
              <w:spacing w:after="0"/>
              <w:jc w:val="center"/>
              <w:rPr>
                <w:rFonts w:eastAsia="Calibri" w:cs="Arial"/>
                <w:b/>
                <w:sz w:val="20"/>
                <w:szCs w:val="20"/>
              </w:rPr>
            </w:pPr>
            <w:r w:rsidRPr="007D425D">
              <w:rPr>
                <w:rFonts w:eastAsia="Calibri" w:cs="Arial"/>
                <w:sz w:val="20"/>
                <w:szCs w:val="20"/>
              </w:rPr>
              <w:t>(4.1.1)</w:t>
            </w:r>
          </w:p>
        </w:tc>
        <w:tc>
          <w:tcPr>
            <w:tcW w:w="563" w:type="pct"/>
            <w:tcBorders>
              <w:bottom w:val="single" w:sz="4" w:space="0" w:color="auto"/>
            </w:tcBorders>
            <w:shd w:val="clear" w:color="auto" w:fill="F2F2F2"/>
            <w:vAlign w:val="center"/>
          </w:tcPr>
          <w:p w14:paraId="71FDC845" w14:textId="77777777" w:rsidR="00045FB4" w:rsidRPr="007D425D" w:rsidRDefault="00045FB4" w:rsidP="007D425D">
            <w:pPr>
              <w:spacing w:after="0"/>
              <w:jc w:val="center"/>
              <w:rPr>
                <w:rFonts w:eastAsia="Calibri" w:cs="Arial"/>
                <w:b/>
                <w:sz w:val="20"/>
                <w:szCs w:val="20"/>
              </w:rPr>
            </w:pPr>
            <w:r w:rsidRPr="007D425D">
              <w:rPr>
                <w:rFonts w:eastAsia="Calibri" w:cs="Arial"/>
                <w:b/>
                <w:sz w:val="20"/>
                <w:szCs w:val="20"/>
              </w:rPr>
              <w:t>Social Cohesion Project</w:t>
            </w:r>
          </w:p>
          <w:p w14:paraId="2FF8FF45" w14:textId="77777777" w:rsidR="00045FB4" w:rsidRPr="007D425D" w:rsidRDefault="00045FB4" w:rsidP="007D425D">
            <w:pPr>
              <w:spacing w:after="0"/>
              <w:jc w:val="center"/>
              <w:rPr>
                <w:rFonts w:eastAsia="Calibri" w:cs="Arial"/>
                <w:sz w:val="20"/>
                <w:szCs w:val="20"/>
              </w:rPr>
            </w:pPr>
            <w:r w:rsidRPr="007D425D">
              <w:rPr>
                <w:rFonts w:eastAsia="Calibri" w:cs="Arial"/>
                <w:b/>
                <w:sz w:val="20"/>
                <w:szCs w:val="20"/>
              </w:rPr>
              <w:t>2013-2016</w:t>
            </w:r>
            <w:r w:rsidRPr="007D425D">
              <w:rPr>
                <w:rFonts w:eastAsia="Calibri" w:cs="Arial"/>
                <w:sz w:val="20"/>
                <w:szCs w:val="20"/>
              </w:rPr>
              <w:t xml:space="preserve"> (4.1.2)</w:t>
            </w:r>
          </w:p>
        </w:tc>
        <w:tc>
          <w:tcPr>
            <w:tcW w:w="563" w:type="pct"/>
            <w:gridSpan w:val="2"/>
            <w:shd w:val="clear" w:color="auto" w:fill="F2F2F2"/>
            <w:vAlign w:val="center"/>
          </w:tcPr>
          <w:p w14:paraId="7E65CBCF" w14:textId="77777777" w:rsidR="00045FB4" w:rsidRPr="007D425D" w:rsidRDefault="00045FB4" w:rsidP="007D425D">
            <w:pPr>
              <w:spacing w:after="0"/>
              <w:jc w:val="center"/>
              <w:rPr>
                <w:rFonts w:eastAsia="Calibri" w:cs="Arial"/>
                <w:b/>
                <w:sz w:val="20"/>
                <w:szCs w:val="20"/>
                <w:lang w:val="en-US"/>
              </w:rPr>
            </w:pPr>
            <w:r w:rsidRPr="007D425D">
              <w:rPr>
                <w:rFonts w:eastAsia="Calibri" w:cs="Arial"/>
                <w:b/>
                <w:sz w:val="20"/>
                <w:szCs w:val="20"/>
                <w:lang w:val="en-US"/>
              </w:rPr>
              <w:t>Political Empowerment of Women in Malawi</w:t>
            </w:r>
          </w:p>
          <w:p w14:paraId="2248CAEC" w14:textId="77777777" w:rsidR="00045FB4" w:rsidRPr="007D425D" w:rsidRDefault="00045FB4" w:rsidP="007D425D">
            <w:pPr>
              <w:spacing w:after="0"/>
              <w:jc w:val="center"/>
              <w:rPr>
                <w:rFonts w:eastAsia="Calibri" w:cs="Arial"/>
                <w:b/>
                <w:sz w:val="20"/>
                <w:szCs w:val="20"/>
              </w:rPr>
            </w:pPr>
            <w:r w:rsidRPr="007D425D">
              <w:rPr>
                <w:rFonts w:eastAsia="Calibri" w:cs="Arial"/>
                <w:b/>
                <w:sz w:val="20"/>
                <w:szCs w:val="20"/>
              </w:rPr>
              <w:t>2013-2016</w:t>
            </w:r>
          </w:p>
          <w:p w14:paraId="5D9D89FD" w14:textId="77777777" w:rsidR="00045FB4" w:rsidRPr="007D425D" w:rsidRDefault="00045FB4" w:rsidP="007D425D">
            <w:pPr>
              <w:spacing w:after="0"/>
              <w:jc w:val="center"/>
              <w:rPr>
                <w:rFonts w:eastAsia="Calibri" w:cs="Arial"/>
                <w:sz w:val="20"/>
                <w:szCs w:val="20"/>
              </w:rPr>
            </w:pPr>
            <w:r w:rsidRPr="007D425D">
              <w:rPr>
                <w:rFonts w:eastAsia="Calibri" w:cs="Arial"/>
                <w:sz w:val="20"/>
                <w:szCs w:val="20"/>
              </w:rPr>
              <w:t>(4.3/4.3.3)</w:t>
            </w:r>
          </w:p>
        </w:tc>
        <w:tc>
          <w:tcPr>
            <w:tcW w:w="563" w:type="pct"/>
            <w:shd w:val="clear" w:color="auto" w:fill="F2F2F2"/>
            <w:vAlign w:val="center"/>
          </w:tcPr>
          <w:p w14:paraId="7FC388F8" w14:textId="77777777" w:rsidR="00045FB4" w:rsidRPr="007D425D" w:rsidRDefault="00045FB4" w:rsidP="007D425D">
            <w:pPr>
              <w:spacing w:after="0"/>
              <w:jc w:val="center"/>
              <w:rPr>
                <w:rFonts w:eastAsia="Calibri" w:cs="Arial"/>
                <w:b/>
                <w:sz w:val="20"/>
                <w:szCs w:val="20"/>
                <w:lang w:val="en-US"/>
              </w:rPr>
            </w:pPr>
            <w:r w:rsidRPr="007D425D">
              <w:rPr>
                <w:rFonts w:eastAsia="Calibri" w:cs="Arial"/>
                <w:b/>
                <w:sz w:val="20"/>
                <w:szCs w:val="20"/>
                <w:lang w:val="en-US"/>
              </w:rPr>
              <w:t>Democracy Consolidation Programme (DCP IV)</w:t>
            </w:r>
          </w:p>
          <w:p w14:paraId="0B6A9F0A" w14:textId="77777777" w:rsidR="00045FB4" w:rsidRPr="007D425D" w:rsidRDefault="00045FB4" w:rsidP="007D425D">
            <w:pPr>
              <w:spacing w:after="0"/>
              <w:jc w:val="center"/>
              <w:rPr>
                <w:rFonts w:eastAsia="Calibri" w:cs="Arial"/>
                <w:b/>
                <w:sz w:val="20"/>
                <w:szCs w:val="20"/>
              </w:rPr>
            </w:pPr>
            <w:r w:rsidRPr="007D425D">
              <w:rPr>
                <w:rFonts w:eastAsia="Calibri" w:cs="Arial"/>
                <w:b/>
                <w:sz w:val="20"/>
                <w:szCs w:val="20"/>
              </w:rPr>
              <w:t>2012-2016</w:t>
            </w:r>
          </w:p>
          <w:p w14:paraId="1463E960" w14:textId="77777777" w:rsidR="00045FB4" w:rsidRPr="007D425D" w:rsidRDefault="00045FB4" w:rsidP="007D425D">
            <w:pPr>
              <w:spacing w:after="0"/>
              <w:jc w:val="center"/>
              <w:rPr>
                <w:rFonts w:eastAsia="Calibri" w:cs="Arial"/>
                <w:sz w:val="20"/>
                <w:szCs w:val="20"/>
              </w:rPr>
            </w:pPr>
            <w:r w:rsidRPr="007D425D">
              <w:rPr>
                <w:rFonts w:eastAsia="Calibri" w:cs="Arial"/>
                <w:sz w:val="20"/>
                <w:szCs w:val="20"/>
              </w:rPr>
              <w:t>(4.1.3)</w:t>
            </w:r>
          </w:p>
        </w:tc>
        <w:tc>
          <w:tcPr>
            <w:tcW w:w="563" w:type="pct"/>
            <w:shd w:val="clear" w:color="auto" w:fill="F2F2F2"/>
            <w:vAlign w:val="center"/>
          </w:tcPr>
          <w:p w14:paraId="57FCB7D4" w14:textId="77777777" w:rsidR="00045FB4" w:rsidRPr="007D425D" w:rsidRDefault="00045FB4" w:rsidP="007D425D">
            <w:pPr>
              <w:spacing w:after="0"/>
              <w:jc w:val="center"/>
              <w:rPr>
                <w:rFonts w:eastAsia="Calibri" w:cs="Arial"/>
                <w:b/>
                <w:sz w:val="20"/>
                <w:szCs w:val="20"/>
                <w:lang w:val="en-US"/>
              </w:rPr>
            </w:pPr>
            <w:r w:rsidRPr="007D425D">
              <w:rPr>
                <w:rFonts w:eastAsia="Calibri" w:cs="Arial"/>
                <w:b/>
                <w:sz w:val="20"/>
                <w:szCs w:val="20"/>
                <w:lang w:val="en-US"/>
              </w:rPr>
              <w:t>Policy and Institutional Framework for Integrated Rural Development Programme 2013-2015</w:t>
            </w:r>
          </w:p>
          <w:p w14:paraId="15252373" w14:textId="77777777" w:rsidR="00045FB4" w:rsidRPr="007D425D" w:rsidRDefault="00045FB4" w:rsidP="007D425D">
            <w:pPr>
              <w:spacing w:after="0"/>
              <w:jc w:val="center"/>
              <w:rPr>
                <w:rFonts w:eastAsia="Calibri" w:cs="Arial"/>
                <w:sz w:val="20"/>
                <w:szCs w:val="20"/>
              </w:rPr>
            </w:pPr>
            <w:r w:rsidRPr="007D425D">
              <w:rPr>
                <w:rFonts w:eastAsia="Calibri" w:cs="Arial"/>
                <w:sz w:val="20"/>
                <w:szCs w:val="20"/>
              </w:rPr>
              <w:t>(4.1.3)</w:t>
            </w:r>
          </w:p>
        </w:tc>
      </w:tr>
      <w:tr w:rsidR="009D7BFA" w:rsidRPr="00F72B0D" w14:paraId="30DA13B3" w14:textId="77777777" w:rsidTr="007D425D">
        <w:trPr>
          <w:cantSplit/>
        </w:trPr>
        <w:tc>
          <w:tcPr>
            <w:tcW w:w="496" w:type="pct"/>
            <w:vAlign w:val="center"/>
          </w:tcPr>
          <w:p w14:paraId="08A67AD5" w14:textId="77777777" w:rsidR="00045FB4" w:rsidRPr="007D425D" w:rsidRDefault="00045FB4" w:rsidP="007D425D">
            <w:pPr>
              <w:spacing w:after="0"/>
              <w:jc w:val="center"/>
              <w:rPr>
                <w:rFonts w:eastAsia="Calibri" w:cs="Arial"/>
                <w:b/>
                <w:sz w:val="20"/>
                <w:szCs w:val="20"/>
              </w:rPr>
            </w:pPr>
            <w:r w:rsidRPr="007D425D">
              <w:rPr>
                <w:rFonts w:eastAsia="Calibri" w:cs="Arial"/>
                <w:b/>
                <w:sz w:val="20"/>
                <w:szCs w:val="20"/>
              </w:rPr>
              <w:t>Project Output 1</w:t>
            </w:r>
          </w:p>
        </w:tc>
        <w:tc>
          <w:tcPr>
            <w:tcW w:w="563" w:type="pct"/>
            <w:shd w:val="clear" w:color="auto" w:fill="C5E0B3"/>
          </w:tcPr>
          <w:p w14:paraId="75C2EED4" w14:textId="16C227BB" w:rsidR="00045FB4" w:rsidRPr="007D425D" w:rsidRDefault="00045FB4" w:rsidP="007D425D">
            <w:pPr>
              <w:spacing w:after="0"/>
              <w:jc w:val="left"/>
              <w:rPr>
                <w:rFonts w:eastAsia="Calibri" w:cs="Arial"/>
                <w:sz w:val="20"/>
                <w:szCs w:val="20"/>
                <w:lang w:val="en-US"/>
              </w:rPr>
            </w:pPr>
            <w:r w:rsidRPr="007D425D">
              <w:rPr>
                <w:rFonts w:eastAsia="Calibri" w:cs="Arial"/>
                <w:sz w:val="20"/>
                <w:szCs w:val="20"/>
                <w:lang w:val="en-US"/>
              </w:rPr>
              <w:t xml:space="preserve">Electoral policy and regulatory environment is </w:t>
            </w:r>
            <w:r w:rsidR="003F4020" w:rsidRPr="007D425D">
              <w:rPr>
                <w:rFonts w:eastAsia="Calibri" w:cs="Arial"/>
                <w:sz w:val="20"/>
                <w:szCs w:val="20"/>
                <w:lang w:val="en-US"/>
              </w:rPr>
              <w:t>harmonized</w:t>
            </w:r>
            <w:r w:rsidRPr="007D425D">
              <w:rPr>
                <w:rFonts w:eastAsia="Calibri" w:cs="Arial"/>
                <w:sz w:val="20"/>
                <w:szCs w:val="20"/>
                <w:lang w:val="en-US"/>
              </w:rPr>
              <w:t xml:space="preserve"> and </w:t>
            </w:r>
            <w:r w:rsidR="003F4020" w:rsidRPr="007D425D">
              <w:rPr>
                <w:rFonts w:eastAsia="Calibri" w:cs="Arial"/>
                <w:sz w:val="20"/>
                <w:szCs w:val="20"/>
                <w:lang w:val="en-US"/>
              </w:rPr>
              <w:t>stabilized</w:t>
            </w:r>
          </w:p>
        </w:tc>
        <w:tc>
          <w:tcPr>
            <w:tcW w:w="563" w:type="pct"/>
            <w:shd w:val="clear" w:color="auto" w:fill="FFE599"/>
          </w:tcPr>
          <w:p w14:paraId="525136B9" w14:textId="77777777" w:rsidR="00045FB4" w:rsidRPr="007D425D" w:rsidRDefault="00045FB4" w:rsidP="007D425D">
            <w:pPr>
              <w:spacing w:after="0"/>
              <w:jc w:val="left"/>
              <w:rPr>
                <w:rFonts w:eastAsia="Calibri" w:cs="Arial"/>
                <w:sz w:val="20"/>
                <w:szCs w:val="20"/>
                <w:lang w:val="en-US"/>
              </w:rPr>
            </w:pPr>
            <w:r w:rsidRPr="007D425D">
              <w:rPr>
                <w:rFonts w:eastAsia="Calibri" w:cs="Arial"/>
                <w:sz w:val="20"/>
                <w:szCs w:val="20"/>
                <w:lang w:val="en-US"/>
              </w:rPr>
              <w:t>Change management and capacity development strategies developed and implemented</w:t>
            </w:r>
          </w:p>
        </w:tc>
        <w:tc>
          <w:tcPr>
            <w:tcW w:w="563" w:type="pct"/>
            <w:gridSpan w:val="2"/>
            <w:shd w:val="clear" w:color="auto" w:fill="FFE599"/>
          </w:tcPr>
          <w:p w14:paraId="10AD2CDA" w14:textId="77777777" w:rsidR="00045FB4" w:rsidRPr="007D425D" w:rsidRDefault="00045FB4" w:rsidP="007D425D">
            <w:pPr>
              <w:spacing w:after="0"/>
              <w:jc w:val="left"/>
              <w:rPr>
                <w:rFonts w:eastAsia="Calibri" w:cs="Arial"/>
                <w:sz w:val="20"/>
                <w:szCs w:val="20"/>
                <w:lang w:val="en-US"/>
              </w:rPr>
            </w:pPr>
            <w:r w:rsidRPr="007D425D">
              <w:rPr>
                <w:rFonts w:eastAsia="Calibri" w:cs="Arial"/>
                <w:sz w:val="20"/>
                <w:szCs w:val="20"/>
                <w:lang w:val="en-US"/>
              </w:rPr>
              <w:t xml:space="preserve">National Assembly enacts revised Political Parties Registration and Regulation Act (PPRRA); </w:t>
            </w:r>
          </w:p>
          <w:p w14:paraId="5E9E7246" w14:textId="77777777" w:rsidR="00045FB4" w:rsidRPr="007D425D" w:rsidRDefault="00045FB4" w:rsidP="007D425D">
            <w:pPr>
              <w:spacing w:after="0"/>
              <w:jc w:val="left"/>
              <w:rPr>
                <w:rFonts w:eastAsia="Calibri" w:cs="Arial"/>
                <w:sz w:val="20"/>
                <w:szCs w:val="20"/>
                <w:lang w:val="en-US"/>
              </w:rPr>
            </w:pPr>
          </w:p>
        </w:tc>
        <w:tc>
          <w:tcPr>
            <w:tcW w:w="563" w:type="pct"/>
            <w:shd w:val="clear" w:color="auto" w:fill="FFE599"/>
          </w:tcPr>
          <w:p w14:paraId="7F92C16A" w14:textId="77777777" w:rsidR="00045FB4" w:rsidRPr="007D425D" w:rsidRDefault="00045FB4" w:rsidP="007D425D">
            <w:pPr>
              <w:spacing w:after="0"/>
              <w:jc w:val="left"/>
              <w:rPr>
                <w:rFonts w:eastAsia="Calibri" w:cs="Arial"/>
                <w:sz w:val="20"/>
                <w:szCs w:val="20"/>
                <w:lang w:val="en-US"/>
              </w:rPr>
            </w:pPr>
            <w:r w:rsidRPr="007D425D">
              <w:rPr>
                <w:rFonts w:eastAsia="Calibri" w:cs="Arial"/>
                <w:sz w:val="20"/>
                <w:szCs w:val="20"/>
                <w:lang w:val="en-US"/>
              </w:rPr>
              <w:t>A gender responsive national human rights action plan developed in a participatory manner and implemented</w:t>
            </w:r>
          </w:p>
        </w:tc>
        <w:tc>
          <w:tcPr>
            <w:tcW w:w="563" w:type="pct"/>
            <w:shd w:val="clear" w:color="auto" w:fill="FFE599"/>
          </w:tcPr>
          <w:p w14:paraId="3C13057B" w14:textId="77777777" w:rsidR="00045FB4" w:rsidRPr="007D425D" w:rsidRDefault="00045FB4" w:rsidP="007D425D">
            <w:pPr>
              <w:spacing w:after="0"/>
              <w:jc w:val="left"/>
              <w:rPr>
                <w:rFonts w:eastAsia="Calibri" w:cs="Arial"/>
                <w:sz w:val="20"/>
                <w:szCs w:val="20"/>
                <w:lang w:val="en-US"/>
              </w:rPr>
            </w:pPr>
            <w:r w:rsidRPr="007D425D">
              <w:rPr>
                <w:rFonts w:eastAsia="Calibri" w:cs="Arial"/>
                <w:sz w:val="20"/>
                <w:szCs w:val="20"/>
                <w:lang w:val="en-US"/>
              </w:rPr>
              <w:t>Consensus among government and civic actors reached on the parameters of national peace architecture and on a strategic plan for the establishment of the architecture</w:t>
            </w:r>
          </w:p>
        </w:tc>
        <w:tc>
          <w:tcPr>
            <w:tcW w:w="563" w:type="pct"/>
            <w:gridSpan w:val="2"/>
            <w:shd w:val="clear" w:color="auto" w:fill="FFFFFF"/>
          </w:tcPr>
          <w:p w14:paraId="40C610D5" w14:textId="77777777" w:rsidR="00045FB4" w:rsidRPr="007D425D" w:rsidRDefault="00045FB4" w:rsidP="007D425D">
            <w:pPr>
              <w:spacing w:after="0"/>
              <w:jc w:val="left"/>
              <w:rPr>
                <w:rFonts w:eastAsia="Calibri" w:cs="Arial"/>
                <w:sz w:val="20"/>
                <w:szCs w:val="20"/>
                <w:lang w:val="en-US"/>
              </w:rPr>
            </w:pPr>
            <w:r w:rsidRPr="007D425D">
              <w:rPr>
                <w:rFonts w:eastAsia="Calibri" w:cs="Arial"/>
                <w:sz w:val="20"/>
                <w:szCs w:val="20"/>
                <w:lang w:val="en-US"/>
              </w:rPr>
              <w:t>Political party policies and laws that promote the participation of women and female youth in decision-making structures and processes developed and adopted</w:t>
            </w:r>
          </w:p>
        </w:tc>
        <w:tc>
          <w:tcPr>
            <w:tcW w:w="563" w:type="pct"/>
            <w:shd w:val="clear" w:color="auto" w:fill="C5E0B3"/>
          </w:tcPr>
          <w:p w14:paraId="09808A5B" w14:textId="77777777" w:rsidR="00045FB4" w:rsidRPr="007D425D" w:rsidRDefault="00045FB4" w:rsidP="007D425D">
            <w:pPr>
              <w:spacing w:after="0"/>
              <w:jc w:val="left"/>
              <w:rPr>
                <w:rFonts w:eastAsia="Calibri" w:cs="Arial"/>
                <w:sz w:val="20"/>
                <w:szCs w:val="20"/>
                <w:lang w:val="en-US"/>
              </w:rPr>
            </w:pPr>
            <w:r w:rsidRPr="007D425D">
              <w:rPr>
                <w:rFonts w:eastAsia="Calibri" w:cs="Arial"/>
                <w:sz w:val="20"/>
                <w:szCs w:val="20"/>
                <w:lang w:val="en-US"/>
              </w:rPr>
              <w:t>At least 70% of Group Villages in 28 districts effectively demanding progressive accessibility and</w:t>
            </w:r>
            <w:r w:rsidRPr="007D425D">
              <w:rPr>
                <w:rFonts w:ascii="Calibri" w:eastAsia="Calibri" w:hAnsi="Calibri"/>
                <w:sz w:val="20"/>
                <w:szCs w:val="20"/>
                <w:lang w:val="en-US"/>
              </w:rPr>
              <w:t xml:space="preserve"> </w:t>
            </w:r>
            <w:r w:rsidRPr="007D425D">
              <w:rPr>
                <w:rFonts w:eastAsia="Calibri" w:cs="Arial"/>
                <w:sz w:val="20"/>
                <w:szCs w:val="20"/>
                <w:lang w:val="en-US"/>
              </w:rPr>
              <w:t>acceptability of basic social services, basic services, and good governance.</w:t>
            </w:r>
          </w:p>
        </w:tc>
        <w:tc>
          <w:tcPr>
            <w:tcW w:w="563" w:type="pct"/>
            <w:shd w:val="clear" w:color="auto" w:fill="FFE599"/>
          </w:tcPr>
          <w:p w14:paraId="234889C5" w14:textId="77777777" w:rsidR="00045FB4" w:rsidRPr="007D425D" w:rsidRDefault="00045FB4" w:rsidP="007D425D">
            <w:pPr>
              <w:spacing w:after="0"/>
              <w:jc w:val="left"/>
              <w:rPr>
                <w:rFonts w:eastAsia="Calibri" w:cs="Arial"/>
                <w:sz w:val="20"/>
                <w:szCs w:val="20"/>
                <w:lang w:val="en-US"/>
              </w:rPr>
            </w:pPr>
            <w:r w:rsidRPr="007D425D">
              <w:rPr>
                <w:rFonts w:eastAsia="Calibri" w:cs="Arial"/>
                <w:sz w:val="20"/>
                <w:szCs w:val="20"/>
                <w:lang w:val="en-US"/>
              </w:rPr>
              <w:t>Gender responsive IRD strategy document approved and disseminated widely</w:t>
            </w:r>
          </w:p>
        </w:tc>
      </w:tr>
      <w:tr w:rsidR="009D7BFA" w:rsidRPr="00F72B0D" w14:paraId="6B9FFEE9" w14:textId="77777777" w:rsidTr="007D425D">
        <w:trPr>
          <w:cantSplit/>
        </w:trPr>
        <w:tc>
          <w:tcPr>
            <w:tcW w:w="496" w:type="pct"/>
            <w:vAlign w:val="center"/>
          </w:tcPr>
          <w:p w14:paraId="3932784B" w14:textId="77777777" w:rsidR="00045FB4" w:rsidRPr="007D425D" w:rsidRDefault="00045FB4" w:rsidP="007D425D">
            <w:pPr>
              <w:spacing w:after="0"/>
              <w:jc w:val="center"/>
              <w:rPr>
                <w:rFonts w:eastAsia="Calibri" w:cs="Arial"/>
                <w:b/>
                <w:sz w:val="20"/>
                <w:szCs w:val="20"/>
              </w:rPr>
            </w:pPr>
            <w:r w:rsidRPr="007D425D">
              <w:rPr>
                <w:rFonts w:eastAsia="Calibri" w:cs="Arial"/>
                <w:b/>
                <w:sz w:val="20"/>
                <w:szCs w:val="20"/>
              </w:rPr>
              <w:t>Project Output 2</w:t>
            </w:r>
          </w:p>
        </w:tc>
        <w:tc>
          <w:tcPr>
            <w:tcW w:w="563" w:type="pct"/>
            <w:shd w:val="clear" w:color="auto" w:fill="C5E0B3"/>
          </w:tcPr>
          <w:p w14:paraId="603DACE9" w14:textId="77777777" w:rsidR="00045FB4" w:rsidRPr="007D425D" w:rsidRDefault="00045FB4" w:rsidP="007D425D">
            <w:pPr>
              <w:spacing w:after="0"/>
              <w:jc w:val="left"/>
              <w:rPr>
                <w:rFonts w:eastAsia="Calibri" w:cs="Arial"/>
                <w:sz w:val="20"/>
                <w:szCs w:val="20"/>
                <w:lang w:val="en-US"/>
              </w:rPr>
            </w:pPr>
            <w:r w:rsidRPr="007D425D">
              <w:rPr>
                <w:rFonts w:eastAsia="Calibri" w:cs="Arial"/>
                <w:sz w:val="20"/>
                <w:szCs w:val="20"/>
                <w:lang w:val="en-US"/>
              </w:rPr>
              <w:t xml:space="preserve">Technical and institutional capacity of </w:t>
            </w:r>
            <w:r w:rsidRPr="007D425D">
              <w:rPr>
                <w:rFonts w:eastAsia="Calibri" w:cs="Arial"/>
                <w:sz w:val="20"/>
                <w:szCs w:val="20"/>
                <w:lang w:val="en-US"/>
              </w:rPr>
              <w:lastRenderedPageBreak/>
              <w:t xml:space="preserve">MEC strengthened </w:t>
            </w:r>
          </w:p>
        </w:tc>
        <w:tc>
          <w:tcPr>
            <w:tcW w:w="563" w:type="pct"/>
            <w:shd w:val="clear" w:color="auto" w:fill="FFE599"/>
          </w:tcPr>
          <w:p w14:paraId="391F546A" w14:textId="77777777" w:rsidR="00045FB4" w:rsidRPr="007D425D" w:rsidRDefault="00045FB4" w:rsidP="007D425D">
            <w:pPr>
              <w:spacing w:after="0"/>
              <w:jc w:val="left"/>
              <w:rPr>
                <w:rFonts w:eastAsia="Calibri" w:cs="Arial"/>
                <w:sz w:val="20"/>
                <w:szCs w:val="20"/>
                <w:lang w:val="en-US"/>
              </w:rPr>
            </w:pPr>
            <w:r w:rsidRPr="007D425D">
              <w:rPr>
                <w:rFonts w:eastAsia="Calibri" w:cs="Arial"/>
                <w:sz w:val="20"/>
                <w:szCs w:val="20"/>
                <w:lang w:val="en-US"/>
              </w:rPr>
              <w:lastRenderedPageBreak/>
              <w:t xml:space="preserve">DG sector and institutional policy, legal </w:t>
            </w:r>
            <w:r w:rsidRPr="007D425D">
              <w:rPr>
                <w:rFonts w:eastAsia="Calibri" w:cs="Arial"/>
                <w:sz w:val="20"/>
                <w:szCs w:val="20"/>
                <w:lang w:val="en-US"/>
              </w:rPr>
              <w:lastRenderedPageBreak/>
              <w:t>and regulatory frameworks that enhance access to justice and democratic accountability reviewed and reformed</w:t>
            </w:r>
          </w:p>
        </w:tc>
        <w:tc>
          <w:tcPr>
            <w:tcW w:w="563" w:type="pct"/>
            <w:gridSpan w:val="2"/>
            <w:shd w:val="clear" w:color="auto" w:fill="C5E0B3"/>
          </w:tcPr>
          <w:p w14:paraId="01F64452" w14:textId="77777777" w:rsidR="00045FB4" w:rsidRPr="007D425D" w:rsidRDefault="00045FB4" w:rsidP="007D425D">
            <w:pPr>
              <w:spacing w:after="0"/>
              <w:jc w:val="left"/>
              <w:rPr>
                <w:rFonts w:eastAsia="Calibri" w:cs="Arial"/>
                <w:sz w:val="20"/>
                <w:szCs w:val="20"/>
                <w:lang w:val="en-US"/>
              </w:rPr>
            </w:pPr>
            <w:r w:rsidRPr="007D425D">
              <w:rPr>
                <w:rFonts w:eastAsia="Calibri" w:cs="Arial"/>
                <w:sz w:val="20"/>
                <w:szCs w:val="20"/>
                <w:lang w:val="en-US"/>
              </w:rPr>
              <w:lastRenderedPageBreak/>
              <w:t xml:space="preserve">Political Parties’ issue-based </w:t>
            </w:r>
            <w:r w:rsidRPr="007D425D">
              <w:rPr>
                <w:rFonts w:eastAsia="Calibri" w:cs="Arial"/>
                <w:sz w:val="20"/>
                <w:szCs w:val="20"/>
                <w:lang w:val="en-US"/>
              </w:rPr>
              <w:lastRenderedPageBreak/>
              <w:t>Platforms for 2014 elections developed and disseminated</w:t>
            </w:r>
          </w:p>
        </w:tc>
        <w:tc>
          <w:tcPr>
            <w:tcW w:w="563" w:type="pct"/>
            <w:shd w:val="clear" w:color="auto" w:fill="FFE599"/>
          </w:tcPr>
          <w:p w14:paraId="5FA7C126" w14:textId="77777777" w:rsidR="00045FB4" w:rsidRPr="007D425D" w:rsidRDefault="00045FB4" w:rsidP="007D425D">
            <w:pPr>
              <w:spacing w:after="0"/>
              <w:jc w:val="left"/>
              <w:rPr>
                <w:rFonts w:eastAsia="Calibri" w:cs="Arial"/>
                <w:sz w:val="20"/>
                <w:szCs w:val="20"/>
                <w:lang w:val="en-US"/>
              </w:rPr>
            </w:pPr>
            <w:r w:rsidRPr="007D425D">
              <w:rPr>
                <w:rFonts w:eastAsia="Calibri" w:cs="Arial"/>
                <w:sz w:val="20"/>
                <w:szCs w:val="20"/>
                <w:lang w:val="en-US"/>
              </w:rPr>
              <w:lastRenderedPageBreak/>
              <w:t xml:space="preserve">Strengthened leadership and technical </w:t>
            </w:r>
            <w:r w:rsidRPr="007D425D">
              <w:rPr>
                <w:rFonts w:eastAsia="Calibri" w:cs="Arial"/>
                <w:sz w:val="20"/>
                <w:szCs w:val="20"/>
                <w:lang w:val="en-US"/>
              </w:rPr>
              <w:lastRenderedPageBreak/>
              <w:t>capacities of the Malawi Human Rights Commission and the Ombudsman to deliver on their human rights mandates effectively</w:t>
            </w:r>
          </w:p>
        </w:tc>
        <w:tc>
          <w:tcPr>
            <w:tcW w:w="563" w:type="pct"/>
            <w:shd w:val="clear" w:color="auto" w:fill="C5E0B3"/>
          </w:tcPr>
          <w:p w14:paraId="41A9B3F6" w14:textId="77777777" w:rsidR="00045FB4" w:rsidRPr="007D425D" w:rsidRDefault="00045FB4" w:rsidP="007D425D">
            <w:pPr>
              <w:spacing w:after="0"/>
              <w:jc w:val="left"/>
              <w:rPr>
                <w:rFonts w:eastAsia="Calibri" w:cs="Arial"/>
                <w:sz w:val="20"/>
                <w:szCs w:val="20"/>
                <w:lang w:val="en-US"/>
              </w:rPr>
            </w:pPr>
            <w:r w:rsidRPr="007D425D">
              <w:rPr>
                <w:rFonts w:eastAsia="Calibri" w:cs="Arial"/>
                <w:sz w:val="20"/>
                <w:szCs w:val="20"/>
                <w:lang w:val="en-US"/>
              </w:rPr>
              <w:lastRenderedPageBreak/>
              <w:t xml:space="preserve">Potentially violent disputes resolved </w:t>
            </w:r>
            <w:r w:rsidRPr="007D425D">
              <w:rPr>
                <w:rFonts w:eastAsia="Calibri" w:cs="Arial"/>
                <w:sz w:val="20"/>
                <w:szCs w:val="20"/>
                <w:lang w:val="en-US"/>
              </w:rPr>
              <w:lastRenderedPageBreak/>
              <w:t>through mediation, and consensus on key national priorities reached, through facilitation and advocacy by the Public Affairs Committee</w:t>
            </w:r>
          </w:p>
        </w:tc>
        <w:tc>
          <w:tcPr>
            <w:tcW w:w="563" w:type="pct"/>
            <w:gridSpan w:val="2"/>
            <w:shd w:val="clear" w:color="auto" w:fill="FFFFFF"/>
          </w:tcPr>
          <w:p w14:paraId="2669B717" w14:textId="77777777" w:rsidR="00045FB4" w:rsidRPr="007D425D" w:rsidRDefault="00045FB4" w:rsidP="007D425D">
            <w:pPr>
              <w:spacing w:after="0"/>
              <w:jc w:val="left"/>
              <w:rPr>
                <w:rFonts w:eastAsia="Calibri" w:cs="Arial"/>
                <w:sz w:val="20"/>
                <w:szCs w:val="20"/>
                <w:lang w:val="en-US"/>
              </w:rPr>
            </w:pPr>
            <w:r w:rsidRPr="007D425D">
              <w:rPr>
                <w:rFonts w:eastAsia="Calibri" w:cs="Arial"/>
                <w:sz w:val="20"/>
                <w:szCs w:val="20"/>
                <w:lang w:val="en-US"/>
              </w:rPr>
              <w:lastRenderedPageBreak/>
              <w:t xml:space="preserve">Campaign management capacity and </w:t>
            </w:r>
            <w:r w:rsidRPr="007D425D">
              <w:rPr>
                <w:rFonts w:eastAsia="Calibri" w:cs="Arial"/>
                <w:sz w:val="20"/>
                <w:szCs w:val="20"/>
                <w:lang w:val="en-US"/>
              </w:rPr>
              <w:lastRenderedPageBreak/>
              <w:t xml:space="preserve">skills of nominated female candidates for parliament and local councils strengthened. </w:t>
            </w:r>
          </w:p>
          <w:p w14:paraId="40A1B536" w14:textId="77777777" w:rsidR="00045FB4" w:rsidRPr="007D425D" w:rsidRDefault="00045FB4" w:rsidP="007D425D">
            <w:pPr>
              <w:spacing w:after="0"/>
              <w:jc w:val="left"/>
              <w:rPr>
                <w:rFonts w:eastAsia="Calibri" w:cs="Arial"/>
                <w:sz w:val="20"/>
                <w:szCs w:val="20"/>
                <w:lang w:val="en-US"/>
              </w:rPr>
            </w:pPr>
          </w:p>
        </w:tc>
        <w:tc>
          <w:tcPr>
            <w:tcW w:w="563" w:type="pct"/>
            <w:shd w:val="clear" w:color="auto" w:fill="C5E0B3"/>
          </w:tcPr>
          <w:p w14:paraId="16B1B9E1" w14:textId="77777777" w:rsidR="00045FB4" w:rsidRPr="007D425D" w:rsidRDefault="00045FB4" w:rsidP="007D425D">
            <w:pPr>
              <w:spacing w:after="0"/>
              <w:jc w:val="left"/>
              <w:rPr>
                <w:rFonts w:eastAsia="Calibri" w:cs="Arial"/>
                <w:sz w:val="20"/>
                <w:szCs w:val="20"/>
                <w:lang w:val="en-US"/>
              </w:rPr>
            </w:pPr>
            <w:r w:rsidRPr="007D425D">
              <w:rPr>
                <w:rFonts w:eastAsia="Calibri" w:cs="Arial"/>
                <w:sz w:val="20"/>
                <w:szCs w:val="20"/>
                <w:lang w:val="en-US"/>
              </w:rPr>
              <w:lastRenderedPageBreak/>
              <w:t xml:space="preserve">At least 70% of Group Villages in 28 districts </w:t>
            </w:r>
            <w:r w:rsidRPr="007D425D">
              <w:rPr>
                <w:rFonts w:eastAsia="Calibri" w:cs="Arial"/>
                <w:sz w:val="20"/>
                <w:szCs w:val="20"/>
                <w:lang w:val="en-US"/>
              </w:rPr>
              <w:lastRenderedPageBreak/>
              <w:t>demanding fair labour practices and markets and consumer protection.</w:t>
            </w:r>
          </w:p>
        </w:tc>
        <w:tc>
          <w:tcPr>
            <w:tcW w:w="563" w:type="pct"/>
            <w:shd w:val="clear" w:color="auto" w:fill="FFE599"/>
          </w:tcPr>
          <w:p w14:paraId="3B349760" w14:textId="77777777" w:rsidR="00045FB4" w:rsidRPr="007D425D" w:rsidRDefault="00045FB4" w:rsidP="007D425D">
            <w:pPr>
              <w:spacing w:after="0"/>
              <w:jc w:val="left"/>
              <w:rPr>
                <w:rFonts w:eastAsia="Calibri" w:cs="Arial"/>
                <w:sz w:val="20"/>
                <w:szCs w:val="20"/>
                <w:lang w:val="en-US"/>
              </w:rPr>
            </w:pPr>
            <w:r w:rsidRPr="007D425D">
              <w:rPr>
                <w:rFonts w:eastAsia="Calibri" w:cs="Arial"/>
                <w:sz w:val="20"/>
                <w:szCs w:val="20"/>
                <w:lang w:val="en-US"/>
              </w:rPr>
              <w:lastRenderedPageBreak/>
              <w:t xml:space="preserve">MoLGRD strengthened to </w:t>
            </w:r>
            <w:r w:rsidRPr="007D425D">
              <w:rPr>
                <w:rFonts w:eastAsia="Calibri" w:cs="Arial"/>
                <w:sz w:val="20"/>
                <w:szCs w:val="20"/>
                <w:lang w:val="en-US"/>
              </w:rPr>
              <w:lastRenderedPageBreak/>
              <w:t>manage IRD interventions</w:t>
            </w:r>
          </w:p>
        </w:tc>
      </w:tr>
      <w:tr w:rsidR="009D7BFA" w:rsidRPr="00F72B0D" w14:paraId="00990046" w14:textId="77777777" w:rsidTr="007D425D">
        <w:trPr>
          <w:cantSplit/>
        </w:trPr>
        <w:tc>
          <w:tcPr>
            <w:tcW w:w="496" w:type="pct"/>
            <w:vAlign w:val="center"/>
          </w:tcPr>
          <w:p w14:paraId="740323F5" w14:textId="77777777" w:rsidR="00045FB4" w:rsidRPr="007D425D" w:rsidRDefault="00045FB4" w:rsidP="007D425D">
            <w:pPr>
              <w:spacing w:after="0"/>
              <w:jc w:val="center"/>
              <w:rPr>
                <w:rFonts w:eastAsia="Calibri" w:cs="Arial"/>
                <w:b/>
                <w:sz w:val="20"/>
                <w:szCs w:val="20"/>
              </w:rPr>
            </w:pPr>
            <w:r w:rsidRPr="007D425D">
              <w:rPr>
                <w:rFonts w:eastAsia="Calibri" w:cs="Arial"/>
                <w:b/>
                <w:sz w:val="20"/>
                <w:szCs w:val="20"/>
              </w:rPr>
              <w:lastRenderedPageBreak/>
              <w:t>Project Output 3</w:t>
            </w:r>
          </w:p>
        </w:tc>
        <w:tc>
          <w:tcPr>
            <w:tcW w:w="563" w:type="pct"/>
            <w:shd w:val="clear" w:color="auto" w:fill="C5E0B3"/>
          </w:tcPr>
          <w:p w14:paraId="37875CD3" w14:textId="77777777" w:rsidR="00045FB4" w:rsidRPr="007D425D" w:rsidRDefault="00045FB4" w:rsidP="007D425D">
            <w:pPr>
              <w:spacing w:after="0"/>
              <w:jc w:val="left"/>
              <w:rPr>
                <w:rFonts w:eastAsia="Calibri" w:cs="Arial"/>
                <w:sz w:val="20"/>
                <w:szCs w:val="20"/>
                <w:lang w:val="en-US"/>
              </w:rPr>
            </w:pPr>
            <w:r w:rsidRPr="007D425D">
              <w:rPr>
                <w:rFonts w:eastAsia="Calibri" w:cs="Arial"/>
                <w:sz w:val="20"/>
                <w:szCs w:val="20"/>
                <w:lang w:val="en-US"/>
              </w:rPr>
              <w:t>Organisation and management of elections enhanced</w:t>
            </w:r>
          </w:p>
        </w:tc>
        <w:tc>
          <w:tcPr>
            <w:tcW w:w="563" w:type="pct"/>
            <w:shd w:val="clear" w:color="auto" w:fill="FFE599"/>
          </w:tcPr>
          <w:p w14:paraId="5F00D701" w14:textId="317AE8AE" w:rsidR="00045FB4" w:rsidRPr="007D425D" w:rsidRDefault="00045FB4" w:rsidP="007D425D">
            <w:pPr>
              <w:spacing w:after="0"/>
              <w:jc w:val="left"/>
              <w:rPr>
                <w:rFonts w:eastAsia="Calibri" w:cs="Arial"/>
                <w:sz w:val="20"/>
                <w:szCs w:val="20"/>
                <w:lang w:val="en-US"/>
              </w:rPr>
            </w:pPr>
            <w:r w:rsidRPr="007D425D">
              <w:rPr>
                <w:rFonts w:eastAsia="Calibri" w:cs="Arial"/>
                <w:sz w:val="20"/>
                <w:szCs w:val="20"/>
                <w:lang w:val="en-US"/>
              </w:rPr>
              <w:t xml:space="preserve">DG Sector coordination mechanisms </w:t>
            </w:r>
            <w:r w:rsidR="003F4020" w:rsidRPr="007D425D">
              <w:rPr>
                <w:rFonts w:eastAsia="Calibri" w:cs="Arial"/>
                <w:sz w:val="20"/>
                <w:szCs w:val="20"/>
                <w:lang w:val="en-US"/>
              </w:rPr>
              <w:t>operationali</w:t>
            </w:r>
            <w:r w:rsidR="003F4020">
              <w:rPr>
                <w:rFonts w:eastAsia="Calibri" w:cs="Arial"/>
                <w:sz w:val="20"/>
                <w:szCs w:val="20"/>
                <w:lang w:val="en-US"/>
              </w:rPr>
              <w:t>z</w:t>
            </w:r>
            <w:r w:rsidR="003F4020" w:rsidRPr="007D425D">
              <w:rPr>
                <w:rFonts w:eastAsia="Calibri" w:cs="Arial"/>
                <w:sz w:val="20"/>
                <w:szCs w:val="20"/>
                <w:lang w:val="en-US"/>
              </w:rPr>
              <w:t>ed</w:t>
            </w:r>
          </w:p>
        </w:tc>
        <w:tc>
          <w:tcPr>
            <w:tcW w:w="563" w:type="pct"/>
            <w:gridSpan w:val="2"/>
            <w:shd w:val="clear" w:color="auto" w:fill="FFE599"/>
          </w:tcPr>
          <w:p w14:paraId="3E451EB9" w14:textId="77777777" w:rsidR="00045FB4" w:rsidRPr="007D425D" w:rsidRDefault="00045FB4" w:rsidP="007D425D">
            <w:pPr>
              <w:spacing w:after="0"/>
              <w:jc w:val="left"/>
              <w:rPr>
                <w:rFonts w:eastAsia="Calibri" w:cs="Arial"/>
                <w:sz w:val="20"/>
                <w:szCs w:val="20"/>
                <w:lang w:val="en-US"/>
              </w:rPr>
            </w:pPr>
            <w:r w:rsidRPr="007D425D">
              <w:rPr>
                <w:rFonts w:eastAsia="Calibri" w:cs="Arial"/>
                <w:sz w:val="20"/>
                <w:szCs w:val="20"/>
                <w:lang w:val="en-US"/>
              </w:rPr>
              <w:t>Governance/organizational structure for political parties developed to foster transparency and accountability</w:t>
            </w:r>
          </w:p>
        </w:tc>
        <w:tc>
          <w:tcPr>
            <w:tcW w:w="563" w:type="pct"/>
            <w:shd w:val="clear" w:color="auto" w:fill="C5E0B3"/>
          </w:tcPr>
          <w:p w14:paraId="7CB8857B" w14:textId="77777777" w:rsidR="00045FB4" w:rsidRPr="007D425D" w:rsidRDefault="00045FB4" w:rsidP="007D425D">
            <w:pPr>
              <w:spacing w:after="0"/>
              <w:jc w:val="left"/>
              <w:rPr>
                <w:rFonts w:eastAsia="Calibri" w:cs="Arial"/>
                <w:sz w:val="20"/>
                <w:szCs w:val="20"/>
                <w:lang w:val="en-US"/>
              </w:rPr>
            </w:pPr>
            <w:r w:rsidRPr="007D425D">
              <w:rPr>
                <w:rFonts w:eastAsia="Calibri" w:cs="Arial"/>
                <w:sz w:val="20"/>
                <w:szCs w:val="20"/>
                <w:lang w:val="en-US"/>
              </w:rPr>
              <w:t>Enhanced engagement in the state party reporting and UPR in a participatory and consultative manner</w:t>
            </w:r>
          </w:p>
        </w:tc>
        <w:tc>
          <w:tcPr>
            <w:tcW w:w="563" w:type="pct"/>
            <w:shd w:val="clear" w:color="auto" w:fill="C5E0B3"/>
          </w:tcPr>
          <w:p w14:paraId="4DE5BD90" w14:textId="77777777" w:rsidR="00045FB4" w:rsidRPr="007D425D" w:rsidRDefault="00045FB4" w:rsidP="007D425D">
            <w:pPr>
              <w:spacing w:after="0"/>
              <w:jc w:val="left"/>
              <w:rPr>
                <w:rFonts w:eastAsia="Calibri" w:cs="Arial"/>
                <w:sz w:val="20"/>
                <w:szCs w:val="20"/>
                <w:lang w:val="en-US"/>
              </w:rPr>
            </w:pPr>
            <w:r w:rsidRPr="007D425D">
              <w:rPr>
                <w:rFonts w:eastAsia="Calibri" w:cs="Arial"/>
                <w:sz w:val="20"/>
                <w:szCs w:val="20"/>
                <w:lang w:val="en-US"/>
              </w:rPr>
              <w:t>Civic capacities for conflict prevention extended and applied through development of conflict-and-gender-sensitive reporting by media, and through the enhancement of the capabilities of women’s networks for conflict resolution and for advocacy for peace</w:t>
            </w:r>
          </w:p>
        </w:tc>
        <w:tc>
          <w:tcPr>
            <w:tcW w:w="563" w:type="pct"/>
            <w:gridSpan w:val="2"/>
            <w:shd w:val="clear" w:color="auto" w:fill="FFFFFF"/>
          </w:tcPr>
          <w:p w14:paraId="01A61D26" w14:textId="77777777" w:rsidR="00045FB4" w:rsidRPr="007D425D" w:rsidRDefault="00045FB4" w:rsidP="007D425D">
            <w:pPr>
              <w:spacing w:after="0"/>
              <w:jc w:val="left"/>
              <w:rPr>
                <w:rFonts w:eastAsia="Calibri" w:cs="Arial"/>
                <w:sz w:val="20"/>
                <w:szCs w:val="20"/>
                <w:lang w:val="en-US"/>
              </w:rPr>
            </w:pPr>
            <w:r w:rsidRPr="007D425D">
              <w:rPr>
                <w:rFonts w:eastAsia="Calibri" w:cs="Arial"/>
                <w:sz w:val="20"/>
                <w:szCs w:val="20"/>
                <w:lang w:val="en-US"/>
              </w:rPr>
              <w:t xml:space="preserve">Women and Youth Wings of Political Parties reformed to promote gender equality and women empowerment. </w:t>
            </w:r>
          </w:p>
          <w:p w14:paraId="5CB8FA7E" w14:textId="77777777" w:rsidR="00045FB4" w:rsidRPr="007D425D" w:rsidRDefault="00045FB4" w:rsidP="007D425D">
            <w:pPr>
              <w:spacing w:after="0"/>
              <w:jc w:val="left"/>
              <w:rPr>
                <w:rFonts w:eastAsia="Calibri" w:cs="Arial"/>
                <w:sz w:val="20"/>
                <w:szCs w:val="20"/>
                <w:lang w:val="en-US"/>
              </w:rPr>
            </w:pPr>
          </w:p>
        </w:tc>
        <w:tc>
          <w:tcPr>
            <w:tcW w:w="563" w:type="pct"/>
            <w:shd w:val="clear" w:color="auto" w:fill="FFE599"/>
          </w:tcPr>
          <w:p w14:paraId="3F6E9CC0" w14:textId="77777777" w:rsidR="00045FB4" w:rsidRPr="007D425D" w:rsidRDefault="00045FB4" w:rsidP="007D425D">
            <w:pPr>
              <w:spacing w:after="0"/>
              <w:jc w:val="left"/>
              <w:rPr>
                <w:rFonts w:eastAsia="Calibri" w:cs="Arial"/>
                <w:sz w:val="20"/>
                <w:szCs w:val="20"/>
                <w:lang w:val="en-US"/>
              </w:rPr>
            </w:pPr>
            <w:r w:rsidRPr="007D425D">
              <w:rPr>
                <w:rFonts w:eastAsia="Calibri" w:cs="Arial"/>
                <w:sz w:val="20"/>
                <w:szCs w:val="20"/>
                <w:lang w:val="en-US"/>
              </w:rPr>
              <w:t>Community members facilitating voter education for the right to development and good governance.</w:t>
            </w:r>
          </w:p>
        </w:tc>
        <w:tc>
          <w:tcPr>
            <w:tcW w:w="563" w:type="pct"/>
            <w:shd w:val="clear" w:color="auto" w:fill="FFE599"/>
          </w:tcPr>
          <w:p w14:paraId="1180430D" w14:textId="77777777" w:rsidR="00045FB4" w:rsidRPr="007D425D" w:rsidRDefault="00045FB4" w:rsidP="007D425D">
            <w:pPr>
              <w:spacing w:after="0"/>
              <w:jc w:val="left"/>
              <w:rPr>
                <w:rFonts w:eastAsia="Calibri" w:cs="Arial"/>
                <w:sz w:val="20"/>
                <w:szCs w:val="20"/>
                <w:lang w:val="en-US"/>
              </w:rPr>
            </w:pPr>
            <w:r w:rsidRPr="007D425D">
              <w:rPr>
                <w:rFonts w:eastAsia="Calibri" w:cs="Arial"/>
                <w:sz w:val="20"/>
                <w:szCs w:val="20"/>
                <w:lang w:val="en-US"/>
              </w:rPr>
              <w:t>Formulation of national programme for strengthening local governance and promoting integrated rural development supported</w:t>
            </w:r>
          </w:p>
        </w:tc>
      </w:tr>
      <w:tr w:rsidR="009D7BFA" w:rsidRPr="00F72B0D" w14:paraId="78DCB2B7" w14:textId="77777777" w:rsidTr="007D425D">
        <w:trPr>
          <w:cantSplit/>
        </w:trPr>
        <w:tc>
          <w:tcPr>
            <w:tcW w:w="496" w:type="pct"/>
            <w:vAlign w:val="center"/>
          </w:tcPr>
          <w:p w14:paraId="08AC39E7" w14:textId="77777777" w:rsidR="00045FB4" w:rsidRPr="007D425D" w:rsidRDefault="00045FB4" w:rsidP="007D425D">
            <w:pPr>
              <w:spacing w:after="0"/>
              <w:jc w:val="center"/>
              <w:rPr>
                <w:rFonts w:eastAsia="Calibri" w:cs="Arial"/>
                <w:b/>
                <w:sz w:val="20"/>
                <w:szCs w:val="20"/>
              </w:rPr>
            </w:pPr>
            <w:r w:rsidRPr="007D425D">
              <w:rPr>
                <w:rFonts w:eastAsia="Calibri" w:cs="Arial"/>
                <w:b/>
                <w:sz w:val="20"/>
                <w:szCs w:val="20"/>
              </w:rPr>
              <w:t>Project Output 4</w:t>
            </w:r>
          </w:p>
        </w:tc>
        <w:tc>
          <w:tcPr>
            <w:tcW w:w="563" w:type="pct"/>
            <w:shd w:val="clear" w:color="auto" w:fill="C5E0B3"/>
          </w:tcPr>
          <w:p w14:paraId="5235F66F" w14:textId="77777777" w:rsidR="00045FB4" w:rsidRPr="007D425D" w:rsidRDefault="00045FB4" w:rsidP="007D425D">
            <w:pPr>
              <w:spacing w:after="0"/>
              <w:jc w:val="left"/>
              <w:rPr>
                <w:rFonts w:eastAsia="Calibri" w:cs="Arial"/>
                <w:sz w:val="20"/>
                <w:szCs w:val="20"/>
                <w:lang w:val="en-US"/>
              </w:rPr>
            </w:pPr>
            <w:r w:rsidRPr="007D425D">
              <w:rPr>
                <w:rFonts w:eastAsia="Calibri" w:cs="Arial"/>
                <w:sz w:val="20"/>
                <w:szCs w:val="20"/>
                <w:lang w:val="en-US"/>
              </w:rPr>
              <w:t>Effective and efficient management, partnership formation and monitoring and evaluation of the project</w:t>
            </w:r>
          </w:p>
        </w:tc>
        <w:tc>
          <w:tcPr>
            <w:tcW w:w="563" w:type="pct"/>
            <w:shd w:val="clear" w:color="auto" w:fill="FFE599"/>
          </w:tcPr>
          <w:p w14:paraId="7B3BE968" w14:textId="77777777" w:rsidR="00045FB4" w:rsidRPr="007D425D" w:rsidRDefault="00045FB4" w:rsidP="007D425D">
            <w:pPr>
              <w:spacing w:after="0"/>
              <w:jc w:val="left"/>
              <w:rPr>
                <w:rFonts w:eastAsia="Calibri" w:cs="Arial"/>
                <w:sz w:val="20"/>
                <w:szCs w:val="20"/>
                <w:lang w:val="en-US"/>
              </w:rPr>
            </w:pPr>
            <w:r w:rsidRPr="007D425D">
              <w:rPr>
                <w:rFonts w:eastAsia="Calibri" w:cs="Arial"/>
                <w:sz w:val="20"/>
                <w:szCs w:val="20"/>
                <w:lang w:val="en-US"/>
              </w:rPr>
              <w:t xml:space="preserve">Effective and efficient management, partnership formation and monitoring and evaluation of the project </w:t>
            </w:r>
          </w:p>
        </w:tc>
        <w:tc>
          <w:tcPr>
            <w:tcW w:w="563" w:type="pct"/>
            <w:gridSpan w:val="2"/>
            <w:shd w:val="clear" w:color="auto" w:fill="C5E0B3"/>
          </w:tcPr>
          <w:p w14:paraId="447644A6" w14:textId="77777777" w:rsidR="00045FB4" w:rsidRPr="007D425D" w:rsidRDefault="00045FB4" w:rsidP="007D425D">
            <w:pPr>
              <w:spacing w:after="0"/>
              <w:jc w:val="left"/>
              <w:rPr>
                <w:rFonts w:eastAsia="Calibri" w:cs="Arial"/>
                <w:sz w:val="20"/>
                <w:szCs w:val="20"/>
                <w:lang w:val="en-US"/>
              </w:rPr>
            </w:pPr>
            <w:r w:rsidRPr="007D425D">
              <w:rPr>
                <w:rFonts w:eastAsia="Calibri" w:cs="Arial"/>
                <w:sz w:val="20"/>
                <w:szCs w:val="20"/>
                <w:lang w:val="en-US"/>
              </w:rPr>
              <w:t xml:space="preserve">Platform for inter-party dialogue strengthened to promote transparency and accountability as well as enhance </w:t>
            </w:r>
            <w:r w:rsidRPr="007D425D">
              <w:rPr>
                <w:rFonts w:eastAsia="Calibri" w:cs="Arial"/>
                <w:sz w:val="20"/>
                <w:szCs w:val="20"/>
                <w:lang w:val="en-US"/>
              </w:rPr>
              <w:lastRenderedPageBreak/>
              <w:t>credibility and legitimacy of political parties at all levels</w:t>
            </w:r>
          </w:p>
        </w:tc>
        <w:tc>
          <w:tcPr>
            <w:tcW w:w="563" w:type="pct"/>
            <w:shd w:val="clear" w:color="auto" w:fill="C5E0B3"/>
          </w:tcPr>
          <w:p w14:paraId="0834768A" w14:textId="533D3A72" w:rsidR="00045FB4" w:rsidRPr="007D425D" w:rsidRDefault="00045FB4" w:rsidP="007D425D">
            <w:pPr>
              <w:spacing w:after="0"/>
              <w:jc w:val="left"/>
              <w:rPr>
                <w:rFonts w:eastAsia="Calibri" w:cs="Arial"/>
                <w:sz w:val="20"/>
                <w:szCs w:val="20"/>
                <w:lang w:val="en-US"/>
              </w:rPr>
            </w:pPr>
            <w:r w:rsidRPr="007D425D">
              <w:rPr>
                <w:rFonts w:eastAsia="Calibri" w:cs="Arial"/>
                <w:sz w:val="20"/>
                <w:szCs w:val="20"/>
                <w:lang w:val="en-US"/>
              </w:rPr>
              <w:lastRenderedPageBreak/>
              <w:t xml:space="preserve">Strengthened partnership between Malawi Human Rights Commission and Non-State actors on human rights through </w:t>
            </w:r>
            <w:r w:rsidRPr="007D425D">
              <w:rPr>
                <w:rFonts w:eastAsia="Calibri" w:cs="Arial"/>
                <w:sz w:val="20"/>
                <w:szCs w:val="20"/>
                <w:lang w:val="en-US"/>
              </w:rPr>
              <w:lastRenderedPageBreak/>
              <w:t xml:space="preserve">establishment and </w:t>
            </w:r>
            <w:r w:rsidR="003F4020" w:rsidRPr="007D425D">
              <w:rPr>
                <w:rFonts w:eastAsia="Calibri" w:cs="Arial"/>
                <w:sz w:val="20"/>
                <w:szCs w:val="20"/>
                <w:lang w:val="en-US"/>
              </w:rPr>
              <w:t>institutionalization</w:t>
            </w:r>
            <w:r w:rsidRPr="007D425D">
              <w:rPr>
                <w:rFonts w:eastAsia="Calibri" w:cs="Arial"/>
                <w:sz w:val="20"/>
                <w:szCs w:val="20"/>
                <w:lang w:val="en-US"/>
              </w:rPr>
              <w:t xml:space="preserve"> of an interface platform mechanism</w:t>
            </w:r>
          </w:p>
        </w:tc>
        <w:tc>
          <w:tcPr>
            <w:tcW w:w="563" w:type="pct"/>
            <w:shd w:val="clear" w:color="auto" w:fill="C5E0B3"/>
          </w:tcPr>
          <w:p w14:paraId="5FB444A1" w14:textId="77777777" w:rsidR="00045FB4" w:rsidRPr="007D425D" w:rsidRDefault="00045FB4" w:rsidP="007D425D">
            <w:pPr>
              <w:spacing w:after="0"/>
              <w:jc w:val="left"/>
              <w:rPr>
                <w:rFonts w:eastAsia="Calibri" w:cs="Arial"/>
                <w:sz w:val="20"/>
                <w:szCs w:val="20"/>
                <w:lang w:val="en-US"/>
              </w:rPr>
            </w:pPr>
            <w:r w:rsidRPr="007D425D">
              <w:rPr>
                <w:rFonts w:eastAsia="Calibri" w:cs="Arial"/>
                <w:sz w:val="20"/>
                <w:szCs w:val="20"/>
                <w:lang w:val="en-US"/>
              </w:rPr>
              <w:lastRenderedPageBreak/>
              <w:t>Programme management and support capacities acquired and implemented</w:t>
            </w:r>
          </w:p>
        </w:tc>
        <w:tc>
          <w:tcPr>
            <w:tcW w:w="563" w:type="pct"/>
            <w:gridSpan w:val="2"/>
            <w:shd w:val="clear" w:color="auto" w:fill="FFFFFF"/>
          </w:tcPr>
          <w:p w14:paraId="21B9ACAE" w14:textId="77777777" w:rsidR="00045FB4" w:rsidRPr="007D425D" w:rsidRDefault="00045FB4" w:rsidP="007D425D">
            <w:pPr>
              <w:spacing w:after="0"/>
              <w:jc w:val="left"/>
              <w:rPr>
                <w:rFonts w:eastAsia="Calibri" w:cs="Arial"/>
                <w:sz w:val="20"/>
                <w:szCs w:val="20"/>
                <w:lang w:val="en-US"/>
              </w:rPr>
            </w:pPr>
            <w:r w:rsidRPr="007D425D">
              <w:rPr>
                <w:rFonts w:eastAsia="Calibri" w:cs="Arial"/>
                <w:sz w:val="20"/>
                <w:szCs w:val="20"/>
                <w:lang w:val="en-US"/>
              </w:rPr>
              <w:t xml:space="preserve">Capacity of non-state actors to enhance the voice and civic engagement of women and female youth in politics strengthened. </w:t>
            </w:r>
          </w:p>
          <w:p w14:paraId="6B226108" w14:textId="77777777" w:rsidR="00045FB4" w:rsidRPr="007D425D" w:rsidRDefault="00045FB4" w:rsidP="007D425D">
            <w:pPr>
              <w:spacing w:after="0"/>
              <w:jc w:val="left"/>
              <w:rPr>
                <w:rFonts w:eastAsia="Calibri" w:cs="Arial"/>
                <w:sz w:val="20"/>
                <w:szCs w:val="20"/>
                <w:lang w:val="en-US"/>
              </w:rPr>
            </w:pPr>
          </w:p>
        </w:tc>
        <w:tc>
          <w:tcPr>
            <w:tcW w:w="563" w:type="pct"/>
            <w:shd w:val="clear" w:color="auto" w:fill="C5E0B3"/>
          </w:tcPr>
          <w:p w14:paraId="20F1573C" w14:textId="77777777" w:rsidR="00045FB4" w:rsidRPr="007D425D" w:rsidRDefault="00045FB4" w:rsidP="007D425D">
            <w:pPr>
              <w:spacing w:after="0"/>
              <w:jc w:val="left"/>
              <w:rPr>
                <w:rFonts w:eastAsia="Calibri" w:cs="Arial"/>
                <w:sz w:val="20"/>
                <w:szCs w:val="20"/>
                <w:lang w:val="en-US"/>
              </w:rPr>
            </w:pPr>
            <w:r w:rsidRPr="007D425D">
              <w:rPr>
                <w:rFonts w:eastAsia="Calibri" w:cs="Arial"/>
                <w:sz w:val="20"/>
                <w:szCs w:val="20"/>
                <w:lang w:val="en-US"/>
              </w:rPr>
              <w:lastRenderedPageBreak/>
              <w:t>Effective and efficient management, partnership formation and monitoring and evaluation of the Programme.</w:t>
            </w:r>
          </w:p>
          <w:p w14:paraId="65AC5EDA" w14:textId="77777777" w:rsidR="00045FB4" w:rsidRPr="007D425D" w:rsidRDefault="00045FB4" w:rsidP="007D425D">
            <w:pPr>
              <w:spacing w:after="0"/>
              <w:jc w:val="left"/>
              <w:rPr>
                <w:rFonts w:eastAsia="Calibri" w:cs="Arial"/>
                <w:sz w:val="20"/>
                <w:szCs w:val="20"/>
                <w:lang w:val="en-US"/>
              </w:rPr>
            </w:pPr>
          </w:p>
        </w:tc>
        <w:tc>
          <w:tcPr>
            <w:tcW w:w="563" w:type="pct"/>
          </w:tcPr>
          <w:p w14:paraId="20BFCB08" w14:textId="77777777" w:rsidR="00045FB4" w:rsidRPr="007D425D" w:rsidRDefault="00045FB4" w:rsidP="007D425D">
            <w:pPr>
              <w:spacing w:after="0"/>
              <w:jc w:val="left"/>
              <w:rPr>
                <w:rFonts w:eastAsia="Calibri" w:cs="Arial"/>
                <w:sz w:val="20"/>
                <w:szCs w:val="20"/>
                <w:lang w:val="en-US"/>
              </w:rPr>
            </w:pPr>
          </w:p>
        </w:tc>
      </w:tr>
      <w:tr w:rsidR="009D7BFA" w:rsidRPr="00F72B0D" w14:paraId="0CAF9624" w14:textId="77777777" w:rsidTr="007D425D">
        <w:trPr>
          <w:cantSplit/>
        </w:trPr>
        <w:tc>
          <w:tcPr>
            <w:tcW w:w="496" w:type="pct"/>
            <w:vAlign w:val="center"/>
          </w:tcPr>
          <w:p w14:paraId="45C11B41" w14:textId="77777777" w:rsidR="00045FB4" w:rsidRPr="007D425D" w:rsidRDefault="00045FB4" w:rsidP="007D425D">
            <w:pPr>
              <w:spacing w:after="0"/>
              <w:jc w:val="center"/>
              <w:rPr>
                <w:rFonts w:eastAsia="Calibri" w:cs="Arial"/>
                <w:b/>
                <w:sz w:val="20"/>
                <w:szCs w:val="20"/>
              </w:rPr>
            </w:pPr>
            <w:r w:rsidRPr="007D425D">
              <w:rPr>
                <w:rFonts w:eastAsia="Calibri" w:cs="Arial"/>
                <w:b/>
                <w:sz w:val="20"/>
                <w:szCs w:val="20"/>
              </w:rPr>
              <w:lastRenderedPageBreak/>
              <w:t>Project Output 5</w:t>
            </w:r>
          </w:p>
        </w:tc>
        <w:tc>
          <w:tcPr>
            <w:tcW w:w="563" w:type="pct"/>
          </w:tcPr>
          <w:p w14:paraId="1C3F615C" w14:textId="77777777" w:rsidR="00045FB4" w:rsidRPr="007D425D" w:rsidRDefault="00045FB4" w:rsidP="007D425D">
            <w:pPr>
              <w:spacing w:after="0"/>
              <w:jc w:val="center"/>
              <w:rPr>
                <w:rFonts w:eastAsia="Calibri" w:cs="Arial"/>
                <w:sz w:val="20"/>
                <w:szCs w:val="20"/>
              </w:rPr>
            </w:pPr>
          </w:p>
        </w:tc>
        <w:tc>
          <w:tcPr>
            <w:tcW w:w="563" w:type="pct"/>
          </w:tcPr>
          <w:p w14:paraId="4686CA9B" w14:textId="77777777" w:rsidR="00045FB4" w:rsidRPr="007D425D" w:rsidRDefault="00045FB4" w:rsidP="007D425D">
            <w:pPr>
              <w:spacing w:after="0"/>
              <w:jc w:val="center"/>
              <w:rPr>
                <w:rFonts w:eastAsia="Calibri" w:cs="Arial"/>
                <w:sz w:val="20"/>
                <w:szCs w:val="20"/>
              </w:rPr>
            </w:pPr>
          </w:p>
        </w:tc>
        <w:tc>
          <w:tcPr>
            <w:tcW w:w="563" w:type="pct"/>
            <w:gridSpan w:val="2"/>
            <w:shd w:val="clear" w:color="auto" w:fill="C5E0B3"/>
          </w:tcPr>
          <w:p w14:paraId="3C178163" w14:textId="77777777" w:rsidR="00045FB4" w:rsidRPr="007D425D" w:rsidRDefault="00045FB4" w:rsidP="007D425D">
            <w:pPr>
              <w:spacing w:after="0"/>
              <w:jc w:val="left"/>
              <w:rPr>
                <w:rFonts w:eastAsia="Calibri" w:cs="Arial"/>
                <w:sz w:val="20"/>
                <w:szCs w:val="20"/>
                <w:lang w:val="en-US"/>
              </w:rPr>
            </w:pPr>
            <w:r w:rsidRPr="007D425D">
              <w:rPr>
                <w:rFonts w:eastAsia="Calibri" w:cs="Arial"/>
                <w:sz w:val="20"/>
                <w:szCs w:val="20"/>
                <w:lang w:val="en-US"/>
              </w:rPr>
              <w:t>Effective and efficient management, partnership development and monitoring and evaluation of the project</w:t>
            </w:r>
          </w:p>
        </w:tc>
        <w:tc>
          <w:tcPr>
            <w:tcW w:w="563" w:type="pct"/>
            <w:shd w:val="clear" w:color="auto" w:fill="C5E0B3"/>
          </w:tcPr>
          <w:p w14:paraId="6CCB8E13" w14:textId="77777777" w:rsidR="00045FB4" w:rsidRPr="007D425D" w:rsidRDefault="00045FB4" w:rsidP="007D425D">
            <w:pPr>
              <w:spacing w:after="0"/>
              <w:jc w:val="left"/>
              <w:rPr>
                <w:rFonts w:eastAsia="Calibri" w:cs="Arial"/>
                <w:sz w:val="20"/>
                <w:szCs w:val="20"/>
                <w:lang w:val="en-US"/>
              </w:rPr>
            </w:pPr>
            <w:r w:rsidRPr="007D425D">
              <w:rPr>
                <w:rFonts w:eastAsia="Calibri" w:cs="Arial"/>
                <w:sz w:val="20"/>
                <w:szCs w:val="20"/>
                <w:lang w:val="en-US"/>
              </w:rPr>
              <w:t>Effective and efficient management, partnership formation and monitoring and evaluation of the programme</w:t>
            </w:r>
          </w:p>
        </w:tc>
        <w:tc>
          <w:tcPr>
            <w:tcW w:w="563" w:type="pct"/>
          </w:tcPr>
          <w:p w14:paraId="58166A4F" w14:textId="77777777" w:rsidR="00045FB4" w:rsidRPr="007D425D" w:rsidRDefault="00045FB4" w:rsidP="007D425D">
            <w:pPr>
              <w:spacing w:after="0"/>
              <w:jc w:val="left"/>
              <w:rPr>
                <w:rFonts w:eastAsia="Calibri" w:cs="Arial"/>
                <w:sz w:val="20"/>
                <w:szCs w:val="20"/>
                <w:lang w:val="en-US"/>
              </w:rPr>
            </w:pPr>
          </w:p>
        </w:tc>
        <w:tc>
          <w:tcPr>
            <w:tcW w:w="563" w:type="pct"/>
            <w:gridSpan w:val="2"/>
          </w:tcPr>
          <w:p w14:paraId="6EF938D4" w14:textId="77777777" w:rsidR="00045FB4" w:rsidRPr="007D425D" w:rsidRDefault="00045FB4" w:rsidP="007D425D">
            <w:pPr>
              <w:spacing w:after="0"/>
              <w:jc w:val="left"/>
              <w:rPr>
                <w:rFonts w:eastAsia="Calibri" w:cs="Arial"/>
                <w:sz w:val="20"/>
                <w:szCs w:val="20"/>
                <w:lang w:val="en-US"/>
              </w:rPr>
            </w:pPr>
            <w:r w:rsidRPr="007D425D">
              <w:rPr>
                <w:rFonts w:eastAsia="Calibri" w:cs="Arial"/>
                <w:sz w:val="20"/>
                <w:szCs w:val="20"/>
                <w:lang w:val="en-US"/>
              </w:rPr>
              <w:t>Effective and efficient management, partnership formation and monitoring and evaluation of the Programme.</w:t>
            </w:r>
          </w:p>
          <w:p w14:paraId="6A061EF0" w14:textId="77777777" w:rsidR="00045FB4" w:rsidRPr="007D425D" w:rsidRDefault="00045FB4" w:rsidP="007D425D">
            <w:pPr>
              <w:spacing w:after="0"/>
              <w:jc w:val="left"/>
              <w:rPr>
                <w:rFonts w:eastAsia="Calibri" w:cs="Arial"/>
                <w:sz w:val="20"/>
                <w:szCs w:val="20"/>
                <w:lang w:val="en-US"/>
              </w:rPr>
            </w:pPr>
          </w:p>
        </w:tc>
        <w:tc>
          <w:tcPr>
            <w:tcW w:w="563" w:type="pct"/>
          </w:tcPr>
          <w:p w14:paraId="07DDDC32" w14:textId="77777777" w:rsidR="00045FB4" w:rsidRPr="007D425D" w:rsidRDefault="00045FB4" w:rsidP="007D425D">
            <w:pPr>
              <w:spacing w:after="0"/>
              <w:jc w:val="left"/>
              <w:rPr>
                <w:rFonts w:eastAsia="Calibri" w:cs="Arial"/>
                <w:sz w:val="20"/>
                <w:szCs w:val="20"/>
                <w:lang w:val="en-US"/>
              </w:rPr>
            </w:pPr>
          </w:p>
        </w:tc>
        <w:tc>
          <w:tcPr>
            <w:tcW w:w="563" w:type="pct"/>
          </w:tcPr>
          <w:p w14:paraId="65551911" w14:textId="77777777" w:rsidR="00045FB4" w:rsidRPr="007D425D" w:rsidRDefault="00045FB4" w:rsidP="007D425D">
            <w:pPr>
              <w:spacing w:after="0"/>
              <w:jc w:val="left"/>
              <w:rPr>
                <w:rFonts w:eastAsia="Calibri" w:cs="Arial"/>
                <w:sz w:val="20"/>
                <w:szCs w:val="20"/>
                <w:lang w:val="en-US"/>
              </w:rPr>
            </w:pPr>
          </w:p>
        </w:tc>
      </w:tr>
    </w:tbl>
    <w:p w14:paraId="471FAB4F" w14:textId="77777777" w:rsidR="002D7570" w:rsidRPr="00CD56B9" w:rsidRDefault="002D7570" w:rsidP="002D7570">
      <w:pPr>
        <w:jc w:val="center"/>
        <w:rPr>
          <w:rFonts w:eastAsia="Calibri" w:cs="Arial"/>
          <w:b/>
          <w:lang w:val="en-US"/>
        </w:rPr>
      </w:pPr>
    </w:p>
    <w:p w14:paraId="24FBD370" w14:textId="77777777" w:rsidR="002D7570" w:rsidRPr="00CD56B9" w:rsidRDefault="002D7570" w:rsidP="002D7570">
      <w:pPr>
        <w:rPr>
          <w:lang w:val="en-US"/>
        </w:rPr>
      </w:pPr>
    </w:p>
    <w:p w14:paraId="6BEB2C14" w14:textId="77777777" w:rsidR="003D1828" w:rsidRPr="00CD56B9" w:rsidRDefault="003D1828" w:rsidP="003D1828">
      <w:pPr>
        <w:rPr>
          <w:lang w:val="en-US"/>
        </w:rPr>
      </w:pPr>
      <w:r w:rsidRPr="00CD56B9">
        <w:rPr>
          <w:lang w:val="en-US"/>
        </w:rPr>
        <w:t>The performance rating of the outcome achievements is coloured as follows:</w:t>
      </w:r>
    </w:p>
    <w:p w14:paraId="3806E48A" w14:textId="77777777" w:rsidR="003D1828" w:rsidRPr="00CD56B9" w:rsidRDefault="003D1828" w:rsidP="003D1828">
      <w:pPr>
        <w:spacing w:after="0"/>
        <w:rPr>
          <w:lang w:val="en-US"/>
        </w:rPr>
      </w:pPr>
      <w:r w:rsidRPr="00CD56B9">
        <w:rPr>
          <w:lang w:val="en-US"/>
        </w:rPr>
        <w:t xml:space="preserve">• Green: Full output achievement </w:t>
      </w:r>
    </w:p>
    <w:p w14:paraId="7B7A63E9" w14:textId="77777777" w:rsidR="003D1828" w:rsidRPr="00CD56B9" w:rsidRDefault="003D1828" w:rsidP="003D1828">
      <w:pPr>
        <w:spacing w:after="0"/>
        <w:rPr>
          <w:lang w:val="en-US"/>
        </w:rPr>
      </w:pPr>
      <w:r w:rsidRPr="00CD56B9">
        <w:rPr>
          <w:lang w:val="en-US"/>
        </w:rPr>
        <w:t xml:space="preserve">• Yellow: Substantial output achievement </w:t>
      </w:r>
    </w:p>
    <w:p w14:paraId="2157E36C" w14:textId="77777777" w:rsidR="00683F4A" w:rsidRDefault="003D1828" w:rsidP="00422D67">
      <w:pPr>
        <w:spacing w:after="0"/>
      </w:pPr>
      <w:r>
        <w:t>• Red: Limited output achievement</w:t>
      </w:r>
    </w:p>
    <w:p w14:paraId="43BC70CA" w14:textId="77777777" w:rsidR="008D2032" w:rsidRDefault="008D2032" w:rsidP="004C39A4">
      <w:pPr>
        <w:rPr>
          <w:rFonts w:cs="Arial"/>
          <w:lang w:val="en-US"/>
        </w:rPr>
      </w:pPr>
    </w:p>
    <w:sectPr w:rsidR="008D2032" w:rsidSect="00241A0B">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1AC89C" w14:textId="77777777" w:rsidR="00C141F8" w:rsidRDefault="00C141F8">
      <w:pPr>
        <w:spacing w:after="0"/>
      </w:pPr>
      <w:r>
        <w:separator/>
      </w:r>
    </w:p>
  </w:endnote>
  <w:endnote w:type="continuationSeparator" w:id="0">
    <w:p w14:paraId="2B5629A9" w14:textId="77777777" w:rsidR="00C141F8" w:rsidRDefault="00C141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IDDJN+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n-ea">
    <w:panose1 w:val="00000000000000000000"/>
    <w:charset w:val="00"/>
    <w:family w:val="roman"/>
    <w:notTrueType/>
    <w:pitch w:val="default"/>
  </w:font>
  <w:font w:name="MyriadPro-Regular">
    <w:altName w:val="Arial Unicode MS"/>
    <w:panose1 w:val="00000000000000000000"/>
    <w:charset w:val="00"/>
    <w:family w:val="auto"/>
    <w:notTrueType/>
    <w:pitch w:val="default"/>
    <w:sig w:usb0="00000003" w:usb1="08080000" w:usb2="00000010" w:usb3="00000000" w:csb0="001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0BC3A2" w14:textId="77777777" w:rsidR="00C141F8" w:rsidRDefault="00C141F8">
    <w:pPr>
      <w:pStyle w:val="Sidefod"/>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6EB07" w14:textId="77777777" w:rsidR="00AB5496" w:rsidRDefault="00AB5496">
    <w:pPr>
      <w:pStyle w:val="Sidefod"/>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FD3B8C" w14:textId="77777777" w:rsidR="00C141F8" w:rsidRDefault="00C141F8">
    <w:pPr>
      <w:pStyle w:val="Sidefod"/>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17390A" w14:textId="77777777" w:rsidR="00C141F8" w:rsidRDefault="00C141F8">
    <w:pPr>
      <w:pStyle w:val="Sidefod"/>
      <w:jc w:val="center"/>
    </w:pPr>
    <w:r>
      <w:fldChar w:fldCharType="begin"/>
    </w:r>
    <w:r>
      <w:instrText>PAGE   \* MERGEFORMAT</w:instrText>
    </w:r>
    <w:r>
      <w:fldChar w:fldCharType="separate"/>
    </w:r>
    <w:r w:rsidR="00AE1D51">
      <w:rPr>
        <w:noProof/>
      </w:rPr>
      <w:t>100</w:t>
    </w:r>
    <w:r>
      <w:rPr>
        <w:noProof/>
      </w:rPr>
      <w:fldChar w:fldCharType="end"/>
    </w:r>
  </w:p>
  <w:p w14:paraId="44F42ADF" w14:textId="77777777" w:rsidR="00C141F8" w:rsidRDefault="00C141F8">
    <w:pPr>
      <w:pStyle w:val="Sidefod"/>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BE47BD" w14:textId="77777777" w:rsidR="00C141F8" w:rsidRDefault="00C141F8">
    <w:pPr>
      <w:pStyle w:val="Sidefod"/>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CCC269" w14:textId="77777777" w:rsidR="00C141F8" w:rsidRDefault="00C141F8">
    <w:pPr>
      <w:pStyle w:val="Sidefod"/>
      <w:jc w:val="center"/>
    </w:pPr>
    <w:r>
      <w:fldChar w:fldCharType="begin"/>
    </w:r>
    <w:r>
      <w:instrText xml:space="preserve"> PAGE   \* MERGEFORMAT </w:instrText>
    </w:r>
    <w:r>
      <w:fldChar w:fldCharType="separate"/>
    </w:r>
    <w:r w:rsidR="000377F8">
      <w:rPr>
        <w:noProof/>
      </w:rPr>
      <w:t>113</w:t>
    </w:r>
    <w:r>
      <w:rPr>
        <w:noProof/>
      </w:rPr>
      <w:fldChar w:fldCharType="end"/>
    </w:r>
  </w:p>
  <w:p w14:paraId="064B3680" w14:textId="77777777" w:rsidR="00C141F8" w:rsidRDefault="00C141F8">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8FEAE8" w14:textId="77777777" w:rsidR="00C141F8" w:rsidRDefault="00C141F8">
    <w:pPr>
      <w:pStyle w:val="Sidefod"/>
      <w:jc w:val="center"/>
    </w:pPr>
    <w:r>
      <w:fldChar w:fldCharType="begin"/>
    </w:r>
    <w:r>
      <w:instrText>PAGE   \* MERGEFORMAT</w:instrText>
    </w:r>
    <w:r>
      <w:fldChar w:fldCharType="separate"/>
    </w:r>
    <w:r w:rsidR="000377F8">
      <w:rPr>
        <w:noProof/>
      </w:rPr>
      <w:t>3</w:t>
    </w:r>
    <w:r>
      <w:rPr>
        <w:noProof/>
      </w:rPr>
      <w:fldChar w:fldCharType="end"/>
    </w:r>
  </w:p>
  <w:p w14:paraId="3833C117" w14:textId="77777777" w:rsidR="00C141F8" w:rsidRDefault="00C141F8">
    <w:pPr>
      <w:pStyle w:val="Sidefo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DD3746" w14:textId="77777777" w:rsidR="00C141F8" w:rsidRDefault="00C141F8">
    <w:pPr>
      <w:pStyle w:val="Sidefo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226224" w14:textId="77777777" w:rsidR="00C141F8" w:rsidRDefault="00C141F8">
    <w:pPr>
      <w:pStyle w:val="Sidefo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403A1" w14:textId="77777777" w:rsidR="00C141F8" w:rsidRDefault="00C141F8">
    <w:pPr>
      <w:pStyle w:val="Sidefod"/>
      <w:jc w:val="center"/>
    </w:pPr>
    <w:r>
      <w:fldChar w:fldCharType="begin"/>
    </w:r>
    <w:r>
      <w:instrText>PAGE   \* MERGEFORMAT</w:instrText>
    </w:r>
    <w:r>
      <w:fldChar w:fldCharType="separate"/>
    </w:r>
    <w:r w:rsidR="000377F8">
      <w:rPr>
        <w:noProof/>
      </w:rPr>
      <w:t>4</w:t>
    </w:r>
    <w:r>
      <w:rPr>
        <w:noProof/>
      </w:rPr>
      <w:fldChar w:fldCharType="end"/>
    </w:r>
  </w:p>
  <w:p w14:paraId="3CAC1693" w14:textId="77777777" w:rsidR="00C141F8" w:rsidRDefault="00C141F8">
    <w:pPr>
      <w:pStyle w:val="Sidefo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8E744E" w14:textId="77777777" w:rsidR="00C141F8" w:rsidRDefault="00C141F8">
    <w:pPr>
      <w:pStyle w:val="Sidefod"/>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6BD2C8" w14:textId="77777777" w:rsidR="00C141F8" w:rsidRDefault="00C141F8">
    <w:pPr>
      <w:pStyle w:val="Sidefod"/>
      <w:jc w:val="center"/>
    </w:pPr>
    <w:r>
      <w:fldChar w:fldCharType="begin"/>
    </w:r>
    <w:r>
      <w:instrText xml:space="preserve"> PAGE   \* MERGEFORMAT </w:instrText>
    </w:r>
    <w:r>
      <w:fldChar w:fldCharType="separate"/>
    </w:r>
    <w:r w:rsidR="000377F8">
      <w:rPr>
        <w:noProof/>
      </w:rPr>
      <w:t>76</w:t>
    </w:r>
    <w:r>
      <w:rPr>
        <w:noProof/>
      </w:rPr>
      <w:fldChar w:fldCharType="end"/>
    </w:r>
  </w:p>
  <w:p w14:paraId="0E821A07" w14:textId="77777777" w:rsidR="00C141F8" w:rsidRDefault="00C141F8">
    <w:pPr>
      <w:pStyle w:val="Sidefod"/>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5D85FD" w14:textId="77777777" w:rsidR="00AB5496" w:rsidRDefault="00AB5496">
    <w:pPr>
      <w:pStyle w:val="Sidefod"/>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332404" w14:textId="77777777" w:rsidR="00AB5496" w:rsidRDefault="00AB5496">
    <w:pPr>
      <w:pStyle w:val="Sidefod"/>
      <w:jc w:val="center"/>
    </w:pPr>
    <w:r>
      <w:fldChar w:fldCharType="begin"/>
    </w:r>
    <w:r>
      <w:instrText>PAGE   \* MERGEFORMAT</w:instrText>
    </w:r>
    <w:r>
      <w:fldChar w:fldCharType="separate"/>
    </w:r>
    <w:r w:rsidR="000377F8">
      <w:rPr>
        <w:noProof/>
      </w:rPr>
      <w:t>89</w:t>
    </w:r>
    <w:r>
      <w:rPr>
        <w:noProof/>
      </w:rPr>
      <w:fldChar w:fldCharType="end"/>
    </w:r>
  </w:p>
  <w:p w14:paraId="66F975D5" w14:textId="77777777" w:rsidR="00AB5496" w:rsidRDefault="00AB5496">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CE19FF" w14:textId="77777777" w:rsidR="00C141F8" w:rsidRDefault="00C141F8">
      <w:pPr>
        <w:spacing w:after="0"/>
      </w:pPr>
      <w:r>
        <w:separator/>
      </w:r>
    </w:p>
  </w:footnote>
  <w:footnote w:type="continuationSeparator" w:id="0">
    <w:p w14:paraId="78DD32D2" w14:textId="77777777" w:rsidR="00C141F8" w:rsidRDefault="00C141F8">
      <w:pPr>
        <w:spacing w:after="0"/>
      </w:pPr>
      <w:r>
        <w:continuationSeparator/>
      </w:r>
    </w:p>
  </w:footnote>
  <w:footnote w:id="1">
    <w:p w14:paraId="2454DDA3" w14:textId="77777777" w:rsidR="00C141F8" w:rsidRPr="00CD56B9" w:rsidRDefault="00C141F8">
      <w:pPr>
        <w:pStyle w:val="Fodnotetekst"/>
        <w:rPr>
          <w:lang w:val="en-US"/>
        </w:rPr>
      </w:pPr>
      <w:r>
        <w:rPr>
          <w:rStyle w:val="Fodnotehenvisning"/>
        </w:rPr>
        <w:footnoteRef/>
      </w:r>
      <w:r w:rsidRPr="00CD56B9">
        <w:rPr>
          <w:lang w:val="en-US"/>
        </w:rPr>
        <w:t xml:space="preserve"> </w:t>
      </w:r>
      <w:r>
        <w:rPr>
          <w:lang w:val="en-US"/>
        </w:rPr>
        <w:t>WB data, 2014.</w:t>
      </w:r>
    </w:p>
  </w:footnote>
  <w:footnote w:id="2">
    <w:p w14:paraId="66C77B5F" w14:textId="77777777" w:rsidR="00C141F8" w:rsidRPr="00CD56B9" w:rsidRDefault="00C141F8">
      <w:pPr>
        <w:pStyle w:val="Fodnotetekst"/>
        <w:rPr>
          <w:lang w:val="en-US"/>
        </w:rPr>
      </w:pPr>
      <w:r>
        <w:rPr>
          <w:rStyle w:val="Fodnotehenvisning"/>
        </w:rPr>
        <w:footnoteRef/>
      </w:r>
      <w:r w:rsidRPr="00CD56B9">
        <w:rPr>
          <w:lang w:val="en-US"/>
        </w:rPr>
        <w:t xml:space="preserve"> </w:t>
      </w:r>
      <w:r>
        <w:rPr>
          <w:lang w:val="en-US"/>
        </w:rPr>
        <w:t>WB data, 2010, t</w:t>
      </w:r>
      <w:r w:rsidRPr="008F2B9F">
        <w:rPr>
          <w:lang w:val="en-US"/>
        </w:rPr>
        <w:t xml:space="preserve">he current </w:t>
      </w:r>
      <w:r>
        <w:rPr>
          <w:lang w:val="en-US"/>
        </w:rPr>
        <w:t xml:space="preserve">extreme poverty line is set at USD </w:t>
      </w:r>
      <w:r w:rsidRPr="008F2B9F">
        <w:rPr>
          <w:lang w:val="en-US"/>
        </w:rPr>
        <w:t>1.90 a day in 2011 PPP terms, which represents the mean of the poverty lines found in the poorest 15 countries ranked by per capita consumption</w:t>
      </w:r>
      <w:r>
        <w:rPr>
          <w:lang w:val="en-US"/>
        </w:rPr>
        <w:t>.</w:t>
      </w:r>
    </w:p>
  </w:footnote>
  <w:footnote w:id="3">
    <w:p w14:paraId="0DD4DE75" w14:textId="77777777" w:rsidR="00C141F8" w:rsidRPr="00F85951" w:rsidRDefault="00C141F8" w:rsidP="00C145C4">
      <w:pPr>
        <w:pStyle w:val="Fodnotetekst"/>
        <w:rPr>
          <w:rFonts w:ascii="Arial" w:hAnsi="Arial" w:cs="Arial"/>
          <w:lang w:val="en-US"/>
        </w:rPr>
      </w:pPr>
      <w:r w:rsidRPr="00F85951">
        <w:rPr>
          <w:rStyle w:val="Fodnotehenvisning"/>
          <w:rFonts w:ascii="Arial" w:hAnsi="Arial" w:cs="Arial"/>
        </w:rPr>
        <w:footnoteRef/>
      </w:r>
      <w:r w:rsidRPr="00CD56B9">
        <w:rPr>
          <w:rFonts w:ascii="Arial" w:hAnsi="Arial" w:cs="Arial"/>
          <w:lang w:val="en-US"/>
        </w:rPr>
        <w:t xml:space="preserve"> </w:t>
      </w:r>
      <w:r w:rsidRPr="00F85951">
        <w:rPr>
          <w:rFonts w:ascii="Arial" w:hAnsi="Arial" w:cs="Arial"/>
          <w:lang w:val="en-US"/>
        </w:rPr>
        <w:t xml:space="preserve">This project relates to Outcome 4.3, </w:t>
      </w:r>
      <w:r>
        <w:rPr>
          <w:rFonts w:ascii="Arial" w:hAnsi="Arial" w:cs="Arial"/>
          <w:lang w:val="en-US"/>
        </w:rPr>
        <w:t xml:space="preserve">and was included in the Gender MTE prior to this evaluation. It has been added here since it </w:t>
      </w:r>
      <w:r w:rsidRPr="00F85951">
        <w:rPr>
          <w:rFonts w:ascii="Arial" w:hAnsi="Arial" w:cs="Arial"/>
          <w:lang w:val="en-US"/>
        </w:rPr>
        <w:t xml:space="preserve">has an UNDAF wide outreach.  </w:t>
      </w:r>
    </w:p>
  </w:footnote>
  <w:footnote w:id="4">
    <w:p w14:paraId="211E29D1" w14:textId="35CC350B" w:rsidR="00C141F8" w:rsidRPr="0000361D" w:rsidRDefault="00C141F8" w:rsidP="0000361D">
      <w:pPr>
        <w:rPr>
          <w:rFonts w:ascii="Calibri" w:eastAsia="Calibri" w:hAnsi="Calibri"/>
          <w:lang w:val="en-US"/>
        </w:rPr>
      </w:pPr>
      <w:r>
        <w:rPr>
          <w:rStyle w:val="Fodnotehenvisning"/>
        </w:rPr>
        <w:footnoteRef/>
      </w:r>
      <w:r w:rsidRPr="00F62234">
        <w:rPr>
          <w:lang w:val="en-GB"/>
        </w:rPr>
        <w:t xml:space="preserve"> </w:t>
      </w:r>
      <w:r w:rsidRPr="00F62234">
        <w:rPr>
          <w:rFonts w:asciiTheme="minorHAnsi" w:hAnsiTheme="minorHAnsi"/>
          <w:sz w:val="20"/>
          <w:lang w:val="en-GB"/>
        </w:rPr>
        <w:t>The Judiciary, National Assembly, Financial Intelligence Unit, Ministry of Internal Affairs and Public  Security, Malawi Police Service, Prison Service, Immigration Department, Ministry of Justice and Constitutional Affairs, Directorate of Public Prosecution and State Advocate, the Registrar General, The Administrator General, Legal Aid Department, Human Rights Commission, Malawi Electoral Commission, Anti-corruption Bureau, Office of the Ombudsman, Law Commission, Ministry of Defense and Malawi Defense Force.</w:t>
      </w:r>
    </w:p>
  </w:footnote>
  <w:footnote w:id="5">
    <w:p w14:paraId="3A66D40B" w14:textId="77777777" w:rsidR="00C141F8" w:rsidRPr="00CD56B9" w:rsidRDefault="00C141F8" w:rsidP="00370D78">
      <w:pPr>
        <w:pStyle w:val="Fodnotetekst"/>
        <w:rPr>
          <w:lang w:val="en-US"/>
        </w:rPr>
      </w:pPr>
      <w:r w:rsidRPr="00275D5E">
        <w:rPr>
          <w:rStyle w:val="Fodnotehenvisning"/>
          <w:sz w:val="18"/>
          <w:szCs w:val="18"/>
        </w:rPr>
        <w:footnoteRef/>
      </w:r>
      <w:r w:rsidRPr="00CD56B9">
        <w:rPr>
          <w:lang w:val="en-US"/>
        </w:rPr>
        <w:t xml:space="preserve"> UNDAF Annual Report – 2013</w:t>
      </w:r>
    </w:p>
  </w:footnote>
  <w:footnote w:id="6">
    <w:p w14:paraId="15E183EA" w14:textId="77777777" w:rsidR="00C141F8" w:rsidRPr="00CD56B9" w:rsidRDefault="00C141F8" w:rsidP="006C31FE">
      <w:pPr>
        <w:pStyle w:val="Fodnotetekst"/>
        <w:rPr>
          <w:lang w:val="en-US"/>
        </w:rPr>
      </w:pPr>
      <w:r w:rsidRPr="00585043">
        <w:rPr>
          <w:rStyle w:val="Fodnotehenvisning"/>
        </w:rPr>
        <w:footnoteRef/>
      </w:r>
      <w:r w:rsidRPr="00CD56B9">
        <w:rPr>
          <w:lang w:val="en-US"/>
        </w:rPr>
        <w:t xml:space="preserve"> See Annual Work Plans, Social Cohesion Project 2013, 2014</w:t>
      </w:r>
    </w:p>
  </w:footnote>
  <w:footnote w:id="7">
    <w:p w14:paraId="078E5A4A" w14:textId="77777777" w:rsidR="00C141F8" w:rsidRPr="00CD56B9" w:rsidRDefault="00C141F8" w:rsidP="006C31FE">
      <w:pPr>
        <w:rPr>
          <w:sz w:val="20"/>
          <w:szCs w:val="20"/>
          <w:lang w:val="en-US"/>
        </w:rPr>
      </w:pPr>
      <w:r w:rsidRPr="00585043">
        <w:rPr>
          <w:rStyle w:val="Fodnotehenvisning"/>
          <w:sz w:val="20"/>
          <w:szCs w:val="20"/>
        </w:rPr>
        <w:footnoteRef/>
      </w:r>
      <w:r w:rsidRPr="00CD56B9">
        <w:rPr>
          <w:sz w:val="20"/>
          <w:szCs w:val="20"/>
          <w:lang w:val="en-US"/>
        </w:rPr>
        <w:t xml:space="preserve"> Social Cohesion Project, Annual Report, 2012</w:t>
      </w:r>
    </w:p>
  </w:footnote>
  <w:footnote w:id="8">
    <w:p w14:paraId="7B2A77C9" w14:textId="77777777" w:rsidR="00C141F8" w:rsidRPr="00CD56B9" w:rsidRDefault="00C141F8" w:rsidP="00C236A6">
      <w:pPr>
        <w:pStyle w:val="Fodnotetekst"/>
        <w:rPr>
          <w:lang w:val="en-US"/>
        </w:rPr>
      </w:pPr>
      <w:r>
        <w:rPr>
          <w:rStyle w:val="Fodnotehenvisning"/>
        </w:rPr>
        <w:footnoteRef/>
      </w:r>
      <w:r w:rsidRPr="00CD56B9">
        <w:rPr>
          <w:lang w:val="en-US"/>
        </w:rPr>
        <w:t xml:space="preserve"> See e. g. Zoë Scott: Decentralization, Local Development and Social Cohesion: An Analytical Review, GSDRC Research Paper, May 2009, which is a meta-evaluation study on a. o. support to LED.</w:t>
      </w:r>
    </w:p>
  </w:footnote>
  <w:footnote w:id="9">
    <w:p w14:paraId="27424EFC" w14:textId="77777777" w:rsidR="00C141F8" w:rsidRPr="00400118" w:rsidRDefault="00C141F8">
      <w:pPr>
        <w:pStyle w:val="Fodnotetekst"/>
        <w:rPr>
          <w:lang w:val="en-GB"/>
        </w:rPr>
      </w:pPr>
      <w:r>
        <w:rPr>
          <w:rStyle w:val="Fodnotehenvisning"/>
        </w:rPr>
        <w:footnoteRef/>
      </w:r>
      <w:r w:rsidRPr="00400118">
        <w:rPr>
          <w:lang w:val="en-GB"/>
        </w:rPr>
        <w:t xml:space="preserve"> </w:t>
      </w:r>
      <w:r>
        <w:rPr>
          <w:lang w:val="en-GB"/>
        </w:rPr>
        <w:t xml:space="preserve">According to data obtained from the official website of </w:t>
      </w:r>
      <w:r w:rsidRPr="00400118">
        <w:rPr>
          <w:lang w:val="en-GB"/>
        </w:rPr>
        <w:t>International Institute for Democracy and Electoral Assistance (International IDEA)</w:t>
      </w:r>
    </w:p>
  </w:footnote>
  <w:footnote w:id="10">
    <w:p w14:paraId="35DCE1DB" w14:textId="77777777" w:rsidR="00C141F8" w:rsidRPr="00705D9B" w:rsidRDefault="00C141F8">
      <w:pPr>
        <w:pStyle w:val="Fodnotetekst"/>
        <w:rPr>
          <w:lang w:val="en-GB"/>
        </w:rPr>
      </w:pPr>
      <w:r>
        <w:rPr>
          <w:rStyle w:val="Fodnotehenvisning"/>
        </w:rPr>
        <w:footnoteRef/>
      </w:r>
      <w:r w:rsidRPr="00705D9B">
        <w:rPr>
          <w:lang w:val="en-GB"/>
        </w:rPr>
        <w:t xml:space="preserve"> </w:t>
      </w:r>
      <w:r>
        <w:rPr>
          <w:lang w:val="en-GB"/>
        </w:rPr>
        <w:t>The Government-DP meant that the DPs would fund up to 40% of the costs, while the government would at least cover 60% of the costs. The DP contributions turned out to total 18% of the costs, while the government failed to fund the remaining costs.</w:t>
      </w:r>
    </w:p>
  </w:footnote>
  <w:footnote w:id="11">
    <w:p w14:paraId="75D14CE5" w14:textId="77777777" w:rsidR="00C141F8" w:rsidRDefault="00C141F8" w:rsidP="00B02E38">
      <w:pPr>
        <w:pStyle w:val="Ingenafstand"/>
        <w:rPr>
          <w:rFonts w:asciiTheme="minorHAnsi" w:hAnsiTheme="minorHAnsi" w:cstheme="minorHAnsi"/>
          <w:sz w:val="20"/>
          <w:szCs w:val="20"/>
        </w:rPr>
      </w:pPr>
      <w:r>
        <w:rPr>
          <w:rStyle w:val="Fodnotehenvisning"/>
          <w:rFonts w:asciiTheme="minorHAnsi" w:hAnsiTheme="minorHAnsi" w:cstheme="minorHAnsi"/>
          <w:sz w:val="20"/>
          <w:szCs w:val="20"/>
        </w:rPr>
        <w:footnoteRef/>
      </w:r>
      <w:r>
        <w:rPr>
          <w:rFonts w:asciiTheme="minorHAnsi" w:hAnsiTheme="minorHAnsi" w:cstheme="minorHAnsi"/>
          <w:sz w:val="20"/>
          <w:szCs w:val="20"/>
        </w:rPr>
        <w:t>Chingaipe, Henry (2013) The state of Preparedness for the 2014 Tripartite Elections, presentation made at a National Consultative Conference organized by the Malawi Electoral Support Network</w:t>
      </w:r>
    </w:p>
  </w:footnote>
  <w:footnote w:id="12">
    <w:p w14:paraId="797FF230" w14:textId="77777777" w:rsidR="00C141F8" w:rsidRDefault="00C141F8" w:rsidP="00B02E38">
      <w:pPr>
        <w:pStyle w:val="Ingenafstand"/>
        <w:rPr>
          <w:rFonts w:asciiTheme="minorHAnsi" w:hAnsiTheme="minorHAnsi" w:cstheme="minorHAnsi"/>
          <w:sz w:val="20"/>
          <w:szCs w:val="20"/>
        </w:rPr>
      </w:pPr>
      <w:r>
        <w:rPr>
          <w:rStyle w:val="Fodnotehenvisning"/>
          <w:rFonts w:asciiTheme="minorHAnsi" w:hAnsiTheme="minorHAnsi" w:cstheme="minorHAnsi"/>
          <w:sz w:val="20"/>
          <w:szCs w:val="20"/>
        </w:rPr>
        <w:footnoteRef/>
      </w:r>
      <w:r>
        <w:rPr>
          <w:rFonts w:asciiTheme="minorHAnsi" w:hAnsiTheme="minorHAnsi" w:cstheme="minorHAnsi"/>
          <w:sz w:val="20"/>
          <w:szCs w:val="20"/>
        </w:rPr>
        <w:t xml:space="preserve"> EISA Report on the 2009 general elections in Malawi.</w:t>
      </w:r>
    </w:p>
  </w:footnote>
  <w:footnote w:id="13">
    <w:p w14:paraId="3C7B0529" w14:textId="77777777" w:rsidR="00C141F8" w:rsidRPr="00F62234" w:rsidRDefault="00C141F8">
      <w:pPr>
        <w:pStyle w:val="Fodnotetekst"/>
        <w:rPr>
          <w:lang w:val="en-GB"/>
        </w:rPr>
      </w:pPr>
      <w:r>
        <w:rPr>
          <w:rStyle w:val="Fodnotehenvisning"/>
        </w:rPr>
        <w:footnoteRef/>
      </w:r>
      <w:r w:rsidRPr="00F62234">
        <w:rPr>
          <w:lang w:val="en-GB"/>
        </w:rPr>
        <w:t xml:space="preserve"> Constituency demarcations have not changed since 1988.</w:t>
      </w:r>
    </w:p>
  </w:footnote>
  <w:footnote w:id="14">
    <w:p w14:paraId="5681DB1F" w14:textId="77777777" w:rsidR="00C141F8" w:rsidRPr="00CD56B9" w:rsidRDefault="00C141F8">
      <w:pPr>
        <w:pStyle w:val="Fodnotetekst"/>
        <w:rPr>
          <w:lang w:val="en-US"/>
        </w:rPr>
      </w:pPr>
      <w:r>
        <w:rPr>
          <w:rStyle w:val="Fodnotehenvisning"/>
        </w:rPr>
        <w:footnoteRef/>
      </w:r>
      <w:r w:rsidRPr="00CD56B9">
        <w:rPr>
          <w:lang w:val="en-US"/>
        </w:rPr>
        <w:t xml:space="preserve"> Last </w:t>
      </w:r>
      <w:r>
        <w:rPr>
          <w:lang w:val="en-US"/>
        </w:rPr>
        <w:t>general</w:t>
      </w:r>
      <w:r w:rsidRPr="00CD56B9">
        <w:rPr>
          <w:lang w:val="en-US"/>
        </w:rPr>
        <w:t xml:space="preserve"> elections </w:t>
      </w:r>
      <w:r>
        <w:rPr>
          <w:lang w:val="en-US"/>
        </w:rPr>
        <w:t>saw</w:t>
      </w:r>
      <w:r w:rsidRPr="00CD56B9">
        <w:rPr>
          <w:lang w:val="en-US"/>
        </w:rPr>
        <w:t xml:space="preserve"> a 70% turnover of MPs.</w:t>
      </w:r>
    </w:p>
  </w:footnote>
  <w:footnote w:id="15">
    <w:p w14:paraId="4EC01D50" w14:textId="77777777" w:rsidR="00C141F8" w:rsidRDefault="00C141F8" w:rsidP="0084731F">
      <w:pPr>
        <w:pStyle w:val="Ingenafstand"/>
        <w:rPr>
          <w:rFonts w:asciiTheme="minorHAnsi" w:hAnsiTheme="minorHAnsi" w:cstheme="minorHAnsi"/>
          <w:sz w:val="20"/>
          <w:szCs w:val="20"/>
          <w:lang w:val="en-ZA"/>
        </w:rPr>
      </w:pPr>
      <w:r>
        <w:rPr>
          <w:rStyle w:val="Fodnotehenvisning"/>
          <w:rFonts w:asciiTheme="minorHAnsi" w:hAnsiTheme="minorHAnsi" w:cstheme="minorHAnsi"/>
          <w:sz w:val="20"/>
          <w:szCs w:val="20"/>
        </w:rPr>
        <w:footnoteRef/>
      </w:r>
      <w:r>
        <w:rPr>
          <w:rFonts w:asciiTheme="minorHAnsi" w:hAnsiTheme="minorHAnsi" w:cstheme="minorHAnsi"/>
          <w:sz w:val="20"/>
          <w:szCs w:val="20"/>
        </w:rPr>
        <w:t xml:space="preserve">Lars Svåsand and Nixon S. Khembo ‘political parties in Malawi’ in Government and Politics in Malawi-A textbook  </w:t>
      </w:r>
      <w:r>
        <w:rPr>
          <w:rFonts w:asciiTheme="minorHAnsi" w:hAnsiTheme="minorHAnsi" w:cstheme="minorHAnsi"/>
          <w:sz w:val="20"/>
          <w:szCs w:val="20"/>
          <w:lang w:val="en-ZA"/>
        </w:rPr>
        <w:t>P 223.</w:t>
      </w:r>
    </w:p>
  </w:footnote>
  <w:footnote w:id="16">
    <w:p w14:paraId="3B3152DD" w14:textId="77777777" w:rsidR="00C141F8" w:rsidRDefault="00C141F8" w:rsidP="0084731F">
      <w:pPr>
        <w:pStyle w:val="Ingenafstand"/>
        <w:rPr>
          <w:rFonts w:asciiTheme="minorHAnsi" w:hAnsiTheme="minorHAnsi" w:cstheme="minorHAnsi"/>
          <w:sz w:val="20"/>
          <w:szCs w:val="20"/>
          <w:lang w:val="en-ZA"/>
        </w:rPr>
      </w:pPr>
      <w:r>
        <w:rPr>
          <w:rStyle w:val="Fodnotehenvisning"/>
          <w:rFonts w:asciiTheme="minorHAnsi" w:hAnsiTheme="minorHAnsi" w:cstheme="minorHAnsi"/>
          <w:sz w:val="20"/>
          <w:szCs w:val="20"/>
        </w:rPr>
        <w:footnoteRef/>
      </w:r>
      <w:r>
        <w:rPr>
          <w:rFonts w:asciiTheme="minorHAnsi" w:hAnsiTheme="minorHAnsi" w:cstheme="minorHAnsi"/>
          <w:sz w:val="20"/>
          <w:szCs w:val="20"/>
        </w:rPr>
        <w:t xml:space="preserve"> </w:t>
      </w:r>
      <w:r>
        <w:rPr>
          <w:rFonts w:asciiTheme="minorHAnsi" w:hAnsiTheme="minorHAnsi" w:cstheme="minorHAnsi"/>
          <w:sz w:val="20"/>
          <w:szCs w:val="20"/>
          <w:lang w:val="en-ZA"/>
        </w:rPr>
        <w:t>Asiyati Chiweza ‘Local Government’ in Government and Politics in Malawi-A textbook. P. 171.</w:t>
      </w:r>
    </w:p>
  </w:footnote>
  <w:footnote w:id="17">
    <w:p w14:paraId="6E44C917" w14:textId="77777777" w:rsidR="00C141F8" w:rsidRDefault="00C141F8" w:rsidP="0084731F">
      <w:pPr>
        <w:pStyle w:val="Ingenafstand"/>
        <w:rPr>
          <w:rFonts w:asciiTheme="minorHAnsi" w:hAnsiTheme="minorHAnsi" w:cstheme="minorHAnsi"/>
          <w:sz w:val="20"/>
          <w:szCs w:val="20"/>
          <w:lang w:val="en-ZA"/>
        </w:rPr>
      </w:pPr>
      <w:r>
        <w:rPr>
          <w:rStyle w:val="Fodnotehenvisning"/>
          <w:rFonts w:asciiTheme="minorHAnsi" w:hAnsiTheme="minorHAnsi" w:cstheme="minorHAnsi"/>
          <w:sz w:val="20"/>
          <w:szCs w:val="20"/>
        </w:rPr>
        <w:footnoteRef/>
      </w:r>
      <w:r>
        <w:rPr>
          <w:rFonts w:asciiTheme="minorHAnsi" w:hAnsiTheme="minorHAnsi" w:cstheme="minorHAnsi"/>
          <w:sz w:val="20"/>
          <w:szCs w:val="20"/>
        </w:rPr>
        <w:t xml:space="preserve"> </w:t>
      </w:r>
      <w:r>
        <w:rPr>
          <w:rFonts w:asciiTheme="minorHAnsi" w:hAnsiTheme="minorHAnsi" w:cstheme="minorHAnsi"/>
          <w:sz w:val="20"/>
          <w:szCs w:val="20"/>
          <w:lang w:val="en-ZA"/>
        </w:rPr>
        <w:t>Ibid. p 171.</w:t>
      </w:r>
    </w:p>
  </w:footnote>
  <w:footnote w:id="18">
    <w:p w14:paraId="5FE36B45" w14:textId="77777777" w:rsidR="00C141F8" w:rsidRDefault="00C141F8" w:rsidP="0084731F">
      <w:pPr>
        <w:pStyle w:val="Ingenafstand"/>
        <w:rPr>
          <w:rFonts w:asciiTheme="minorHAnsi" w:hAnsiTheme="minorHAnsi" w:cstheme="minorHAnsi"/>
          <w:sz w:val="20"/>
          <w:szCs w:val="20"/>
          <w:lang w:val="en-ZA"/>
        </w:rPr>
      </w:pPr>
      <w:r>
        <w:rPr>
          <w:rStyle w:val="Fodnotehenvisning"/>
          <w:rFonts w:asciiTheme="minorHAnsi" w:hAnsiTheme="minorHAnsi" w:cstheme="minorHAnsi"/>
          <w:sz w:val="20"/>
          <w:szCs w:val="20"/>
        </w:rPr>
        <w:footnoteRef/>
      </w:r>
      <w:r>
        <w:rPr>
          <w:rFonts w:asciiTheme="minorHAnsi" w:hAnsiTheme="minorHAnsi" w:cstheme="minorHAnsi"/>
          <w:sz w:val="20"/>
          <w:szCs w:val="20"/>
        </w:rPr>
        <w:t xml:space="preserve"> </w:t>
      </w:r>
      <w:r>
        <w:rPr>
          <w:rFonts w:asciiTheme="minorHAnsi" w:hAnsiTheme="minorHAnsi" w:cstheme="minorHAnsi"/>
          <w:sz w:val="20"/>
          <w:szCs w:val="20"/>
          <w:lang w:val="en-ZA"/>
        </w:rPr>
        <w:t xml:space="preserve">Ibid. </w:t>
      </w:r>
    </w:p>
  </w:footnote>
  <w:footnote w:id="19">
    <w:p w14:paraId="32970FE8" w14:textId="77777777" w:rsidR="00C141F8" w:rsidRDefault="00C141F8" w:rsidP="0084731F">
      <w:pPr>
        <w:pStyle w:val="Ingenafstand"/>
        <w:rPr>
          <w:rFonts w:asciiTheme="minorHAnsi" w:hAnsiTheme="minorHAnsi" w:cstheme="minorHAnsi"/>
          <w:sz w:val="20"/>
          <w:szCs w:val="20"/>
        </w:rPr>
      </w:pPr>
      <w:r>
        <w:rPr>
          <w:rStyle w:val="Fodnotehenvisning"/>
          <w:rFonts w:asciiTheme="minorHAnsi" w:hAnsiTheme="minorHAnsi" w:cstheme="minorHAnsi"/>
          <w:sz w:val="20"/>
          <w:szCs w:val="20"/>
        </w:rPr>
        <w:footnoteRef/>
      </w:r>
      <w:r>
        <w:rPr>
          <w:rFonts w:asciiTheme="minorHAnsi" w:hAnsiTheme="minorHAnsi" w:cstheme="minorHAnsi"/>
          <w:sz w:val="20"/>
          <w:szCs w:val="20"/>
        </w:rPr>
        <w:t xml:space="preserve"> See for example, The MCP, the DPP and UDF Constitutions.</w:t>
      </w:r>
    </w:p>
  </w:footnote>
  <w:footnote w:id="20">
    <w:p w14:paraId="684A08F3" w14:textId="77777777" w:rsidR="00C141F8" w:rsidRDefault="00C141F8" w:rsidP="0084731F">
      <w:pPr>
        <w:pStyle w:val="Ingenafstand"/>
        <w:rPr>
          <w:rFonts w:asciiTheme="minorHAnsi" w:hAnsiTheme="minorHAnsi" w:cstheme="minorHAnsi"/>
          <w:sz w:val="20"/>
          <w:szCs w:val="20"/>
        </w:rPr>
      </w:pPr>
      <w:r>
        <w:rPr>
          <w:rStyle w:val="Fodnotehenvisning"/>
          <w:rFonts w:asciiTheme="minorHAnsi" w:hAnsiTheme="minorHAnsi" w:cstheme="minorHAnsi"/>
          <w:sz w:val="20"/>
          <w:szCs w:val="20"/>
        </w:rPr>
        <w:footnoteRef/>
      </w:r>
      <w:r>
        <w:rPr>
          <w:rFonts w:asciiTheme="minorHAnsi" w:hAnsiTheme="minorHAnsi" w:cstheme="minorHAnsi"/>
          <w:sz w:val="20"/>
          <w:szCs w:val="20"/>
        </w:rPr>
        <w:t xml:space="preserve"> Chinsinga, Blessings (2011) Benchmaking the Core Capacities of Political Parties (Lilongwe: Centre for Multiparty Democracy).</w:t>
      </w:r>
    </w:p>
  </w:footnote>
  <w:footnote w:id="21">
    <w:p w14:paraId="7B465207" w14:textId="77777777" w:rsidR="00C141F8" w:rsidRDefault="00C141F8" w:rsidP="0084731F">
      <w:pPr>
        <w:pStyle w:val="Ingenafstand"/>
        <w:rPr>
          <w:rFonts w:asciiTheme="minorHAnsi" w:hAnsiTheme="minorHAnsi" w:cstheme="minorHAnsi"/>
          <w:sz w:val="20"/>
          <w:szCs w:val="20"/>
        </w:rPr>
      </w:pPr>
      <w:r>
        <w:rPr>
          <w:rFonts w:asciiTheme="minorHAnsi" w:hAnsiTheme="minorHAnsi" w:cstheme="minorHAnsi"/>
          <w:sz w:val="20"/>
          <w:szCs w:val="20"/>
          <w:vertAlign w:val="superscript"/>
        </w:rPr>
        <w:footnoteRef/>
      </w:r>
      <w:r>
        <w:rPr>
          <w:rFonts w:asciiTheme="minorHAnsi" w:hAnsiTheme="minorHAnsi" w:cstheme="minorHAnsi"/>
          <w:sz w:val="20"/>
          <w:szCs w:val="20"/>
        </w:rPr>
        <w:t>Article 25 ICCPR, United Nations Human Rights Commission, General Comment No. 25, paragraph 26: “The right to freedom of association, including the right to form and join organizations and associations concerned with political and public affairs, is an essential adjunct to the rights protected by article 25.” See also Article 10 of the African Charter of Human and Peoples</w:t>
      </w:r>
      <w:r>
        <w:rPr>
          <w:rFonts w:asciiTheme="minorHAnsi" w:hAnsiTheme="minorHAnsi" w:cstheme="minorHAnsi"/>
          <w:sz w:val="20"/>
          <w:szCs w:val="20"/>
          <w:lang w:val="en-US"/>
        </w:rPr>
        <w:t>’</w:t>
      </w:r>
      <w:r>
        <w:rPr>
          <w:rFonts w:asciiTheme="minorHAnsi" w:hAnsiTheme="minorHAnsi" w:cstheme="minorHAnsi"/>
          <w:sz w:val="20"/>
          <w:szCs w:val="20"/>
        </w:rPr>
        <w:t xml:space="preserve"> Rights OAU Document CAB/LEG/67/3 rev, 1986 and African Union Declaration on the Principles Governing Democratic Elections in Africa, IV. Elections: Rights and Obligations, paragraph 5: “Every citizen shall have the freedom to establish or to be a member of a political party or Organization in accordance with the law.”</w:t>
      </w:r>
    </w:p>
  </w:footnote>
  <w:footnote w:id="22">
    <w:p w14:paraId="53C5CB21" w14:textId="77777777" w:rsidR="00C141F8" w:rsidRDefault="00C141F8" w:rsidP="0084731F">
      <w:pPr>
        <w:pStyle w:val="Ingenafstand"/>
        <w:rPr>
          <w:rFonts w:asciiTheme="minorHAnsi" w:hAnsiTheme="minorHAnsi" w:cstheme="minorHAnsi"/>
          <w:sz w:val="20"/>
          <w:szCs w:val="20"/>
        </w:rPr>
      </w:pPr>
      <w:r>
        <w:rPr>
          <w:rFonts w:asciiTheme="minorHAnsi" w:hAnsiTheme="minorHAnsi" w:cstheme="minorHAnsi"/>
          <w:sz w:val="20"/>
          <w:szCs w:val="20"/>
          <w:vertAlign w:val="superscript"/>
        </w:rPr>
        <w:footnoteRef/>
      </w:r>
      <w:r>
        <w:rPr>
          <w:rFonts w:asciiTheme="minorHAnsi" w:hAnsiTheme="minorHAnsi" w:cstheme="minorHAnsi"/>
          <w:sz w:val="20"/>
          <w:szCs w:val="20"/>
        </w:rPr>
        <w:t xml:space="preserve">Section 40(1) of the Constitution of the Republic of Malawi </w:t>
      </w:r>
    </w:p>
  </w:footnote>
  <w:footnote w:id="23">
    <w:p w14:paraId="660EA31A" w14:textId="77777777" w:rsidR="00C141F8" w:rsidRDefault="00C141F8" w:rsidP="0084731F">
      <w:pPr>
        <w:pStyle w:val="Ingenafstand"/>
        <w:rPr>
          <w:rFonts w:asciiTheme="minorHAnsi" w:hAnsiTheme="minorHAnsi" w:cstheme="minorHAnsi"/>
          <w:sz w:val="20"/>
          <w:szCs w:val="20"/>
        </w:rPr>
      </w:pPr>
      <w:r>
        <w:rPr>
          <w:rFonts w:asciiTheme="minorHAnsi" w:hAnsiTheme="minorHAnsi" w:cstheme="minorHAnsi"/>
          <w:sz w:val="20"/>
          <w:szCs w:val="20"/>
          <w:vertAlign w:val="superscript"/>
        </w:rPr>
        <w:footnoteRef/>
      </w:r>
      <w:r>
        <w:rPr>
          <w:rFonts w:asciiTheme="minorHAnsi" w:hAnsiTheme="minorHAnsi" w:cstheme="minorHAnsi"/>
          <w:sz w:val="20"/>
          <w:szCs w:val="20"/>
        </w:rPr>
        <w:t>For instance, the application for registration of the country</w:t>
      </w:r>
      <w:r>
        <w:rPr>
          <w:rFonts w:asciiTheme="minorHAnsi" w:hAnsiTheme="minorHAnsi" w:cstheme="minorHAnsi"/>
          <w:sz w:val="20"/>
          <w:szCs w:val="20"/>
          <w:lang w:val="en-US"/>
        </w:rPr>
        <w:t>’</w:t>
      </w:r>
      <w:r>
        <w:rPr>
          <w:rFonts w:asciiTheme="minorHAnsi" w:hAnsiTheme="minorHAnsi" w:cstheme="minorHAnsi"/>
          <w:sz w:val="20"/>
          <w:szCs w:val="20"/>
        </w:rPr>
        <w:t>s 45th political party Maravi People</w:t>
      </w:r>
      <w:r>
        <w:rPr>
          <w:rFonts w:asciiTheme="minorHAnsi" w:hAnsiTheme="minorHAnsi" w:cstheme="minorHAnsi"/>
          <w:sz w:val="20"/>
          <w:szCs w:val="20"/>
          <w:lang w:val="en-US"/>
        </w:rPr>
        <w:t>’</w:t>
      </w:r>
      <w:r>
        <w:rPr>
          <w:rFonts w:asciiTheme="minorHAnsi" w:hAnsiTheme="minorHAnsi" w:cstheme="minorHAnsi"/>
          <w:sz w:val="20"/>
          <w:szCs w:val="20"/>
        </w:rPr>
        <w:t>s Party was initially rejected on the basis that the name Maravi is very similar to Malawi which is a protected name under the Protected Names and Emblems Act. However, the applicants sought court interpretation and were relieved by the court ruling that ordered the Registrar to register the party.</w:t>
      </w:r>
    </w:p>
  </w:footnote>
  <w:footnote w:id="24">
    <w:p w14:paraId="5A940EC9" w14:textId="77777777" w:rsidR="00C141F8" w:rsidRDefault="00C141F8" w:rsidP="0084731F">
      <w:pPr>
        <w:pStyle w:val="Ingenafstand"/>
        <w:rPr>
          <w:rFonts w:asciiTheme="minorHAnsi" w:hAnsiTheme="minorHAnsi" w:cstheme="minorHAnsi"/>
          <w:sz w:val="20"/>
          <w:szCs w:val="20"/>
        </w:rPr>
      </w:pPr>
      <w:r>
        <w:rPr>
          <w:rStyle w:val="Fodnotehenvisning"/>
          <w:rFonts w:asciiTheme="minorHAnsi" w:hAnsiTheme="minorHAnsi" w:cstheme="minorHAnsi"/>
          <w:sz w:val="20"/>
          <w:szCs w:val="20"/>
        </w:rPr>
        <w:footnoteRef/>
      </w:r>
      <w:r>
        <w:rPr>
          <w:rFonts w:asciiTheme="minorHAnsi" w:hAnsiTheme="minorHAnsi" w:cstheme="minorHAnsi"/>
          <w:sz w:val="20"/>
          <w:szCs w:val="20"/>
        </w:rPr>
        <w:t>Janda K (2005) Political Parties and Democracy in Theoretical and Practical Perspectives: Adopting Party Law (National Democratic Institute for International Affairs (NDI), USA.</w:t>
      </w:r>
    </w:p>
  </w:footnote>
  <w:footnote w:id="25">
    <w:p w14:paraId="7D0815E6" w14:textId="77777777" w:rsidR="00C141F8" w:rsidRDefault="00C141F8" w:rsidP="0084731F">
      <w:pPr>
        <w:pStyle w:val="Ingenafstand"/>
        <w:rPr>
          <w:rFonts w:asciiTheme="minorHAnsi" w:hAnsiTheme="minorHAnsi" w:cstheme="minorHAnsi"/>
          <w:sz w:val="20"/>
          <w:szCs w:val="20"/>
        </w:rPr>
      </w:pPr>
      <w:r>
        <w:rPr>
          <w:rStyle w:val="Fodnotehenvisning"/>
          <w:rFonts w:asciiTheme="minorHAnsi" w:hAnsiTheme="minorHAnsi" w:cstheme="minorHAnsi"/>
          <w:sz w:val="20"/>
          <w:szCs w:val="20"/>
        </w:rPr>
        <w:footnoteRef/>
      </w:r>
      <w:r>
        <w:rPr>
          <w:rFonts w:asciiTheme="minorHAnsi" w:hAnsiTheme="minorHAnsi" w:cstheme="minorHAnsi"/>
          <w:sz w:val="20"/>
          <w:szCs w:val="20"/>
        </w:rPr>
        <w:t>Chingaipe (2010) Business and the State in Malawi: The Politics of Institutional Formation, Maintenance and Change (PhD Thesis, University of York).</w:t>
      </w:r>
    </w:p>
  </w:footnote>
  <w:footnote w:id="26">
    <w:p w14:paraId="3A3D1370" w14:textId="77777777" w:rsidR="00C141F8" w:rsidRDefault="00C141F8" w:rsidP="0084731F">
      <w:pPr>
        <w:pStyle w:val="Ingenafstand"/>
        <w:rPr>
          <w:rFonts w:asciiTheme="minorHAnsi" w:hAnsiTheme="minorHAnsi" w:cstheme="minorHAnsi"/>
          <w:sz w:val="20"/>
          <w:szCs w:val="20"/>
        </w:rPr>
      </w:pPr>
      <w:r>
        <w:rPr>
          <w:rStyle w:val="Fodnotehenvisning"/>
          <w:rFonts w:asciiTheme="minorHAnsi" w:hAnsiTheme="minorHAnsi" w:cstheme="minorHAnsi"/>
          <w:sz w:val="20"/>
          <w:szCs w:val="20"/>
        </w:rPr>
        <w:footnoteRef/>
      </w:r>
      <w:r>
        <w:rPr>
          <w:rFonts w:asciiTheme="minorHAnsi" w:hAnsiTheme="minorHAnsi" w:cstheme="minorHAnsi"/>
          <w:sz w:val="20"/>
          <w:szCs w:val="20"/>
        </w:rPr>
        <w:t xml:space="preserve"> Ibid.</w:t>
      </w:r>
    </w:p>
  </w:footnote>
  <w:footnote w:id="27">
    <w:p w14:paraId="541F8554" w14:textId="77777777" w:rsidR="00C141F8" w:rsidRDefault="00C141F8" w:rsidP="0084731F">
      <w:pPr>
        <w:pStyle w:val="Ingenafstand"/>
        <w:rPr>
          <w:rFonts w:asciiTheme="minorHAnsi" w:hAnsiTheme="minorHAnsi" w:cstheme="minorHAnsi"/>
          <w:sz w:val="20"/>
          <w:szCs w:val="20"/>
        </w:rPr>
      </w:pPr>
      <w:r>
        <w:rPr>
          <w:rStyle w:val="Fodnotehenvisning"/>
          <w:rFonts w:asciiTheme="minorHAnsi" w:hAnsiTheme="minorHAnsi" w:cstheme="minorHAnsi"/>
          <w:sz w:val="20"/>
          <w:szCs w:val="20"/>
        </w:rPr>
        <w:footnoteRef/>
      </w:r>
      <w:r>
        <w:rPr>
          <w:rFonts w:asciiTheme="minorHAnsi" w:hAnsiTheme="minorHAnsi" w:cstheme="minorHAnsi"/>
          <w:sz w:val="20"/>
          <w:szCs w:val="20"/>
        </w:rPr>
        <w:t xml:space="preserve">Chinsinga (2011) Benchmarking Core Capacities and Competencies of Political Parties in Malawi), (Lilongwe: Centre for Multiparty Democracy). </w:t>
      </w:r>
    </w:p>
  </w:footnote>
  <w:footnote w:id="28">
    <w:p w14:paraId="584AD8F5" w14:textId="77777777" w:rsidR="00C141F8" w:rsidRDefault="00C141F8" w:rsidP="0084731F">
      <w:pPr>
        <w:pStyle w:val="Ingenafstand"/>
        <w:rPr>
          <w:rFonts w:asciiTheme="minorHAnsi" w:hAnsiTheme="minorHAnsi" w:cstheme="minorHAnsi"/>
          <w:sz w:val="20"/>
          <w:szCs w:val="20"/>
        </w:rPr>
      </w:pPr>
      <w:r>
        <w:rPr>
          <w:rStyle w:val="Fodnotehenvisning"/>
          <w:rFonts w:asciiTheme="minorHAnsi" w:hAnsiTheme="minorHAnsi" w:cstheme="minorHAnsi"/>
          <w:sz w:val="20"/>
          <w:szCs w:val="20"/>
        </w:rPr>
        <w:footnoteRef/>
      </w:r>
      <w:r>
        <w:rPr>
          <w:rFonts w:asciiTheme="minorHAnsi" w:hAnsiTheme="minorHAnsi" w:cstheme="minorHAnsi"/>
          <w:sz w:val="20"/>
          <w:szCs w:val="20"/>
        </w:rPr>
        <w:t>Some view this as a convenient way of sharing out the allocation for party funding rather than using the proportion of votes amassed by each parliamentary party. The law does not spell out how the money should be shared among the parties that qualify for funding.</w:t>
      </w:r>
    </w:p>
  </w:footnote>
  <w:footnote w:id="29">
    <w:p w14:paraId="4A7208FE" w14:textId="77777777" w:rsidR="00C141F8" w:rsidRDefault="00C141F8" w:rsidP="0084731F">
      <w:pPr>
        <w:pStyle w:val="Ingenafstand"/>
        <w:rPr>
          <w:rFonts w:asciiTheme="minorHAnsi" w:hAnsiTheme="minorHAnsi" w:cstheme="minorHAnsi"/>
          <w:sz w:val="20"/>
          <w:szCs w:val="20"/>
        </w:rPr>
      </w:pPr>
      <w:r>
        <w:rPr>
          <w:rStyle w:val="Fodnotehenvisning"/>
          <w:rFonts w:asciiTheme="minorHAnsi" w:hAnsiTheme="minorHAnsi" w:cstheme="minorHAnsi"/>
          <w:sz w:val="20"/>
          <w:szCs w:val="20"/>
        </w:rPr>
        <w:footnoteRef/>
      </w:r>
      <w:r>
        <w:rPr>
          <w:rFonts w:asciiTheme="minorHAnsi" w:hAnsiTheme="minorHAnsi" w:cstheme="minorHAnsi"/>
          <w:sz w:val="20"/>
          <w:szCs w:val="20"/>
        </w:rPr>
        <w:t>Interview with party officials and Parliamentary staff, July 2010. See also CMD (2012) Sensitivities and Benefits of Paid Up Party Membership (Lilongwe: CMD).</w:t>
      </w:r>
    </w:p>
  </w:footnote>
  <w:footnote w:id="30">
    <w:p w14:paraId="13CFD7E3" w14:textId="77777777" w:rsidR="00C141F8" w:rsidRDefault="00C141F8" w:rsidP="0084731F">
      <w:pPr>
        <w:pStyle w:val="Ingenafstand"/>
        <w:rPr>
          <w:rFonts w:asciiTheme="minorHAnsi" w:hAnsiTheme="minorHAnsi" w:cstheme="minorHAnsi"/>
          <w:sz w:val="20"/>
          <w:szCs w:val="20"/>
        </w:rPr>
      </w:pPr>
      <w:r>
        <w:rPr>
          <w:rStyle w:val="Fodnotehenvisning"/>
          <w:rFonts w:asciiTheme="minorHAnsi" w:hAnsiTheme="minorHAnsi" w:cstheme="minorHAnsi"/>
          <w:sz w:val="20"/>
          <w:szCs w:val="20"/>
        </w:rPr>
        <w:footnoteRef/>
      </w:r>
      <w:r>
        <w:rPr>
          <w:rFonts w:asciiTheme="minorHAnsi" w:hAnsiTheme="minorHAnsi" w:cstheme="minorHAnsi"/>
          <w:sz w:val="20"/>
          <w:szCs w:val="20"/>
        </w:rPr>
        <w:t xml:space="preserve"> MTE interview with Parliamentary Official. See also Chinsinga (2011) Benchmarking core capacities of Political Parties (Lilongwe: CMD)</w:t>
      </w:r>
    </w:p>
  </w:footnote>
  <w:footnote w:id="31">
    <w:p w14:paraId="2799CA40" w14:textId="77777777" w:rsidR="00C141F8" w:rsidRDefault="00C141F8" w:rsidP="0084731F">
      <w:pPr>
        <w:pStyle w:val="Ingenafstand"/>
        <w:rPr>
          <w:rFonts w:asciiTheme="minorHAnsi" w:hAnsiTheme="minorHAnsi" w:cstheme="minorHAnsi"/>
          <w:sz w:val="20"/>
          <w:szCs w:val="20"/>
        </w:rPr>
      </w:pPr>
      <w:r>
        <w:rPr>
          <w:rStyle w:val="Fodnotehenvisning"/>
          <w:rFonts w:asciiTheme="minorHAnsi" w:hAnsiTheme="minorHAnsi" w:cstheme="minorHAnsi"/>
          <w:sz w:val="20"/>
          <w:szCs w:val="20"/>
        </w:rPr>
        <w:footnoteRef/>
      </w:r>
      <w:r>
        <w:rPr>
          <w:rFonts w:asciiTheme="minorHAnsi" w:hAnsiTheme="minorHAnsi" w:cstheme="minorHAnsi"/>
          <w:sz w:val="20"/>
          <w:szCs w:val="20"/>
        </w:rPr>
        <w:t xml:space="preserve"> Kanyongolo, Edge and Martin Ott (eds.) Democracy in Progress: Malawi’s 2009 Presidential and Parliamentary Elections (Kachere Books No.48).</w:t>
      </w:r>
    </w:p>
  </w:footnote>
  <w:footnote w:id="32">
    <w:p w14:paraId="51F0C839" w14:textId="77777777" w:rsidR="00C141F8" w:rsidRDefault="00C141F8" w:rsidP="0084731F">
      <w:pPr>
        <w:pStyle w:val="Ingenafstand"/>
        <w:rPr>
          <w:rFonts w:asciiTheme="minorHAnsi" w:hAnsiTheme="minorHAnsi" w:cstheme="minorHAnsi"/>
          <w:sz w:val="20"/>
          <w:szCs w:val="20"/>
        </w:rPr>
      </w:pPr>
      <w:r>
        <w:rPr>
          <w:rStyle w:val="Fodnotehenvisning"/>
          <w:rFonts w:asciiTheme="minorHAnsi" w:hAnsiTheme="minorHAnsi" w:cstheme="minorHAnsi"/>
          <w:sz w:val="20"/>
          <w:szCs w:val="20"/>
        </w:rPr>
        <w:footnoteRef/>
      </w:r>
      <w:r>
        <w:rPr>
          <w:rFonts w:asciiTheme="minorHAnsi" w:hAnsiTheme="minorHAnsi" w:cstheme="minorHAnsi"/>
          <w:sz w:val="20"/>
          <w:szCs w:val="20"/>
        </w:rPr>
        <w:t xml:space="preserve"> EISA (2009) Malawi: Election Observation Report (Johannesburg: ISA).</w:t>
      </w:r>
    </w:p>
  </w:footnote>
  <w:footnote w:id="33">
    <w:p w14:paraId="1D3E1DC8" w14:textId="77777777" w:rsidR="00C141F8" w:rsidRDefault="00C141F8" w:rsidP="0084731F">
      <w:pPr>
        <w:pStyle w:val="Ingenafstand"/>
        <w:rPr>
          <w:rFonts w:asciiTheme="minorHAnsi" w:hAnsiTheme="minorHAnsi" w:cstheme="minorHAnsi"/>
          <w:sz w:val="20"/>
          <w:szCs w:val="20"/>
        </w:rPr>
      </w:pPr>
      <w:r>
        <w:rPr>
          <w:rStyle w:val="Fodnotehenvisning"/>
          <w:rFonts w:asciiTheme="minorHAnsi" w:hAnsiTheme="minorHAnsi" w:cstheme="minorHAnsi"/>
          <w:sz w:val="20"/>
          <w:szCs w:val="20"/>
        </w:rPr>
        <w:footnoteRef/>
      </w:r>
      <w:r>
        <w:rPr>
          <w:rFonts w:asciiTheme="minorHAnsi" w:hAnsiTheme="minorHAnsi" w:cstheme="minorHAnsi"/>
          <w:sz w:val="20"/>
          <w:szCs w:val="20"/>
        </w:rPr>
        <w:t>ibid</w:t>
      </w:r>
    </w:p>
  </w:footnote>
  <w:footnote w:id="34">
    <w:p w14:paraId="73094AC9" w14:textId="77777777" w:rsidR="00C141F8" w:rsidRDefault="00C141F8" w:rsidP="0084731F">
      <w:pPr>
        <w:pStyle w:val="Ingenafstand"/>
        <w:rPr>
          <w:rFonts w:asciiTheme="minorHAnsi" w:hAnsiTheme="minorHAnsi" w:cstheme="minorHAnsi"/>
          <w:sz w:val="20"/>
          <w:szCs w:val="20"/>
        </w:rPr>
      </w:pPr>
      <w:r>
        <w:rPr>
          <w:rStyle w:val="Fodnotehenvisning"/>
          <w:rFonts w:asciiTheme="minorHAnsi" w:hAnsiTheme="minorHAnsi" w:cstheme="minorHAnsi"/>
          <w:sz w:val="20"/>
          <w:szCs w:val="20"/>
        </w:rPr>
        <w:footnoteRef/>
      </w:r>
      <w:r>
        <w:rPr>
          <w:rFonts w:asciiTheme="minorHAnsi" w:hAnsiTheme="minorHAnsi" w:cstheme="minorHAnsi"/>
          <w:sz w:val="20"/>
          <w:szCs w:val="20"/>
        </w:rPr>
        <w:t xml:space="preserve"> Author observation from various media reports.</w:t>
      </w:r>
    </w:p>
  </w:footnote>
  <w:footnote w:id="35">
    <w:p w14:paraId="4686E5A6" w14:textId="77777777" w:rsidR="00C141F8" w:rsidRPr="00E26C86" w:rsidRDefault="00C141F8" w:rsidP="006C74C6">
      <w:pPr>
        <w:pStyle w:val="Ingenafstand"/>
        <w:rPr>
          <w:sz w:val="18"/>
        </w:rPr>
      </w:pPr>
      <w:r>
        <w:rPr>
          <w:rStyle w:val="Fodnotehenvisning"/>
        </w:rPr>
        <w:footnoteRef/>
      </w:r>
      <w:r>
        <w:t xml:space="preserve"> </w:t>
      </w:r>
      <w:r w:rsidRPr="00E26C86">
        <w:rPr>
          <w:rFonts w:ascii="Calibri" w:hAnsi="Calibri"/>
          <w:sz w:val="20"/>
        </w:rPr>
        <w:t>The following builds the ICCPR, 19 Aug 2014; Amnesty International’s Annual Report on Malawi 2014/15, and ‘Malawi: UPR Submission, Se</w:t>
      </w:r>
      <w:r>
        <w:rPr>
          <w:rFonts w:ascii="Calibri" w:hAnsi="Calibri"/>
          <w:sz w:val="20"/>
        </w:rPr>
        <w:t xml:space="preserve">pt 2014’, by Human Rights Watch as well as </w:t>
      </w:r>
      <w:r w:rsidRPr="00E26C86">
        <w:rPr>
          <w:rFonts w:ascii="Calibri" w:hAnsi="Calibri"/>
          <w:sz w:val="20"/>
        </w:rPr>
        <w:t xml:space="preserve">on </w:t>
      </w:r>
      <w:r>
        <w:rPr>
          <w:rFonts w:ascii="Calibri" w:hAnsi="Calibri"/>
          <w:sz w:val="20"/>
        </w:rPr>
        <w:t xml:space="preserve">MTE </w:t>
      </w:r>
      <w:r w:rsidRPr="00E26C86">
        <w:rPr>
          <w:rFonts w:ascii="Calibri" w:hAnsi="Calibri"/>
          <w:sz w:val="20"/>
        </w:rPr>
        <w:t>int</w:t>
      </w:r>
      <w:r>
        <w:rPr>
          <w:rFonts w:ascii="Calibri" w:hAnsi="Calibri"/>
          <w:sz w:val="20"/>
        </w:rPr>
        <w:t>erviews with the DP’s in Malawi.</w:t>
      </w:r>
    </w:p>
  </w:footnote>
  <w:footnote w:id="36">
    <w:p w14:paraId="4024E90C" w14:textId="77777777" w:rsidR="00C141F8" w:rsidRPr="00996BA2" w:rsidRDefault="00C141F8">
      <w:pPr>
        <w:pStyle w:val="Fodnotetekst"/>
        <w:rPr>
          <w:lang w:val="en-GB"/>
        </w:rPr>
      </w:pPr>
      <w:r>
        <w:rPr>
          <w:rStyle w:val="Fodnotehenvisning"/>
        </w:rPr>
        <w:footnoteRef/>
      </w:r>
      <w:r>
        <w:rPr>
          <w:lang w:val="en-GB"/>
        </w:rPr>
        <w:t xml:space="preserve"> “</w:t>
      </w:r>
      <w:r w:rsidRPr="00996BA2">
        <w:rPr>
          <w:lang w:val="en-GB"/>
        </w:rPr>
        <w:t>Ma</w:t>
      </w:r>
      <w:r>
        <w:rPr>
          <w:lang w:val="en-GB"/>
        </w:rPr>
        <w:t>lawi: UPR Submission, Sept 2014”</w:t>
      </w:r>
      <w:r w:rsidRPr="00996BA2">
        <w:rPr>
          <w:lang w:val="en-GB"/>
        </w:rPr>
        <w:t>, by Human Rights Watch.</w:t>
      </w:r>
    </w:p>
  </w:footnote>
  <w:footnote w:id="37">
    <w:p w14:paraId="630D3FBC" w14:textId="77777777" w:rsidR="00C141F8" w:rsidRPr="00905990" w:rsidRDefault="00C141F8" w:rsidP="0043334F">
      <w:pPr>
        <w:pStyle w:val="Fodnotetekst"/>
        <w:rPr>
          <w:lang w:val="en-US"/>
        </w:rPr>
      </w:pPr>
      <w:r>
        <w:rPr>
          <w:rStyle w:val="Fodnotehenvisning"/>
        </w:rPr>
        <w:footnoteRef/>
      </w:r>
      <w:r w:rsidRPr="00905990">
        <w:rPr>
          <w:lang w:val="en-US"/>
        </w:rPr>
        <w:t xml:space="preserve"> ICCPR, </w:t>
      </w:r>
      <w:r>
        <w:rPr>
          <w:lang w:val="en-US"/>
        </w:rPr>
        <w:t>19 Aug 2014, Section C6</w:t>
      </w:r>
      <w:r w:rsidRPr="00905990">
        <w:rPr>
          <w:lang w:val="en-US"/>
        </w:rPr>
        <w:t>.</w:t>
      </w:r>
    </w:p>
  </w:footnote>
  <w:footnote w:id="38">
    <w:p w14:paraId="0E52E8FD" w14:textId="77777777" w:rsidR="00C141F8" w:rsidRDefault="00C141F8" w:rsidP="00652946">
      <w:pPr>
        <w:pStyle w:val="Ingenafstand"/>
        <w:rPr>
          <w:rFonts w:asciiTheme="minorHAnsi" w:hAnsiTheme="minorHAnsi" w:cstheme="minorHAnsi"/>
          <w:sz w:val="20"/>
          <w:szCs w:val="20"/>
        </w:rPr>
      </w:pPr>
      <w:r>
        <w:rPr>
          <w:rStyle w:val="Fodnotehenvisning"/>
          <w:rFonts w:asciiTheme="minorHAnsi" w:hAnsiTheme="minorHAnsi" w:cstheme="minorHAnsi"/>
          <w:sz w:val="20"/>
          <w:szCs w:val="20"/>
        </w:rPr>
        <w:footnoteRef/>
      </w:r>
      <w:r>
        <w:rPr>
          <w:rFonts w:asciiTheme="minorHAnsi" w:hAnsiTheme="minorHAnsi" w:cstheme="minorHAnsi"/>
          <w:sz w:val="20"/>
          <w:szCs w:val="20"/>
        </w:rPr>
        <w:t>Mario Classen, Carmen Alpin-Lardies: “</w:t>
      </w:r>
      <w:r w:rsidRPr="00A50CE4">
        <w:rPr>
          <w:rFonts w:asciiTheme="minorHAnsi" w:hAnsiTheme="minorHAnsi" w:cstheme="minorHAnsi"/>
          <w:sz w:val="20"/>
          <w:szCs w:val="20"/>
        </w:rPr>
        <w:t>Social Accountability in Africa: Practitioners' Experiences and Lessons</w:t>
      </w:r>
      <w:r>
        <w:rPr>
          <w:rFonts w:asciiTheme="minorHAnsi" w:hAnsiTheme="minorHAnsi" w:cstheme="minorHAnsi"/>
          <w:sz w:val="20"/>
          <w:szCs w:val="20"/>
        </w:rPr>
        <w:t>”</w:t>
      </w:r>
      <w:r>
        <w:rPr>
          <w:rFonts w:asciiTheme="minorHAnsi" w:hAnsiTheme="minorHAnsi" w:cstheme="minorHAnsi"/>
          <w:i/>
          <w:sz w:val="20"/>
          <w:szCs w:val="20"/>
        </w:rPr>
        <w:t xml:space="preserve"> </w:t>
      </w:r>
      <w:r>
        <w:rPr>
          <w:rFonts w:asciiTheme="minorHAnsi" w:hAnsiTheme="minorHAnsi" w:cstheme="minorHAnsi"/>
          <w:sz w:val="20"/>
          <w:szCs w:val="20"/>
        </w:rPr>
        <w:t>(African Books Collective: 2010).</w:t>
      </w:r>
    </w:p>
  </w:footnote>
  <w:footnote w:id="39">
    <w:p w14:paraId="1DC0F5A6" w14:textId="77777777" w:rsidR="00C141F8" w:rsidRDefault="00C141F8" w:rsidP="00652946">
      <w:pPr>
        <w:pStyle w:val="Ingenafstand"/>
        <w:rPr>
          <w:rFonts w:asciiTheme="minorHAnsi" w:hAnsiTheme="minorHAnsi" w:cstheme="minorHAnsi"/>
          <w:sz w:val="20"/>
          <w:szCs w:val="20"/>
        </w:rPr>
      </w:pPr>
      <w:r>
        <w:rPr>
          <w:rStyle w:val="Fodnotehenvisning"/>
          <w:rFonts w:asciiTheme="minorHAnsi" w:hAnsiTheme="minorHAnsi" w:cstheme="minorHAnsi"/>
          <w:sz w:val="20"/>
          <w:szCs w:val="20"/>
        </w:rPr>
        <w:footnoteRef/>
      </w:r>
      <w:r>
        <w:rPr>
          <w:rFonts w:asciiTheme="minorHAnsi" w:hAnsiTheme="minorHAnsi" w:cstheme="minorHAnsi"/>
          <w:sz w:val="20"/>
          <w:szCs w:val="20"/>
        </w:rPr>
        <w:t xml:space="preserve"> Section 125 of the Constitution reads: ‘A person holding the office of Ombudsman shall (a) be provided with the necessary resources to discharge the functions of that office;’</w:t>
      </w:r>
    </w:p>
  </w:footnote>
  <w:footnote w:id="40">
    <w:p w14:paraId="0E9C9C94" w14:textId="77777777" w:rsidR="00C141F8" w:rsidRDefault="00C141F8" w:rsidP="00652946">
      <w:pPr>
        <w:pStyle w:val="Ingenafstand"/>
        <w:rPr>
          <w:rFonts w:asciiTheme="minorHAnsi" w:hAnsiTheme="minorHAnsi" w:cstheme="minorHAnsi"/>
          <w:sz w:val="20"/>
          <w:szCs w:val="20"/>
        </w:rPr>
      </w:pPr>
      <w:r>
        <w:rPr>
          <w:rStyle w:val="Fodnotehenvisning"/>
          <w:rFonts w:asciiTheme="minorHAnsi" w:hAnsiTheme="minorHAnsi" w:cstheme="minorHAnsi"/>
          <w:sz w:val="20"/>
          <w:szCs w:val="20"/>
        </w:rPr>
        <w:footnoteRef/>
      </w:r>
      <w:r>
        <w:rPr>
          <w:rFonts w:asciiTheme="minorHAnsi" w:hAnsiTheme="minorHAnsi" w:cstheme="minorHAnsi"/>
          <w:sz w:val="20"/>
          <w:szCs w:val="20"/>
        </w:rPr>
        <w:t xml:space="preserve"> Section 12 of the Ombudsman’s Act reads: ‘The expenditure in connexion with the office of the Ombudsman and the exercise of his power and the performance of his duties and functions shall be paid from moneys appropriated by Parliament for that purpose.’</w:t>
      </w:r>
    </w:p>
  </w:footnote>
  <w:footnote w:id="41">
    <w:p w14:paraId="292F80E1" w14:textId="77777777" w:rsidR="00C141F8" w:rsidRDefault="00C141F8" w:rsidP="00652946">
      <w:pPr>
        <w:pStyle w:val="Ingenafstand"/>
        <w:rPr>
          <w:rFonts w:asciiTheme="minorHAnsi" w:hAnsiTheme="minorHAnsi" w:cstheme="minorHAnsi"/>
          <w:sz w:val="20"/>
          <w:szCs w:val="20"/>
        </w:rPr>
      </w:pPr>
      <w:r>
        <w:rPr>
          <w:rStyle w:val="Fodnotehenvisning"/>
          <w:rFonts w:asciiTheme="minorHAnsi" w:hAnsiTheme="minorHAnsi" w:cstheme="minorHAnsi"/>
          <w:sz w:val="20"/>
          <w:szCs w:val="20"/>
        </w:rPr>
        <w:footnoteRef/>
      </w:r>
      <w:r>
        <w:rPr>
          <w:rFonts w:asciiTheme="minorHAnsi" w:hAnsiTheme="minorHAnsi" w:cstheme="minorHAnsi"/>
          <w:sz w:val="20"/>
          <w:szCs w:val="20"/>
        </w:rPr>
        <w:t>MTE Interview with Mr Lodzeni, Executive Secretary- Office of the Ombudsman.</w:t>
      </w:r>
    </w:p>
  </w:footnote>
  <w:footnote w:id="42">
    <w:p w14:paraId="1E700A89" w14:textId="77777777" w:rsidR="00C141F8" w:rsidRDefault="00C141F8" w:rsidP="00652946">
      <w:pPr>
        <w:pStyle w:val="Ingenafstand"/>
        <w:rPr>
          <w:rFonts w:asciiTheme="minorHAnsi" w:hAnsiTheme="minorHAnsi" w:cstheme="minorHAnsi"/>
          <w:sz w:val="20"/>
          <w:szCs w:val="20"/>
        </w:rPr>
      </w:pPr>
      <w:r>
        <w:rPr>
          <w:rStyle w:val="Fodnotehenvisning"/>
          <w:rFonts w:asciiTheme="minorHAnsi" w:hAnsiTheme="minorHAnsi" w:cstheme="minorHAnsi"/>
          <w:sz w:val="20"/>
          <w:szCs w:val="20"/>
        </w:rPr>
        <w:footnoteRef/>
      </w:r>
      <w:r>
        <w:rPr>
          <w:rFonts w:asciiTheme="minorHAnsi" w:hAnsiTheme="minorHAnsi" w:cstheme="minorHAnsi"/>
          <w:sz w:val="20"/>
          <w:szCs w:val="20"/>
        </w:rPr>
        <w:t xml:space="preserve"> For instance see N. Patel </w:t>
      </w:r>
      <w:r w:rsidRPr="004C29AC">
        <w:rPr>
          <w:rFonts w:asciiTheme="minorHAnsi" w:hAnsiTheme="minorHAnsi" w:cstheme="minorHAnsi"/>
          <w:sz w:val="20"/>
          <w:szCs w:val="20"/>
        </w:rPr>
        <w:t>Promoting the effectiveness of democracy protection institutions in southern Africa the Malawi human rights commission and the office of the ombudsman</w:t>
      </w:r>
      <w:r>
        <w:rPr>
          <w:rFonts w:asciiTheme="minorHAnsi" w:hAnsiTheme="minorHAnsi" w:cstheme="minorHAnsi"/>
          <w:sz w:val="20"/>
          <w:szCs w:val="20"/>
        </w:rPr>
        <w:t>(2009) p 22.Also see BA Andreassen and T Oftedal, ‘The Office of the Ombudsman (OoO) in Malawi - An Appraisal’, NORAD Collected Reviews (May 2007) Commissioned by the Royal Norwegian Embassy, Lilongwe. Also see Report of the International Bar Association’s Human Rights Institute (August 2012) p. 28.</w:t>
      </w:r>
    </w:p>
  </w:footnote>
  <w:footnote w:id="43">
    <w:p w14:paraId="4B50F898" w14:textId="77777777" w:rsidR="00C141F8" w:rsidRDefault="00C141F8" w:rsidP="00652946">
      <w:pPr>
        <w:pStyle w:val="Ingenafstand"/>
        <w:rPr>
          <w:rFonts w:asciiTheme="minorHAnsi" w:hAnsiTheme="minorHAnsi" w:cstheme="minorHAnsi"/>
          <w:sz w:val="20"/>
          <w:szCs w:val="20"/>
        </w:rPr>
      </w:pPr>
      <w:r>
        <w:rPr>
          <w:rStyle w:val="Fodnotehenvisning"/>
          <w:rFonts w:asciiTheme="minorHAnsi" w:hAnsiTheme="minorHAnsi" w:cstheme="minorHAnsi"/>
          <w:sz w:val="20"/>
          <w:szCs w:val="20"/>
        </w:rPr>
        <w:footnoteRef/>
      </w:r>
      <w:r>
        <w:rPr>
          <w:rFonts w:asciiTheme="minorHAnsi" w:hAnsiTheme="minorHAnsi" w:cstheme="minorHAnsi"/>
          <w:sz w:val="20"/>
          <w:szCs w:val="20"/>
        </w:rPr>
        <w:t>Interview with Mr Lodzeni, Executive Secretary- Office of the Ombudsman.</w:t>
      </w:r>
    </w:p>
  </w:footnote>
  <w:footnote w:id="44">
    <w:p w14:paraId="7C5DBC5A" w14:textId="77777777" w:rsidR="00C141F8" w:rsidRDefault="00C141F8" w:rsidP="00652946">
      <w:pPr>
        <w:pStyle w:val="Ingenafstand"/>
        <w:rPr>
          <w:rFonts w:asciiTheme="minorHAnsi" w:hAnsiTheme="minorHAnsi" w:cstheme="minorHAnsi"/>
          <w:sz w:val="20"/>
          <w:szCs w:val="20"/>
        </w:rPr>
      </w:pPr>
      <w:r>
        <w:rPr>
          <w:rStyle w:val="Fodnotehenvisning"/>
          <w:rFonts w:asciiTheme="minorHAnsi" w:hAnsiTheme="minorHAnsi" w:cstheme="minorHAnsi"/>
          <w:sz w:val="20"/>
          <w:szCs w:val="20"/>
        </w:rPr>
        <w:footnoteRef/>
      </w:r>
      <w:r>
        <w:rPr>
          <w:rFonts w:asciiTheme="minorHAnsi" w:hAnsiTheme="minorHAnsi" w:cstheme="minorHAnsi"/>
          <w:sz w:val="20"/>
          <w:szCs w:val="20"/>
        </w:rPr>
        <w:t>Ibid.</w:t>
      </w:r>
    </w:p>
  </w:footnote>
  <w:footnote w:id="45">
    <w:p w14:paraId="330FC06F" w14:textId="77777777" w:rsidR="00C141F8" w:rsidRDefault="00C141F8" w:rsidP="00652946">
      <w:pPr>
        <w:pStyle w:val="Ingenafstand"/>
        <w:rPr>
          <w:rFonts w:asciiTheme="minorHAnsi" w:hAnsiTheme="minorHAnsi" w:cstheme="minorHAnsi"/>
          <w:sz w:val="20"/>
          <w:szCs w:val="20"/>
        </w:rPr>
      </w:pPr>
      <w:r>
        <w:rPr>
          <w:rStyle w:val="Fodnotehenvisning"/>
          <w:rFonts w:asciiTheme="minorHAnsi" w:hAnsiTheme="minorHAnsi" w:cstheme="minorHAnsi"/>
          <w:sz w:val="20"/>
          <w:szCs w:val="20"/>
        </w:rPr>
        <w:footnoteRef/>
      </w:r>
      <w:r>
        <w:rPr>
          <w:rFonts w:asciiTheme="minorHAnsi" w:hAnsiTheme="minorHAnsi" w:cstheme="minorHAnsi"/>
          <w:sz w:val="20"/>
          <w:szCs w:val="20"/>
        </w:rPr>
        <w:t>Ibid.</w:t>
      </w:r>
    </w:p>
  </w:footnote>
  <w:footnote w:id="46">
    <w:p w14:paraId="7E561FFD" w14:textId="77777777" w:rsidR="00C141F8" w:rsidRDefault="00C141F8" w:rsidP="00652946">
      <w:pPr>
        <w:pStyle w:val="Ingenafstand"/>
        <w:rPr>
          <w:rFonts w:asciiTheme="minorHAnsi" w:hAnsiTheme="minorHAnsi" w:cstheme="minorHAnsi"/>
          <w:sz w:val="20"/>
          <w:szCs w:val="20"/>
        </w:rPr>
      </w:pPr>
      <w:r>
        <w:rPr>
          <w:rStyle w:val="Fodnotehenvisning"/>
          <w:rFonts w:asciiTheme="minorHAnsi" w:hAnsiTheme="minorHAnsi" w:cstheme="minorHAnsi"/>
          <w:sz w:val="20"/>
          <w:szCs w:val="20"/>
        </w:rPr>
        <w:footnoteRef/>
      </w:r>
      <w:r>
        <w:rPr>
          <w:rFonts w:asciiTheme="minorHAnsi" w:hAnsiTheme="minorHAnsi" w:cstheme="minorHAnsi"/>
          <w:sz w:val="20"/>
          <w:szCs w:val="20"/>
        </w:rPr>
        <w:t>Ibid.</w:t>
      </w:r>
    </w:p>
  </w:footnote>
  <w:footnote w:id="47">
    <w:p w14:paraId="4916198E" w14:textId="77777777" w:rsidR="00C141F8" w:rsidRDefault="00C141F8" w:rsidP="00652946">
      <w:pPr>
        <w:pStyle w:val="Ingenafstand"/>
        <w:rPr>
          <w:rFonts w:asciiTheme="minorHAnsi" w:hAnsiTheme="minorHAnsi" w:cstheme="minorHAnsi"/>
          <w:sz w:val="20"/>
          <w:szCs w:val="20"/>
          <w:lang w:val="en-ZA"/>
        </w:rPr>
      </w:pPr>
      <w:r>
        <w:rPr>
          <w:rStyle w:val="Fodnotehenvisning"/>
          <w:rFonts w:asciiTheme="minorHAnsi" w:hAnsiTheme="minorHAnsi" w:cstheme="minorHAnsi"/>
          <w:sz w:val="20"/>
          <w:szCs w:val="20"/>
        </w:rPr>
        <w:footnoteRef/>
      </w:r>
      <w:r>
        <w:rPr>
          <w:rFonts w:asciiTheme="minorHAnsi" w:hAnsiTheme="minorHAnsi" w:cstheme="minorHAnsi"/>
          <w:sz w:val="20"/>
          <w:szCs w:val="20"/>
          <w:lang w:val="en-ZA"/>
        </w:rPr>
        <w:t>Ibid.</w:t>
      </w:r>
    </w:p>
  </w:footnote>
  <w:footnote w:id="48">
    <w:p w14:paraId="6FDF451C" w14:textId="77777777" w:rsidR="00C141F8" w:rsidRDefault="00C141F8" w:rsidP="00652946">
      <w:pPr>
        <w:pStyle w:val="Ingenafstand"/>
        <w:rPr>
          <w:rFonts w:asciiTheme="minorHAnsi" w:hAnsiTheme="minorHAnsi" w:cstheme="minorHAnsi"/>
          <w:sz w:val="20"/>
          <w:szCs w:val="20"/>
        </w:rPr>
      </w:pPr>
      <w:r>
        <w:rPr>
          <w:rStyle w:val="Fodnotehenvisning"/>
          <w:rFonts w:asciiTheme="minorHAnsi" w:hAnsiTheme="minorHAnsi" w:cstheme="minorHAnsi"/>
          <w:sz w:val="20"/>
          <w:szCs w:val="20"/>
        </w:rPr>
        <w:footnoteRef/>
      </w:r>
      <w:r>
        <w:rPr>
          <w:rFonts w:asciiTheme="minorHAnsi" w:hAnsiTheme="minorHAnsi" w:cstheme="minorHAnsi"/>
          <w:sz w:val="20"/>
          <w:szCs w:val="20"/>
        </w:rPr>
        <w:t xml:space="preserve">Farzana Nawaz, </w:t>
      </w:r>
      <w:r w:rsidRPr="00C04763">
        <w:rPr>
          <w:rFonts w:asciiTheme="minorHAnsi" w:hAnsiTheme="minorHAnsi" w:cstheme="minorHAnsi"/>
          <w:sz w:val="20"/>
          <w:szCs w:val="20"/>
        </w:rPr>
        <w:t>Overview of corruption and anti-corruption in Malawi Transparency International</w:t>
      </w:r>
      <w:r>
        <w:rPr>
          <w:rFonts w:asciiTheme="minorHAnsi" w:hAnsiTheme="minorHAnsi" w:cstheme="minorHAnsi"/>
          <w:sz w:val="20"/>
          <w:szCs w:val="20"/>
        </w:rPr>
        <w:t>: 2012.</w:t>
      </w:r>
    </w:p>
  </w:footnote>
  <w:footnote w:id="49">
    <w:p w14:paraId="636B2BEB" w14:textId="77777777" w:rsidR="00C141F8" w:rsidRPr="00CD56B9" w:rsidRDefault="00C141F8" w:rsidP="00D46891">
      <w:pPr>
        <w:pStyle w:val="Fodnotetekst"/>
        <w:rPr>
          <w:lang w:val="en-US"/>
        </w:rPr>
      </w:pPr>
      <w:r>
        <w:rPr>
          <w:rStyle w:val="Fodnotehenvisning"/>
        </w:rPr>
        <w:footnoteRef/>
      </w:r>
      <w:r w:rsidRPr="00CD56B9">
        <w:rPr>
          <w:lang w:val="en-US"/>
        </w:rPr>
        <w:t xml:space="preserve"> See O’Neil et al: Fragmented governance and local service delivery in Malawi, ODI 2014 for a thorough analysis on decentralisation in Malawi and Cross et al:  Decentralisation and Rural Livelihoods in Malawi, Sept 2001 for a more fundamental discussion on patrimonial traditions and root causes for failed decentralization in Malawi.</w:t>
      </w:r>
    </w:p>
  </w:footnote>
  <w:footnote w:id="50">
    <w:p w14:paraId="2180D42E" w14:textId="77777777" w:rsidR="00C141F8" w:rsidRPr="00CD56B9" w:rsidRDefault="00C141F8" w:rsidP="00BF75D2">
      <w:pPr>
        <w:rPr>
          <w:lang w:val="en-US"/>
        </w:rPr>
      </w:pPr>
      <w:r>
        <w:rPr>
          <w:rStyle w:val="Fodnotehenvisning"/>
        </w:rPr>
        <w:footnoteRef/>
      </w:r>
      <w:r w:rsidRPr="00CD56B9">
        <w:rPr>
          <w:lang w:val="en-US"/>
        </w:rPr>
        <w:t xml:space="preserve"> </w:t>
      </w:r>
      <w:r w:rsidRPr="00CD56B9">
        <w:rPr>
          <w:sz w:val="20"/>
          <w:lang w:val="en-US"/>
        </w:rPr>
        <w:t>Elaboration of a Toolkit for Facilitating the Implementation of the SDGs at Local Level - A UNDP, Un-Habitat, GTF Partnership.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B8A573" w14:textId="77777777" w:rsidR="00C141F8" w:rsidRDefault="00C141F8">
    <w:pPr>
      <w:pStyle w:val="Sidehoved"/>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B40932" w14:textId="77777777" w:rsidR="00C141F8" w:rsidRDefault="00C141F8">
    <w:pPr>
      <w:pStyle w:val="Sidehoved"/>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A8E835" w14:textId="77777777" w:rsidR="00C141F8" w:rsidRDefault="00C141F8">
    <w:pPr>
      <w:pStyle w:val="Sidehoved"/>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EC32F" w14:textId="77777777" w:rsidR="00C141F8" w:rsidRDefault="00C141F8">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69A48" w14:textId="77777777" w:rsidR="00C141F8" w:rsidRDefault="00C141F8">
    <w:pPr>
      <w:pStyle w:val="Sidehove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181623" w14:textId="77777777" w:rsidR="00C141F8" w:rsidRDefault="00C141F8">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BE07FA" w14:textId="77777777" w:rsidR="00C141F8" w:rsidRDefault="00C141F8">
    <w:pPr>
      <w:pStyle w:val="Sidehove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04FB92" w14:textId="77777777" w:rsidR="00C141F8" w:rsidRDefault="00C141F8">
    <w:pPr>
      <w:pStyle w:val="Sidehoved"/>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A9000B" w14:textId="77777777" w:rsidR="00C141F8" w:rsidRDefault="00C141F8">
    <w:pPr>
      <w:pStyle w:val="Sidehoved"/>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D95E34" w14:textId="77777777" w:rsidR="00AB5496" w:rsidRDefault="00AB5496">
    <w:pPr>
      <w:pStyle w:val="Sidehoved"/>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025E4" w14:textId="77777777" w:rsidR="00AB5496" w:rsidRDefault="00AB5496">
    <w:pPr>
      <w:pStyle w:val="Sidehoved"/>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80C53C" w14:textId="77777777" w:rsidR="00AB5496" w:rsidRDefault="00AB5496">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83CAF"/>
    <w:multiLevelType w:val="hybridMultilevel"/>
    <w:tmpl w:val="96408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F5BE1"/>
    <w:multiLevelType w:val="hybridMultilevel"/>
    <w:tmpl w:val="3C06159A"/>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9529D"/>
    <w:multiLevelType w:val="hybridMultilevel"/>
    <w:tmpl w:val="231C5B5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15:restartNumberingAfterBreak="0">
    <w:nsid w:val="0D825F74"/>
    <w:multiLevelType w:val="hybridMultilevel"/>
    <w:tmpl w:val="3AD0C324"/>
    <w:lvl w:ilvl="0" w:tplc="E7BEE088">
      <w:start w:val="1"/>
      <w:numFmt w:val="decimal"/>
      <w:lvlText w:val="%1."/>
      <w:lvlJc w:val="left"/>
      <w:pPr>
        <w:ind w:left="360" w:hanging="360"/>
      </w:pPr>
      <w:rPr>
        <w:rFonts w:hint="default"/>
        <w:b/>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0E2F45E2"/>
    <w:multiLevelType w:val="hybridMultilevel"/>
    <w:tmpl w:val="69F67F86"/>
    <w:lvl w:ilvl="0" w:tplc="F96C5138">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15:restartNumberingAfterBreak="0">
    <w:nsid w:val="152F6A5C"/>
    <w:multiLevelType w:val="hybridMultilevel"/>
    <w:tmpl w:val="213C566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1537059E"/>
    <w:multiLevelType w:val="hybridMultilevel"/>
    <w:tmpl w:val="F1FA82FA"/>
    <w:lvl w:ilvl="0" w:tplc="04090001">
      <w:start w:val="1"/>
      <w:numFmt w:val="bullet"/>
      <w:lvlText w:val=""/>
      <w:lvlJc w:val="left"/>
      <w:pPr>
        <w:tabs>
          <w:tab w:val="num" w:pos="1004"/>
        </w:tabs>
        <w:ind w:left="1004" w:hanging="360"/>
      </w:pPr>
      <w:rPr>
        <w:rFonts w:ascii="Symbol" w:hAnsi="Symbol"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7" w15:restartNumberingAfterBreak="0">
    <w:nsid w:val="23A23248"/>
    <w:multiLevelType w:val="hybridMultilevel"/>
    <w:tmpl w:val="844CE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BB29E5"/>
    <w:multiLevelType w:val="hybridMultilevel"/>
    <w:tmpl w:val="C0FAF0D0"/>
    <w:lvl w:ilvl="0" w:tplc="0809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15:restartNumberingAfterBreak="0">
    <w:nsid w:val="2E3C6333"/>
    <w:multiLevelType w:val="hybridMultilevel"/>
    <w:tmpl w:val="BFEC3EFA"/>
    <w:lvl w:ilvl="0" w:tplc="1C090001">
      <w:start w:val="1"/>
      <w:numFmt w:val="bullet"/>
      <w:lvlText w:val=""/>
      <w:lvlJc w:val="left"/>
      <w:pPr>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0" w15:restartNumberingAfterBreak="0">
    <w:nsid w:val="30C76D3F"/>
    <w:multiLevelType w:val="hybridMultilevel"/>
    <w:tmpl w:val="D1ECF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5B1CF5"/>
    <w:multiLevelType w:val="hybridMultilevel"/>
    <w:tmpl w:val="D7847D96"/>
    <w:lvl w:ilvl="0" w:tplc="63FAC6F6">
      <w:start w:val="1"/>
      <w:numFmt w:val="decimal"/>
      <w:lvlText w:val="%1."/>
      <w:lvlJc w:val="left"/>
      <w:pPr>
        <w:ind w:left="720" w:hanging="360"/>
      </w:pPr>
      <w:rPr>
        <w:rFonts w:ascii="Arial" w:eastAsia="Arial" w:hAnsi="Arial"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C745E6"/>
    <w:multiLevelType w:val="multilevel"/>
    <w:tmpl w:val="7EE82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736851"/>
    <w:multiLevelType w:val="hybridMultilevel"/>
    <w:tmpl w:val="85E07C4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4" w15:restartNumberingAfterBreak="0">
    <w:nsid w:val="3DF07284"/>
    <w:multiLevelType w:val="hybridMultilevel"/>
    <w:tmpl w:val="21949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3E17EC"/>
    <w:multiLevelType w:val="hybridMultilevel"/>
    <w:tmpl w:val="228013AA"/>
    <w:lvl w:ilvl="0" w:tplc="97065FDC">
      <w:start w:val="1"/>
      <w:numFmt w:val="lowerLetter"/>
      <w:lvlText w:val="%1)"/>
      <w:lvlJc w:val="left"/>
      <w:pPr>
        <w:ind w:left="720" w:hanging="360"/>
      </w:pPr>
      <w:rPr>
        <w:rFonts w:hint="default"/>
        <w:u w:val="none"/>
      </w:rPr>
    </w:lvl>
    <w:lvl w:ilvl="1" w:tplc="B5B6793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607F65"/>
    <w:multiLevelType w:val="hybridMultilevel"/>
    <w:tmpl w:val="23469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786552"/>
    <w:multiLevelType w:val="hybridMultilevel"/>
    <w:tmpl w:val="B45472B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53314CB4"/>
    <w:multiLevelType w:val="hybridMultilevel"/>
    <w:tmpl w:val="9BFEC752"/>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55003B07"/>
    <w:multiLevelType w:val="hybridMultilevel"/>
    <w:tmpl w:val="3E7ED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471869"/>
    <w:multiLevelType w:val="hybridMultilevel"/>
    <w:tmpl w:val="369E989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57A17E90"/>
    <w:multiLevelType w:val="multilevel"/>
    <w:tmpl w:val="76A4D148"/>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8737CBA"/>
    <w:multiLevelType w:val="hybridMultilevel"/>
    <w:tmpl w:val="8CA049C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5DAB36F3"/>
    <w:multiLevelType w:val="hybridMultilevel"/>
    <w:tmpl w:val="372CF99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4" w15:restartNumberingAfterBreak="0">
    <w:nsid w:val="6A3C493E"/>
    <w:multiLevelType w:val="hybridMultilevel"/>
    <w:tmpl w:val="2264CA5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6D9F40F0"/>
    <w:multiLevelType w:val="hybridMultilevel"/>
    <w:tmpl w:val="EC0AE8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F67194C"/>
    <w:multiLevelType w:val="hybridMultilevel"/>
    <w:tmpl w:val="46746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414267"/>
    <w:multiLevelType w:val="hybridMultilevel"/>
    <w:tmpl w:val="54C6AFAA"/>
    <w:lvl w:ilvl="0" w:tplc="6A584C66">
      <w:start w:val="1"/>
      <w:numFmt w:val="lowerLetter"/>
      <w:lvlText w:val="%1)"/>
      <w:lvlJc w:val="left"/>
      <w:pPr>
        <w:ind w:left="360" w:hanging="360"/>
      </w:pPr>
      <w:rPr>
        <w:rFonts w:hint="default"/>
        <w: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3683931"/>
    <w:multiLevelType w:val="hybridMultilevel"/>
    <w:tmpl w:val="BBFAD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1808A6"/>
    <w:multiLevelType w:val="hybridMultilevel"/>
    <w:tmpl w:val="E466CB4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8A2129"/>
    <w:multiLevelType w:val="multilevel"/>
    <w:tmpl w:val="0770AD90"/>
    <w:lvl w:ilvl="0">
      <w:start w:val="1"/>
      <w:numFmt w:val="decimal"/>
      <w:lvlText w:val="%1"/>
      <w:lvlJc w:val="left"/>
      <w:pPr>
        <w:ind w:left="405" w:hanging="405"/>
      </w:pPr>
      <w:rPr>
        <w:rFonts w:hint="default"/>
      </w:rPr>
    </w:lvl>
    <w:lvl w:ilvl="1">
      <w:start w:val="1"/>
      <w:numFmt w:val="decimal"/>
      <w:pStyle w:val="Overskrift2"/>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9BB4BFD"/>
    <w:multiLevelType w:val="hybridMultilevel"/>
    <w:tmpl w:val="F53489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D975C10"/>
    <w:multiLevelType w:val="hybridMultilevel"/>
    <w:tmpl w:val="608663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E34159"/>
    <w:multiLevelType w:val="hybridMultilevel"/>
    <w:tmpl w:val="44FCE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E02EF8"/>
    <w:multiLevelType w:val="hybridMultilevel"/>
    <w:tmpl w:val="35C41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28"/>
  </w:num>
  <w:num w:numId="4">
    <w:abstractNumId w:val="6"/>
  </w:num>
  <w:num w:numId="5">
    <w:abstractNumId w:val="33"/>
  </w:num>
  <w:num w:numId="6">
    <w:abstractNumId w:val="14"/>
  </w:num>
  <w:num w:numId="7">
    <w:abstractNumId w:val="15"/>
  </w:num>
  <w:num w:numId="8">
    <w:abstractNumId w:val="31"/>
  </w:num>
  <w:num w:numId="9">
    <w:abstractNumId w:val="21"/>
  </w:num>
  <w:num w:numId="10">
    <w:abstractNumId w:val="3"/>
  </w:num>
  <w:num w:numId="11">
    <w:abstractNumId w:val="32"/>
  </w:num>
  <w:num w:numId="12">
    <w:abstractNumId w:val="16"/>
  </w:num>
  <w:num w:numId="13">
    <w:abstractNumId w:val="7"/>
  </w:num>
  <w:num w:numId="14">
    <w:abstractNumId w:val="34"/>
  </w:num>
  <w:num w:numId="15">
    <w:abstractNumId w:val="0"/>
  </w:num>
  <w:num w:numId="16">
    <w:abstractNumId w:val="19"/>
  </w:num>
  <w:num w:numId="17">
    <w:abstractNumId w:val="24"/>
  </w:num>
  <w:num w:numId="18">
    <w:abstractNumId w:val="17"/>
  </w:num>
  <w:num w:numId="1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25"/>
  </w:num>
  <w:num w:numId="22">
    <w:abstractNumId w:val="12"/>
  </w:num>
  <w:num w:numId="23">
    <w:abstractNumId w:val="22"/>
  </w:num>
  <w:num w:numId="24">
    <w:abstractNumId w:val="27"/>
  </w:num>
  <w:num w:numId="25">
    <w:abstractNumId w:val="1"/>
  </w:num>
  <w:num w:numId="26">
    <w:abstractNumId w:val="23"/>
  </w:num>
  <w:num w:numId="27">
    <w:abstractNumId w:val="2"/>
  </w:num>
  <w:num w:numId="28">
    <w:abstractNumId w:val="4"/>
  </w:num>
  <w:num w:numId="29">
    <w:abstractNumId w:val="30"/>
  </w:num>
  <w:num w:numId="30">
    <w:abstractNumId w:val="13"/>
  </w:num>
  <w:num w:numId="31">
    <w:abstractNumId w:val="26"/>
  </w:num>
  <w:num w:numId="3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startOverride w:val="4"/>
    </w:lvlOverride>
    <w:lvlOverride w:ilvl="1">
      <w:startOverride w:val="1"/>
    </w:lvlOverride>
    <w:lvlOverride w:ilvl="2">
      <w:startOverride w:val="5"/>
    </w:lvlOverride>
  </w:num>
  <w:num w:numId="3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removePersonalInformation/>
  <w:removeDateAndTime/>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920"/>
    <w:rsid w:val="00001604"/>
    <w:rsid w:val="00001BD9"/>
    <w:rsid w:val="000023C8"/>
    <w:rsid w:val="00002435"/>
    <w:rsid w:val="0000361D"/>
    <w:rsid w:val="00005726"/>
    <w:rsid w:val="000057A5"/>
    <w:rsid w:val="000103CE"/>
    <w:rsid w:val="00010827"/>
    <w:rsid w:val="00010B50"/>
    <w:rsid w:val="00012372"/>
    <w:rsid w:val="0001598E"/>
    <w:rsid w:val="00015D25"/>
    <w:rsid w:val="0001612E"/>
    <w:rsid w:val="00021253"/>
    <w:rsid w:val="000219D7"/>
    <w:rsid w:val="000239EB"/>
    <w:rsid w:val="0002451B"/>
    <w:rsid w:val="00024E04"/>
    <w:rsid w:val="00025CD8"/>
    <w:rsid w:val="00026E38"/>
    <w:rsid w:val="000304E8"/>
    <w:rsid w:val="000307DB"/>
    <w:rsid w:val="00031632"/>
    <w:rsid w:val="00032DD2"/>
    <w:rsid w:val="000377F8"/>
    <w:rsid w:val="00043FA7"/>
    <w:rsid w:val="000447B2"/>
    <w:rsid w:val="00044A26"/>
    <w:rsid w:val="000450DD"/>
    <w:rsid w:val="00045945"/>
    <w:rsid w:val="00045FB4"/>
    <w:rsid w:val="00046998"/>
    <w:rsid w:val="000473EA"/>
    <w:rsid w:val="000501FF"/>
    <w:rsid w:val="0005022E"/>
    <w:rsid w:val="00050AAF"/>
    <w:rsid w:val="00050D61"/>
    <w:rsid w:val="00052C3D"/>
    <w:rsid w:val="000537DD"/>
    <w:rsid w:val="000546BB"/>
    <w:rsid w:val="00054F7E"/>
    <w:rsid w:val="0005682B"/>
    <w:rsid w:val="0005726C"/>
    <w:rsid w:val="00057BCE"/>
    <w:rsid w:val="00057D48"/>
    <w:rsid w:val="00060543"/>
    <w:rsid w:val="00061781"/>
    <w:rsid w:val="00063CA6"/>
    <w:rsid w:val="00063E0A"/>
    <w:rsid w:val="0006493E"/>
    <w:rsid w:val="00064AFC"/>
    <w:rsid w:val="0006630C"/>
    <w:rsid w:val="00066ADF"/>
    <w:rsid w:val="00067DC8"/>
    <w:rsid w:val="0007034E"/>
    <w:rsid w:val="00070B31"/>
    <w:rsid w:val="00070E93"/>
    <w:rsid w:val="000715FB"/>
    <w:rsid w:val="00071FA2"/>
    <w:rsid w:val="0007275C"/>
    <w:rsid w:val="000731BC"/>
    <w:rsid w:val="0007529B"/>
    <w:rsid w:val="00075760"/>
    <w:rsid w:val="00080AA5"/>
    <w:rsid w:val="000812D0"/>
    <w:rsid w:val="00082A54"/>
    <w:rsid w:val="00082D50"/>
    <w:rsid w:val="00083DE8"/>
    <w:rsid w:val="00084F25"/>
    <w:rsid w:val="000860F8"/>
    <w:rsid w:val="00086B96"/>
    <w:rsid w:val="0008732E"/>
    <w:rsid w:val="00091A66"/>
    <w:rsid w:val="00091C38"/>
    <w:rsid w:val="00091E26"/>
    <w:rsid w:val="00091F82"/>
    <w:rsid w:val="00093A58"/>
    <w:rsid w:val="000A044C"/>
    <w:rsid w:val="000A24F2"/>
    <w:rsid w:val="000A25C7"/>
    <w:rsid w:val="000A31E9"/>
    <w:rsid w:val="000A3725"/>
    <w:rsid w:val="000A3A57"/>
    <w:rsid w:val="000A3CF2"/>
    <w:rsid w:val="000A3E44"/>
    <w:rsid w:val="000A622A"/>
    <w:rsid w:val="000A6B36"/>
    <w:rsid w:val="000B0516"/>
    <w:rsid w:val="000B073A"/>
    <w:rsid w:val="000B0FE2"/>
    <w:rsid w:val="000B1068"/>
    <w:rsid w:val="000B33F5"/>
    <w:rsid w:val="000B3A1F"/>
    <w:rsid w:val="000B3D09"/>
    <w:rsid w:val="000B538C"/>
    <w:rsid w:val="000B594B"/>
    <w:rsid w:val="000B7DEA"/>
    <w:rsid w:val="000C0EB1"/>
    <w:rsid w:val="000C1092"/>
    <w:rsid w:val="000C16E3"/>
    <w:rsid w:val="000C1749"/>
    <w:rsid w:val="000C1A60"/>
    <w:rsid w:val="000C1F82"/>
    <w:rsid w:val="000C2DE1"/>
    <w:rsid w:val="000C2F49"/>
    <w:rsid w:val="000C4C29"/>
    <w:rsid w:val="000C5488"/>
    <w:rsid w:val="000C5907"/>
    <w:rsid w:val="000C6A90"/>
    <w:rsid w:val="000C6BFA"/>
    <w:rsid w:val="000D14A1"/>
    <w:rsid w:val="000D1B98"/>
    <w:rsid w:val="000D2AFF"/>
    <w:rsid w:val="000D4429"/>
    <w:rsid w:val="000D4A86"/>
    <w:rsid w:val="000D55FA"/>
    <w:rsid w:val="000D5A67"/>
    <w:rsid w:val="000D639A"/>
    <w:rsid w:val="000D74E3"/>
    <w:rsid w:val="000D7686"/>
    <w:rsid w:val="000E0A4D"/>
    <w:rsid w:val="000E0B12"/>
    <w:rsid w:val="000E2820"/>
    <w:rsid w:val="000E3252"/>
    <w:rsid w:val="000E35B6"/>
    <w:rsid w:val="000E39C5"/>
    <w:rsid w:val="000E4AAD"/>
    <w:rsid w:val="000E58A0"/>
    <w:rsid w:val="000E708C"/>
    <w:rsid w:val="000F2ABE"/>
    <w:rsid w:val="000F2B37"/>
    <w:rsid w:val="000F31AE"/>
    <w:rsid w:val="000F36B9"/>
    <w:rsid w:val="000F3D28"/>
    <w:rsid w:val="000F5090"/>
    <w:rsid w:val="000F5CED"/>
    <w:rsid w:val="000F7906"/>
    <w:rsid w:val="001002FB"/>
    <w:rsid w:val="00100DB6"/>
    <w:rsid w:val="00100E52"/>
    <w:rsid w:val="00101010"/>
    <w:rsid w:val="00103C7F"/>
    <w:rsid w:val="00104625"/>
    <w:rsid w:val="001067B5"/>
    <w:rsid w:val="00106A9A"/>
    <w:rsid w:val="001073AF"/>
    <w:rsid w:val="00107764"/>
    <w:rsid w:val="001079AF"/>
    <w:rsid w:val="001103E1"/>
    <w:rsid w:val="00111F33"/>
    <w:rsid w:val="0011462B"/>
    <w:rsid w:val="00115BAE"/>
    <w:rsid w:val="00115BE1"/>
    <w:rsid w:val="00116721"/>
    <w:rsid w:val="00116B07"/>
    <w:rsid w:val="00120C36"/>
    <w:rsid w:val="00122109"/>
    <w:rsid w:val="00122431"/>
    <w:rsid w:val="0012248B"/>
    <w:rsid w:val="00122C22"/>
    <w:rsid w:val="00122E92"/>
    <w:rsid w:val="001237CE"/>
    <w:rsid w:val="0012513C"/>
    <w:rsid w:val="001263C9"/>
    <w:rsid w:val="001301BB"/>
    <w:rsid w:val="001315B3"/>
    <w:rsid w:val="00132641"/>
    <w:rsid w:val="00133426"/>
    <w:rsid w:val="00133F1D"/>
    <w:rsid w:val="00134CBD"/>
    <w:rsid w:val="00134EC7"/>
    <w:rsid w:val="00136833"/>
    <w:rsid w:val="00137883"/>
    <w:rsid w:val="001409FD"/>
    <w:rsid w:val="00140B05"/>
    <w:rsid w:val="00140B8B"/>
    <w:rsid w:val="00140DFC"/>
    <w:rsid w:val="00143619"/>
    <w:rsid w:val="001439A7"/>
    <w:rsid w:val="00143AEA"/>
    <w:rsid w:val="00143D43"/>
    <w:rsid w:val="00145FDE"/>
    <w:rsid w:val="00146334"/>
    <w:rsid w:val="001463AA"/>
    <w:rsid w:val="001474DC"/>
    <w:rsid w:val="001475B2"/>
    <w:rsid w:val="00147B22"/>
    <w:rsid w:val="001503D5"/>
    <w:rsid w:val="0015113C"/>
    <w:rsid w:val="00152114"/>
    <w:rsid w:val="00154130"/>
    <w:rsid w:val="00154329"/>
    <w:rsid w:val="001552A5"/>
    <w:rsid w:val="0015542E"/>
    <w:rsid w:val="00155A97"/>
    <w:rsid w:val="00156429"/>
    <w:rsid w:val="00156DA9"/>
    <w:rsid w:val="001614A4"/>
    <w:rsid w:val="001619D5"/>
    <w:rsid w:val="00162472"/>
    <w:rsid w:val="0016313F"/>
    <w:rsid w:val="001633EE"/>
    <w:rsid w:val="001642F5"/>
    <w:rsid w:val="0016437A"/>
    <w:rsid w:val="00165086"/>
    <w:rsid w:val="001652DE"/>
    <w:rsid w:val="001656CC"/>
    <w:rsid w:val="001657E9"/>
    <w:rsid w:val="00165B39"/>
    <w:rsid w:val="00167240"/>
    <w:rsid w:val="00170141"/>
    <w:rsid w:val="00180D64"/>
    <w:rsid w:val="00180E69"/>
    <w:rsid w:val="00181D6E"/>
    <w:rsid w:val="00183723"/>
    <w:rsid w:val="00183F95"/>
    <w:rsid w:val="0018440B"/>
    <w:rsid w:val="00185338"/>
    <w:rsid w:val="00185D8E"/>
    <w:rsid w:val="001862E6"/>
    <w:rsid w:val="00186545"/>
    <w:rsid w:val="001877C9"/>
    <w:rsid w:val="00190AE6"/>
    <w:rsid w:val="00190C7D"/>
    <w:rsid w:val="00191E34"/>
    <w:rsid w:val="00192627"/>
    <w:rsid w:val="001954A0"/>
    <w:rsid w:val="00195570"/>
    <w:rsid w:val="00195E0E"/>
    <w:rsid w:val="00195F55"/>
    <w:rsid w:val="0019698E"/>
    <w:rsid w:val="001A1E36"/>
    <w:rsid w:val="001A2097"/>
    <w:rsid w:val="001A2888"/>
    <w:rsid w:val="001A2C15"/>
    <w:rsid w:val="001A2FED"/>
    <w:rsid w:val="001A59EC"/>
    <w:rsid w:val="001A5F43"/>
    <w:rsid w:val="001A6BE0"/>
    <w:rsid w:val="001A6EA1"/>
    <w:rsid w:val="001A751C"/>
    <w:rsid w:val="001B04FB"/>
    <w:rsid w:val="001B05A1"/>
    <w:rsid w:val="001B0C93"/>
    <w:rsid w:val="001B0EB8"/>
    <w:rsid w:val="001B1E5B"/>
    <w:rsid w:val="001B2A11"/>
    <w:rsid w:val="001B2CB0"/>
    <w:rsid w:val="001B3E3C"/>
    <w:rsid w:val="001B426E"/>
    <w:rsid w:val="001B4397"/>
    <w:rsid w:val="001B4672"/>
    <w:rsid w:val="001B4BD1"/>
    <w:rsid w:val="001B528E"/>
    <w:rsid w:val="001B6002"/>
    <w:rsid w:val="001B657D"/>
    <w:rsid w:val="001B6F8C"/>
    <w:rsid w:val="001B756D"/>
    <w:rsid w:val="001B7908"/>
    <w:rsid w:val="001B7C42"/>
    <w:rsid w:val="001C1577"/>
    <w:rsid w:val="001C1DDC"/>
    <w:rsid w:val="001C2D25"/>
    <w:rsid w:val="001C3811"/>
    <w:rsid w:val="001C4857"/>
    <w:rsid w:val="001C49C2"/>
    <w:rsid w:val="001C5052"/>
    <w:rsid w:val="001C69D6"/>
    <w:rsid w:val="001C7895"/>
    <w:rsid w:val="001D0EAA"/>
    <w:rsid w:val="001D25DC"/>
    <w:rsid w:val="001D34F3"/>
    <w:rsid w:val="001D40AD"/>
    <w:rsid w:val="001D4631"/>
    <w:rsid w:val="001D6960"/>
    <w:rsid w:val="001D6DA5"/>
    <w:rsid w:val="001D7113"/>
    <w:rsid w:val="001E0576"/>
    <w:rsid w:val="001E1307"/>
    <w:rsid w:val="001E179D"/>
    <w:rsid w:val="001E21BB"/>
    <w:rsid w:val="001E2841"/>
    <w:rsid w:val="001E44DB"/>
    <w:rsid w:val="001E49F1"/>
    <w:rsid w:val="001E6244"/>
    <w:rsid w:val="001E62E5"/>
    <w:rsid w:val="001E6D0B"/>
    <w:rsid w:val="001E76BA"/>
    <w:rsid w:val="001F0347"/>
    <w:rsid w:val="001F0739"/>
    <w:rsid w:val="001F216F"/>
    <w:rsid w:val="001F2920"/>
    <w:rsid w:val="001F3B9D"/>
    <w:rsid w:val="001F3DA5"/>
    <w:rsid w:val="001F3E0D"/>
    <w:rsid w:val="001F4D4A"/>
    <w:rsid w:val="001F4EE1"/>
    <w:rsid w:val="001F5C2E"/>
    <w:rsid w:val="001F643A"/>
    <w:rsid w:val="001F745B"/>
    <w:rsid w:val="001F7BCE"/>
    <w:rsid w:val="001F7E07"/>
    <w:rsid w:val="002006EC"/>
    <w:rsid w:val="00201694"/>
    <w:rsid w:val="00201AC5"/>
    <w:rsid w:val="00202579"/>
    <w:rsid w:val="00202F8C"/>
    <w:rsid w:val="00203AB3"/>
    <w:rsid w:val="00205086"/>
    <w:rsid w:val="00206AC3"/>
    <w:rsid w:val="00210A8A"/>
    <w:rsid w:val="0021106E"/>
    <w:rsid w:val="0021143B"/>
    <w:rsid w:val="002124F6"/>
    <w:rsid w:val="002142CD"/>
    <w:rsid w:val="0021650D"/>
    <w:rsid w:val="00217C2B"/>
    <w:rsid w:val="00222C37"/>
    <w:rsid w:val="00223721"/>
    <w:rsid w:val="002240AD"/>
    <w:rsid w:val="002277BB"/>
    <w:rsid w:val="00230243"/>
    <w:rsid w:val="00231B6D"/>
    <w:rsid w:val="00233048"/>
    <w:rsid w:val="002330CE"/>
    <w:rsid w:val="002333D9"/>
    <w:rsid w:val="00236F73"/>
    <w:rsid w:val="00237271"/>
    <w:rsid w:val="002372C0"/>
    <w:rsid w:val="00237E39"/>
    <w:rsid w:val="002404F5"/>
    <w:rsid w:val="002406C3"/>
    <w:rsid w:val="00240A48"/>
    <w:rsid w:val="00240F95"/>
    <w:rsid w:val="00241A0B"/>
    <w:rsid w:val="002428F2"/>
    <w:rsid w:val="00243B5C"/>
    <w:rsid w:val="002444BB"/>
    <w:rsid w:val="0024486C"/>
    <w:rsid w:val="00244DEC"/>
    <w:rsid w:val="00246A2B"/>
    <w:rsid w:val="002515D6"/>
    <w:rsid w:val="00251673"/>
    <w:rsid w:val="00251736"/>
    <w:rsid w:val="002517B2"/>
    <w:rsid w:val="00251E18"/>
    <w:rsid w:val="00253FE6"/>
    <w:rsid w:val="0025435F"/>
    <w:rsid w:val="002545C6"/>
    <w:rsid w:val="002559D1"/>
    <w:rsid w:val="0025638A"/>
    <w:rsid w:val="00256CE1"/>
    <w:rsid w:val="00261753"/>
    <w:rsid w:val="00261CF2"/>
    <w:rsid w:val="0026313E"/>
    <w:rsid w:val="00263E77"/>
    <w:rsid w:val="00266573"/>
    <w:rsid w:val="002704AF"/>
    <w:rsid w:val="002707F5"/>
    <w:rsid w:val="00270C66"/>
    <w:rsid w:val="00270F91"/>
    <w:rsid w:val="002712D4"/>
    <w:rsid w:val="00272FA1"/>
    <w:rsid w:val="00275520"/>
    <w:rsid w:val="00276360"/>
    <w:rsid w:val="002766AA"/>
    <w:rsid w:val="00277C54"/>
    <w:rsid w:val="00277E3F"/>
    <w:rsid w:val="00277F4F"/>
    <w:rsid w:val="00281FFD"/>
    <w:rsid w:val="002822FA"/>
    <w:rsid w:val="00284EF7"/>
    <w:rsid w:val="00285005"/>
    <w:rsid w:val="00285963"/>
    <w:rsid w:val="00286058"/>
    <w:rsid w:val="00286FFA"/>
    <w:rsid w:val="002901F6"/>
    <w:rsid w:val="002904DC"/>
    <w:rsid w:val="00290C7D"/>
    <w:rsid w:val="00290D64"/>
    <w:rsid w:val="002918D4"/>
    <w:rsid w:val="0029256D"/>
    <w:rsid w:val="002929EB"/>
    <w:rsid w:val="00292B4D"/>
    <w:rsid w:val="00292D67"/>
    <w:rsid w:val="0029447F"/>
    <w:rsid w:val="00294AB5"/>
    <w:rsid w:val="00295391"/>
    <w:rsid w:val="0029593D"/>
    <w:rsid w:val="00295A46"/>
    <w:rsid w:val="00297C6B"/>
    <w:rsid w:val="002A076B"/>
    <w:rsid w:val="002A14F6"/>
    <w:rsid w:val="002A2725"/>
    <w:rsid w:val="002A274D"/>
    <w:rsid w:val="002A3145"/>
    <w:rsid w:val="002A36A4"/>
    <w:rsid w:val="002A3959"/>
    <w:rsid w:val="002A3EB9"/>
    <w:rsid w:val="002A409D"/>
    <w:rsid w:val="002A4A0C"/>
    <w:rsid w:val="002A547D"/>
    <w:rsid w:val="002A5787"/>
    <w:rsid w:val="002A59AA"/>
    <w:rsid w:val="002A5BA6"/>
    <w:rsid w:val="002A6D70"/>
    <w:rsid w:val="002B10F5"/>
    <w:rsid w:val="002B150D"/>
    <w:rsid w:val="002B1BEF"/>
    <w:rsid w:val="002B1C24"/>
    <w:rsid w:val="002B222A"/>
    <w:rsid w:val="002B5E6F"/>
    <w:rsid w:val="002B6044"/>
    <w:rsid w:val="002B6B61"/>
    <w:rsid w:val="002B73F4"/>
    <w:rsid w:val="002B776D"/>
    <w:rsid w:val="002B7A08"/>
    <w:rsid w:val="002B7D17"/>
    <w:rsid w:val="002C1BE2"/>
    <w:rsid w:val="002C1DEF"/>
    <w:rsid w:val="002C2DBC"/>
    <w:rsid w:val="002C384D"/>
    <w:rsid w:val="002C7C33"/>
    <w:rsid w:val="002D3145"/>
    <w:rsid w:val="002D3337"/>
    <w:rsid w:val="002D39C1"/>
    <w:rsid w:val="002D3E51"/>
    <w:rsid w:val="002D3F4D"/>
    <w:rsid w:val="002D465D"/>
    <w:rsid w:val="002D5B74"/>
    <w:rsid w:val="002D63E3"/>
    <w:rsid w:val="002D70EF"/>
    <w:rsid w:val="002D7570"/>
    <w:rsid w:val="002E018C"/>
    <w:rsid w:val="002E0E14"/>
    <w:rsid w:val="002E1DAD"/>
    <w:rsid w:val="002E21E0"/>
    <w:rsid w:val="002E54DC"/>
    <w:rsid w:val="002E5A42"/>
    <w:rsid w:val="002E68EF"/>
    <w:rsid w:val="002E69FD"/>
    <w:rsid w:val="002F093B"/>
    <w:rsid w:val="002F0A73"/>
    <w:rsid w:val="002F1FD2"/>
    <w:rsid w:val="002F204C"/>
    <w:rsid w:val="002F3428"/>
    <w:rsid w:val="002F3EBA"/>
    <w:rsid w:val="002F4017"/>
    <w:rsid w:val="002F44F7"/>
    <w:rsid w:val="002F4FFA"/>
    <w:rsid w:val="002F62CA"/>
    <w:rsid w:val="003024CD"/>
    <w:rsid w:val="0030256B"/>
    <w:rsid w:val="003028C9"/>
    <w:rsid w:val="00303288"/>
    <w:rsid w:val="00303F49"/>
    <w:rsid w:val="00305416"/>
    <w:rsid w:val="003067C8"/>
    <w:rsid w:val="00306982"/>
    <w:rsid w:val="00306B7A"/>
    <w:rsid w:val="00306F1B"/>
    <w:rsid w:val="003073DE"/>
    <w:rsid w:val="003078F5"/>
    <w:rsid w:val="003105EC"/>
    <w:rsid w:val="00311358"/>
    <w:rsid w:val="00311B35"/>
    <w:rsid w:val="00311F19"/>
    <w:rsid w:val="0031219C"/>
    <w:rsid w:val="00312A8E"/>
    <w:rsid w:val="003159F0"/>
    <w:rsid w:val="003160CF"/>
    <w:rsid w:val="003167BE"/>
    <w:rsid w:val="00316E10"/>
    <w:rsid w:val="00317C3D"/>
    <w:rsid w:val="00320C8C"/>
    <w:rsid w:val="003212CE"/>
    <w:rsid w:val="0032287F"/>
    <w:rsid w:val="003228D7"/>
    <w:rsid w:val="00322E53"/>
    <w:rsid w:val="00323B0D"/>
    <w:rsid w:val="00324C62"/>
    <w:rsid w:val="00324CC8"/>
    <w:rsid w:val="003255D6"/>
    <w:rsid w:val="00326270"/>
    <w:rsid w:val="00326B2B"/>
    <w:rsid w:val="00327C14"/>
    <w:rsid w:val="00327E7A"/>
    <w:rsid w:val="00330A60"/>
    <w:rsid w:val="00332D0D"/>
    <w:rsid w:val="00334C76"/>
    <w:rsid w:val="0033601C"/>
    <w:rsid w:val="00336836"/>
    <w:rsid w:val="00340044"/>
    <w:rsid w:val="00341682"/>
    <w:rsid w:val="0034507E"/>
    <w:rsid w:val="00345E42"/>
    <w:rsid w:val="00347B72"/>
    <w:rsid w:val="003504AC"/>
    <w:rsid w:val="00350944"/>
    <w:rsid w:val="00350E71"/>
    <w:rsid w:val="003510A9"/>
    <w:rsid w:val="00352A8A"/>
    <w:rsid w:val="003533CF"/>
    <w:rsid w:val="00353563"/>
    <w:rsid w:val="003540C9"/>
    <w:rsid w:val="003545ED"/>
    <w:rsid w:val="0035482B"/>
    <w:rsid w:val="00356D5F"/>
    <w:rsid w:val="00357FB3"/>
    <w:rsid w:val="00360297"/>
    <w:rsid w:val="00361B7D"/>
    <w:rsid w:val="003621A3"/>
    <w:rsid w:val="00362CAB"/>
    <w:rsid w:val="00362CCD"/>
    <w:rsid w:val="003641CD"/>
    <w:rsid w:val="00365B36"/>
    <w:rsid w:val="003707F8"/>
    <w:rsid w:val="00370D78"/>
    <w:rsid w:val="0037252E"/>
    <w:rsid w:val="0037615D"/>
    <w:rsid w:val="003769C8"/>
    <w:rsid w:val="003776B4"/>
    <w:rsid w:val="003805DB"/>
    <w:rsid w:val="00380C72"/>
    <w:rsid w:val="00381313"/>
    <w:rsid w:val="00381BC6"/>
    <w:rsid w:val="00381C93"/>
    <w:rsid w:val="00383A5D"/>
    <w:rsid w:val="00383C38"/>
    <w:rsid w:val="00385602"/>
    <w:rsid w:val="00385785"/>
    <w:rsid w:val="00387E8A"/>
    <w:rsid w:val="00392280"/>
    <w:rsid w:val="003926CE"/>
    <w:rsid w:val="00392DC1"/>
    <w:rsid w:val="003935A6"/>
    <w:rsid w:val="00393EB5"/>
    <w:rsid w:val="00395046"/>
    <w:rsid w:val="00395272"/>
    <w:rsid w:val="0039598D"/>
    <w:rsid w:val="00395B5A"/>
    <w:rsid w:val="00395D0A"/>
    <w:rsid w:val="0039651B"/>
    <w:rsid w:val="00396744"/>
    <w:rsid w:val="0039758F"/>
    <w:rsid w:val="003A0435"/>
    <w:rsid w:val="003A0D89"/>
    <w:rsid w:val="003A1897"/>
    <w:rsid w:val="003A26DD"/>
    <w:rsid w:val="003A2DB5"/>
    <w:rsid w:val="003A45C4"/>
    <w:rsid w:val="003A56D6"/>
    <w:rsid w:val="003A6C77"/>
    <w:rsid w:val="003B05F5"/>
    <w:rsid w:val="003B0F6D"/>
    <w:rsid w:val="003B15EA"/>
    <w:rsid w:val="003B1732"/>
    <w:rsid w:val="003B2A6C"/>
    <w:rsid w:val="003B3199"/>
    <w:rsid w:val="003B321F"/>
    <w:rsid w:val="003B445A"/>
    <w:rsid w:val="003B552F"/>
    <w:rsid w:val="003B5A39"/>
    <w:rsid w:val="003B67CA"/>
    <w:rsid w:val="003B78BA"/>
    <w:rsid w:val="003C00F5"/>
    <w:rsid w:val="003C044B"/>
    <w:rsid w:val="003C0BC9"/>
    <w:rsid w:val="003C3050"/>
    <w:rsid w:val="003C308A"/>
    <w:rsid w:val="003C3991"/>
    <w:rsid w:val="003C43B8"/>
    <w:rsid w:val="003C484B"/>
    <w:rsid w:val="003C4D11"/>
    <w:rsid w:val="003C4FED"/>
    <w:rsid w:val="003C646B"/>
    <w:rsid w:val="003D0EC3"/>
    <w:rsid w:val="003D1169"/>
    <w:rsid w:val="003D127D"/>
    <w:rsid w:val="003D175D"/>
    <w:rsid w:val="003D1828"/>
    <w:rsid w:val="003D1CD2"/>
    <w:rsid w:val="003D2D9F"/>
    <w:rsid w:val="003D2FA2"/>
    <w:rsid w:val="003D367F"/>
    <w:rsid w:val="003D4A9B"/>
    <w:rsid w:val="003D53A0"/>
    <w:rsid w:val="003D5817"/>
    <w:rsid w:val="003D6DE3"/>
    <w:rsid w:val="003D7250"/>
    <w:rsid w:val="003D7B68"/>
    <w:rsid w:val="003D7FBC"/>
    <w:rsid w:val="003E1A6A"/>
    <w:rsid w:val="003E2735"/>
    <w:rsid w:val="003E2A8C"/>
    <w:rsid w:val="003E396F"/>
    <w:rsid w:val="003E3E44"/>
    <w:rsid w:val="003E660C"/>
    <w:rsid w:val="003E6CD3"/>
    <w:rsid w:val="003E6D29"/>
    <w:rsid w:val="003E7255"/>
    <w:rsid w:val="003E78F2"/>
    <w:rsid w:val="003F203A"/>
    <w:rsid w:val="003F240F"/>
    <w:rsid w:val="003F2CB3"/>
    <w:rsid w:val="003F30BE"/>
    <w:rsid w:val="003F30CC"/>
    <w:rsid w:val="003F4020"/>
    <w:rsid w:val="003F464B"/>
    <w:rsid w:val="003F51FA"/>
    <w:rsid w:val="003F5511"/>
    <w:rsid w:val="003F5938"/>
    <w:rsid w:val="003F63BC"/>
    <w:rsid w:val="003F775A"/>
    <w:rsid w:val="003F7A73"/>
    <w:rsid w:val="003F7E5A"/>
    <w:rsid w:val="00400118"/>
    <w:rsid w:val="00400ACD"/>
    <w:rsid w:val="00402B56"/>
    <w:rsid w:val="0040346E"/>
    <w:rsid w:val="00403F3B"/>
    <w:rsid w:val="00405681"/>
    <w:rsid w:val="004063FE"/>
    <w:rsid w:val="0040775B"/>
    <w:rsid w:val="00410719"/>
    <w:rsid w:val="00410A2B"/>
    <w:rsid w:val="0041153C"/>
    <w:rsid w:val="0041228D"/>
    <w:rsid w:val="004127D3"/>
    <w:rsid w:val="004150E8"/>
    <w:rsid w:val="00415436"/>
    <w:rsid w:val="00415CB3"/>
    <w:rsid w:val="00415FAD"/>
    <w:rsid w:val="0041659D"/>
    <w:rsid w:val="004167AD"/>
    <w:rsid w:val="00417BDB"/>
    <w:rsid w:val="00420D80"/>
    <w:rsid w:val="00421C5F"/>
    <w:rsid w:val="004222F1"/>
    <w:rsid w:val="00422726"/>
    <w:rsid w:val="00422879"/>
    <w:rsid w:val="00422A04"/>
    <w:rsid w:val="00422D67"/>
    <w:rsid w:val="00423A21"/>
    <w:rsid w:val="00423F1D"/>
    <w:rsid w:val="0042500D"/>
    <w:rsid w:val="00425D5A"/>
    <w:rsid w:val="004266D2"/>
    <w:rsid w:val="00427250"/>
    <w:rsid w:val="00430377"/>
    <w:rsid w:val="004311E6"/>
    <w:rsid w:val="0043128D"/>
    <w:rsid w:val="00431F3B"/>
    <w:rsid w:val="00432246"/>
    <w:rsid w:val="0043334F"/>
    <w:rsid w:val="004336F1"/>
    <w:rsid w:val="00433B07"/>
    <w:rsid w:val="004343FF"/>
    <w:rsid w:val="00435014"/>
    <w:rsid w:val="00435A79"/>
    <w:rsid w:val="0043718E"/>
    <w:rsid w:val="004371F7"/>
    <w:rsid w:val="00440981"/>
    <w:rsid w:val="004419F9"/>
    <w:rsid w:val="004424AF"/>
    <w:rsid w:val="0044369A"/>
    <w:rsid w:val="00443C30"/>
    <w:rsid w:val="00443CBB"/>
    <w:rsid w:val="00444177"/>
    <w:rsid w:val="004445D2"/>
    <w:rsid w:val="00445847"/>
    <w:rsid w:val="0044648C"/>
    <w:rsid w:val="00446EAA"/>
    <w:rsid w:val="00447CB1"/>
    <w:rsid w:val="00447FD3"/>
    <w:rsid w:val="004508C5"/>
    <w:rsid w:val="00451329"/>
    <w:rsid w:val="00452259"/>
    <w:rsid w:val="00453862"/>
    <w:rsid w:val="004539C6"/>
    <w:rsid w:val="00456E03"/>
    <w:rsid w:val="0046196E"/>
    <w:rsid w:val="00462F71"/>
    <w:rsid w:val="004656F3"/>
    <w:rsid w:val="00465EFC"/>
    <w:rsid w:val="004662CF"/>
    <w:rsid w:val="004670E0"/>
    <w:rsid w:val="0046795F"/>
    <w:rsid w:val="00467A1E"/>
    <w:rsid w:val="00467B32"/>
    <w:rsid w:val="00467D04"/>
    <w:rsid w:val="004709CD"/>
    <w:rsid w:val="00470DBB"/>
    <w:rsid w:val="004712DE"/>
    <w:rsid w:val="00472150"/>
    <w:rsid w:val="00473497"/>
    <w:rsid w:val="00473773"/>
    <w:rsid w:val="00473BD7"/>
    <w:rsid w:val="00473EF1"/>
    <w:rsid w:val="00474B08"/>
    <w:rsid w:val="004761C2"/>
    <w:rsid w:val="0047646F"/>
    <w:rsid w:val="00476703"/>
    <w:rsid w:val="00477716"/>
    <w:rsid w:val="00480F86"/>
    <w:rsid w:val="004818F6"/>
    <w:rsid w:val="004821C1"/>
    <w:rsid w:val="004822CD"/>
    <w:rsid w:val="00482A9A"/>
    <w:rsid w:val="004837E4"/>
    <w:rsid w:val="00483B80"/>
    <w:rsid w:val="004860F0"/>
    <w:rsid w:val="004866C8"/>
    <w:rsid w:val="00490177"/>
    <w:rsid w:val="0049043E"/>
    <w:rsid w:val="0049105C"/>
    <w:rsid w:val="00492749"/>
    <w:rsid w:val="00493235"/>
    <w:rsid w:val="00493F49"/>
    <w:rsid w:val="00495C45"/>
    <w:rsid w:val="004960AE"/>
    <w:rsid w:val="00497487"/>
    <w:rsid w:val="004A0A36"/>
    <w:rsid w:val="004A156D"/>
    <w:rsid w:val="004A2325"/>
    <w:rsid w:val="004A285F"/>
    <w:rsid w:val="004A2CA8"/>
    <w:rsid w:val="004A436F"/>
    <w:rsid w:val="004A4B98"/>
    <w:rsid w:val="004A6DE0"/>
    <w:rsid w:val="004A6ED8"/>
    <w:rsid w:val="004A73E1"/>
    <w:rsid w:val="004A7CE6"/>
    <w:rsid w:val="004B066D"/>
    <w:rsid w:val="004B10BB"/>
    <w:rsid w:val="004B192F"/>
    <w:rsid w:val="004B2098"/>
    <w:rsid w:val="004B2FEA"/>
    <w:rsid w:val="004B339E"/>
    <w:rsid w:val="004B469E"/>
    <w:rsid w:val="004B5F20"/>
    <w:rsid w:val="004B65E7"/>
    <w:rsid w:val="004B6DC2"/>
    <w:rsid w:val="004B76F5"/>
    <w:rsid w:val="004C1A98"/>
    <w:rsid w:val="004C29AC"/>
    <w:rsid w:val="004C30CE"/>
    <w:rsid w:val="004C38EA"/>
    <w:rsid w:val="004C39A4"/>
    <w:rsid w:val="004C54A7"/>
    <w:rsid w:val="004C5EDA"/>
    <w:rsid w:val="004C6E03"/>
    <w:rsid w:val="004C7F4E"/>
    <w:rsid w:val="004D051F"/>
    <w:rsid w:val="004D1EB4"/>
    <w:rsid w:val="004D25FE"/>
    <w:rsid w:val="004D2A29"/>
    <w:rsid w:val="004D42B0"/>
    <w:rsid w:val="004D48C9"/>
    <w:rsid w:val="004D71E5"/>
    <w:rsid w:val="004D7664"/>
    <w:rsid w:val="004D7B36"/>
    <w:rsid w:val="004D7DFD"/>
    <w:rsid w:val="004E007E"/>
    <w:rsid w:val="004E16B6"/>
    <w:rsid w:val="004E1E59"/>
    <w:rsid w:val="004E2606"/>
    <w:rsid w:val="004E3D94"/>
    <w:rsid w:val="004E43A1"/>
    <w:rsid w:val="004E667C"/>
    <w:rsid w:val="004E6FA2"/>
    <w:rsid w:val="004E72FD"/>
    <w:rsid w:val="004E7928"/>
    <w:rsid w:val="004F0A9E"/>
    <w:rsid w:val="004F174B"/>
    <w:rsid w:val="004F1D31"/>
    <w:rsid w:val="004F1DBC"/>
    <w:rsid w:val="004F5396"/>
    <w:rsid w:val="004F7A4C"/>
    <w:rsid w:val="00500094"/>
    <w:rsid w:val="0050149F"/>
    <w:rsid w:val="00501760"/>
    <w:rsid w:val="005019A2"/>
    <w:rsid w:val="0050204F"/>
    <w:rsid w:val="0050254D"/>
    <w:rsid w:val="005025F1"/>
    <w:rsid w:val="005032D9"/>
    <w:rsid w:val="00503383"/>
    <w:rsid w:val="00504909"/>
    <w:rsid w:val="00505188"/>
    <w:rsid w:val="00505F9D"/>
    <w:rsid w:val="0050655B"/>
    <w:rsid w:val="0050667C"/>
    <w:rsid w:val="00510DAB"/>
    <w:rsid w:val="00511A5F"/>
    <w:rsid w:val="00512F5B"/>
    <w:rsid w:val="00513796"/>
    <w:rsid w:val="00513E0E"/>
    <w:rsid w:val="00514115"/>
    <w:rsid w:val="005142FE"/>
    <w:rsid w:val="005159F2"/>
    <w:rsid w:val="00516B07"/>
    <w:rsid w:val="00517A4B"/>
    <w:rsid w:val="005201F2"/>
    <w:rsid w:val="0052299C"/>
    <w:rsid w:val="00523B6F"/>
    <w:rsid w:val="00525A57"/>
    <w:rsid w:val="00526667"/>
    <w:rsid w:val="005302A9"/>
    <w:rsid w:val="005304D8"/>
    <w:rsid w:val="00530E71"/>
    <w:rsid w:val="00530FCC"/>
    <w:rsid w:val="0053211B"/>
    <w:rsid w:val="00533203"/>
    <w:rsid w:val="005353EA"/>
    <w:rsid w:val="0053653D"/>
    <w:rsid w:val="00536803"/>
    <w:rsid w:val="00536954"/>
    <w:rsid w:val="00536A8E"/>
    <w:rsid w:val="0053741E"/>
    <w:rsid w:val="00540153"/>
    <w:rsid w:val="00540606"/>
    <w:rsid w:val="005412E2"/>
    <w:rsid w:val="00541AED"/>
    <w:rsid w:val="00543B0C"/>
    <w:rsid w:val="0054433F"/>
    <w:rsid w:val="00546157"/>
    <w:rsid w:val="00547D0E"/>
    <w:rsid w:val="00547F70"/>
    <w:rsid w:val="00550BCD"/>
    <w:rsid w:val="00550F7B"/>
    <w:rsid w:val="0055135E"/>
    <w:rsid w:val="00551C64"/>
    <w:rsid w:val="00551FD2"/>
    <w:rsid w:val="0055256D"/>
    <w:rsid w:val="00553D9B"/>
    <w:rsid w:val="00555DE6"/>
    <w:rsid w:val="0056031A"/>
    <w:rsid w:val="00560421"/>
    <w:rsid w:val="00561974"/>
    <w:rsid w:val="005619C4"/>
    <w:rsid w:val="00562374"/>
    <w:rsid w:val="0056261B"/>
    <w:rsid w:val="0056280B"/>
    <w:rsid w:val="005629D1"/>
    <w:rsid w:val="00563AF8"/>
    <w:rsid w:val="00564668"/>
    <w:rsid w:val="00565E81"/>
    <w:rsid w:val="005668A6"/>
    <w:rsid w:val="00571128"/>
    <w:rsid w:val="00571491"/>
    <w:rsid w:val="0057206A"/>
    <w:rsid w:val="00572DE3"/>
    <w:rsid w:val="005731CE"/>
    <w:rsid w:val="00574E8F"/>
    <w:rsid w:val="0057577D"/>
    <w:rsid w:val="005763AA"/>
    <w:rsid w:val="00576FDC"/>
    <w:rsid w:val="00577E0F"/>
    <w:rsid w:val="0058135E"/>
    <w:rsid w:val="005826EF"/>
    <w:rsid w:val="00582A57"/>
    <w:rsid w:val="00583DA8"/>
    <w:rsid w:val="0058602B"/>
    <w:rsid w:val="0059093E"/>
    <w:rsid w:val="00592580"/>
    <w:rsid w:val="00592746"/>
    <w:rsid w:val="0059381C"/>
    <w:rsid w:val="00595265"/>
    <w:rsid w:val="00595CA6"/>
    <w:rsid w:val="005A29D5"/>
    <w:rsid w:val="005A2A94"/>
    <w:rsid w:val="005A2DEF"/>
    <w:rsid w:val="005A30C9"/>
    <w:rsid w:val="005A4393"/>
    <w:rsid w:val="005A4590"/>
    <w:rsid w:val="005A58B3"/>
    <w:rsid w:val="005A5BE1"/>
    <w:rsid w:val="005A639A"/>
    <w:rsid w:val="005A6AD9"/>
    <w:rsid w:val="005A73E1"/>
    <w:rsid w:val="005B12B3"/>
    <w:rsid w:val="005B13A6"/>
    <w:rsid w:val="005B1A30"/>
    <w:rsid w:val="005B213D"/>
    <w:rsid w:val="005B28C7"/>
    <w:rsid w:val="005B299A"/>
    <w:rsid w:val="005B29AF"/>
    <w:rsid w:val="005B3283"/>
    <w:rsid w:val="005B3DAE"/>
    <w:rsid w:val="005B4669"/>
    <w:rsid w:val="005B5583"/>
    <w:rsid w:val="005B5F1B"/>
    <w:rsid w:val="005B61DA"/>
    <w:rsid w:val="005B732F"/>
    <w:rsid w:val="005C09BD"/>
    <w:rsid w:val="005C0E40"/>
    <w:rsid w:val="005C0EDF"/>
    <w:rsid w:val="005C1415"/>
    <w:rsid w:val="005C1D11"/>
    <w:rsid w:val="005C1D4B"/>
    <w:rsid w:val="005C22F1"/>
    <w:rsid w:val="005C2C6E"/>
    <w:rsid w:val="005C45C7"/>
    <w:rsid w:val="005C51CB"/>
    <w:rsid w:val="005C53C7"/>
    <w:rsid w:val="005C5B81"/>
    <w:rsid w:val="005D025F"/>
    <w:rsid w:val="005D0826"/>
    <w:rsid w:val="005D1087"/>
    <w:rsid w:val="005D1FCB"/>
    <w:rsid w:val="005D25F1"/>
    <w:rsid w:val="005D2B35"/>
    <w:rsid w:val="005D41B2"/>
    <w:rsid w:val="005D55C4"/>
    <w:rsid w:val="005D5895"/>
    <w:rsid w:val="005D618A"/>
    <w:rsid w:val="005D70E1"/>
    <w:rsid w:val="005D76D6"/>
    <w:rsid w:val="005D7B80"/>
    <w:rsid w:val="005D7C8B"/>
    <w:rsid w:val="005E0101"/>
    <w:rsid w:val="005E03A9"/>
    <w:rsid w:val="005E17C1"/>
    <w:rsid w:val="005E2605"/>
    <w:rsid w:val="005E2A0B"/>
    <w:rsid w:val="005E2C39"/>
    <w:rsid w:val="005E4556"/>
    <w:rsid w:val="005F006D"/>
    <w:rsid w:val="005F035E"/>
    <w:rsid w:val="005F05E4"/>
    <w:rsid w:val="005F0B6A"/>
    <w:rsid w:val="005F1B75"/>
    <w:rsid w:val="005F1C00"/>
    <w:rsid w:val="005F42C1"/>
    <w:rsid w:val="005F6B3F"/>
    <w:rsid w:val="005F79C8"/>
    <w:rsid w:val="005F79D8"/>
    <w:rsid w:val="006014B5"/>
    <w:rsid w:val="006016C8"/>
    <w:rsid w:val="00602299"/>
    <w:rsid w:val="006023C5"/>
    <w:rsid w:val="00603010"/>
    <w:rsid w:val="006039BA"/>
    <w:rsid w:val="00603D29"/>
    <w:rsid w:val="0060486B"/>
    <w:rsid w:val="00604BDF"/>
    <w:rsid w:val="006058ED"/>
    <w:rsid w:val="0060599F"/>
    <w:rsid w:val="006067A9"/>
    <w:rsid w:val="0060755F"/>
    <w:rsid w:val="006124AC"/>
    <w:rsid w:val="00617D3F"/>
    <w:rsid w:val="006208DA"/>
    <w:rsid w:val="00621155"/>
    <w:rsid w:val="00621604"/>
    <w:rsid w:val="0062309B"/>
    <w:rsid w:val="0062335B"/>
    <w:rsid w:val="00623F45"/>
    <w:rsid w:val="00624294"/>
    <w:rsid w:val="006246E2"/>
    <w:rsid w:val="00625668"/>
    <w:rsid w:val="0062652B"/>
    <w:rsid w:val="00631195"/>
    <w:rsid w:val="00631555"/>
    <w:rsid w:val="0063213B"/>
    <w:rsid w:val="00632F59"/>
    <w:rsid w:val="0063361A"/>
    <w:rsid w:val="0063426A"/>
    <w:rsid w:val="00641104"/>
    <w:rsid w:val="0064112C"/>
    <w:rsid w:val="00641535"/>
    <w:rsid w:val="00641F2D"/>
    <w:rsid w:val="00642475"/>
    <w:rsid w:val="00642947"/>
    <w:rsid w:val="00642997"/>
    <w:rsid w:val="00642E04"/>
    <w:rsid w:val="00643F15"/>
    <w:rsid w:val="00644115"/>
    <w:rsid w:val="00644D03"/>
    <w:rsid w:val="00644EB4"/>
    <w:rsid w:val="00645324"/>
    <w:rsid w:val="00645BC0"/>
    <w:rsid w:val="00646BA3"/>
    <w:rsid w:val="00646F7F"/>
    <w:rsid w:val="0064741B"/>
    <w:rsid w:val="0064763B"/>
    <w:rsid w:val="006478DF"/>
    <w:rsid w:val="00647AA2"/>
    <w:rsid w:val="00651AEA"/>
    <w:rsid w:val="00651F2C"/>
    <w:rsid w:val="0065262C"/>
    <w:rsid w:val="00652946"/>
    <w:rsid w:val="00652C51"/>
    <w:rsid w:val="006534A5"/>
    <w:rsid w:val="00653602"/>
    <w:rsid w:val="00655C7E"/>
    <w:rsid w:val="00655CCA"/>
    <w:rsid w:val="00657A31"/>
    <w:rsid w:val="006604CD"/>
    <w:rsid w:val="0066152B"/>
    <w:rsid w:val="006625ED"/>
    <w:rsid w:val="00662F22"/>
    <w:rsid w:val="0066417C"/>
    <w:rsid w:val="0066747C"/>
    <w:rsid w:val="006674DD"/>
    <w:rsid w:val="006676C9"/>
    <w:rsid w:val="00667FC7"/>
    <w:rsid w:val="00670319"/>
    <w:rsid w:val="00670DC0"/>
    <w:rsid w:val="006715AF"/>
    <w:rsid w:val="006737C2"/>
    <w:rsid w:val="00673A6E"/>
    <w:rsid w:val="0067412A"/>
    <w:rsid w:val="00674D55"/>
    <w:rsid w:val="00674EEF"/>
    <w:rsid w:val="00675316"/>
    <w:rsid w:val="006772A2"/>
    <w:rsid w:val="00677756"/>
    <w:rsid w:val="006814AF"/>
    <w:rsid w:val="00681A0C"/>
    <w:rsid w:val="00683F4A"/>
    <w:rsid w:val="006855C1"/>
    <w:rsid w:val="006856C9"/>
    <w:rsid w:val="00690F29"/>
    <w:rsid w:val="0069341E"/>
    <w:rsid w:val="00693520"/>
    <w:rsid w:val="0069373F"/>
    <w:rsid w:val="006954D0"/>
    <w:rsid w:val="00695DB6"/>
    <w:rsid w:val="006962C8"/>
    <w:rsid w:val="00696529"/>
    <w:rsid w:val="006965BF"/>
    <w:rsid w:val="00696828"/>
    <w:rsid w:val="00696E6F"/>
    <w:rsid w:val="006A000A"/>
    <w:rsid w:val="006A07D1"/>
    <w:rsid w:val="006A143D"/>
    <w:rsid w:val="006A1A19"/>
    <w:rsid w:val="006A2A67"/>
    <w:rsid w:val="006A2BC1"/>
    <w:rsid w:val="006A2E9F"/>
    <w:rsid w:val="006A422C"/>
    <w:rsid w:val="006A6C06"/>
    <w:rsid w:val="006A75B6"/>
    <w:rsid w:val="006A7ED2"/>
    <w:rsid w:val="006B0A5A"/>
    <w:rsid w:val="006B1F8E"/>
    <w:rsid w:val="006B3ED3"/>
    <w:rsid w:val="006B4424"/>
    <w:rsid w:val="006B5741"/>
    <w:rsid w:val="006B6084"/>
    <w:rsid w:val="006B6A71"/>
    <w:rsid w:val="006B72AF"/>
    <w:rsid w:val="006C0657"/>
    <w:rsid w:val="006C18C3"/>
    <w:rsid w:val="006C1DD0"/>
    <w:rsid w:val="006C2B48"/>
    <w:rsid w:val="006C31FE"/>
    <w:rsid w:val="006C49FA"/>
    <w:rsid w:val="006C68FC"/>
    <w:rsid w:val="006C6B0C"/>
    <w:rsid w:val="006C71A9"/>
    <w:rsid w:val="006C74C6"/>
    <w:rsid w:val="006D0D14"/>
    <w:rsid w:val="006D0FE9"/>
    <w:rsid w:val="006D2753"/>
    <w:rsid w:val="006D3086"/>
    <w:rsid w:val="006D58DD"/>
    <w:rsid w:val="006D5EBE"/>
    <w:rsid w:val="006D73C2"/>
    <w:rsid w:val="006E0FDB"/>
    <w:rsid w:val="006E19A1"/>
    <w:rsid w:val="006E19B0"/>
    <w:rsid w:val="006E2B83"/>
    <w:rsid w:val="006E36A6"/>
    <w:rsid w:val="006E36F2"/>
    <w:rsid w:val="006E3845"/>
    <w:rsid w:val="006E5761"/>
    <w:rsid w:val="006E5E2A"/>
    <w:rsid w:val="006E69C4"/>
    <w:rsid w:val="006E7883"/>
    <w:rsid w:val="006F0665"/>
    <w:rsid w:val="006F1C01"/>
    <w:rsid w:val="006F2E93"/>
    <w:rsid w:val="006F34A9"/>
    <w:rsid w:val="006F3CAC"/>
    <w:rsid w:val="006F3E09"/>
    <w:rsid w:val="006F50CB"/>
    <w:rsid w:val="006F6999"/>
    <w:rsid w:val="006F6BF6"/>
    <w:rsid w:val="006F772A"/>
    <w:rsid w:val="00700481"/>
    <w:rsid w:val="0070070D"/>
    <w:rsid w:val="00702612"/>
    <w:rsid w:val="0070426A"/>
    <w:rsid w:val="007045C6"/>
    <w:rsid w:val="007047D1"/>
    <w:rsid w:val="00704A79"/>
    <w:rsid w:val="00704A95"/>
    <w:rsid w:val="00704ACD"/>
    <w:rsid w:val="007053B4"/>
    <w:rsid w:val="00705D9B"/>
    <w:rsid w:val="007062B1"/>
    <w:rsid w:val="00706872"/>
    <w:rsid w:val="00710540"/>
    <w:rsid w:val="00710A92"/>
    <w:rsid w:val="00710EBB"/>
    <w:rsid w:val="007124D4"/>
    <w:rsid w:val="007126F2"/>
    <w:rsid w:val="007135E1"/>
    <w:rsid w:val="00714A7F"/>
    <w:rsid w:val="00714DE7"/>
    <w:rsid w:val="007150DF"/>
    <w:rsid w:val="00716611"/>
    <w:rsid w:val="00720F14"/>
    <w:rsid w:val="00720F57"/>
    <w:rsid w:val="0072201D"/>
    <w:rsid w:val="00722F71"/>
    <w:rsid w:val="00723CCA"/>
    <w:rsid w:val="00723F7C"/>
    <w:rsid w:val="00724D5F"/>
    <w:rsid w:val="00725671"/>
    <w:rsid w:val="00725B44"/>
    <w:rsid w:val="00725F19"/>
    <w:rsid w:val="00726DDD"/>
    <w:rsid w:val="00727207"/>
    <w:rsid w:val="0072753A"/>
    <w:rsid w:val="0073055B"/>
    <w:rsid w:val="007311A4"/>
    <w:rsid w:val="00731504"/>
    <w:rsid w:val="00732C12"/>
    <w:rsid w:val="0073355D"/>
    <w:rsid w:val="00733789"/>
    <w:rsid w:val="00734319"/>
    <w:rsid w:val="00734D15"/>
    <w:rsid w:val="00734E5B"/>
    <w:rsid w:val="00736598"/>
    <w:rsid w:val="007375F4"/>
    <w:rsid w:val="00740CDA"/>
    <w:rsid w:val="00740FF3"/>
    <w:rsid w:val="007432F4"/>
    <w:rsid w:val="00743AD3"/>
    <w:rsid w:val="00745713"/>
    <w:rsid w:val="007463D2"/>
    <w:rsid w:val="007467D3"/>
    <w:rsid w:val="00746972"/>
    <w:rsid w:val="00747162"/>
    <w:rsid w:val="00747F48"/>
    <w:rsid w:val="0075053A"/>
    <w:rsid w:val="00750E95"/>
    <w:rsid w:val="007515DA"/>
    <w:rsid w:val="007517A0"/>
    <w:rsid w:val="00751AE4"/>
    <w:rsid w:val="00751F57"/>
    <w:rsid w:val="00752399"/>
    <w:rsid w:val="0075442A"/>
    <w:rsid w:val="00756A76"/>
    <w:rsid w:val="0076045D"/>
    <w:rsid w:val="00760C2D"/>
    <w:rsid w:val="0076114B"/>
    <w:rsid w:val="007619B1"/>
    <w:rsid w:val="007632B0"/>
    <w:rsid w:val="00764BC6"/>
    <w:rsid w:val="00764BE2"/>
    <w:rsid w:val="00764D5C"/>
    <w:rsid w:val="00765574"/>
    <w:rsid w:val="00766795"/>
    <w:rsid w:val="00766E94"/>
    <w:rsid w:val="00767971"/>
    <w:rsid w:val="007726E6"/>
    <w:rsid w:val="0077536F"/>
    <w:rsid w:val="0077759B"/>
    <w:rsid w:val="00780EEF"/>
    <w:rsid w:val="00781DC4"/>
    <w:rsid w:val="007833A1"/>
    <w:rsid w:val="00783A91"/>
    <w:rsid w:val="00784170"/>
    <w:rsid w:val="007846CE"/>
    <w:rsid w:val="0078480A"/>
    <w:rsid w:val="007849A6"/>
    <w:rsid w:val="00785360"/>
    <w:rsid w:val="00785755"/>
    <w:rsid w:val="00785915"/>
    <w:rsid w:val="00785DF1"/>
    <w:rsid w:val="007873C4"/>
    <w:rsid w:val="00791192"/>
    <w:rsid w:val="007917A3"/>
    <w:rsid w:val="00791CF5"/>
    <w:rsid w:val="00792157"/>
    <w:rsid w:val="0079291E"/>
    <w:rsid w:val="007937BF"/>
    <w:rsid w:val="00794037"/>
    <w:rsid w:val="007943DC"/>
    <w:rsid w:val="00794D00"/>
    <w:rsid w:val="00795099"/>
    <w:rsid w:val="00795A17"/>
    <w:rsid w:val="00796E6B"/>
    <w:rsid w:val="00797034"/>
    <w:rsid w:val="007A02AF"/>
    <w:rsid w:val="007A10BC"/>
    <w:rsid w:val="007A23CB"/>
    <w:rsid w:val="007A2417"/>
    <w:rsid w:val="007A2952"/>
    <w:rsid w:val="007A4849"/>
    <w:rsid w:val="007A48D2"/>
    <w:rsid w:val="007A5712"/>
    <w:rsid w:val="007A5C27"/>
    <w:rsid w:val="007A627F"/>
    <w:rsid w:val="007A6389"/>
    <w:rsid w:val="007A7E23"/>
    <w:rsid w:val="007B017D"/>
    <w:rsid w:val="007B2926"/>
    <w:rsid w:val="007B2993"/>
    <w:rsid w:val="007B2A6D"/>
    <w:rsid w:val="007B2D7B"/>
    <w:rsid w:val="007B3655"/>
    <w:rsid w:val="007B3769"/>
    <w:rsid w:val="007B396E"/>
    <w:rsid w:val="007B54F4"/>
    <w:rsid w:val="007B5712"/>
    <w:rsid w:val="007B57A1"/>
    <w:rsid w:val="007B6216"/>
    <w:rsid w:val="007B729B"/>
    <w:rsid w:val="007C04B6"/>
    <w:rsid w:val="007C05A9"/>
    <w:rsid w:val="007C31DB"/>
    <w:rsid w:val="007C3F82"/>
    <w:rsid w:val="007C409C"/>
    <w:rsid w:val="007C4F42"/>
    <w:rsid w:val="007C4F54"/>
    <w:rsid w:val="007C753F"/>
    <w:rsid w:val="007D00BC"/>
    <w:rsid w:val="007D0D3A"/>
    <w:rsid w:val="007D15BA"/>
    <w:rsid w:val="007D425D"/>
    <w:rsid w:val="007D4C69"/>
    <w:rsid w:val="007D553A"/>
    <w:rsid w:val="007D58F5"/>
    <w:rsid w:val="007D5B02"/>
    <w:rsid w:val="007D70EF"/>
    <w:rsid w:val="007D7A7E"/>
    <w:rsid w:val="007E00CD"/>
    <w:rsid w:val="007E047B"/>
    <w:rsid w:val="007E05B5"/>
    <w:rsid w:val="007E26FC"/>
    <w:rsid w:val="007E6084"/>
    <w:rsid w:val="007E7D39"/>
    <w:rsid w:val="007F0F39"/>
    <w:rsid w:val="007F1086"/>
    <w:rsid w:val="007F2AC5"/>
    <w:rsid w:val="007F3C09"/>
    <w:rsid w:val="007F4329"/>
    <w:rsid w:val="007F44FF"/>
    <w:rsid w:val="007F621D"/>
    <w:rsid w:val="007F65A5"/>
    <w:rsid w:val="007F6939"/>
    <w:rsid w:val="007F75C7"/>
    <w:rsid w:val="00800339"/>
    <w:rsid w:val="0080135C"/>
    <w:rsid w:val="00803205"/>
    <w:rsid w:val="00803A32"/>
    <w:rsid w:val="0080437E"/>
    <w:rsid w:val="00805BB4"/>
    <w:rsid w:val="008060E9"/>
    <w:rsid w:val="0080633A"/>
    <w:rsid w:val="00807442"/>
    <w:rsid w:val="008075F8"/>
    <w:rsid w:val="00807C9B"/>
    <w:rsid w:val="00807D52"/>
    <w:rsid w:val="0081048E"/>
    <w:rsid w:val="0081059E"/>
    <w:rsid w:val="00810E83"/>
    <w:rsid w:val="00810F39"/>
    <w:rsid w:val="008122EA"/>
    <w:rsid w:val="00815B72"/>
    <w:rsid w:val="00815ED5"/>
    <w:rsid w:val="0081620A"/>
    <w:rsid w:val="00816F95"/>
    <w:rsid w:val="00820B72"/>
    <w:rsid w:val="008217C0"/>
    <w:rsid w:val="00822C9C"/>
    <w:rsid w:val="008232F1"/>
    <w:rsid w:val="00824926"/>
    <w:rsid w:val="00824DD2"/>
    <w:rsid w:val="00824E87"/>
    <w:rsid w:val="00825477"/>
    <w:rsid w:val="008259FF"/>
    <w:rsid w:val="00826C1B"/>
    <w:rsid w:val="008271A9"/>
    <w:rsid w:val="008274EF"/>
    <w:rsid w:val="00830598"/>
    <w:rsid w:val="008306C4"/>
    <w:rsid w:val="00830AF8"/>
    <w:rsid w:val="008313EB"/>
    <w:rsid w:val="00832748"/>
    <w:rsid w:val="00833128"/>
    <w:rsid w:val="008342E7"/>
    <w:rsid w:val="00835169"/>
    <w:rsid w:val="008365DE"/>
    <w:rsid w:val="00836F44"/>
    <w:rsid w:val="00841C41"/>
    <w:rsid w:val="00842FF6"/>
    <w:rsid w:val="0084384F"/>
    <w:rsid w:val="00843943"/>
    <w:rsid w:val="00843A68"/>
    <w:rsid w:val="00843B1B"/>
    <w:rsid w:val="008447A1"/>
    <w:rsid w:val="00844D3C"/>
    <w:rsid w:val="00844FB6"/>
    <w:rsid w:val="008464BA"/>
    <w:rsid w:val="00846EAF"/>
    <w:rsid w:val="00846EFF"/>
    <w:rsid w:val="0084731F"/>
    <w:rsid w:val="0085015D"/>
    <w:rsid w:val="00850445"/>
    <w:rsid w:val="00851E1C"/>
    <w:rsid w:val="0085213C"/>
    <w:rsid w:val="00853D6B"/>
    <w:rsid w:val="0085463A"/>
    <w:rsid w:val="00854A3F"/>
    <w:rsid w:val="00854BA1"/>
    <w:rsid w:val="008553B4"/>
    <w:rsid w:val="00855AFF"/>
    <w:rsid w:val="00855E4A"/>
    <w:rsid w:val="0085695F"/>
    <w:rsid w:val="008606CB"/>
    <w:rsid w:val="00860857"/>
    <w:rsid w:val="008614A0"/>
    <w:rsid w:val="00862343"/>
    <w:rsid w:val="00863307"/>
    <w:rsid w:val="00863458"/>
    <w:rsid w:val="00863B56"/>
    <w:rsid w:val="0086504F"/>
    <w:rsid w:val="00865A4B"/>
    <w:rsid w:val="00866BC9"/>
    <w:rsid w:val="00866DAF"/>
    <w:rsid w:val="00866F10"/>
    <w:rsid w:val="00867486"/>
    <w:rsid w:val="0086752E"/>
    <w:rsid w:val="0087014C"/>
    <w:rsid w:val="008701BE"/>
    <w:rsid w:val="008708EB"/>
    <w:rsid w:val="00870954"/>
    <w:rsid w:val="0087238B"/>
    <w:rsid w:val="008729FC"/>
    <w:rsid w:val="00873E1E"/>
    <w:rsid w:val="0087432E"/>
    <w:rsid w:val="00874C8D"/>
    <w:rsid w:val="008760C6"/>
    <w:rsid w:val="008765BB"/>
    <w:rsid w:val="00880300"/>
    <w:rsid w:val="00880626"/>
    <w:rsid w:val="0088183B"/>
    <w:rsid w:val="00882094"/>
    <w:rsid w:val="00882826"/>
    <w:rsid w:val="00883BA4"/>
    <w:rsid w:val="0088628B"/>
    <w:rsid w:val="008867DF"/>
    <w:rsid w:val="00886CD0"/>
    <w:rsid w:val="0089063B"/>
    <w:rsid w:val="0089100F"/>
    <w:rsid w:val="00891A02"/>
    <w:rsid w:val="00893837"/>
    <w:rsid w:val="00894E65"/>
    <w:rsid w:val="00895474"/>
    <w:rsid w:val="00897824"/>
    <w:rsid w:val="00897CD7"/>
    <w:rsid w:val="008A263B"/>
    <w:rsid w:val="008A36BE"/>
    <w:rsid w:val="008A4666"/>
    <w:rsid w:val="008A5D7A"/>
    <w:rsid w:val="008A7893"/>
    <w:rsid w:val="008A7D2C"/>
    <w:rsid w:val="008B1E30"/>
    <w:rsid w:val="008B276D"/>
    <w:rsid w:val="008B2949"/>
    <w:rsid w:val="008B2DF8"/>
    <w:rsid w:val="008B308E"/>
    <w:rsid w:val="008B3422"/>
    <w:rsid w:val="008B406E"/>
    <w:rsid w:val="008B4848"/>
    <w:rsid w:val="008B7189"/>
    <w:rsid w:val="008B75A7"/>
    <w:rsid w:val="008B7DCB"/>
    <w:rsid w:val="008B7F92"/>
    <w:rsid w:val="008C10D5"/>
    <w:rsid w:val="008C13BD"/>
    <w:rsid w:val="008C230C"/>
    <w:rsid w:val="008C2996"/>
    <w:rsid w:val="008C2AA4"/>
    <w:rsid w:val="008C3B8D"/>
    <w:rsid w:val="008C40D3"/>
    <w:rsid w:val="008C5007"/>
    <w:rsid w:val="008C5D6F"/>
    <w:rsid w:val="008C78AC"/>
    <w:rsid w:val="008C7AE7"/>
    <w:rsid w:val="008C7CAD"/>
    <w:rsid w:val="008C7D88"/>
    <w:rsid w:val="008D0DD6"/>
    <w:rsid w:val="008D1372"/>
    <w:rsid w:val="008D2032"/>
    <w:rsid w:val="008D28B9"/>
    <w:rsid w:val="008D2D7E"/>
    <w:rsid w:val="008D2F56"/>
    <w:rsid w:val="008D3891"/>
    <w:rsid w:val="008D3CFB"/>
    <w:rsid w:val="008D4D4C"/>
    <w:rsid w:val="008D5C71"/>
    <w:rsid w:val="008D601E"/>
    <w:rsid w:val="008D6958"/>
    <w:rsid w:val="008D7320"/>
    <w:rsid w:val="008E0C55"/>
    <w:rsid w:val="008E18DB"/>
    <w:rsid w:val="008E34D1"/>
    <w:rsid w:val="008E38B0"/>
    <w:rsid w:val="008E3917"/>
    <w:rsid w:val="008E4366"/>
    <w:rsid w:val="008E4438"/>
    <w:rsid w:val="008E5867"/>
    <w:rsid w:val="008E762A"/>
    <w:rsid w:val="008F0494"/>
    <w:rsid w:val="008F0789"/>
    <w:rsid w:val="008F25A4"/>
    <w:rsid w:val="008F2B9F"/>
    <w:rsid w:val="008F350C"/>
    <w:rsid w:val="008F5A4A"/>
    <w:rsid w:val="008F6999"/>
    <w:rsid w:val="008F7B66"/>
    <w:rsid w:val="0090034D"/>
    <w:rsid w:val="009003F8"/>
    <w:rsid w:val="00900E26"/>
    <w:rsid w:val="0090121A"/>
    <w:rsid w:val="00901259"/>
    <w:rsid w:val="009013AB"/>
    <w:rsid w:val="009016CB"/>
    <w:rsid w:val="00901EE2"/>
    <w:rsid w:val="009029FB"/>
    <w:rsid w:val="009030CC"/>
    <w:rsid w:val="009034ED"/>
    <w:rsid w:val="00904C92"/>
    <w:rsid w:val="00904CA1"/>
    <w:rsid w:val="0090529C"/>
    <w:rsid w:val="00905990"/>
    <w:rsid w:val="009067CD"/>
    <w:rsid w:val="00906C8A"/>
    <w:rsid w:val="00912189"/>
    <w:rsid w:val="00912DB2"/>
    <w:rsid w:val="00912EB5"/>
    <w:rsid w:val="0091356B"/>
    <w:rsid w:val="00913BE3"/>
    <w:rsid w:val="0091644B"/>
    <w:rsid w:val="00917B35"/>
    <w:rsid w:val="00921735"/>
    <w:rsid w:val="0092222F"/>
    <w:rsid w:val="009230C2"/>
    <w:rsid w:val="00923652"/>
    <w:rsid w:val="00925079"/>
    <w:rsid w:val="00925C87"/>
    <w:rsid w:val="00925D8B"/>
    <w:rsid w:val="00927331"/>
    <w:rsid w:val="00927699"/>
    <w:rsid w:val="009319A3"/>
    <w:rsid w:val="00931B1C"/>
    <w:rsid w:val="009327B0"/>
    <w:rsid w:val="00933004"/>
    <w:rsid w:val="009330F6"/>
    <w:rsid w:val="00933B40"/>
    <w:rsid w:val="00933E08"/>
    <w:rsid w:val="0093429E"/>
    <w:rsid w:val="00935D53"/>
    <w:rsid w:val="00935E92"/>
    <w:rsid w:val="009364B8"/>
    <w:rsid w:val="009405F6"/>
    <w:rsid w:val="009409B7"/>
    <w:rsid w:val="00940ABD"/>
    <w:rsid w:val="00942298"/>
    <w:rsid w:val="00942A76"/>
    <w:rsid w:val="009430E5"/>
    <w:rsid w:val="0094330A"/>
    <w:rsid w:val="00943CF9"/>
    <w:rsid w:val="00946024"/>
    <w:rsid w:val="00946190"/>
    <w:rsid w:val="009462C4"/>
    <w:rsid w:val="00946483"/>
    <w:rsid w:val="00947C8A"/>
    <w:rsid w:val="00950846"/>
    <w:rsid w:val="009509FB"/>
    <w:rsid w:val="00951335"/>
    <w:rsid w:val="00951767"/>
    <w:rsid w:val="00951951"/>
    <w:rsid w:val="00951EC4"/>
    <w:rsid w:val="0095229E"/>
    <w:rsid w:val="009528F2"/>
    <w:rsid w:val="00952A2E"/>
    <w:rsid w:val="00953CDD"/>
    <w:rsid w:val="0095574D"/>
    <w:rsid w:val="0095695C"/>
    <w:rsid w:val="009600F2"/>
    <w:rsid w:val="0096064D"/>
    <w:rsid w:val="00961976"/>
    <w:rsid w:val="009628AA"/>
    <w:rsid w:val="00964166"/>
    <w:rsid w:val="00965400"/>
    <w:rsid w:val="009657E1"/>
    <w:rsid w:val="00965CBE"/>
    <w:rsid w:val="00966220"/>
    <w:rsid w:val="0096665E"/>
    <w:rsid w:val="00967CBD"/>
    <w:rsid w:val="0097073A"/>
    <w:rsid w:val="00972248"/>
    <w:rsid w:val="0097649C"/>
    <w:rsid w:val="00976AE2"/>
    <w:rsid w:val="00977066"/>
    <w:rsid w:val="00977599"/>
    <w:rsid w:val="00980263"/>
    <w:rsid w:val="00980D3D"/>
    <w:rsid w:val="00981539"/>
    <w:rsid w:val="0098299D"/>
    <w:rsid w:val="00982B66"/>
    <w:rsid w:val="00982E4C"/>
    <w:rsid w:val="00984DD1"/>
    <w:rsid w:val="009857AA"/>
    <w:rsid w:val="00986B34"/>
    <w:rsid w:val="00987165"/>
    <w:rsid w:val="009903CD"/>
    <w:rsid w:val="009905E7"/>
    <w:rsid w:val="00991121"/>
    <w:rsid w:val="009938B5"/>
    <w:rsid w:val="009944DC"/>
    <w:rsid w:val="009948EF"/>
    <w:rsid w:val="0099498A"/>
    <w:rsid w:val="009950BE"/>
    <w:rsid w:val="00995648"/>
    <w:rsid w:val="00995E83"/>
    <w:rsid w:val="00996722"/>
    <w:rsid w:val="00996BA2"/>
    <w:rsid w:val="00997984"/>
    <w:rsid w:val="00997A7B"/>
    <w:rsid w:val="00997B91"/>
    <w:rsid w:val="00997CF5"/>
    <w:rsid w:val="009A07CA"/>
    <w:rsid w:val="009A0FF1"/>
    <w:rsid w:val="009A1562"/>
    <w:rsid w:val="009A2055"/>
    <w:rsid w:val="009A2DD9"/>
    <w:rsid w:val="009A509B"/>
    <w:rsid w:val="009A56CC"/>
    <w:rsid w:val="009A5FCF"/>
    <w:rsid w:val="009A705F"/>
    <w:rsid w:val="009A7421"/>
    <w:rsid w:val="009A7E84"/>
    <w:rsid w:val="009A7ED6"/>
    <w:rsid w:val="009B0581"/>
    <w:rsid w:val="009B0DFC"/>
    <w:rsid w:val="009B3400"/>
    <w:rsid w:val="009B36C6"/>
    <w:rsid w:val="009B404C"/>
    <w:rsid w:val="009B4CC4"/>
    <w:rsid w:val="009B4F92"/>
    <w:rsid w:val="009B5C93"/>
    <w:rsid w:val="009B716C"/>
    <w:rsid w:val="009B7B93"/>
    <w:rsid w:val="009C15B1"/>
    <w:rsid w:val="009C19F8"/>
    <w:rsid w:val="009C20AB"/>
    <w:rsid w:val="009C2C4F"/>
    <w:rsid w:val="009C4004"/>
    <w:rsid w:val="009C4E9E"/>
    <w:rsid w:val="009C52FE"/>
    <w:rsid w:val="009C7566"/>
    <w:rsid w:val="009C756F"/>
    <w:rsid w:val="009D050F"/>
    <w:rsid w:val="009D07CA"/>
    <w:rsid w:val="009D09C8"/>
    <w:rsid w:val="009D1679"/>
    <w:rsid w:val="009D30CC"/>
    <w:rsid w:val="009D464F"/>
    <w:rsid w:val="009D4835"/>
    <w:rsid w:val="009D7378"/>
    <w:rsid w:val="009D752A"/>
    <w:rsid w:val="009D7830"/>
    <w:rsid w:val="009D7BFA"/>
    <w:rsid w:val="009E0362"/>
    <w:rsid w:val="009E0C9C"/>
    <w:rsid w:val="009E1720"/>
    <w:rsid w:val="009E2C8C"/>
    <w:rsid w:val="009E3731"/>
    <w:rsid w:val="009E4A5B"/>
    <w:rsid w:val="009E4A98"/>
    <w:rsid w:val="009E59E6"/>
    <w:rsid w:val="009E5C64"/>
    <w:rsid w:val="009F042D"/>
    <w:rsid w:val="009F2F1C"/>
    <w:rsid w:val="009F38FE"/>
    <w:rsid w:val="009F4ECE"/>
    <w:rsid w:val="00A00FEB"/>
    <w:rsid w:val="00A02CD3"/>
    <w:rsid w:val="00A02F6C"/>
    <w:rsid w:val="00A036BD"/>
    <w:rsid w:val="00A0375A"/>
    <w:rsid w:val="00A03CA8"/>
    <w:rsid w:val="00A03D7E"/>
    <w:rsid w:val="00A049CF"/>
    <w:rsid w:val="00A04BE6"/>
    <w:rsid w:val="00A05272"/>
    <w:rsid w:val="00A057D5"/>
    <w:rsid w:val="00A109A6"/>
    <w:rsid w:val="00A10D5A"/>
    <w:rsid w:val="00A130FA"/>
    <w:rsid w:val="00A131EB"/>
    <w:rsid w:val="00A14E65"/>
    <w:rsid w:val="00A15709"/>
    <w:rsid w:val="00A1605F"/>
    <w:rsid w:val="00A162EA"/>
    <w:rsid w:val="00A1695E"/>
    <w:rsid w:val="00A16C3F"/>
    <w:rsid w:val="00A16EB4"/>
    <w:rsid w:val="00A200AF"/>
    <w:rsid w:val="00A20ACB"/>
    <w:rsid w:val="00A219D7"/>
    <w:rsid w:val="00A21B25"/>
    <w:rsid w:val="00A22647"/>
    <w:rsid w:val="00A22C36"/>
    <w:rsid w:val="00A23666"/>
    <w:rsid w:val="00A244E3"/>
    <w:rsid w:val="00A2553B"/>
    <w:rsid w:val="00A25E1D"/>
    <w:rsid w:val="00A26028"/>
    <w:rsid w:val="00A30B72"/>
    <w:rsid w:val="00A31338"/>
    <w:rsid w:val="00A31E83"/>
    <w:rsid w:val="00A3212B"/>
    <w:rsid w:val="00A363BF"/>
    <w:rsid w:val="00A36820"/>
    <w:rsid w:val="00A36E64"/>
    <w:rsid w:val="00A4533A"/>
    <w:rsid w:val="00A462BA"/>
    <w:rsid w:val="00A4631E"/>
    <w:rsid w:val="00A47537"/>
    <w:rsid w:val="00A50CE4"/>
    <w:rsid w:val="00A52DC5"/>
    <w:rsid w:val="00A543D6"/>
    <w:rsid w:val="00A54FF8"/>
    <w:rsid w:val="00A5554F"/>
    <w:rsid w:val="00A558B8"/>
    <w:rsid w:val="00A607CD"/>
    <w:rsid w:val="00A60FDD"/>
    <w:rsid w:val="00A61446"/>
    <w:rsid w:val="00A6465A"/>
    <w:rsid w:val="00A66AD9"/>
    <w:rsid w:val="00A70756"/>
    <w:rsid w:val="00A71B5C"/>
    <w:rsid w:val="00A72394"/>
    <w:rsid w:val="00A72EF4"/>
    <w:rsid w:val="00A74151"/>
    <w:rsid w:val="00A746A2"/>
    <w:rsid w:val="00A7565A"/>
    <w:rsid w:val="00A75B81"/>
    <w:rsid w:val="00A76DC5"/>
    <w:rsid w:val="00A777AA"/>
    <w:rsid w:val="00A7796D"/>
    <w:rsid w:val="00A81D6D"/>
    <w:rsid w:val="00A829CB"/>
    <w:rsid w:val="00A83F86"/>
    <w:rsid w:val="00A84BA2"/>
    <w:rsid w:val="00A8529F"/>
    <w:rsid w:val="00A85734"/>
    <w:rsid w:val="00A869A9"/>
    <w:rsid w:val="00A86EE8"/>
    <w:rsid w:val="00A87BC5"/>
    <w:rsid w:val="00A9007F"/>
    <w:rsid w:val="00A921A9"/>
    <w:rsid w:val="00A921F3"/>
    <w:rsid w:val="00A92527"/>
    <w:rsid w:val="00A92577"/>
    <w:rsid w:val="00A92E19"/>
    <w:rsid w:val="00A94A0E"/>
    <w:rsid w:val="00A958AF"/>
    <w:rsid w:val="00A959D3"/>
    <w:rsid w:val="00A970D5"/>
    <w:rsid w:val="00A97BFA"/>
    <w:rsid w:val="00A97E2C"/>
    <w:rsid w:val="00AA2BDD"/>
    <w:rsid w:val="00AA304B"/>
    <w:rsid w:val="00AA3FA1"/>
    <w:rsid w:val="00AA4A5A"/>
    <w:rsid w:val="00AA58B3"/>
    <w:rsid w:val="00AA6143"/>
    <w:rsid w:val="00AA6180"/>
    <w:rsid w:val="00AB16FC"/>
    <w:rsid w:val="00AB4463"/>
    <w:rsid w:val="00AB5496"/>
    <w:rsid w:val="00AB6238"/>
    <w:rsid w:val="00AB6813"/>
    <w:rsid w:val="00AB6BC8"/>
    <w:rsid w:val="00AC02C7"/>
    <w:rsid w:val="00AC2C5C"/>
    <w:rsid w:val="00AC6F99"/>
    <w:rsid w:val="00AC763C"/>
    <w:rsid w:val="00AC7AF9"/>
    <w:rsid w:val="00AC7D0A"/>
    <w:rsid w:val="00AD05BC"/>
    <w:rsid w:val="00AD0955"/>
    <w:rsid w:val="00AD0B58"/>
    <w:rsid w:val="00AD0B71"/>
    <w:rsid w:val="00AD2D27"/>
    <w:rsid w:val="00AD2E9D"/>
    <w:rsid w:val="00AD3958"/>
    <w:rsid w:val="00AD3D3D"/>
    <w:rsid w:val="00AD3F62"/>
    <w:rsid w:val="00AD41A8"/>
    <w:rsid w:val="00AD4449"/>
    <w:rsid w:val="00AD461A"/>
    <w:rsid w:val="00AD4678"/>
    <w:rsid w:val="00AD4917"/>
    <w:rsid w:val="00AD63BD"/>
    <w:rsid w:val="00AE0538"/>
    <w:rsid w:val="00AE1D51"/>
    <w:rsid w:val="00AE259F"/>
    <w:rsid w:val="00AE2802"/>
    <w:rsid w:val="00AE3106"/>
    <w:rsid w:val="00AE3BA9"/>
    <w:rsid w:val="00AE51F3"/>
    <w:rsid w:val="00AE557F"/>
    <w:rsid w:val="00AE5D2A"/>
    <w:rsid w:val="00AE64B0"/>
    <w:rsid w:val="00AE655F"/>
    <w:rsid w:val="00AE70FD"/>
    <w:rsid w:val="00AE78DF"/>
    <w:rsid w:val="00AE7C1A"/>
    <w:rsid w:val="00AE7EB5"/>
    <w:rsid w:val="00AF06AA"/>
    <w:rsid w:val="00AF2312"/>
    <w:rsid w:val="00AF27E4"/>
    <w:rsid w:val="00AF3488"/>
    <w:rsid w:val="00AF49BB"/>
    <w:rsid w:val="00AF5169"/>
    <w:rsid w:val="00AF5454"/>
    <w:rsid w:val="00AF5778"/>
    <w:rsid w:val="00AF5B90"/>
    <w:rsid w:val="00B0144F"/>
    <w:rsid w:val="00B0236F"/>
    <w:rsid w:val="00B027D2"/>
    <w:rsid w:val="00B02A60"/>
    <w:rsid w:val="00B02BAB"/>
    <w:rsid w:val="00B02E38"/>
    <w:rsid w:val="00B041D1"/>
    <w:rsid w:val="00B05D83"/>
    <w:rsid w:val="00B12243"/>
    <w:rsid w:val="00B12FBB"/>
    <w:rsid w:val="00B13060"/>
    <w:rsid w:val="00B13363"/>
    <w:rsid w:val="00B13F7A"/>
    <w:rsid w:val="00B143DA"/>
    <w:rsid w:val="00B15A38"/>
    <w:rsid w:val="00B16252"/>
    <w:rsid w:val="00B167A5"/>
    <w:rsid w:val="00B16FA5"/>
    <w:rsid w:val="00B2092F"/>
    <w:rsid w:val="00B2199A"/>
    <w:rsid w:val="00B2297D"/>
    <w:rsid w:val="00B238A9"/>
    <w:rsid w:val="00B2391A"/>
    <w:rsid w:val="00B23C80"/>
    <w:rsid w:val="00B24070"/>
    <w:rsid w:val="00B253FD"/>
    <w:rsid w:val="00B262DC"/>
    <w:rsid w:val="00B26964"/>
    <w:rsid w:val="00B26DE1"/>
    <w:rsid w:val="00B26EBD"/>
    <w:rsid w:val="00B31A94"/>
    <w:rsid w:val="00B324FA"/>
    <w:rsid w:val="00B3289C"/>
    <w:rsid w:val="00B33E24"/>
    <w:rsid w:val="00B33EE6"/>
    <w:rsid w:val="00B3412D"/>
    <w:rsid w:val="00B34E67"/>
    <w:rsid w:val="00B35178"/>
    <w:rsid w:val="00B35862"/>
    <w:rsid w:val="00B363C5"/>
    <w:rsid w:val="00B36977"/>
    <w:rsid w:val="00B4024E"/>
    <w:rsid w:val="00B40C15"/>
    <w:rsid w:val="00B40F82"/>
    <w:rsid w:val="00B426D4"/>
    <w:rsid w:val="00B43247"/>
    <w:rsid w:val="00B43778"/>
    <w:rsid w:val="00B43D97"/>
    <w:rsid w:val="00B45171"/>
    <w:rsid w:val="00B45438"/>
    <w:rsid w:val="00B47D6D"/>
    <w:rsid w:val="00B5007D"/>
    <w:rsid w:val="00B50358"/>
    <w:rsid w:val="00B51146"/>
    <w:rsid w:val="00B51271"/>
    <w:rsid w:val="00B51C15"/>
    <w:rsid w:val="00B52AD5"/>
    <w:rsid w:val="00B52C40"/>
    <w:rsid w:val="00B55F80"/>
    <w:rsid w:val="00B57704"/>
    <w:rsid w:val="00B61B25"/>
    <w:rsid w:val="00B61F35"/>
    <w:rsid w:val="00B6376F"/>
    <w:rsid w:val="00B63B46"/>
    <w:rsid w:val="00B6501D"/>
    <w:rsid w:val="00B6512B"/>
    <w:rsid w:val="00B66005"/>
    <w:rsid w:val="00B679D4"/>
    <w:rsid w:val="00B70BA3"/>
    <w:rsid w:val="00B70CA1"/>
    <w:rsid w:val="00B72410"/>
    <w:rsid w:val="00B731D3"/>
    <w:rsid w:val="00B73264"/>
    <w:rsid w:val="00B753CD"/>
    <w:rsid w:val="00B75CDD"/>
    <w:rsid w:val="00B75FD4"/>
    <w:rsid w:val="00B77595"/>
    <w:rsid w:val="00B80185"/>
    <w:rsid w:val="00B81A03"/>
    <w:rsid w:val="00B81E7F"/>
    <w:rsid w:val="00B82880"/>
    <w:rsid w:val="00B839DA"/>
    <w:rsid w:val="00B8459B"/>
    <w:rsid w:val="00B84B9F"/>
    <w:rsid w:val="00B85228"/>
    <w:rsid w:val="00B853AB"/>
    <w:rsid w:val="00B855AC"/>
    <w:rsid w:val="00B87D36"/>
    <w:rsid w:val="00B90A4B"/>
    <w:rsid w:val="00B91B58"/>
    <w:rsid w:val="00B938E7"/>
    <w:rsid w:val="00B93AC4"/>
    <w:rsid w:val="00B946D7"/>
    <w:rsid w:val="00B951C3"/>
    <w:rsid w:val="00B95B66"/>
    <w:rsid w:val="00B9616D"/>
    <w:rsid w:val="00B97CA1"/>
    <w:rsid w:val="00BA1C9C"/>
    <w:rsid w:val="00BA1D58"/>
    <w:rsid w:val="00BA273E"/>
    <w:rsid w:val="00BA284C"/>
    <w:rsid w:val="00BA2869"/>
    <w:rsid w:val="00BA3AD3"/>
    <w:rsid w:val="00BA4AA7"/>
    <w:rsid w:val="00BA576D"/>
    <w:rsid w:val="00BA58F1"/>
    <w:rsid w:val="00BA5E7A"/>
    <w:rsid w:val="00BA62C9"/>
    <w:rsid w:val="00BA648A"/>
    <w:rsid w:val="00BA6B5B"/>
    <w:rsid w:val="00BA7F1B"/>
    <w:rsid w:val="00BB1785"/>
    <w:rsid w:val="00BB17B6"/>
    <w:rsid w:val="00BB3004"/>
    <w:rsid w:val="00BB33F6"/>
    <w:rsid w:val="00BB36BC"/>
    <w:rsid w:val="00BB419A"/>
    <w:rsid w:val="00BB4A0C"/>
    <w:rsid w:val="00BB72FC"/>
    <w:rsid w:val="00BB78B9"/>
    <w:rsid w:val="00BC3340"/>
    <w:rsid w:val="00BC357E"/>
    <w:rsid w:val="00BC5B2D"/>
    <w:rsid w:val="00BC633C"/>
    <w:rsid w:val="00BC6AFC"/>
    <w:rsid w:val="00BD125E"/>
    <w:rsid w:val="00BD2641"/>
    <w:rsid w:val="00BD2839"/>
    <w:rsid w:val="00BD370D"/>
    <w:rsid w:val="00BD3FD9"/>
    <w:rsid w:val="00BD4214"/>
    <w:rsid w:val="00BD4566"/>
    <w:rsid w:val="00BD4999"/>
    <w:rsid w:val="00BD4ADE"/>
    <w:rsid w:val="00BD5D83"/>
    <w:rsid w:val="00BD7423"/>
    <w:rsid w:val="00BD79AF"/>
    <w:rsid w:val="00BE015A"/>
    <w:rsid w:val="00BE0E6F"/>
    <w:rsid w:val="00BE2511"/>
    <w:rsid w:val="00BE27C6"/>
    <w:rsid w:val="00BE352E"/>
    <w:rsid w:val="00BE3E45"/>
    <w:rsid w:val="00BE4841"/>
    <w:rsid w:val="00BE5596"/>
    <w:rsid w:val="00BE61DA"/>
    <w:rsid w:val="00BE6FA6"/>
    <w:rsid w:val="00BE7B07"/>
    <w:rsid w:val="00BE7D32"/>
    <w:rsid w:val="00BF09CE"/>
    <w:rsid w:val="00BF1652"/>
    <w:rsid w:val="00BF31E0"/>
    <w:rsid w:val="00BF6A1B"/>
    <w:rsid w:val="00BF75D2"/>
    <w:rsid w:val="00BF7CA6"/>
    <w:rsid w:val="00BF7F6D"/>
    <w:rsid w:val="00C00D20"/>
    <w:rsid w:val="00C02399"/>
    <w:rsid w:val="00C02EA2"/>
    <w:rsid w:val="00C03D7B"/>
    <w:rsid w:val="00C03E12"/>
    <w:rsid w:val="00C04763"/>
    <w:rsid w:val="00C052B7"/>
    <w:rsid w:val="00C069F2"/>
    <w:rsid w:val="00C07E0B"/>
    <w:rsid w:val="00C10B72"/>
    <w:rsid w:val="00C141F8"/>
    <w:rsid w:val="00C145C4"/>
    <w:rsid w:val="00C146E9"/>
    <w:rsid w:val="00C15290"/>
    <w:rsid w:val="00C15BD2"/>
    <w:rsid w:val="00C171A4"/>
    <w:rsid w:val="00C177D8"/>
    <w:rsid w:val="00C20557"/>
    <w:rsid w:val="00C2066C"/>
    <w:rsid w:val="00C22299"/>
    <w:rsid w:val="00C22EA0"/>
    <w:rsid w:val="00C236A6"/>
    <w:rsid w:val="00C24887"/>
    <w:rsid w:val="00C24A81"/>
    <w:rsid w:val="00C24EB2"/>
    <w:rsid w:val="00C25130"/>
    <w:rsid w:val="00C25A0D"/>
    <w:rsid w:val="00C25AD1"/>
    <w:rsid w:val="00C26A1A"/>
    <w:rsid w:val="00C26EDE"/>
    <w:rsid w:val="00C27CF2"/>
    <w:rsid w:val="00C320E7"/>
    <w:rsid w:val="00C32214"/>
    <w:rsid w:val="00C326F7"/>
    <w:rsid w:val="00C32D76"/>
    <w:rsid w:val="00C3389D"/>
    <w:rsid w:val="00C341F8"/>
    <w:rsid w:val="00C34885"/>
    <w:rsid w:val="00C34B22"/>
    <w:rsid w:val="00C36072"/>
    <w:rsid w:val="00C36AA0"/>
    <w:rsid w:val="00C37CEC"/>
    <w:rsid w:val="00C409D9"/>
    <w:rsid w:val="00C40B17"/>
    <w:rsid w:val="00C429A4"/>
    <w:rsid w:val="00C42C62"/>
    <w:rsid w:val="00C42DCE"/>
    <w:rsid w:val="00C44AA9"/>
    <w:rsid w:val="00C44D82"/>
    <w:rsid w:val="00C44FCD"/>
    <w:rsid w:val="00C464F7"/>
    <w:rsid w:val="00C46815"/>
    <w:rsid w:val="00C47ECF"/>
    <w:rsid w:val="00C50D8D"/>
    <w:rsid w:val="00C525C1"/>
    <w:rsid w:val="00C52E59"/>
    <w:rsid w:val="00C5428F"/>
    <w:rsid w:val="00C54B49"/>
    <w:rsid w:val="00C5574D"/>
    <w:rsid w:val="00C55DC0"/>
    <w:rsid w:val="00C563BA"/>
    <w:rsid w:val="00C57D62"/>
    <w:rsid w:val="00C612FC"/>
    <w:rsid w:val="00C629C8"/>
    <w:rsid w:val="00C62FD7"/>
    <w:rsid w:val="00C63733"/>
    <w:rsid w:val="00C6393B"/>
    <w:rsid w:val="00C63CD7"/>
    <w:rsid w:val="00C63F19"/>
    <w:rsid w:val="00C6437A"/>
    <w:rsid w:val="00C662BF"/>
    <w:rsid w:val="00C66691"/>
    <w:rsid w:val="00C67CAE"/>
    <w:rsid w:val="00C7022E"/>
    <w:rsid w:val="00C70CDE"/>
    <w:rsid w:val="00C72910"/>
    <w:rsid w:val="00C73883"/>
    <w:rsid w:val="00C739C1"/>
    <w:rsid w:val="00C741AD"/>
    <w:rsid w:val="00C743AF"/>
    <w:rsid w:val="00C7510F"/>
    <w:rsid w:val="00C76C1D"/>
    <w:rsid w:val="00C775FF"/>
    <w:rsid w:val="00C777A4"/>
    <w:rsid w:val="00C77F71"/>
    <w:rsid w:val="00C80A27"/>
    <w:rsid w:val="00C8187D"/>
    <w:rsid w:val="00C825F4"/>
    <w:rsid w:val="00C82E73"/>
    <w:rsid w:val="00C82EEA"/>
    <w:rsid w:val="00C84272"/>
    <w:rsid w:val="00C856E2"/>
    <w:rsid w:val="00C8592C"/>
    <w:rsid w:val="00C85B97"/>
    <w:rsid w:val="00C86302"/>
    <w:rsid w:val="00C86EEA"/>
    <w:rsid w:val="00C87DD3"/>
    <w:rsid w:val="00C902AB"/>
    <w:rsid w:val="00C91242"/>
    <w:rsid w:val="00C914E5"/>
    <w:rsid w:val="00C932D2"/>
    <w:rsid w:val="00C9390E"/>
    <w:rsid w:val="00C94007"/>
    <w:rsid w:val="00C94CA5"/>
    <w:rsid w:val="00C95314"/>
    <w:rsid w:val="00C9598B"/>
    <w:rsid w:val="00C95DA1"/>
    <w:rsid w:val="00C97159"/>
    <w:rsid w:val="00CA03C8"/>
    <w:rsid w:val="00CA1960"/>
    <w:rsid w:val="00CA2E5D"/>
    <w:rsid w:val="00CA5033"/>
    <w:rsid w:val="00CA6B31"/>
    <w:rsid w:val="00CA7895"/>
    <w:rsid w:val="00CB0207"/>
    <w:rsid w:val="00CB4346"/>
    <w:rsid w:val="00CB5D0F"/>
    <w:rsid w:val="00CB64DE"/>
    <w:rsid w:val="00CB64F4"/>
    <w:rsid w:val="00CB6C24"/>
    <w:rsid w:val="00CC0278"/>
    <w:rsid w:val="00CC0386"/>
    <w:rsid w:val="00CC1361"/>
    <w:rsid w:val="00CC2461"/>
    <w:rsid w:val="00CC25DC"/>
    <w:rsid w:val="00CC27AA"/>
    <w:rsid w:val="00CC2E26"/>
    <w:rsid w:val="00CC41FB"/>
    <w:rsid w:val="00CD1369"/>
    <w:rsid w:val="00CD1C91"/>
    <w:rsid w:val="00CD2418"/>
    <w:rsid w:val="00CD2B46"/>
    <w:rsid w:val="00CD3ED2"/>
    <w:rsid w:val="00CD56B9"/>
    <w:rsid w:val="00CD5DAA"/>
    <w:rsid w:val="00CE3690"/>
    <w:rsid w:val="00CE45D8"/>
    <w:rsid w:val="00CE5320"/>
    <w:rsid w:val="00CE55C9"/>
    <w:rsid w:val="00CE61D2"/>
    <w:rsid w:val="00CE6494"/>
    <w:rsid w:val="00CE6815"/>
    <w:rsid w:val="00CE6D0F"/>
    <w:rsid w:val="00CF036B"/>
    <w:rsid w:val="00CF2E59"/>
    <w:rsid w:val="00CF3048"/>
    <w:rsid w:val="00CF4771"/>
    <w:rsid w:val="00CF49CB"/>
    <w:rsid w:val="00CF610C"/>
    <w:rsid w:val="00CF634C"/>
    <w:rsid w:val="00D003D7"/>
    <w:rsid w:val="00D00590"/>
    <w:rsid w:val="00D0087D"/>
    <w:rsid w:val="00D015B9"/>
    <w:rsid w:val="00D033CF"/>
    <w:rsid w:val="00D0398C"/>
    <w:rsid w:val="00D03F46"/>
    <w:rsid w:val="00D060B6"/>
    <w:rsid w:val="00D0727B"/>
    <w:rsid w:val="00D07960"/>
    <w:rsid w:val="00D11855"/>
    <w:rsid w:val="00D11BD6"/>
    <w:rsid w:val="00D12366"/>
    <w:rsid w:val="00D1291A"/>
    <w:rsid w:val="00D12A99"/>
    <w:rsid w:val="00D1306A"/>
    <w:rsid w:val="00D13783"/>
    <w:rsid w:val="00D151AD"/>
    <w:rsid w:val="00D15C63"/>
    <w:rsid w:val="00D1627B"/>
    <w:rsid w:val="00D16DE3"/>
    <w:rsid w:val="00D17940"/>
    <w:rsid w:val="00D20C48"/>
    <w:rsid w:val="00D21ADF"/>
    <w:rsid w:val="00D23064"/>
    <w:rsid w:val="00D2392C"/>
    <w:rsid w:val="00D246D4"/>
    <w:rsid w:val="00D25885"/>
    <w:rsid w:val="00D26276"/>
    <w:rsid w:val="00D277FD"/>
    <w:rsid w:val="00D27E38"/>
    <w:rsid w:val="00D30D87"/>
    <w:rsid w:val="00D30FC9"/>
    <w:rsid w:val="00D3134D"/>
    <w:rsid w:val="00D32882"/>
    <w:rsid w:val="00D34E44"/>
    <w:rsid w:val="00D357AE"/>
    <w:rsid w:val="00D36B25"/>
    <w:rsid w:val="00D36CB0"/>
    <w:rsid w:val="00D41D99"/>
    <w:rsid w:val="00D41F16"/>
    <w:rsid w:val="00D46891"/>
    <w:rsid w:val="00D46E95"/>
    <w:rsid w:val="00D47246"/>
    <w:rsid w:val="00D476B8"/>
    <w:rsid w:val="00D520B0"/>
    <w:rsid w:val="00D52205"/>
    <w:rsid w:val="00D52540"/>
    <w:rsid w:val="00D529D1"/>
    <w:rsid w:val="00D54752"/>
    <w:rsid w:val="00D552FE"/>
    <w:rsid w:val="00D57033"/>
    <w:rsid w:val="00D5732E"/>
    <w:rsid w:val="00D57CB2"/>
    <w:rsid w:val="00D57F18"/>
    <w:rsid w:val="00D6041B"/>
    <w:rsid w:val="00D60ABD"/>
    <w:rsid w:val="00D61361"/>
    <w:rsid w:val="00D61396"/>
    <w:rsid w:val="00D61AB9"/>
    <w:rsid w:val="00D630CF"/>
    <w:rsid w:val="00D64700"/>
    <w:rsid w:val="00D64D2A"/>
    <w:rsid w:val="00D65246"/>
    <w:rsid w:val="00D65285"/>
    <w:rsid w:val="00D65707"/>
    <w:rsid w:val="00D66597"/>
    <w:rsid w:val="00D6696D"/>
    <w:rsid w:val="00D66B5B"/>
    <w:rsid w:val="00D70886"/>
    <w:rsid w:val="00D70F41"/>
    <w:rsid w:val="00D711EE"/>
    <w:rsid w:val="00D7321B"/>
    <w:rsid w:val="00D74580"/>
    <w:rsid w:val="00D74899"/>
    <w:rsid w:val="00D74FEB"/>
    <w:rsid w:val="00D75051"/>
    <w:rsid w:val="00D75ED8"/>
    <w:rsid w:val="00D76087"/>
    <w:rsid w:val="00D7794B"/>
    <w:rsid w:val="00D77DEC"/>
    <w:rsid w:val="00D80623"/>
    <w:rsid w:val="00D80899"/>
    <w:rsid w:val="00D80B32"/>
    <w:rsid w:val="00D81263"/>
    <w:rsid w:val="00D81977"/>
    <w:rsid w:val="00D823B7"/>
    <w:rsid w:val="00D82E42"/>
    <w:rsid w:val="00D82EFB"/>
    <w:rsid w:val="00D847ED"/>
    <w:rsid w:val="00D84823"/>
    <w:rsid w:val="00D84A2C"/>
    <w:rsid w:val="00D8625C"/>
    <w:rsid w:val="00D8743C"/>
    <w:rsid w:val="00D87E87"/>
    <w:rsid w:val="00D90338"/>
    <w:rsid w:val="00D90C36"/>
    <w:rsid w:val="00D9168F"/>
    <w:rsid w:val="00D91949"/>
    <w:rsid w:val="00D91A9B"/>
    <w:rsid w:val="00D92196"/>
    <w:rsid w:val="00D94333"/>
    <w:rsid w:val="00D944B4"/>
    <w:rsid w:val="00D9645A"/>
    <w:rsid w:val="00D96EC1"/>
    <w:rsid w:val="00D97E11"/>
    <w:rsid w:val="00DA052A"/>
    <w:rsid w:val="00DA05B1"/>
    <w:rsid w:val="00DA0AF9"/>
    <w:rsid w:val="00DA2420"/>
    <w:rsid w:val="00DA2C5B"/>
    <w:rsid w:val="00DA40FD"/>
    <w:rsid w:val="00DA56EF"/>
    <w:rsid w:val="00DA5D6D"/>
    <w:rsid w:val="00DA6A15"/>
    <w:rsid w:val="00DB117E"/>
    <w:rsid w:val="00DB194D"/>
    <w:rsid w:val="00DB21A5"/>
    <w:rsid w:val="00DB2F0E"/>
    <w:rsid w:val="00DB4711"/>
    <w:rsid w:val="00DB47ED"/>
    <w:rsid w:val="00DB4ED4"/>
    <w:rsid w:val="00DB54E2"/>
    <w:rsid w:val="00DB748F"/>
    <w:rsid w:val="00DC021A"/>
    <w:rsid w:val="00DC0B76"/>
    <w:rsid w:val="00DC1F2D"/>
    <w:rsid w:val="00DC288B"/>
    <w:rsid w:val="00DC3511"/>
    <w:rsid w:val="00DC35A2"/>
    <w:rsid w:val="00DC4D2B"/>
    <w:rsid w:val="00DC6895"/>
    <w:rsid w:val="00DC6CFA"/>
    <w:rsid w:val="00DC6D87"/>
    <w:rsid w:val="00DC781B"/>
    <w:rsid w:val="00DD15B3"/>
    <w:rsid w:val="00DD3CD1"/>
    <w:rsid w:val="00DD3FD9"/>
    <w:rsid w:val="00DD5553"/>
    <w:rsid w:val="00DD62EC"/>
    <w:rsid w:val="00DD7306"/>
    <w:rsid w:val="00DD7481"/>
    <w:rsid w:val="00DD79FF"/>
    <w:rsid w:val="00DD7BC2"/>
    <w:rsid w:val="00DE038F"/>
    <w:rsid w:val="00DE0ADF"/>
    <w:rsid w:val="00DE1A6C"/>
    <w:rsid w:val="00DE2434"/>
    <w:rsid w:val="00DE28F4"/>
    <w:rsid w:val="00DE2DE8"/>
    <w:rsid w:val="00DE3326"/>
    <w:rsid w:val="00DE3F96"/>
    <w:rsid w:val="00DE427B"/>
    <w:rsid w:val="00DE4297"/>
    <w:rsid w:val="00DE4F52"/>
    <w:rsid w:val="00DE5FC4"/>
    <w:rsid w:val="00DE6F49"/>
    <w:rsid w:val="00DF28D8"/>
    <w:rsid w:val="00DF2E28"/>
    <w:rsid w:val="00DF3337"/>
    <w:rsid w:val="00DF3397"/>
    <w:rsid w:val="00DF37FB"/>
    <w:rsid w:val="00DF4CEC"/>
    <w:rsid w:val="00DF5B9A"/>
    <w:rsid w:val="00DF7449"/>
    <w:rsid w:val="00DF7800"/>
    <w:rsid w:val="00E00999"/>
    <w:rsid w:val="00E01280"/>
    <w:rsid w:val="00E01503"/>
    <w:rsid w:val="00E03903"/>
    <w:rsid w:val="00E03EB8"/>
    <w:rsid w:val="00E05128"/>
    <w:rsid w:val="00E07956"/>
    <w:rsid w:val="00E100AF"/>
    <w:rsid w:val="00E10155"/>
    <w:rsid w:val="00E11AE1"/>
    <w:rsid w:val="00E15A69"/>
    <w:rsid w:val="00E15E3B"/>
    <w:rsid w:val="00E167A8"/>
    <w:rsid w:val="00E17A6C"/>
    <w:rsid w:val="00E211F2"/>
    <w:rsid w:val="00E21884"/>
    <w:rsid w:val="00E225B9"/>
    <w:rsid w:val="00E241A8"/>
    <w:rsid w:val="00E2429E"/>
    <w:rsid w:val="00E245D3"/>
    <w:rsid w:val="00E250FC"/>
    <w:rsid w:val="00E26239"/>
    <w:rsid w:val="00E26C86"/>
    <w:rsid w:val="00E274A4"/>
    <w:rsid w:val="00E27A70"/>
    <w:rsid w:val="00E3029F"/>
    <w:rsid w:val="00E3121D"/>
    <w:rsid w:val="00E31DC8"/>
    <w:rsid w:val="00E40111"/>
    <w:rsid w:val="00E4185C"/>
    <w:rsid w:val="00E42762"/>
    <w:rsid w:val="00E42AF3"/>
    <w:rsid w:val="00E43313"/>
    <w:rsid w:val="00E44F41"/>
    <w:rsid w:val="00E4539A"/>
    <w:rsid w:val="00E4583C"/>
    <w:rsid w:val="00E45B95"/>
    <w:rsid w:val="00E465CE"/>
    <w:rsid w:val="00E46AC2"/>
    <w:rsid w:val="00E505AD"/>
    <w:rsid w:val="00E507BE"/>
    <w:rsid w:val="00E508EA"/>
    <w:rsid w:val="00E51F6E"/>
    <w:rsid w:val="00E5239B"/>
    <w:rsid w:val="00E538F0"/>
    <w:rsid w:val="00E53F74"/>
    <w:rsid w:val="00E5541A"/>
    <w:rsid w:val="00E55B95"/>
    <w:rsid w:val="00E60253"/>
    <w:rsid w:val="00E60C81"/>
    <w:rsid w:val="00E628CD"/>
    <w:rsid w:val="00E636BD"/>
    <w:rsid w:val="00E65DFD"/>
    <w:rsid w:val="00E671C5"/>
    <w:rsid w:val="00E677E9"/>
    <w:rsid w:val="00E71E39"/>
    <w:rsid w:val="00E72B35"/>
    <w:rsid w:val="00E7337A"/>
    <w:rsid w:val="00E74DD9"/>
    <w:rsid w:val="00E75626"/>
    <w:rsid w:val="00E75A82"/>
    <w:rsid w:val="00E768CC"/>
    <w:rsid w:val="00E77120"/>
    <w:rsid w:val="00E77178"/>
    <w:rsid w:val="00E77923"/>
    <w:rsid w:val="00E80143"/>
    <w:rsid w:val="00E80C62"/>
    <w:rsid w:val="00E80E69"/>
    <w:rsid w:val="00E819D7"/>
    <w:rsid w:val="00E82ADB"/>
    <w:rsid w:val="00E8371F"/>
    <w:rsid w:val="00E8448B"/>
    <w:rsid w:val="00E84B0E"/>
    <w:rsid w:val="00E864FA"/>
    <w:rsid w:val="00E8790B"/>
    <w:rsid w:val="00E90E90"/>
    <w:rsid w:val="00E91289"/>
    <w:rsid w:val="00E9160D"/>
    <w:rsid w:val="00E92EE6"/>
    <w:rsid w:val="00E93437"/>
    <w:rsid w:val="00E94579"/>
    <w:rsid w:val="00E94963"/>
    <w:rsid w:val="00E94EED"/>
    <w:rsid w:val="00E96C8F"/>
    <w:rsid w:val="00EA07AE"/>
    <w:rsid w:val="00EA1AE7"/>
    <w:rsid w:val="00EA1DF1"/>
    <w:rsid w:val="00EA27B8"/>
    <w:rsid w:val="00EA374D"/>
    <w:rsid w:val="00EA5593"/>
    <w:rsid w:val="00EA5B16"/>
    <w:rsid w:val="00EA5FDA"/>
    <w:rsid w:val="00EA60C6"/>
    <w:rsid w:val="00EA74AE"/>
    <w:rsid w:val="00EA7C99"/>
    <w:rsid w:val="00EB026D"/>
    <w:rsid w:val="00EB0C20"/>
    <w:rsid w:val="00EB34C7"/>
    <w:rsid w:val="00EB437D"/>
    <w:rsid w:val="00EB58CF"/>
    <w:rsid w:val="00EB5B68"/>
    <w:rsid w:val="00EB71C3"/>
    <w:rsid w:val="00EB7363"/>
    <w:rsid w:val="00EC047D"/>
    <w:rsid w:val="00EC4634"/>
    <w:rsid w:val="00EC7041"/>
    <w:rsid w:val="00ED09E5"/>
    <w:rsid w:val="00ED1E29"/>
    <w:rsid w:val="00ED3474"/>
    <w:rsid w:val="00ED3AA8"/>
    <w:rsid w:val="00ED42D3"/>
    <w:rsid w:val="00ED4408"/>
    <w:rsid w:val="00ED6AED"/>
    <w:rsid w:val="00ED716D"/>
    <w:rsid w:val="00EE0982"/>
    <w:rsid w:val="00EE0EF4"/>
    <w:rsid w:val="00EE0F39"/>
    <w:rsid w:val="00EE1172"/>
    <w:rsid w:val="00EE1C0A"/>
    <w:rsid w:val="00EE41EA"/>
    <w:rsid w:val="00EE4C08"/>
    <w:rsid w:val="00EE4D25"/>
    <w:rsid w:val="00EE5AFC"/>
    <w:rsid w:val="00EE5B01"/>
    <w:rsid w:val="00EE604D"/>
    <w:rsid w:val="00EE6332"/>
    <w:rsid w:val="00EE7879"/>
    <w:rsid w:val="00EF02D0"/>
    <w:rsid w:val="00EF0D79"/>
    <w:rsid w:val="00EF2DC8"/>
    <w:rsid w:val="00EF5330"/>
    <w:rsid w:val="00EF5670"/>
    <w:rsid w:val="00EF6A04"/>
    <w:rsid w:val="00EF7AD4"/>
    <w:rsid w:val="00EF7FCB"/>
    <w:rsid w:val="00F00596"/>
    <w:rsid w:val="00F007FF"/>
    <w:rsid w:val="00F00B76"/>
    <w:rsid w:val="00F01E63"/>
    <w:rsid w:val="00F025E2"/>
    <w:rsid w:val="00F039ED"/>
    <w:rsid w:val="00F03E03"/>
    <w:rsid w:val="00F04050"/>
    <w:rsid w:val="00F047F2"/>
    <w:rsid w:val="00F04A29"/>
    <w:rsid w:val="00F04C34"/>
    <w:rsid w:val="00F057D5"/>
    <w:rsid w:val="00F1025F"/>
    <w:rsid w:val="00F11E45"/>
    <w:rsid w:val="00F139E5"/>
    <w:rsid w:val="00F14791"/>
    <w:rsid w:val="00F15833"/>
    <w:rsid w:val="00F15BD8"/>
    <w:rsid w:val="00F16E42"/>
    <w:rsid w:val="00F1776F"/>
    <w:rsid w:val="00F1780D"/>
    <w:rsid w:val="00F17A77"/>
    <w:rsid w:val="00F17DF2"/>
    <w:rsid w:val="00F20762"/>
    <w:rsid w:val="00F21002"/>
    <w:rsid w:val="00F21670"/>
    <w:rsid w:val="00F245E9"/>
    <w:rsid w:val="00F247F8"/>
    <w:rsid w:val="00F26834"/>
    <w:rsid w:val="00F26916"/>
    <w:rsid w:val="00F26AD3"/>
    <w:rsid w:val="00F2776E"/>
    <w:rsid w:val="00F3067E"/>
    <w:rsid w:val="00F30A5F"/>
    <w:rsid w:val="00F312A7"/>
    <w:rsid w:val="00F31332"/>
    <w:rsid w:val="00F31413"/>
    <w:rsid w:val="00F32A02"/>
    <w:rsid w:val="00F33241"/>
    <w:rsid w:val="00F3422F"/>
    <w:rsid w:val="00F34EAC"/>
    <w:rsid w:val="00F35C59"/>
    <w:rsid w:val="00F36D2F"/>
    <w:rsid w:val="00F402B1"/>
    <w:rsid w:val="00F40AE4"/>
    <w:rsid w:val="00F40D65"/>
    <w:rsid w:val="00F42B28"/>
    <w:rsid w:val="00F44283"/>
    <w:rsid w:val="00F44CF0"/>
    <w:rsid w:val="00F45079"/>
    <w:rsid w:val="00F46907"/>
    <w:rsid w:val="00F46BA2"/>
    <w:rsid w:val="00F46D90"/>
    <w:rsid w:val="00F46E22"/>
    <w:rsid w:val="00F52969"/>
    <w:rsid w:val="00F53218"/>
    <w:rsid w:val="00F5392A"/>
    <w:rsid w:val="00F53F57"/>
    <w:rsid w:val="00F55292"/>
    <w:rsid w:val="00F55FC5"/>
    <w:rsid w:val="00F60775"/>
    <w:rsid w:val="00F62234"/>
    <w:rsid w:val="00F64014"/>
    <w:rsid w:val="00F65DA9"/>
    <w:rsid w:val="00F66F30"/>
    <w:rsid w:val="00F66F60"/>
    <w:rsid w:val="00F67764"/>
    <w:rsid w:val="00F70791"/>
    <w:rsid w:val="00F7110E"/>
    <w:rsid w:val="00F7263E"/>
    <w:rsid w:val="00F72B0D"/>
    <w:rsid w:val="00F73357"/>
    <w:rsid w:val="00F75058"/>
    <w:rsid w:val="00F75178"/>
    <w:rsid w:val="00F769B0"/>
    <w:rsid w:val="00F776E4"/>
    <w:rsid w:val="00F8218E"/>
    <w:rsid w:val="00F835A6"/>
    <w:rsid w:val="00F83ACB"/>
    <w:rsid w:val="00F850B7"/>
    <w:rsid w:val="00F85AE8"/>
    <w:rsid w:val="00F860BB"/>
    <w:rsid w:val="00F864EE"/>
    <w:rsid w:val="00F870F1"/>
    <w:rsid w:val="00F91343"/>
    <w:rsid w:val="00F91E7D"/>
    <w:rsid w:val="00F933CC"/>
    <w:rsid w:val="00F948A4"/>
    <w:rsid w:val="00F94B0B"/>
    <w:rsid w:val="00F953BF"/>
    <w:rsid w:val="00F96361"/>
    <w:rsid w:val="00F96FF8"/>
    <w:rsid w:val="00F97391"/>
    <w:rsid w:val="00F97D97"/>
    <w:rsid w:val="00FA07B8"/>
    <w:rsid w:val="00FA0A0C"/>
    <w:rsid w:val="00FA16BB"/>
    <w:rsid w:val="00FA1758"/>
    <w:rsid w:val="00FA2A79"/>
    <w:rsid w:val="00FA4432"/>
    <w:rsid w:val="00FA47C2"/>
    <w:rsid w:val="00FA5A5C"/>
    <w:rsid w:val="00FA5E91"/>
    <w:rsid w:val="00FA5FCC"/>
    <w:rsid w:val="00FA62B1"/>
    <w:rsid w:val="00FB031F"/>
    <w:rsid w:val="00FB0340"/>
    <w:rsid w:val="00FB199D"/>
    <w:rsid w:val="00FB3A0E"/>
    <w:rsid w:val="00FB3C75"/>
    <w:rsid w:val="00FB3D3E"/>
    <w:rsid w:val="00FB4FD7"/>
    <w:rsid w:val="00FB5040"/>
    <w:rsid w:val="00FB53FE"/>
    <w:rsid w:val="00FB6DD4"/>
    <w:rsid w:val="00FC0A4B"/>
    <w:rsid w:val="00FC287D"/>
    <w:rsid w:val="00FC37D3"/>
    <w:rsid w:val="00FC437F"/>
    <w:rsid w:val="00FC4929"/>
    <w:rsid w:val="00FC49EF"/>
    <w:rsid w:val="00FC51A7"/>
    <w:rsid w:val="00FC5CB4"/>
    <w:rsid w:val="00FC61EE"/>
    <w:rsid w:val="00FC6F57"/>
    <w:rsid w:val="00FC71C8"/>
    <w:rsid w:val="00FC7CF7"/>
    <w:rsid w:val="00FD0E37"/>
    <w:rsid w:val="00FD1A14"/>
    <w:rsid w:val="00FD5C79"/>
    <w:rsid w:val="00FD6AD3"/>
    <w:rsid w:val="00FD7760"/>
    <w:rsid w:val="00FE1A2E"/>
    <w:rsid w:val="00FE1AD1"/>
    <w:rsid w:val="00FE23FC"/>
    <w:rsid w:val="00FE276C"/>
    <w:rsid w:val="00FE2F85"/>
    <w:rsid w:val="00FE3592"/>
    <w:rsid w:val="00FE3F09"/>
    <w:rsid w:val="00FE4055"/>
    <w:rsid w:val="00FE4123"/>
    <w:rsid w:val="00FE4FE2"/>
    <w:rsid w:val="00FE5AC9"/>
    <w:rsid w:val="00FE5E8E"/>
    <w:rsid w:val="00FE64AC"/>
    <w:rsid w:val="00FF028D"/>
    <w:rsid w:val="00FF1F4B"/>
    <w:rsid w:val="00FF21C5"/>
    <w:rsid w:val="00FF26E5"/>
    <w:rsid w:val="00FF46F8"/>
    <w:rsid w:val="00FF4E3A"/>
    <w:rsid w:val="00FF4EF0"/>
    <w:rsid w:val="00FF57AA"/>
    <w:rsid w:val="00FF768A"/>
    <w:rsid w:val="00FF7BDD"/>
    <w:rsid w:val="00FF7F4B"/>
    <w:rsid w:val="00FF7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CB5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997"/>
    <w:pPr>
      <w:spacing w:after="160"/>
      <w:jc w:val="both"/>
    </w:pPr>
    <w:rPr>
      <w:sz w:val="22"/>
      <w:szCs w:val="22"/>
      <w:lang w:eastAsia="en-US"/>
    </w:rPr>
  </w:style>
  <w:style w:type="paragraph" w:styleId="Overskrift1">
    <w:name w:val="heading 1"/>
    <w:basedOn w:val="Normal"/>
    <w:next w:val="Normal"/>
    <w:link w:val="Overskrift1Tegn"/>
    <w:uiPriority w:val="9"/>
    <w:qFormat/>
    <w:rsid w:val="0001612E"/>
    <w:pPr>
      <w:keepNext/>
      <w:keepLines/>
      <w:spacing w:before="240" w:after="0"/>
      <w:jc w:val="left"/>
      <w:outlineLvl w:val="0"/>
    </w:pPr>
    <w:rPr>
      <w:rFonts w:eastAsia="Times New Roman"/>
      <w:b/>
      <w:color w:val="000000"/>
      <w:sz w:val="28"/>
      <w:szCs w:val="32"/>
    </w:rPr>
  </w:style>
  <w:style w:type="paragraph" w:styleId="Overskrift2">
    <w:name w:val="heading 2"/>
    <w:basedOn w:val="Normal"/>
    <w:next w:val="Normal"/>
    <w:link w:val="Overskrift2Tegn"/>
    <w:autoRedefine/>
    <w:uiPriority w:val="9"/>
    <w:unhideWhenUsed/>
    <w:qFormat/>
    <w:rsid w:val="00997A7B"/>
    <w:pPr>
      <w:keepNext/>
      <w:keepLines/>
      <w:numPr>
        <w:ilvl w:val="1"/>
        <w:numId w:val="29"/>
      </w:numPr>
      <w:spacing w:after="0"/>
      <w:outlineLvl w:val="1"/>
    </w:pPr>
    <w:rPr>
      <w:rFonts w:eastAsia="Times New Roman" w:cs="Arial"/>
      <w:b/>
      <w:bCs/>
      <w:color w:val="000000"/>
      <w:sz w:val="24"/>
    </w:rPr>
  </w:style>
  <w:style w:type="paragraph" w:styleId="Overskrift3">
    <w:name w:val="heading 3"/>
    <w:basedOn w:val="Normal"/>
    <w:next w:val="Normal"/>
    <w:link w:val="Overskrift3Tegn"/>
    <w:uiPriority w:val="9"/>
    <w:unhideWhenUsed/>
    <w:qFormat/>
    <w:rsid w:val="00D57F18"/>
    <w:pPr>
      <w:keepNext/>
      <w:keepLines/>
      <w:spacing w:before="40" w:after="0"/>
      <w:outlineLvl w:val="2"/>
    </w:pPr>
    <w:rPr>
      <w:rFonts w:eastAsia="Times New Roman"/>
      <w:b/>
      <w:color w:val="000000"/>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Fremhv">
    <w:name w:val="Emphasis"/>
    <w:basedOn w:val="Standardskrifttypeiafsnit"/>
    <w:uiPriority w:val="20"/>
    <w:qFormat/>
    <w:rsid w:val="005302A9"/>
    <w:rPr>
      <w:i/>
      <w:iCs/>
    </w:rPr>
  </w:style>
  <w:style w:type="character" w:customStyle="1" w:styleId="Overskrift1Tegn">
    <w:name w:val="Overskrift 1 Tegn"/>
    <w:basedOn w:val="Standardskrifttypeiafsnit"/>
    <w:link w:val="Overskrift1"/>
    <w:uiPriority w:val="9"/>
    <w:rsid w:val="0001612E"/>
    <w:rPr>
      <w:rFonts w:eastAsia="Times New Roman"/>
      <w:b/>
      <w:color w:val="000000"/>
      <w:sz w:val="28"/>
      <w:szCs w:val="32"/>
      <w:lang w:eastAsia="en-US"/>
    </w:rPr>
  </w:style>
  <w:style w:type="paragraph" w:styleId="Overskrift">
    <w:name w:val="TOC Heading"/>
    <w:basedOn w:val="Overskrift1"/>
    <w:next w:val="Normal"/>
    <w:uiPriority w:val="39"/>
    <w:unhideWhenUsed/>
    <w:qFormat/>
    <w:rsid w:val="00082A54"/>
    <w:pPr>
      <w:outlineLvl w:val="9"/>
    </w:pPr>
    <w:rPr>
      <w:b w:val="0"/>
      <w:sz w:val="32"/>
      <w:lang w:eastAsia="da-DK"/>
    </w:rPr>
  </w:style>
  <w:style w:type="paragraph" w:styleId="Indholdsfortegnelse1">
    <w:name w:val="toc 1"/>
    <w:basedOn w:val="Normal"/>
    <w:next w:val="Normal"/>
    <w:autoRedefine/>
    <w:uiPriority w:val="39"/>
    <w:unhideWhenUsed/>
    <w:qFormat/>
    <w:rsid w:val="00DE3326"/>
    <w:pPr>
      <w:spacing w:before="120" w:after="120"/>
      <w:jc w:val="left"/>
    </w:pPr>
    <w:rPr>
      <w:rFonts w:cs="Arial"/>
      <w:b/>
      <w:bCs/>
      <w:caps/>
      <w:sz w:val="20"/>
      <w:szCs w:val="20"/>
    </w:rPr>
  </w:style>
  <w:style w:type="character" w:styleId="Hyperlink">
    <w:name w:val="Hyperlink"/>
    <w:basedOn w:val="Standardskrifttypeiafsnit"/>
    <w:uiPriority w:val="99"/>
    <w:unhideWhenUsed/>
    <w:rsid w:val="00082A54"/>
    <w:rPr>
      <w:color w:val="0563C1"/>
      <w:u w:val="single"/>
    </w:rPr>
  </w:style>
  <w:style w:type="paragraph" w:styleId="Sidefod">
    <w:name w:val="footer"/>
    <w:basedOn w:val="Normal"/>
    <w:link w:val="SidefodTegn"/>
    <w:uiPriority w:val="99"/>
    <w:unhideWhenUsed/>
    <w:rsid w:val="00165B39"/>
    <w:pPr>
      <w:tabs>
        <w:tab w:val="center" w:pos="4819"/>
        <w:tab w:val="right" w:pos="9638"/>
      </w:tabs>
      <w:spacing w:after="0"/>
    </w:pPr>
  </w:style>
  <w:style w:type="character" w:customStyle="1" w:styleId="SidefodTegn">
    <w:name w:val="Sidefod Tegn"/>
    <w:basedOn w:val="Standardskrifttypeiafsnit"/>
    <w:link w:val="Sidefod"/>
    <w:uiPriority w:val="99"/>
    <w:rsid w:val="00165B39"/>
    <w:rPr>
      <w:rFonts w:ascii="Arial" w:hAnsi="Arial"/>
      <w:lang w:val="en-GB"/>
    </w:rPr>
  </w:style>
  <w:style w:type="table" w:styleId="Tabel-Gitter">
    <w:name w:val="Table Grid"/>
    <w:basedOn w:val="Tabel-Normal"/>
    <w:uiPriority w:val="59"/>
    <w:rsid w:val="00165B39"/>
    <w:rPr>
      <w:rFonts w:ascii="Calibri" w:eastAsia="Calibri" w:hAnsi="Calibri"/>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afsnit">
    <w:name w:val="List Paragraph"/>
    <w:aliases w:val="Table/Figure Heading,List Paragraph (numbered (a)),Lapis Bulleted List,Dot pt,F5 List Paragraph,List Paragraph1,No Spacing1,List Paragraph Char Char Char,Indicator Text,Numbered Para 1,Bullet 1,List Paragraph12,Bullet Points,MAIN CONTENT"/>
    <w:basedOn w:val="Normal"/>
    <w:link w:val="ListeafsnitTegn"/>
    <w:uiPriority w:val="34"/>
    <w:qFormat/>
    <w:rsid w:val="008447A1"/>
    <w:pPr>
      <w:ind w:left="720"/>
      <w:contextualSpacing/>
    </w:pPr>
  </w:style>
  <w:style w:type="paragraph" w:customStyle="1" w:styleId="Default">
    <w:name w:val="Default"/>
    <w:rsid w:val="003E3E44"/>
    <w:pPr>
      <w:autoSpaceDE w:val="0"/>
      <w:autoSpaceDN w:val="0"/>
      <w:adjustRightInd w:val="0"/>
      <w:spacing w:before="200" w:after="200" w:line="276" w:lineRule="auto"/>
      <w:jc w:val="both"/>
    </w:pPr>
    <w:rPr>
      <w:rFonts w:ascii="HIDDJN+TimesNewRoman,Bold" w:eastAsia="Times New Roman" w:hAnsi="HIDDJN+TimesNewRoman,Bold" w:cs="HIDDJN+TimesNewRoman,Bold"/>
      <w:color w:val="000000"/>
      <w:sz w:val="24"/>
      <w:szCs w:val="24"/>
      <w:lang w:val="en-US" w:eastAsia="en-US"/>
    </w:rPr>
  </w:style>
  <w:style w:type="paragraph" w:styleId="Markeringsbobletekst">
    <w:name w:val="Balloon Text"/>
    <w:basedOn w:val="Normal"/>
    <w:link w:val="MarkeringsbobletekstTegn"/>
    <w:uiPriority w:val="99"/>
    <w:semiHidden/>
    <w:unhideWhenUsed/>
    <w:rsid w:val="009628AA"/>
    <w:pPr>
      <w:spacing w:after="0"/>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628AA"/>
    <w:rPr>
      <w:rFonts w:ascii="Tahoma" w:hAnsi="Tahoma" w:cs="Tahoma"/>
      <w:sz w:val="16"/>
      <w:szCs w:val="16"/>
      <w:lang w:val="en-GB"/>
    </w:rPr>
  </w:style>
  <w:style w:type="paragraph" w:styleId="Ingenafstand">
    <w:name w:val="No Spacing"/>
    <w:uiPriority w:val="1"/>
    <w:qFormat/>
    <w:rsid w:val="009628AA"/>
    <w:pPr>
      <w:jc w:val="both"/>
    </w:pPr>
    <w:rPr>
      <w:sz w:val="22"/>
      <w:szCs w:val="22"/>
      <w:lang w:val="en-GB" w:eastAsia="en-US"/>
    </w:rPr>
  </w:style>
  <w:style w:type="paragraph" w:styleId="Sidehoved">
    <w:name w:val="header"/>
    <w:basedOn w:val="Normal"/>
    <w:link w:val="SidehovedTegn"/>
    <w:uiPriority w:val="99"/>
    <w:unhideWhenUsed/>
    <w:rsid w:val="009B0581"/>
    <w:pPr>
      <w:tabs>
        <w:tab w:val="center" w:pos="4819"/>
        <w:tab w:val="right" w:pos="9638"/>
      </w:tabs>
      <w:spacing w:after="0"/>
    </w:pPr>
  </w:style>
  <w:style w:type="character" w:customStyle="1" w:styleId="SidehovedTegn">
    <w:name w:val="Sidehoved Tegn"/>
    <w:basedOn w:val="Standardskrifttypeiafsnit"/>
    <w:link w:val="Sidehoved"/>
    <w:uiPriority w:val="99"/>
    <w:rsid w:val="009B0581"/>
    <w:rPr>
      <w:rFonts w:ascii="Arial" w:hAnsi="Arial"/>
      <w:lang w:val="en-GB"/>
    </w:rPr>
  </w:style>
  <w:style w:type="character" w:customStyle="1" w:styleId="Overskrift2Tegn">
    <w:name w:val="Overskrift 2 Tegn"/>
    <w:basedOn w:val="Standardskrifttypeiafsnit"/>
    <w:link w:val="Overskrift2"/>
    <w:uiPriority w:val="9"/>
    <w:rsid w:val="00997A7B"/>
    <w:rPr>
      <w:rFonts w:eastAsia="Times New Roman" w:cs="Arial"/>
      <w:b/>
      <w:bCs/>
      <w:color w:val="000000"/>
      <w:sz w:val="24"/>
    </w:rPr>
  </w:style>
  <w:style w:type="paragraph" w:styleId="Indholdsfortegnelse2">
    <w:name w:val="toc 2"/>
    <w:basedOn w:val="Normal"/>
    <w:next w:val="Normal"/>
    <w:autoRedefine/>
    <w:uiPriority w:val="39"/>
    <w:unhideWhenUsed/>
    <w:qFormat/>
    <w:rsid w:val="00CF3048"/>
    <w:pPr>
      <w:spacing w:after="0"/>
      <w:ind w:left="220"/>
      <w:jc w:val="left"/>
    </w:pPr>
    <w:rPr>
      <w:rFonts w:cs="Arial"/>
      <w:smallCaps/>
      <w:sz w:val="20"/>
      <w:szCs w:val="20"/>
    </w:rPr>
  </w:style>
  <w:style w:type="character" w:customStyle="1" w:styleId="Overskrift3Tegn">
    <w:name w:val="Overskrift 3 Tegn"/>
    <w:basedOn w:val="Standardskrifttypeiafsnit"/>
    <w:link w:val="Overskrift3"/>
    <w:uiPriority w:val="9"/>
    <w:rsid w:val="00D57F18"/>
    <w:rPr>
      <w:rFonts w:ascii="Arial" w:eastAsia="Times New Roman" w:hAnsi="Arial" w:cs="Times New Roman"/>
      <w:b/>
      <w:color w:val="000000"/>
      <w:szCs w:val="24"/>
      <w:lang w:val="en-GB"/>
    </w:rPr>
  </w:style>
  <w:style w:type="paragraph" w:styleId="Indholdsfortegnelse3">
    <w:name w:val="toc 3"/>
    <w:basedOn w:val="Normal"/>
    <w:next w:val="Normal"/>
    <w:autoRedefine/>
    <w:uiPriority w:val="39"/>
    <w:unhideWhenUsed/>
    <w:qFormat/>
    <w:rsid w:val="002F204C"/>
    <w:pPr>
      <w:spacing w:after="0"/>
      <w:ind w:left="440"/>
      <w:jc w:val="left"/>
    </w:pPr>
    <w:rPr>
      <w:rFonts w:cs="Arial"/>
      <w:i/>
      <w:iCs/>
      <w:sz w:val="20"/>
      <w:szCs w:val="20"/>
    </w:rPr>
  </w:style>
  <w:style w:type="table" w:customStyle="1" w:styleId="Tabel-Gitter1">
    <w:name w:val="Tabel - Gitter1"/>
    <w:basedOn w:val="Tabel-Normal"/>
    <w:next w:val="Tabel-Gitter"/>
    <w:uiPriority w:val="59"/>
    <w:rsid w:val="006F3E09"/>
    <w:rPr>
      <w:rFonts w:ascii="Calibri" w:eastAsia="Calibri" w:hAnsi="Calibri"/>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Gitter2">
    <w:name w:val="Tabel - Gitter2"/>
    <w:basedOn w:val="Tabel-Normal"/>
    <w:next w:val="Tabel-Gitter"/>
    <w:uiPriority w:val="59"/>
    <w:rsid w:val="00B679D4"/>
    <w:rPr>
      <w:rFonts w:ascii="Calibri" w:eastAsia="Calibri" w:hAnsi="Calibri"/>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Gitter3">
    <w:name w:val="Tabel - Gitter3"/>
    <w:basedOn w:val="Tabel-Normal"/>
    <w:next w:val="Tabel-Gitter"/>
    <w:uiPriority w:val="39"/>
    <w:rsid w:val="005065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lutnotetekst">
    <w:name w:val="endnote text"/>
    <w:basedOn w:val="Normal"/>
    <w:link w:val="SlutnotetekstTegn"/>
    <w:uiPriority w:val="99"/>
    <w:semiHidden/>
    <w:unhideWhenUsed/>
    <w:rsid w:val="0050655B"/>
    <w:pPr>
      <w:spacing w:after="0"/>
      <w:jc w:val="left"/>
    </w:pPr>
    <w:rPr>
      <w:rFonts w:ascii="Calibri" w:hAnsi="Calibri"/>
      <w:sz w:val="20"/>
      <w:szCs w:val="20"/>
    </w:rPr>
  </w:style>
  <w:style w:type="character" w:customStyle="1" w:styleId="SlutnotetekstTegn">
    <w:name w:val="Slutnotetekst Tegn"/>
    <w:basedOn w:val="Standardskrifttypeiafsnit"/>
    <w:link w:val="Slutnotetekst"/>
    <w:uiPriority w:val="99"/>
    <w:semiHidden/>
    <w:rsid w:val="0050655B"/>
    <w:rPr>
      <w:rFonts w:ascii="Calibri" w:hAnsi="Calibri"/>
      <w:sz w:val="20"/>
      <w:szCs w:val="20"/>
      <w:lang w:val="en-GB"/>
    </w:rPr>
  </w:style>
  <w:style w:type="character" w:styleId="Slutnotehenvisning">
    <w:name w:val="endnote reference"/>
    <w:basedOn w:val="Standardskrifttypeiafsnit"/>
    <w:uiPriority w:val="99"/>
    <w:semiHidden/>
    <w:unhideWhenUsed/>
    <w:rsid w:val="0050655B"/>
    <w:rPr>
      <w:vertAlign w:val="superscript"/>
    </w:rPr>
  </w:style>
  <w:style w:type="paragraph" w:styleId="Fodnotetekst">
    <w:name w:val="footnote text"/>
    <w:aliases w:val="single space,footnote text,Footnote Text Char Char Char,Footnote Text Char Char,Footnote Text Char Char Char Char Char Char Char Char Char,Footnote Text Char Char Char Char Char Char Char Char Char Char Char C,footnote,FOOTNOTES,fn,ft,ADB"/>
    <w:basedOn w:val="Normal"/>
    <w:link w:val="FodnotetekstTegn"/>
    <w:uiPriority w:val="99"/>
    <w:unhideWhenUsed/>
    <w:qFormat/>
    <w:rsid w:val="0050655B"/>
    <w:pPr>
      <w:spacing w:after="0"/>
      <w:jc w:val="left"/>
    </w:pPr>
    <w:rPr>
      <w:rFonts w:ascii="Calibri" w:hAnsi="Calibri"/>
      <w:sz w:val="20"/>
      <w:szCs w:val="20"/>
    </w:rPr>
  </w:style>
  <w:style w:type="character" w:customStyle="1" w:styleId="FodnotetekstTegn">
    <w:name w:val="Fodnotetekst Tegn"/>
    <w:aliases w:val="single space Tegn,footnote text Tegn,Footnote Text Char Char Char Tegn,Footnote Text Char Char Tegn,Footnote Text Char Char Char Char Char Char Char Char Char Tegn,footnote Tegn,FOOTNOTES Tegn,fn Tegn,ft Tegn,ADB Tegn"/>
    <w:basedOn w:val="Standardskrifttypeiafsnit"/>
    <w:link w:val="Fodnotetekst"/>
    <w:uiPriority w:val="99"/>
    <w:rsid w:val="0050655B"/>
    <w:rPr>
      <w:rFonts w:ascii="Calibri" w:hAnsi="Calibri"/>
      <w:sz w:val="20"/>
      <w:szCs w:val="20"/>
      <w:lang w:val="en-GB"/>
    </w:rPr>
  </w:style>
  <w:style w:type="character" w:styleId="Fodnotehenvisning">
    <w:name w:val="footnote reference"/>
    <w:aliases w:val="ftref Char,Char Char Char Char Car Char Char,16 Point Char,Superscript 6 Point Char,Char Char Char Char Car Char Char1 Char Char Char Char1 Char Char,Char Char Char1 Char Char Char Char1 Char Char,Footnote Reference Char Char Char"/>
    <w:basedOn w:val="Standardskrifttypeiafsnit"/>
    <w:link w:val="ftref"/>
    <w:uiPriority w:val="99"/>
    <w:unhideWhenUsed/>
    <w:rsid w:val="0050655B"/>
    <w:rPr>
      <w:vertAlign w:val="superscript"/>
    </w:rPr>
  </w:style>
  <w:style w:type="numbering" w:customStyle="1" w:styleId="Ingenoversigt1">
    <w:name w:val="Ingen oversigt1"/>
    <w:next w:val="Ingenoversigt"/>
    <w:uiPriority w:val="99"/>
    <w:semiHidden/>
    <w:unhideWhenUsed/>
    <w:rsid w:val="003B552F"/>
  </w:style>
  <w:style w:type="paragraph" w:customStyle="1" w:styleId="ftref">
    <w:name w:val="ftref"/>
    <w:aliases w:val="Char Char Char Char Car Char,16 Point,Superscript 6 Point,Char Char Char Char Car Char Char1 Char Char Char Char1 Char,Char Char Char1 Char Char Char Char1 Char,Char Char Char Char Car Char Char1 Char Char"/>
    <w:basedOn w:val="Normal"/>
    <w:next w:val="Normal"/>
    <w:link w:val="Fodnotehenvisning"/>
    <w:uiPriority w:val="99"/>
    <w:rsid w:val="003B552F"/>
    <w:pPr>
      <w:spacing w:line="240" w:lineRule="exact"/>
    </w:pPr>
    <w:rPr>
      <w:vertAlign w:val="superscript"/>
    </w:rPr>
  </w:style>
  <w:style w:type="table" w:customStyle="1" w:styleId="LightGrid-Accent11">
    <w:name w:val="Light Grid - Accent 11"/>
    <w:basedOn w:val="Tabel-Normal"/>
    <w:uiPriority w:val="62"/>
    <w:rsid w:val="003B552F"/>
    <w:rPr>
      <w:rFonts w:ascii="Calibri" w:eastAsia="Calibri" w:hAnsi="Calibri"/>
      <w:lang w:val="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Mediumgitter3-fremhvningsfarve5">
    <w:name w:val="Medium Grid 3 Accent 5"/>
    <w:basedOn w:val="Tabel-Normal"/>
    <w:uiPriority w:val="69"/>
    <w:rsid w:val="003B552F"/>
    <w:rPr>
      <w:rFonts w:ascii="Calibri" w:eastAsia="Calibri" w:hAnsi="Calibri"/>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itter3-fremhvningsfarve3">
    <w:name w:val="Medium Grid 3 Accent 3"/>
    <w:basedOn w:val="Tabel-Normal"/>
    <w:uiPriority w:val="69"/>
    <w:rsid w:val="003B552F"/>
    <w:rPr>
      <w:rFonts w:ascii="Calibri" w:eastAsia="Calibri" w:hAnsi="Calibri"/>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Kommentarhenvisning">
    <w:name w:val="annotation reference"/>
    <w:uiPriority w:val="99"/>
    <w:semiHidden/>
    <w:unhideWhenUsed/>
    <w:rsid w:val="003B552F"/>
    <w:rPr>
      <w:sz w:val="16"/>
      <w:szCs w:val="16"/>
    </w:rPr>
  </w:style>
  <w:style w:type="paragraph" w:styleId="Kommentartekst">
    <w:name w:val="annotation text"/>
    <w:basedOn w:val="Normal"/>
    <w:link w:val="KommentartekstTegn"/>
    <w:uiPriority w:val="99"/>
    <w:semiHidden/>
    <w:unhideWhenUsed/>
    <w:rsid w:val="003B552F"/>
    <w:pPr>
      <w:spacing w:after="200" w:line="276" w:lineRule="auto"/>
      <w:jc w:val="left"/>
    </w:pPr>
    <w:rPr>
      <w:rFonts w:ascii="Calibri" w:eastAsia="Calibri" w:hAnsi="Calibri"/>
      <w:sz w:val="20"/>
      <w:szCs w:val="20"/>
    </w:rPr>
  </w:style>
  <w:style w:type="character" w:customStyle="1" w:styleId="KommentartekstTegn">
    <w:name w:val="Kommentartekst Tegn"/>
    <w:basedOn w:val="Standardskrifttypeiafsnit"/>
    <w:link w:val="Kommentartekst"/>
    <w:uiPriority w:val="99"/>
    <w:semiHidden/>
    <w:rsid w:val="003B552F"/>
    <w:rPr>
      <w:rFonts w:ascii="Calibri" w:eastAsia="Calibri" w:hAnsi="Calibri" w:cs="Times New Roman"/>
      <w:sz w:val="20"/>
      <w:szCs w:val="20"/>
      <w:lang w:val="en-GB"/>
    </w:rPr>
  </w:style>
  <w:style w:type="paragraph" w:styleId="Kommentaremne">
    <w:name w:val="annotation subject"/>
    <w:basedOn w:val="Kommentartekst"/>
    <w:next w:val="Kommentartekst"/>
    <w:link w:val="KommentaremneTegn"/>
    <w:uiPriority w:val="99"/>
    <w:semiHidden/>
    <w:unhideWhenUsed/>
    <w:rsid w:val="003B552F"/>
    <w:rPr>
      <w:b/>
      <w:bCs/>
    </w:rPr>
  </w:style>
  <w:style w:type="character" w:customStyle="1" w:styleId="KommentaremneTegn">
    <w:name w:val="Kommentaremne Tegn"/>
    <w:basedOn w:val="KommentartekstTegn"/>
    <w:link w:val="Kommentaremne"/>
    <w:uiPriority w:val="99"/>
    <w:semiHidden/>
    <w:rsid w:val="003B552F"/>
    <w:rPr>
      <w:rFonts w:ascii="Calibri" w:eastAsia="Calibri" w:hAnsi="Calibri" w:cs="Times New Roman"/>
      <w:b/>
      <w:bCs/>
      <w:sz w:val="20"/>
      <w:szCs w:val="20"/>
      <w:lang w:val="en-GB"/>
    </w:rPr>
  </w:style>
  <w:style w:type="character" w:customStyle="1" w:styleId="IntenseReference1">
    <w:name w:val="Intense Reference1"/>
    <w:aliases w:val="Heading 2v"/>
    <w:uiPriority w:val="32"/>
    <w:qFormat/>
    <w:rsid w:val="003B552F"/>
    <w:rPr>
      <w:rFonts w:ascii="Times New Roman" w:hAnsi="Times New Roman"/>
      <w:b w:val="0"/>
      <w:bCs/>
      <w:i w:val="0"/>
      <w:iCs w:val="0"/>
      <w:caps w:val="0"/>
      <w:color w:val="4F81BD"/>
      <w:spacing w:val="10"/>
      <w:sz w:val="24"/>
      <w:bdr w:val="none" w:sz="0" w:space="0" w:color="auto"/>
    </w:rPr>
  </w:style>
  <w:style w:type="character" w:styleId="Kraftigfremhvning">
    <w:name w:val="Intense Emphasis"/>
    <w:uiPriority w:val="21"/>
    <w:qFormat/>
    <w:rsid w:val="003B552F"/>
    <w:rPr>
      <w:b/>
      <w:bCs/>
      <w:i/>
      <w:iCs/>
      <w:color w:val="4F81BD"/>
    </w:rPr>
  </w:style>
  <w:style w:type="paragraph" w:styleId="Brdtekst">
    <w:name w:val="Body Text"/>
    <w:basedOn w:val="Normal"/>
    <w:link w:val="BrdtekstTegn"/>
    <w:rsid w:val="003B552F"/>
    <w:pPr>
      <w:spacing w:after="0"/>
    </w:pPr>
    <w:rPr>
      <w:rFonts w:ascii="Times New Roman" w:eastAsia="Times New Roman" w:hAnsi="Times New Roman"/>
      <w:sz w:val="24"/>
      <w:szCs w:val="20"/>
      <w:lang w:val="fr-FR" w:eastAsia="fr-FR"/>
    </w:rPr>
  </w:style>
  <w:style w:type="character" w:customStyle="1" w:styleId="BrdtekstTegn">
    <w:name w:val="Brødtekst Tegn"/>
    <w:basedOn w:val="Standardskrifttypeiafsnit"/>
    <w:link w:val="Brdtekst"/>
    <w:rsid w:val="003B552F"/>
    <w:rPr>
      <w:rFonts w:ascii="Times New Roman" w:eastAsia="Times New Roman" w:hAnsi="Times New Roman" w:cs="Times New Roman"/>
      <w:sz w:val="24"/>
      <w:szCs w:val="20"/>
      <w:lang w:val="fr-FR" w:eastAsia="fr-FR"/>
    </w:rPr>
  </w:style>
  <w:style w:type="paragraph" w:styleId="NormalWeb">
    <w:name w:val="Normal (Web)"/>
    <w:basedOn w:val="Normal"/>
    <w:uiPriority w:val="99"/>
    <w:unhideWhenUsed/>
    <w:rsid w:val="003B552F"/>
    <w:pPr>
      <w:spacing w:before="100" w:beforeAutospacing="1" w:after="100" w:afterAutospacing="1"/>
      <w:jc w:val="left"/>
    </w:pPr>
    <w:rPr>
      <w:rFonts w:ascii="Times New Roman" w:eastAsia="Calibri" w:hAnsi="Times New Roman"/>
      <w:sz w:val="24"/>
      <w:szCs w:val="24"/>
      <w:lang w:val="en-US"/>
    </w:rPr>
  </w:style>
  <w:style w:type="character" w:styleId="BesgtLink">
    <w:name w:val="FollowedHyperlink"/>
    <w:uiPriority w:val="99"/>
    <w:semiHidden/>
    <w:unhideWhenUsed/>
    <w:rsid w:val="003B552F"/>
    <w:rPr>
      <w:color w:val="800080"/>
      <w:u w:val="single"/>
    </w:rPr>
  </w:style>
  <w:style w:type="paragraph" w:customStyle="1" w:styleId="font5">
    <w:name w:val="font5"/>
    <w:basedOn w:val="Normal"/>
    <w:rsid w:val="003B552F"/>
    <w:pPr>
      <w:spacing w:before="100" w:beforeAutospacing="1" w:after="100" w:afterAutospacing="1"/>
      <w:jc w:val="left"/>
    </w:pPr>
    <w:rPr>
      <w:rFonts w:ascii="Arial Narrow" w:eastAsia="Times New Roman" w:hAnsi="Arial Narrow"/>
      <w:b/>
      <w:bCs/>
      <w:sz w:val="20"/>
      <w:szCs w:val="20"/>
      <w:lang w:eastAsia="en-GB"/>
    </w:rPr>
  </w:style>
  <w:style w:type="paragraph" w:customStyle="1" w:styleId="font6">
    <w:name w:val="font6"/>
    <w:basedOn w:val="Normal"/>
    <w:rsid w:val="003B552F"/>
    <w:pPr>
      <w:spacing w:before="100" w:beforeAutospacing="1" w:after="100" w:afterAutospacing="1"/>
      <w:jc w:val="left"/>
    </w:pPr>
    <w:rPr>
      <w:rFonts w:ascii="Arial Narrow" w:eastAsia="Times New Roman" w:hAnsi="Arial Narrow"/>
      <w:b/>
      <w:bCs/>
      <w:color w:val="000000"/>
      <w:sz w:val="20"/>
      <w:szCs w:val="20"/>
      <w:lang w:eastAsia="en-GB"/>
    </w:rPr>
  </w:style>
  <w:style w:type="paragraph" w:customStyle="1" w:styleId="font7">
    <w:name w:val="font7"/>
    <w:basedOn w:val="Normal"/>
    <w:rsid w:val="003B552F"/>
    <w:pPr>
      <w:spacing w:before="100" w:beforeAutospacing="1" w:after="100" w:afterAutospacing="1"/>
      <w:jc w:val="left"/>
    </w:pPr>
    <w:rPr>
      <w:rFonts w:ascii="Arial Narrow" w:eastAsia="Times New Roman" w:hAnsi="Arial Narrow"/>
      <w:sz w:val="20"/>
      <w:szCs w:val="20"/>
      <w:lang w:eastAsia="en-GB"/>
    </w:rPr>
  </w:style>
  <w:style w:type="paragraph" w:customStyle="1" w:styleId="xl72">
    <w:name w:val="xl72"/>
    <w:basedOn w:val="Normal"/>
    <w:rsid w:val="003B552F"/>
    <w:pPr>
      <w:spacing w:before="100" w:beforeAutospacing="1" w:after="100" w:afterAutospacing="1"/>
      <w:jc w:val="left"/>
    </w:pPr>
    <w:rPr>
      <w:rFonts w:ascii="Arial Narrow" w:eastAsia="Times New Roman" w:hAnsi="Arial Narrow"/>
      <w:sz w:val="20"/>
      <w:szCs w:val="20"/>
      <w:lang w:eastAsia="en-GB"/>
    </w:rPr>
  </w:style>
  <w:style w:type="paragraph" w:customStyle="1" w:styleId="xl73">
    <w:name w:val="xl73"/>
    <w:basedOn w:val="Normal"/>
    <w:rsid w:val="003B552F"/>
    <w:pPr>
      <w:shd w:val="clear" w:color="000000" w:fill="DBEEF3"/>
      <w:spacing w:before="100" w:beforeAutospacing="1" w:after="100" w:afterAutospacing="1"/>
      <w:jc w:val="left"/>
    </w:pPr>
    <w:rPr>
      <w:rFonts w:ascii="Arial Narrow" w:eastAsia="Times New Roman" w:hAnsi="Arial Narrow"/>
      <w:sz w:val="20"/>
      <w:szCs w:val="20"/>
      <w:lang w:eastAsia="en-GB"/>
    </w:rPr>
  </w:style>
  <w:style w:type="paragraph" w:customStyle="1" w:styleId="xl74">
    <w:name w:val="xl74"/>
    <w:basedOn w:val="Normal"/>
    <w:rsid w:val="003B552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Narrow" w:eastAsia="Times New Roman" w:hAnsi="Arial Narrow"/>
      <w:sz w:val="20"/>
      <w:szCs w:val="20"/>
      <w:lang w:eastAsia="en-GB"/>
    </w:rPr>
  </w:style>
  <w:style w:type="paragraph" w:customStyle="1" w:styleId="xl75">
    <w:name w:val="xl75"/>
    <w:basedOn w:val="Normal"/>
    <w:rsid w:val="003B552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Narrow" w:eastAsia="Times New Roman" w:hAnsi="Arial Narrow"/>
      <w:sz w:val="20"/>
      <w:szCs w:val="20"/>
      <w:lang w:eastAsia="en-GB"/>
    </w:rPr>
  </w:style>
  <w:style w:type="paragraph" w:customStyle="1" w:styleId="xl76">
    <w:name w:val="xl76"/>
    <w:basedOn w:val="Normal"/>
    <w:rsid w:val="003B552F"/>
    <w:pPr>
      <w:pBdr>
        <w:top w:val="single" w:sz="4" w:space="0" w:color="auto"/>
        <w:left w:val="single" w:sz="4" w:space="0" w:color="auto"/>
        <w:right w:val="single" w:sz="4" w:space="0" w:color="auto"/>
      </w:pBdr>
      <w:spacing w:before="100" w:beforeAutospacing="1" w:after="100" w:afterAutospacing="1"/>
      <w:jc w:val="left"/>
      <w:textAlignment w:val="top"/>
    </w:pPr>
    <w:rPr>
      <w:rFonts w:ascii="Arial Narrow" w:eastAsia="Times New Roman" w:hAnsi="Arial Narrow"/>
      <w:sz w:val="20"/>
      <w:szCs w:val="20"/>
      <w:lang w:eastAsia="en-GB"/>
    </w:rPr>
  </w:style>
  <w:style w:type="paragraph" w:customStyle="1" w:styleId="xl77">
    <w:name w:val="xl77"/>
    <w:basedOn w:val="Normal"/>
    <w:rsid w:val="003B552F"/>
    <w:pPr>
      <w:pBdr>
        <w:left w:val="single" w:sz="4" w:space="0" w:color="auto"/>
        <w:bottom w:val="single" w:sz="4" w:space="0" w:color="auto"/>
        <w:right w:val="single" w:sz="4" w:space="0" w:color="auto"/>
      </w:pBdr>
      <w:spacing w:before="100" w:beforeAutospacing="1" w:after="100" w:afterAutospacing="1"/>
      <w:jc w:val="left"/>
      <w:textAlignment w:val="top"/>
    </w:pPr>
    <w:rPr>
      <w:rFonts w:ascii="Arial Narrow" w:eastAsia="Times New Roman" w:hAnsi="Arial Narrow"/>
      <w:sz w:val="20"/>
      <w:szCs w:val="20"/>
      <w:lang w:eastAsia="en-GB"/>
    </w:rPr>
  </w:style>
  <w:style w:type="paragraph" w:customStyle="1" w:styleId="xl78">
    <w:name w:val="xl78"/>
    <w:basedOn w:val="Normal"/>
    <w:rsid w:val="003B552F"/>
    <w:pPr>
      <w:pBdr>
        <w:left w:val="single" w:sz="4" w:space="0" w:color="auto"/>
        <w:right w:val="single" w:sz="4" w:space="0" w:color="auto"/>
      </w:pBdr>
      <w:shd w:val="clear" w:color="000000" w:fill="BFBFBF"/>
      <w:spacing w:before="100" w:beforeAutospacing="1" w:after="100" w:afterAutospacing="1"/>
      <w:jc w:val="right"/>
      <w:textAlignment w:val="top"/>
    </w:pPr>
    <w:rPr>
      <w:rFonts w:ascii="Arial Narrow" w:eastAsia="Times New Roman" w:hAnsi="Arial Narrow"/>
      <w:b/>
      <w:bCs/>
      <w:sz w:val="20"/>
      <w:szCs w:val="20"/>
      <w:lang w:eastAsia="en-GB"/>
    </w:rPr>
  </w:style>
  <w:style w:type="paragraph" w:customStyle="1" w:styleId="xl79">
    <w:name w:val="xl79"/>
    <w:basedOn w:val="Normal"/>
    <w:rsid w:val="003B552F"/>
    <w:pPr>
      <w:pBdr>
        <w:top w:val="single" w:sz="8" w:space="0" w:color="auto"/>
        <w:left w:val="single" w:sz="4" w:space="0" w:color="auto"/>
        <w:bottom w:val="single" w:sz="8" w:space="0" w:color="auto"/>
        <w:right w:val="single" w:sz="4" w:space="0" w:color="auto"/>
      </w:pBdr>
      <w:spacing w:before="100" w:beforeAutospacing="1" w:after="100" w:afterAutospacing="1"/>
      <w:jc w:val="left"/>
      <w:textAlignment w:val="top"/>
    </w:pPr>
    <w:rPr>
      <w:rFonts w:ascii="Arial Narrow" w:eastAsia="Times New Roman" w:hAnsi="Arial Narrow"/>
      <w:b/>
      <w:bCs/>
      <w:color w:val="FF0000"/>
      <w:sz w:val="20"/>
      <w:szCs w:val="20"/>
      <w:lang w:eastAsia="en-GB"/>
    </w:rPr>
  </w:style>
  <w:style w:type="paragraph" w:customStyle="1" w:styleId="xl80">
    <w:name w:val="xl80"/>
    <w:basedOn w:val="Normal"/>
    <w:rsid w:val="003B552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Arial Narrow" w:eastAsia="Times New Roman" w:hAnsi="Arial Narrow"/>
      <w:b/>
      <w:bCs/>
      <w:sz w:val="20"/>
      <w:szCs w:val="20"/>
      <w:lang w:eastAsia="en-GB"/>
    </w:rPr>
  </w:style>
  <w:style w:type="paragraph" w:customStyle="1" w:styleId="xl81">
    <w:name w:val="xl81"/>
    <w:basedOn w:val="Normal"/>
    <w:rsid w:val="003B552F"/>
    <w:pPr>
      <w:spacing w:before="100" w:beforeAutospacing="1" w:after="100" w:afterAutospacing="1"/>
      <w:jc w:val="left"/>
      <w:textAlignment w:val="top"/>
    </w:pPr>
    <w:rPr>
      <w:rFonts w:ascii="Arial Narrow" w:eastAsia="Times New Roman" w:hAnsi="Arial Narrow"/>
      <w:sz w:val="20"/>
      <w:szCs w:val="20"/>
      <w:lang w:eastAsia="en-GB"/>
    </w:rPr>
  </w:style>
  <w:style w:type="paragraph" w:customStyle="1" w:styleId="xl82">
    <w:name w:val="xl82"/>
    <w:basedOn w:val="Normal"/>
    <w:rsid w:val="003B552F"/>
    <w:pPr>
      <w:spacing w:before="100" w:beforeAutospacing="1" w:after="100" w:afterAutospacing="1"/>
      <w:jc w:val="left"/>
    </w:pPr>
    <w:rPr>
      <w:rFonts w:ascii="Arial Narrow" w:eastAsia="Times New Roman" w:hAnsi="Arial Narrow"/>
      <w:sz w:val="20"/>
      <w:szCs w:val="20"/>
      <w:lang w:eastAsia="en-GB"/>
    </w:rPr>
  </w:style>
  <w:style w:type="paragraph" w:customStyle="1" w:styleId="xl83">
    <w:name w:val="xl83"/>
    <w:basedOn w:val="Normal"/>
    <w:rsid w:val="003B552F"/>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left"/>
      <w:textAlignment w:val="top"/>
    </w:pPr>
    <w:rPr>
      <w:rFonts w:ascii="Arial Narrow" w:eastAsia="Times New Roman" w:hAnsi="Arial Narrow"/>
      <w:sz w:val="20"/>
      <w:szCs w:val="20"/>
      <w:lang w:eastAsia="en-GB"/>
    </w:rPr>
  </w:style>
  <w:style w:type="paragraph" w:customStyle="1" w:styleId="xl84">
    <w:name w:val="xl84"/>
    <w:basedOn w:val="Normal"/>
    <w:rsid w:val="003B552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Narrow" w:eastAsia="Times New Roman" w:hAnsi="Arial Narrow"/>
      <w:b/>
      <w:bCs/>
      <w:sz w:val="20"/>
      <w:szCs w:val="20"/>
      <w:lang w:eastAsia="en-GB"/>
    </w:rPr>
  </w:style>
  <w:style w:type="paragraph" w:customStyle="1" w:styleId="xl85">
    <w:name w:val="xl85"/>
    <w:basedOn w:val="Normal"/>
    <w:rsid w:val="003B552F"/>
    <w:pPr>
      <w:pBdr>
        <w:top w:val="single" w:sz="4" w:space="0" w:color="auto"/>
        <w:left w:val="single" w:sz="4" w:space="0" w:color="auto"/>
        <w:right w:val="single" w:sz="4" w:space="0" w:color="auto"/>
      </w:pBdr>
      <w:spacing w:before="100" w:beforeAutospacing="1" w:after="100" w:afterAutospacing="1"/>
      <w:jc w:val="left"/>
      <w:textAlignment w:val="top"/>
    </w:pPr>
    <w:rPr>
      <w:rFonts w:ascii="Arial Narrow" w:eastAsia="Times New Roman" w:hAnsi="Arial Narrow"/>
      <w:sz w:val="20"/>
      <w:szCs w:val="20"/>
      <w:lang w:eastAsia="en-GB"/>
    </w:rPr>
  </w:style>
  <w:style w:type="paragraph" w:customStyle="1" w:styleId="xl86">
    <w:name w:val="xl86"/>
    <w:basedOn w:val="Normal"/>
    <w:rsid w:val="003B552F"/>
    <w:pPr>
      <w:pBdr>
        <w:left w:val="single" w:sz="4" w:space="0" w:color="auto"/>
        <w:bottom w:val="single" w:sz="4" w:space="0" w:color="auto"/>
        <w:right w:val="single" w:sz="4" w:space="0" w:color="auto"/>
      </w:pBdr>
      <w:spacing w:before="100" w:beforeAutospacing="1" w:after="100" w:afterAutospacing="1"/>
      <w:jc w:val="left"/>
      <w:textAlignment w:val="top"/>
    </w:pPr>
    <w:rPr>
      <w:rFonts w:ascii="Arial Narrow" w:eastAsia="Times New Roman" w:hAnsi="Arial Narrow"/>
      <w:sz w:val="20"/>
      <w:szCs w:val="20"/>
      <w:lang w:eastAsia="en-GB"/>
    </w:rPr>
  </w:style>
  <w:style w:type="paragraph" w:customStyle="1" w:styleId="xl87">
    <w:name w:val="xl87"/>
    <w:basedOn w:val="Normal"/>
    <w:rsid w:val="003B552F"/>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Narrow" w:eastAsia="Times New Roman" w:hAnsi="Arial Narrow"/>
      <w:sz w:val="20"/>
      <w:szCs w:val="20"/>
      <w:lang w:eastAsia="en-GB"/>
    </w:rPr>
  </w:style>
  <w:style w:type="paragraph" w:customStyle="1" w:styleId="xl88">
    <w:name w:val="xl88"/>
    <w:basedOn w:val="Normal"/>
    <w:rsid w:val="003B552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Narrow" w:eastAsia="Times New Roman" w:hAnsi="Arial Narrow"/>
      <w:sz w:val="20"/>
      <w:szCs w:val="20"/>
      <w:lang w:eastAsia="en-GB"/>
    </w:rPr>
  </w:style>
  <w:style w:type="paragraph" w:customStyle="1" w:styleId="xl89">
    <w:name w:val="xl89"/>
    <w:basedOn w:val="Normal"/>
    <w:rsid w:val="003B552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Narrow" w:eastAsia="Times New Roman" w:hAnsi="Arial Narrow"/>
      <w:sz w:val="20"/>
      <w:szCs w:val="20"/>
      <w:lang w:eastAsia="en-GB"/>
    </w:rPr>
  </w:style>
  <w:style w:type="paragraph" w:customStyle="1" w:styleId="xl90">
    <w:name w:val="xl90"/>
    <w:basedOn w:val="Normal"/>
    <w:rsid w:val="003B55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Arial Narrow" w:eastAsia="Times New Roman" w:hAnsi="Arial Narrow"/>
      <w:sz w:val="20"/>
      <w:szCs w:val="20"/>
      <w:lang w:eastAsia="en-GB"/>
    </w:rPr>
  </w:style>
  <w:style w:type="paragraph" w:customStyle="1" w:styleId="xl91">
    <w:name w:val="xl91"/>
    <w:basedOn w:val="Normal"/>
    <w:rsid w:val="003B552F"/>
    <w:pPr>
      <w:pBdr>
        <w:top w:val="single" w:sz="8" w:space="0" w:color="auto"/>
        <w:left w:val="single" w:sz="4" w:space="0" w:color="auto"/>
        <w:bottom w:val="single" w:sz="8" w:space="0" w:color="auto"/>
        <w:right w:val="single" w:sz="4" w:space="0" w:color="auto"/>
      </w:pBdr>
      <w:spacing w:before="100" w:beforeAutospacing="1" w:after="100" w:afterAutospacing="1"/>
      <w:jc w:val="left"/>
      <w:textAlignment w:val="top"/>
    </w:pPr>
    <w:rPr>
      <w:rFonts w:ascii="Arial Narrow" w:eastAsia="Times New Roman" w:hAnsi="Arial Narrow"/>
      <w:color w:val="FF0000"/>
      <w:sz w:val="20"/>
      <w:szCs w:val="20"/>
      <w:lang w:eastAsia="en-GB"/>
    </w:rPr>
  </w:style>
  <w:style w:type="paragraph" w:customStyle="1" w:styleId="xl92">
    <w:name w:val="xl92"/>
    <w:basedOn w:val="Normal"/>
    <w:rsid w:val="003B552F"/>
    <w:pPr>
      <w:pBdr>
        <w:top w:val="single" w:sz="8" w:space="0" w:color="auto"/>
        <w:left w:val="single" w:sz="4" w:space="0" w:color="auto"/>
        <w:bottom w:val="single" w:sz="8" w:space="0" w:color="auto"/>
        <w:right w:val="single" w:sz="8" w:space="0" w:color="auto"/>
      </w:pBdr>
      <w:spacing w:before="100" w:beforeAutospacing="1" w:after="100" w:afterAutospacing="1"/>
      <w:jc w:val="left"/>
      <w:textAlignment w:val="top"/>
    </w:pPr>
    <w:rPr>
      <w:rFonts w:ascii="Arial Narrow" w:eastAsia="Times New Roman" w:hAnsi="Arial Narrow"/>
      <w:b/>
      <w:bCs/>
      <w:color w:val="FF0000"/>
      <w:sz w:val="20"/>
      <w:szCs w:val="20"/>
      <w:lang w:eastAsia="en-GB"/>
    </w:rPr>
  </w:style>
  <w:style w:type="paragraph" w:customStyle="1" w:styleId="xl93">
    <w:name w:val="xl93"/>
    <w:basedOn w:val="Normal"/>
    <w:rsid w:val="003B552F"/>
    <w:pPr>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Narrow" w:eastAsia="Times New Roman" w:hAnsi="Arial Narrow"/>
      <w:sz w:val="20"/>
      <w:szCs w:val="20"/>
      <w:lang w:eastAsia="en-GB"/>
    </w:rPr>
  </w:style>
  <w:style w:type="paragraph" w:customStyle="1" w:styleId="xl94">
    <w:name w:val="xl94"/>
    <w:basedOn w:val="Normal"/>
    <w:rsid w:val="003B552F"/>
    <w:pPr>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Narrow" w:eastAsia="Times New Roman" w:hAnsi="Arial Narrow"/>
      <w:sz w:val="20"/>
      <w:szCs w:val="20"/>
      <w:lang w:eastAsia="en-GB"/>
    </w:rPr>
  </w:style>
  <w:style w:type="paragraph" w:customStyle="1" w:styleId="xl95">
    <w:name w:val="xl95"/>
    <w:basedOn w:val="Normal"/>
    <w:rsid w:val="003B552F"/>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Narrow" w:eastAsia="Times New Roman" w:hAnsi="Arial Narrow"/>
      <w:sz w:val="20"/>
      <w:szCs w:val="20"/>
      <w:lang w:eastAsia="en-GB"/>
    </w:rPr>
  </w:style>
  <w:style w:type="paragraph" w:customStyle="1" w:styleId="xl96">
    <w:name w:val="xl96"/>
    <w:basedOn w:val="Normal"/>
    <w:rsid w:val="003B552F"/>
    <w:pPr>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Narrow" w:eastAsia="Times New Roman" w:hAnsi="Arial Narrow"/>
      <w:sz w:val="20"/>
      <w:szCs w:val="20"/>
      <w:lang w:eastAsia="en-GB"/>
    </w:rPr>
  </w:style>
  <w:style w:type="paragraph" w:customStyle="1" w:styleId="xl97">
    <w:name w:val="xl97"/>
    <w:basedOn w:val="Normal"/>
    <w:rsid w:val="003B552F"/>
    <w:pPr>
      <w:pBdr>
        <w:top w:val="single" w:sz="8" w:space="0" w:color="auto"/>
        <w:left w:val="single" w:sz="4" w:space="0" w:color="auto"/>
        <w:bottom w:val="single" w:sz="8" w:space="0" w:color="auto"/>
        <w:right w:val="single" w:sz="4" w:space="0" w:color="auto"/>
      </w:pBdr>
      <w:spacing w:before="100" w:beforeAutospacing="1" w:after="100" w:afterAutospacing="1"/>
      <w:jc w:val="left"/>
      <w:textAlignment w:val="top"/>
    </w:pPr>
    <w:rPr>
      <w:rFonts w:ascii="Arial Narrow" w:eastAsia="Times New Roman" w:hAnsi="Arial Narrow"/>
      <w:sz w:val="20"/>
      <w:szCs w:val="20"/>
      <w:lang w:eastAsia="en-GB"/>
    </w:rPr>
  </w:style>
  <w:style w:type="paragraph" w:customStyle="1" w:styleId="xl98">
    <w:name w:val="xl98"/>
    <w:basedOn w:val="Normal"/>
    <w:rsid w:val="003B552F"/>
    <w:pPr>
      <w:pBdr>
        <w:top w:val="single" w:sz="8" w:space="0" w:color="auto"/>
        <w:left w:val="single" w:sz="4" w:space="0" w:color="auto"/>
        <w:bottom w:val="single" w:sz="8" w:space="0" w:color="auto"/>
        <w:right w:val="single" w:sz="4" w:space="0" w:color="auto"/>
      </w:pBdr>
      <w:spacing w:before="100" w:beforeAutospacing="1" w:after="100" w:afterAutospacing="1"/>
      <w:jc w:val="left"/>
      <w:textAlignment w:val="top"/>
    </w:pPr>
    <w:rPr>
      <w:rFonts w:ascii="Arial Narrow" w:eastAsia="Times New Roman" w:hAnsi="Arial Narrow"/>
      <w:b/>
      <w:bCs/>
      <w:color w:val="FF0000"/>
      <w:sz w:val="20"/>
      <w:szCs w:val="20"/>
      <w:lang w:eastAsia="en-GB"/>
    </w:rPr>
  </w:style>
  <w:style w:type="paragraph" w:customStyle="1" w:styleId="xl99">
    <w:name w:val="xl99"/>
    <w:basedOn w:val="Normal"/>
    <w:rsid w:val="003B552F"/>
    <w:pPr>
      <w:pBdr>
        <w:left w:val="single" w:sz="4" w:space="0" w:color="auto"/>
        <w:right w:val="single" w:sz="4" w:space="0" w:color="auto"/>
      </w:pBdr>
      <w:spacing w:before="100" w:beforeAutospacing="1" w:after="100" w:afterAutospacing="1"/>
      <w:jc w:val="left"/>
      <w:textAlignment w:val="top"/>
    </w:pPr>
    <w:rPr>
      <w:rFonts w:ascii="Arial Narrow" w:eastAsia="Times New Roman" w:hAnsi="Arial Narrow"/>
      <w:sz w:val="20"/>
      <w:szCs w:val="20"/>
      <w:lang w:eastAsia="en-GB"/>
    </w:rPr>
  </w:style>
  <w:style w:type="paragraph" w:customStyle="1" w:styleId="xl100">
    <w:name w:val="xl100"/>
    <w:basedOn w:val="Normal"/>
    <w:rsid w:val="003B552F"/>
    <w:pPr>
      <w:pBdr>
        <w:left w:val="single" w:sz="4" w:space="0" w:color="auto"/>
        <w:right w:val="single" w:sz="4" w:space="0" w:color="auto"/>
      </w:pBdr>
      <w:spacing w:before="100" w:beforeAutospacing="1" w:after="100" w:afterAutospacing="1"/>
      <w:jc w:val="right"/>
      <w:textAlignment w:val="top"/>
    </w:pPr>
    <w:rPr>
      <w:rFonts w:ascii="Arial Narrow" w:eastAsia="Times New Roman" w:hAnsi="Arial Narrow"/>
      <w:sz w:val="20"/>
      <w:szCs w:val="20"/>
      <w:lang w:eastAsia="en-GB"/>
    </w:rPr>
  </w:style>
  <w:style w:type="paragraph" w:customStyle="1" w:styleId="xl101">
    <w:name w:val="xl101"/>
    <w:basedOn w:val="Normal"/>
    <w:rsid w:val="003B552F"/>
    <w:pPr>
      <w:pBdr>
        <w:left w:val="single" w:sz="4" w:space="0" w:color="auto"/>
        <w:right w:val="single" w:sz="4" w:space="0" w:color="auto"/>
      </w:pBdr>
      <w:spacing w:before="100" w:beforeAutospacing="1" w:after="100" w:afterAutospacing="1"/>
      <w:jc w:val="left"/>
      <w:textAlignment w:val="top"/>
    </w:pPr>
    <w:rPr>
      <w:rFonts w:ascii="Arial Narrow" w:eastAsia="Times New Roman" w:hAnsi="Arial Narrow"/>
      <w:sz w:val="20"/>
      <w:szCs w:val="20"/>
      <w:lang w:eastAsia="en-GB"/>
    </w:rPr>
  </w:style>
  <w:style w:type="paragraph" w:customStyle="1" w:styleId="xl102">
    <w:name w:val="xl102"/>
    <w:basedOn w:val="Normal"/>
    <w:rsid w:val="003B552F"/>
    <w:pPr>
      <w:pBdr>
        <w:top w:val="single" w:sz="8" w:space="0" w:color="auto"/>
        <w:left w:val="single" w:sz="4" w:space="0" w:color="auto"/>
        <w:bottom w:val="single" w:sz="8" w:space="0" w:color="auto"/>
        <w:right w:val="single" w:sz="8" w:space="0" w:color="auto"/>
      </w:pBdr>
      <w:spacing w:before="100" w:beforeAutospacing="1" w:after="100" w:afterAutospacing="1"/>
      <w:jc w:val="left"/>
      <w:textAlignment w:val="top"/>
    </w:pPr>
    <w:rPr>
      <w:rFonts w:ascii="Arial Narrow" w:eastAsia="Times New Roman" w:hAnsi="Arial Narrow"/>
      <w:b/>
      <w:bCs/>
      <w:color w:val="FF0000"/>
      <w:sz w:val="20"/>
      <w:szCs w:val="20"/>
      <w:lang w:eastAsia="en-GB"/>
    </w:rPr>
  </w:style>
  <w:style w:type="paragraph" w:customStyle="1" w:styleId="xl103">
    <w:name w:val="xl103"/>
    <w:basedOn w:val="Normal"/>
    <w:rsid w:val="003B552F"/>
    <w:pPr>
      <w:pBdr>
        <w:top w:val="single" w:sz="4" w:space="0" w:color="auto"/>
        <w:left w:val="single" w:sz="4" w:space="0" w:color="auto"/>
        <w:right w:val="single" w:sz="4" w:space="0" w:color="auto"/>
      </w:pBdr>
      <w:spacing w:before="100" w:beforeAutospacing="1" w:after="100" w:afterAutospacing="1"/>
      <w:jc w:val="left"/>
      <w:textAlignment w:val="top"/>
    </w:pPr>
    <w:rPr>
      <w:rFonts w:ascii="Arial Narrow" w:eastAsia="Times New Roman" w:hAnsi="Arial Narrow"/>
      <w:sz w:val="20"/>
      <w:szCs w:val="20"/>
      <w:lang w:eastAsia="en-GB"/>
    </w:rPr>
  </w:style>
  <w:style w:type="paragraph" w:customStyle="1" w:styleId="xl104">
    <w:name w:val="xl104"/>
    <w:basedOn w:val="Normal"/>
    <w:rsid w:val="003B552F"/>
    <w:pPr>
      <w:pBdr>
        <w:top w:val="single" w:sz="8" w:space="0" w:color="auto"/>
        <w:left w:val="single" w:sz="4" w:space="0" w:color="auto"/>
        <w:bottom w:val="single" w:sz="8" w:space="0" w:color="auto"/>
        <w:right w:val="single" w:sz="4" w:space="0" w:color="auto"/>
      </w:pBdr>
      <w:spacing w:before="100" w:beforeAutospacing="1" w:after="100" w:afterAutospacing="1"/>
      <w:jc w:val="left"/>
      <w:textAlignment w:val="top"/>
    </w:pPr>
    <w:rPr>
      <w:rFonts w:ascii="Arial Narrow" w:eastAsia="Times New Roman" w:hAnsi="Arial Narrow"/>
      <w:b/>
      <w:bCs/>
      <w:color w:val="FF0000"/>
      <w:sz w:val="20"/>
      <w:szCs w:val="20"/>
      <w:lang w:eastAsia="en-GB"/>
    </w:rPr>
  </w:style>
  <w:style w:type="paragraph" w:customStyle="1" w:styleId="xl105">
    <w:name w:val="xl105"/>
    <w:basedOn w:val="Normal"/>
    <w:rsid w:val="003B552F"/>
    <w:pPr>
      <w:pBdr>
        <w:left w:val="single" w:sz="8" w:space="0" w:color="auto"/>
        <w:right w:val="single" w:sz="4" w:space="0" w:color="auto"/>
      </w:pBdr>
      <w:shd w:val="clear" w:color="000000" w:fill="BFBFBF"/>
      <w:spacing w:before="100" w:beforeAutospacing="1" w:after="100" w:afterAutospacing="1"/>
      <w:jc w:val="left"/>
      <w:textAlignment w:val="top"/>
    </w:pPr>
    <w:rPr>
      <w:rFonts w:ascii="Arial Narrow" w:eastAsia="Times New Roman" w:hAnsi="Arial Narrow"/>
      <w:b/>
      <w:bCs/>
      <w:sz w:val="20"/>
      <w:szCs w:val="20"/>
      <w:lang w:eastAsia="en-GB"/>
    </w:rPr>
  </w:style>
  <w:style w:type="paragraph" w:customStyle="1" w:styleId="xl106">
    <w:name w:val="xl106"/>
    <w:basedOn w:val="Normal"/>
    <w:rsid w:val="003B552F"/>
    <w:pPr>
      <w:pBdr>
        <w:left w:val="single" w:sz="4" w:space="0" w:color="auto"/>
        <w:bottom w:val="single" w:sz="8" w:space="0" w:color="auto"/>
        <w:right w:val="single" w:sz="8" w:space="0" w:color="auto"/>
      </w:pBdr>
      <w:spacing w:before="100" w:beforeAutospacing="1" w:after="100" w:afterAutospacing="1"/>
      <w:jc w:val="left"/>
      <w:textAlignment w:val="top"/>
    </w:pPr>
    <w:rPr>
      <w:rFonts w:ascii="Arial Narrow" w:eastAsia="Times New Roman" w:hAnsi="Arial Narrow"/>
      <w:b/>
      <w:bCs/>
      <w:color w:val="FF0000"/>
      <w:sz w:val="20"/>
      <w:szCs w:val="20"/>
      <w:lang w:eastAsia="en-GB"/>
    </w:rPr>
  </w:style>
  <w:style w:type="paragraph" w:customStyle="1" w:styleId="xl107">
    <w:name w:val="xl107"/>
    <w:basedOn w:val="Normal"/>
    <w:rsid w:val="003B552F"/>
    <w:pPr>
      <w:pBdr>
        <w:top w:val="single" w:sz="8" w:space="0" w:color="auto"/>
        <w:left w:val="single" w:sz="4" w:space="0" w:color="auto"/>
        <w:right w:val="single" w:sz="4" w:space="0" w:color="auto"/>
      </w:pBdr>
      <w:spacing w:before="100" w:beforeAutospacing="1" w:after="100" w:afterAutospacing="1"/>
      <w:jc w:val="left"/>
      <w:textAlignment w:val="top"/>
    </w:pPr>
    <w:rPr>
      <w:rFonts w:ascii="Arial Narrow" w:eastAsia="Times New Roman" w:hAnsi="Arial Narrow"/>
      <w:b/>
      <w:bCs/>
      <w:color w:val="FF0000"/>
      <w:sz w:val="20"/>
      <w:szCs w:val="20"/>
      <w:lang w:eastAsia="en-GB"/>
    </w:rPr>
  </w:style>
  <w:style w:type="paragraph" w:customStyle="1" w:styleId="xl108">
    <w:name w:val="xl108"/>
    <w:basedOn w:val="Normal"/>
    <w:rsid w:val="003B552F"/>
    <w:pPr>
      <w:pBdr>
        <w:top w:val="single" w:sz="8" w:space="0" w:color="auto"/>
        <w:left w:val="single" w:sz="4" w:space="0" w:color="auto"/>
        <w:right w:val="single" w:sz="4" w:space="0" w:color="auto"/>
      </w:pBdr>
      <w:spacing w:before="100" w:beforeAutospacing="1" w:after="100" w:afterAutospacing="1"/>
      <w:jc w:val="left"/>
      <w:textAlignment w:val="top"/>
    </w:pPr>
    <w:rPr>
      <w:rFonts w:ascii="Arial Narrow" w:eastAsia="Times New Roman" w:hAnsi="Arial Narrow"/>
      <w:b/>
      <w:bCs/>
      <w:color w:val="FF0000"/>
      <w:sz w:val="20"/>
      <w:szCs w:val="20"/>
      <w:lang w:eastAsia="en-GB"/>
    </w:rPr>
  </w:style>
  <w:style w:type="paragraph" w:customStyle="1" w:styleId="xl109">
    <w:name w:val="xl109"/>
    <w:basedOn w:val="Normal"/>
    <w:rsid w:val="003B552F"/>
    <w:pPr>
      <w:pBdr>
        <w:top w:val="single" w:sz="8" w:space="0" w:color="auto"/>
        <w:left w:val="single" w:sz="4" w:space="0" w:color="auto"/>
        <w:right w:val="single" w:sz="4" w:space="0" w:color="auto"/>
      </w:pBdr>
      <w:spacing w:before="100" w:beforeAutospacing="1" w:after="100" w:afterAutospacing="1"/>
      <w:jc w:val="left"/>
      <w:textAlignment w:val="top"/>
    </w:pPr>
    <w:rPr>
      <w:rFonts w:ascii="Arial Narrow" w:eastAsia="Times New Roman" w:hAnsi="Arial Narrow"/>
      <w:b/>
      <w:bCs/>
      <w:color w:val="FF0000"/>
      <w:sz w:val="20"/>
      <w:szCs w:val="20"/>
      <w:lang w:eastAsia="en-GB"/>
    </w:rPr>
  </w:style>
  <w:style w:type="paragraph" w:customStyle="1" w:styleId="xl110">
    <w:name w:val="xl110"/>
    <w:basedOn w:val="Normal"/>
    <w:rsid w:val="003B552F"/>
    <w:pPr>
      <w:pBdr>
        <w:top w:val="single" w:sz="8" w:space="0" w:color="auto"/>
        <w:left w:val="single" w:sz="4" w:space="0" w:color="auto"/>
        <w:right w:val="single" w:sz="8" w:space="0" w:color="auto"/>
      </w:pBdr>
      <w:spacing w:before="100" w:beforeAutospacing="1" w:after="100" w:afterAutospacing="1"/>
      <w:jc w:val="left"/>
      <w:textAlignment w:val="top"/>
    </w:pPr>
    <w:rPr>
      <w:rFonts w:ascii="Arial Narrow" w:eastAsia="Times New Roman" w:hAnsi="Arial Narrow"/>
      <w:b/>
      <w:bCs/>
      <w:color w:val="FF0000"/>
      <w:sz w:val="20"/>
      <w:szCs w:val="20"/>
      <w:lang w:eastAsia="en-GB"/>
    </w:rPr>
  </w:style>
  <w:style w:type="paragraph" w:customStyle="1" w:styleId="xl111">
    <w:name w:val="xl111"/>
    <w:basedOn w:val="Normal"/>
    <w:rsid w:val="003B552F"/>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b/>
      <w:bCs/>
      <w:color w:val="FF0000"/>
      <w:sz w:val="20"/>
      <w:szCs w:val="20"/>
      <w:lang w:eastAsia="en-GB"/>
    </w:rPr>
  </w:style>
  <w:style w:type="paragraph" w:customStyle="1" w:styleId="xl112">
    <w:name w:val="xl112"/>
    <w:basedOn w:val="Normal"/>
    <w:rsid w:val="003B552F"/>
    <w:pPr>
      <w:pBdr>
        <w:top w:val="single" w:sz="8" w:space="0" w:color="auto"/>
        <w:left w:val="single" w:sz="4"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color w:val="FF0000"/>
      <w:sz w:val="20"/>
      <w:szCs w:val="20"/>
      <w:lang w:eastAsia="en-GB"/>
    </w:rPr>
  </w:style>
  <w:style w:type="paragraph" w:customStyle="1" w:styleId="xl113">
    <w:name w:val="xl113"/>
    <w:basedOn w:val="Normal"/>
    <w:rsid w:val="003B552F"/>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color w:val="FF0000"/>
      <w:sz w:val="20"/>
      <w:szCs w:val="20"/>
      <w:lang w:eastAsia="en-GB"/>
    </w:rPr>
  </w:style>
  <w:style w:type="paragraph" w:customStyle="1" w:styleId="xl114">
    <w:name w:val="xl114"/>
    <w:basedOn w:val="Normal"/>
    <w:rsid w:val="003B552F"/>
    <w:pPr>
      <w:pBdr>
        <w:left w:val="single" w:sz="4" w:space="0" w:color="auto"/>
        <w:bottom w:val="single" w:sz="4" w:space="0" w:color="auto"/>
        <w:right w:val="single" w:sz="8" w:space="0" w:color="auto"/>
      </w:pBdr>
      <w:spacing w:before="100" w:beforeAutospacing="1" w:after="100" w:afterAutospacing="1"/>
      <w:jc w:val="left"/>
      <w:textAlignment w:val="top"/>
    </w:pPr>
    <w:rPr>
      <w:rFonts w:ascii="Arial Narrow" w:eastAsia="Times New Roman" w:hAnsi="Arial Narrow"/>
      <w:sz w:val="20"/>
      <w:szCs w:val="20"/>
      <w:lang w:eastAsia="en-GB"/>
    </w:rPr>
  </w:style>
  <w:style w:type="paragraph" w:customStyle="1" w:styleId="xl115">
    <w:name w:val="xl115"/>
    <w:basedOn w:val="Normal"/>
    <w:rsid w:val="003B552F"/>
    <w:pPr>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top"/>
    </w:pPr>
    <w:rPr>
      <w:rFonts w:ascii="Arial Narrow" w:eastAsia="Times New Roman" w:hAnsi="Arial Narrow"/>
      <w:sz w:val="20"/>
      <w:szCs w:val="20"/>
      <w:lang w:eastAsia="en-GB"/>
    </w:rPr>
  </w:style>
  <w:style w:type="paragraph" w:customStyle="1" w:styleId="xl116">
    <w:name w:val="xl116"/>
    <w:basedOn w:val="Normal"/>
    <w:rsid w:val="003B552F"/>
    <w:pPr>
      <w:spacing w:before="100" w:beforeAutospacing="1" w:after="100" w:afterAutospacing="1"/>
      <w:jc w:val="left"/>
    </w:pPr>
    <w:rPr>
      <w:rFonts w:ascii="Arial Narrow" w:eastAsia="Times New Roman" w:hAnsi="Arial Narrow"/>
      <w:sz w:val="20"/>
      <w:szCs w:val="20"/>
      <w:lang w:eastAsia="en-GB"/>
    </w:rPr>
  </w:style>
  <w:style w:type="paragraph" w:customStyle="1" w:styleId="xl117">
    <w:name w:val="xl117"/>
    <w:basedOn w:val="Normal"/>
    <w:rsid w:val="003B552F"/>
    <w:pPr>
      <w:pBdr>
        <w:left w:val="single" w:sz="4" w:space="0" w:color="auto"/>
        <w:right w:val="single" w:sz="8" w:space="0" w:color="auto"/>
      </w:pBdr>
      <w:shd w:val="clear" w:color="000000" w:fill="BFBFBF"/>
      <w:spacing w:before="100" w:beforeAutospacing="1" w:after="100" w:afterAutospacing="1"/>
      <w:jc w:val="right"/>
      <w:textAlignment w:val="top"/>
    </w:pPr>
    <w:rPr>
      <w:rFonts w:ascii="Arial Narrow" w:eastAsia="Times New Roman" w:hAnsi="Arial Narrow"/>
      <w:b/>
      <w:bCs/>
      <w:sz w:val="20"/>
      <w:szCs w:val="20"/>
      <w:lang w:eastAsia="en-GB"/>
    </w:rPr>
  </w:style>
  <w:style w:type="paragraph" w:customStyle="1" w:styleId="xl118">
    <w:name w:val="xl118"/>
    <w:basedOn w:val="Normal"/>
    <w:rsid w:val="003B552F"/>
    <w:pPr>
      <w:pBdr>
        <w:top w:val="single" w:sz="4" w:space="0" w:color="auto"/>
        <w:left w:val="single" w:sz="8" w:space="0" w:color="auto"/>
        <w:right w:val="single" w:sz="4" w:space="0" w:color="auto"/>
      </w:pBdr>
      <w:spacing w:before="100" w:beforeAutospacing="1" w:after="100" w:afterAutospacing="1"/>
      <w:jc w:val="left"/>
      <w:textAlignment w:val="top"/>
    </w:pPr>
    <w:rPr>
      <w:rFonts w:ascii="Arial Narrow" w:eastAsia="Times New Roman" w:hAnsi="Arial Narrow"/>
      <w:b/>
      <w:bCs/>
      <w:sz w:val="20"/>
      <w:szCs w:val="20"/>
      <w:lang w:eastAsia="en-GB"/>
    </w:rPr>
  </w:style>
  <w:style w:type="paragraph" w:customStyle="1" w:styleId="xl119">
    <w:name w:val="xl119"/>
    <w:basedOn w:val="Normal"/>
    <w:rsid w:val="003B552F"/>
    <w:pPr>
      <w:pBdr>
        <w:left w:val="single" w:sz="4" w:space="0" w:color="auto"/>
        <w:bottom w:val="single" w:sz="4" w:space="0" w:color="auto"/>
        <w:right w:val="single" w:sz="4" w:space="0" w:color="auto"/>
      </w:pBdr>
      <w:spacing w:before="100" w:beforeAutospacing="1" w:after="100" w:afterAutospacing="1"/>
      <w:jc w:val="left"/>
      <w:textAlignment w:val="top"/>
    </w:pPr>
    <w:rPr>
      <w:rFonts w:ascii="Arial Narrow" w:eastAsia="Times New Roman" w:hAnsi="Arial Narrow"/>
      <w:sz w:val="20"/>
      <w:szCs w:val="20"/>
      <w:lang w:eastAsia="en-GB"/>
    </w:rPr>
  </w:style>
  <w:style w:type="paragraph" w:customStyle="1" w:styleId="xl120">
    <w:name w:val="xl120"/>
    <w:basedOn w:val="Normal"/>
    <w:rsid w:val="003B552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Narrow" w:eastAsia="Times New Roman" w:hAnsi="Arial Narrow"/>
      <w:sz w:val="20"/>
      <w:szCs w:val="20"/>
      <w:lang w:eastAsia="en-GB"/>
    </w:rPr>
  </w:style>
  <w:style w:type="paragraph" w:customStyle="1" w:styleId="xl121">
    <w:name w:val="xl121"/>
    <w:basedOn w:val="Normal"/>
    <w:rsid w:val="003B552F"/>
    <w:pPr>
      <w:pBdr>
        <w:left w:val="single" w:sz="4" w:space="0" w:color="auto"/>
        <w:right w:val="single" w:sz="4" w:space="0" w:color="auto"/>
      </w:pBdr>
      <w:spacing w:before="100" w:beforeAutospacing="1" w:after="100" w:afterAutospacing="1"/>
      <w:jc w:val="left"/>
      <w:textAlignment w:val="top"/>
    </w:pPr>
    <w:rPr>
      <w:rFonts w:ascii="Arial Narrow" w:eastAsia="Times New Roman" w:hAnsi="Arial Narrow"/>
      <w:sz w:val="20"/>
      <w:szCs w:val="20"/>
      <w:lang w:eastAsia="en-GB"/>
    </w:rPr>
  </w:style>
  <w:style w:type="paragraph" w:customStyle="1" w:styleId="xl122">
    <w:name w:val="xl122"/>
    <w:basedOn w:val="Normal"/>
    <w:rsid w:val="003B55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 w:val="20"/>
      <w:szCs w:val="20"/>
      <w:lang w:eastAsia="en-GB"/>
    </w:rPr>
  </w:style>
  <w:style w:type="paragraph" w:customStyle="1" w:styleId="xl123">
    <w:name w:val="xl123"/>
    <w:basedOn w:val="Normal"/>
    <w:rsid w:val="003B552F"/>
    <w:pPr>
      <w:pBdr>
        <w:left w:val="single" w:sz="8" w:space="0" w:color="auto"/>
        <w:right w:val="single" w:sz="4" w:space="0" w:color="auto"/>
      </w:pBdr>
      <w:spacing w:before="100" w:beforeAutospacing="1" w:after="100" w:afterAutospacing="1"/>
      <w:jc w:val="left"/>
      <w:textAlignment w:val="top"/>
    </w:pPr>
    <w:rPr>
      <w:rFonts w:ascii="Arial Narrow" w:eastAsia="Times New Roman" w:hAnsi="Arial Narrow"/>
      <w:sz w:val="20"/>
      <w:szCs w:val="20"/>
      <w:lang w:eastAsia="en-GB"/>
    </w:rPr>
  </w:style>
  <w:style w:type="paragraph" w:customStyle="1" w:styleId="xl124">
    <w:name w:val="xl124"/>
    <w:basedOn w:val="Normal"/>
    <w:rsid w:val="003B552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Arial Narrow" w:eastAsia="Times New Roman" w:hAnsi="Arial Narrow"/>
      <w:sz w:val="20"/>
      <w:szCs w:val="20"/>
      <w:lang w:eastAsia="en-GB"/>
    </w:rPr>
  </w:style>
  <w:style w:type="paragraph" w:customStyle="1" w:styleId="xl125">
    <w:name w:val="xl125"/>
    <w:basedOn w:val="Normal"/>
    <w:rsid w:val="003B552F"/>
    <w:pPr>
      <w:pBdr>
        <w:left w:val="single" w:sz="4" w:space="0" w:color="auto"/>
        <w:right w:val="single" w:sz="4" w:space="0" w:color="auto"/>
      </w:pBdr>
      <w:shd w:val="clear" w:color="000000" w:fill="DBEEF3"/>
      <w:spacing w:before="100" w:beforeAutospacing="1" w:after="100" w:afterAutospacing="1"/>
      <w:jc w:val="left"/>
      <w:textAlignment w:val="top"/>
    </w:pPr>
    <w:rPr>
      <w:rFonts w:ascii="Arial Narrow" w:eastAsia="Times New Roman" w:hAnsi="Arial Narrow"/>
      <w:sz w:val="20"/>
      <w:szCs w:val="20"/>
      <w:lang w:eastAsia="en-GB"/>
    </w:rPr>
  </w:style>
  <w:style w:type="paragraph" w:customStyle="1" w:styleId="xl126">
    <w:name w:val="xl126"/>
    <w:basedOn w:val="Normal"/>
    <w:rsid w:val="003B552F"/>
    <w:pPr>
      <w:pBdr>
        <w:left w:val="single" w:sz="4" w:space="0" w:color="auto"/>
        <w:bottom w:val="single" w:sz="4" w:space="0" w:color="auto"/>
        <w:right w:val="single" w:sz="4" w:space="0" w:color="auto"/>
      </w:pBdr>
      <w:shd w:val="clear" w:color="000000" w:fill="DBEEF3"/>
      <w:spacing w:before="100" w:beforeAutospacing="1" w:after="100" w:afterAutospacing="1"/>
      <w:jc w:val="left"/>
      <w:textAlignment w:val="top"/>
    </w:pPr>
    <w:rPr>
      <w:rFonts w:ascii="Arial Narrow" w:eastAsia="Times New Roman" w:hAnsi="Arial Narrow"/>
      <w:sz w:val="20"/>
      <w:szCs w:val="20"/>
      <w:lang w:eastAsia="en-GB"/>
    </w:rPr>
  </w:style>
  <w:style w:type="paragraph" w:customStyle="1" w:styleId="xl127">
    <w:name w:val="xl127"/>
    <w:basedOn w:val="Normal"/>
    <w:rsid w:val="003B552F"/>
    <w:pPr>
      <w:pBdr>
        <w:top w:val="single" w:sz="4" w:space="0" w:color="auto"/>
        <w:left w:val="single" w:sz="4" w:space="0" w:color="auto"/>
        <w:right w:val="single" w:sz="4" w:space="0" w:color="auto"/>
      </w:pBdr>
      <w:spacing w:before="100" w:beforeAutospacing="1" w:after="100" w:afterAutospacing="1"/>
      <w:jc w:val="left"/>
      <w:textAlignment w:val="top"/>
    </w:pPr>
    <w:rPr>
      <w:rFonts w:ascii="Arial Narrow" w:eastAsia="Times New Roman" w:hAnsi="Arial Narrow"/>
      <w:sz w:val="20"/>
      <w:szCs w:val="20"/>
      <w:lang w:eastAsia="en-GB"/>
    </w:rPr>
  </w:style>
  <w:style w:type="paragraph" w:customStyle="1" w:styleId="xl128">
    <w:name w:val="xl128"/>
    <w:basedOn w:val="Normal"/>
    <w:rsid w:val="003B552F"/>
    <w:pPr>
      <w:pBdr>
        <w:left w:val="single" w:sz="4" w:space="0" w:color="auto"/>
        <w:right w:val="single" w:sz="4" w:space="0" w:color="auto"/>
      </w:pBdr>
      <w:spacing w:before="100" w:beforeAutospacing="1" w:after="100" w:afterAutospacing="1"/>
      <w:jc w:val="left"/>
      <w:textAlignment w:val="top"/>
    </w:pPr>
    <w:rPr>
      <w:rFonts w:ascii="Arial Narrow" w:eastAsia="Times New Roman" w:hAnsi="Arial Narrow"/>
      <w:sz w:val="20"/>
      <w:szCs w:val="20"/>
      <w:lang w:eastAsia="en-GB"/>
    </w:rPr>
  </w:style>
  <w:style w:type="paragraph" w:customStyle="1" w:styleId="xl129">
    <w:name w:val="xl129"/>
    <w:basedOn w:val="Normal"/>
    <w:rsid w:val="003B552F"/>
    <w:pPr>
      <w:pBdr>
        <w:left w:val="single" w:sz="4" w:space="0" w:color="auto"/>
        <w:bottom w:val="single" w:sz="4" w:space="0" w:color="auto"/>
        <w:right w:val="single" w:sz="4" w:space="0" w:color="auto"/>
      </w:pBdr>
      <w:spacing w:before="100" w:beforeAutospacing="1" w:after="100" w:afterAutospacing="1"/>
      <w:jc w:val="left"/>
      <w:textAlignment w:val="top"/>
    </w:pPr>
    <w:rPr>
      <w:rFonts w:ascii="Arial Narrow" w:eastAsia="Times New Roman" w:hAnsi="Arial Narrow"/>
      <w:sz w:val="20"/>
      <w:szCs w:val="20"/>
      <w:lang w:eastAsia="en-GB"/>
    </w:rPr>
  </w:style>
  <w:style w:type="paragraph" w:customStyle="1" w:styleId="xl130">
    <w:name w:val="xl130"/>
    <w:basedOn w:val="Normal"/>
    <w:rsid w:val="003B552F"/>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 w:val="20"/>
      <w:szCs w:val="20"/>
      <w:lang w:eastAsia="en-GB"/>
    </w:rPr>
  </w:style>
  <w:style w:type="paragraph" w:customStyle="1" w:styleId="xl131">
    <w:name w:val="xl131"/>
    <w:basedOn w:val="Normal"/>
    <w:rsid w:val="003B552F"/>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 w:val="20"/>
      <w:szCs w:val="20"/>
      <w:lang w:eastAsia="en-GB"/>
    </w:rPr>
  </w:style>
  <w:style w:type="paragraph" w:customStyle="1" w:styleId="xl132">
    <w:name w:val="xl132"/>
    <w:basedOn w:val="Normal"/>
    <w:rsid w:val="003B552F"/>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left"/>
      <w:textAlignment w:val="top"/>
    </w:pPr>
    <w:rPr>
      <w:rFonts w:ascii="Arial Narrow" w:eastAsia="Times New Roman" w:hAnsi="Arial Narrow"/>
      <w:b/>
      <w:bCs/>
      <w:sz w:val="20"/>
      <w:szCs w:val="20"/>
      <w:lang w:eastAsia="en-GB"/>
    </w:rPr>
  </w:style>
  <w:style w:type="paragraph" w:customStyle="1" w:styleId="xl133">
    <w:name w:val="xl133"/>
    <w:basedOn w:val="Normal"/>
    <w:rsid w:val="003B552F"/>
    <w:pPr>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top"/>
    </w:pPr>
    <w:rPr>
      <w:rFonts w:ascii="Arial Narrow" w:eastAsia="Times New Roman" w:hAnsi="Arial Narrow"/>
      <w:b/>
      <w:bCs/>
      <w:sz w:val="20"/>
      <w:szCs w:val="20"/>
      <w:lang w:eastAsia="en-GB"/>
    </w:rPr>
  </w:style>
  <w:style w:type="paragraph" w:customStyle="1" w:styleId="xl134">
    <w:name w:val="xl134"/>
    <w:basedOn w:val="Normal"/>
    <w:rsid w:val="003B552F"/>
    <w:pPr>
      <w:pBdr>
        <w:top w:val="single" w:sz="8" w:space="0" w:color="auto"/>
        <w:left w:val="single" w:sz="4" w:space="0" w:color="auto"/>
        <w:right w:val="single" w:sz="8" w:space="0" w:color="auto"/>
      </w:pBdr>
      <w:spacing w:before="100" w:beforeAutospacing="1" w:after="100" w:afterAutospacing="1"/>
      <w:jc w:val="left"/>
      <w:textAlignment w:val="top"/>
    </w:pPr>
    <w:rPr>
      <w:rFonts w:ascii="Arial Narrow" w:eastAsia="Times New Roman" w:hAnsi="Arial Narrow"/>
      <w:sz w:val="20"/>
      <w:szCs w:val="20"/>
      <w:lang w:eastAsia="en-GB"/>
    </w:rPr>
  </w:style>
  <w:style w:type="paragraph" w:customStyle="1" w:styleId="xl135">
    <w:name w:val="xl135"/>
    <w:basedOn w:val="Normal"/>
    <w:rsid w:val="003B552F"/>
    <w:pPr>
      <w:pBdr>
        <w:left w:val="single" w:sz="4" w:space="0" w:color="auto"/>
        <w:right w:val="single" w:sz="8" w:space="0" w:color="auto"/>
      </w:pBdr>
      <w:spacing w:before="100" w:beforeAutospacing="1" w:after="100" w:afterAutospacing="1"/>
      <w:jc w:val="left"/>
      <w:textAlignment w:val="top"/>
    </w:pPr>
    <w:rPr>
      <w:rFonts w:ascii="Arial Narrow" w:eastAsia="Times New Roman" w:hAnsi="Arial Narrow"/>
      <w:sz w:val="20"/>
      <w:szCs w:val="20"/>
      <w:lang w:eastAsia="en-GB"/>
    </w:rPr>
  </w:style>
  <w:style w:type="paragraph" w:customStyle="1" w:styleId="xl136">
    <w:name w:val="xl136"/>
    <w:basedOn w:val="Normal"/>
    <w:rsid w:val="003B552F"/>
    <w:pPr>
      <w:pBdr>
        <w:top w:val="single" w:sz="8" w:space="0" w:color="auto"/>
        <w:left w:val="single" w:sz="4" w:space="0" w:color="auto"/>
        <w:right w:val="single" w:sz="8" w:space="0" w:color="auto"/>
      </w:pBdr>
      <w:spacing w:before="100" w:beforeAutospacing="1" w:after="100" w:afterAutospacing="1"/>
      <w:jc w:val="left"/>
      <w:textAlignment w:val="top"/>
    </w:pPr>
    <w:rPr>
      <w:rFonts w:ascii="Arial Narrow" w:eastAsia="Times New Roman" w:hAnsi="Arial Narrow"/>
      <w:b/>
      <w:bCs/>
      <w:color w:val="FF0000"/>
      <w:sz w:val="20"/>
      <w:szCs w:val="20"/>
      <w:lang w:eastAsia="en-GB"/>
    </w:rPr>
  </w:style>
  <w:style w:type="paragraph" w:customStyle="1" w:styleId="xl137">
    <w:name w:val="xl137"/>
    <w:basedOn w:val="Normal"/>
    <w:rsid w:val="003B552F"/>
    <w:pPr>
      <w:spacing w:before="100" w:beforeAutospacing="1" w:after="100" w:afterAutospacing="1"/>
      <w:jc w:val="left"/>
      <w:textAlignment w:val="top"/>
    </w:pPr>
    <w:rPr>
      <w:rFonts w:ascii="Arial Narrow" w:eastAsia="Times New Roman" w:hAnsi="Arial Narrow"/>
      <w:sz w:val="20"/>
      <w:szCs w:val="20"/>
      <w:lang w:eastAsia="en-GB"/>
    </w:rPr>
  </w:style>
  <w:style w:type="paragraph" w:customStyle="1" w:styleId="xl138">
    <w:name w:val="xl138"/>
    <w:basedOn w:val="Normal"/>
    <w:rsid w:val="003B552F"/>
    <w:pPr>
      <w:pBdr>
        <w:left w:val="single" w:sz="8" w:space="0" w:color="auto"/>
      </w:pBdr>
      <w:spacing w:before="100" w:beforeAutospacing="1" w:after="100" w:afterAutospacing="1"/>
      <w:jc w:val="left"/>
      <w:textAlignment w:val="top"/>
    </w:pPr>
    <w:rPr>
      <w:rFonts w:ascii="Arial Narrow" w:eastAsia="Times New Roman" w:hAnsi="Arial Narrow"/>
      <w:sz w:val="20"/>
      <w:szCs w:val="20"/>
      <w:lang w:eastAsia="en-GB"/>
    </w:rPr>
  </w:style>
  <w:style w:type="paragraph" w:customStyle="1" w:styleId="xl139">
    <w:name w:val="xl139"/>
    <w:basedOn w:val="Normal"/>
    <w:rsid w:val="003B552F"/>
    <w:pPr>
      <w:pBdr>
        <w:left w:val="single" w:sz="4" w:space="0" w:color="auto"/>
        <w:bottom w:val="single" w:sz="4" w:space="0" w:color="auto"/>
        <w:right w:val="single" w:sz="4" w:space="0" w:color="auto"/>
      </w:pBdr>
      <w:shd w:val="clear" w:color="000000" w:fill="DBEEF3"/>
      <w:spacing w:before="100" w:beforeAutospacing="1" w:after="100" w:afterAutospacing="1"/>
      <w:textAlignment w:val="top"/>
    </w:pPr>
    <w:rPr>
      <w:rFonts w:ascii="Arial Narrow" w:eastAsia="Times New Roman" w:hAnsi="Arial Narrow"/>
      <w:sz w:val="20"/>
      <w:szCs w:val="20"/>
      <w:lang w:eastAsia="en-GB"/>
    </w:rPr>
  </w:style>
  <w:style w:type="paragraph" w:customStyle="1" w:styleId="xl140">
    <w:name w:val="xl140"/>
    <w:basedOn w:val="Normal"/>
    <w:rsid w:val="003B552F"/>
    <w:pPr>
      <w:pBdr>
        <w:left w:val="single" w:sz="8" w:space="0" w:color="auto"/>
        <w:bottom w:val="single" w:sz="4" w:space="0" w:color="auto"/>
      </w:pBdr>
      <w:spacing w:before="100" w:beforeAutospacing="1" w:after="100" w:afterAutospacing="1"/>
      <w:jc w:val="left"/>
      <w:textAlignment w:val="top"/>
    </w:pPr>
    <w:rPr>
      <w:rFonts w:ascii="Arial Narrow" w:eastAsia="Times New Roman" w:hAnsi="Arial Narrow"/>
      <w:sz w:val="20"/>
      <w:szCs w:val="20"/>
      <w:lang w:eastAsia="en-GB"/>
    </w:rPr>
  </w:style>
  <w:style w:type="paragraph" w:customStyle="1" w:styleId="xl141">
    <w:name w:val="xl141"/>
    <w:basedOn w:val="Normal"/>
    <w:rsid w:val="003B552F"/>
    <w:pPr>
      <w:pBdr>
        <w:left w:val="single" w:sz="4" w:space="0" w:color="auto"/>
        <w:bottom w:val="single" w:sz="4" w:space="0" w:color="auto"/>
      </w:pBdr>
      <w:spacing w:before="100" w:beforeAutospacing="1" w:after="100" w:afterAutospacing="1"/>
      <w:jc w:val="left"/>
      <w:textAlignment w:val="top"/>
    </w:pPr>
    <w:rPr>
      <w:rFonts w:ascii="Arial Narrow" w:eastAsia="Times New Roman" w:hAnsi="Arial Narrow"/>
      <w:sz w:val="20"/>
      <w:szCs w:val="20"/>
      <w:lang w:eastAsia="en-GB"/>
    </w:rPr>
  </w:style>
  <w:style w:type="paragraph" w:customStyle="1" w:styleId="xl142">
    <w:name w:val="xl142"/>
    <w:basedOn w:val="Normal"/>
    <w:rsid w:val="003B552F"/>
    <w:pPr>
      <w:pBdr>
        <w:top w:val="single" w:sz="8" w:space="0" w:color="auto"/>
        <w:left w:val="single" w:sz="4" w:space="0" w:color="auto"/>
        <w:bottom w:val="single" w:sz="8" w:space="0" w:color="auto"/>
      </w:pBdr>
      <w:spacing w:before="100" w:beforeAutospacing="1" w:after="100" w:afterAutospacing="1"/>
      <w:jc w:val="left"/>
      <w:textAlignment w:val="top"/>
    </w:pPr>
    <w:rPr>
      <w:rFonts w:ascii="Arial Narrow" w:eastAsia="Times New Roman" w:hAnsi="Arial Narrow"/>
      <w:b/>
      <w:bCs/>
      <w:color w:val="FF0000"/>
      <w:sz w:val="20"/>
      <w:szCs w:val="20"/>
      <w:lang w:eastAsia="en-GB"/>
    </w:rPr>
  </w:style>
  <w:style w:type="paragraph" w:customStyle="1" w:styleId="xl143">
    <w:name w:val="xl143"/>
    <w:basedOn w:val="Normal"/>
    <w:rsid w:val="003B552F"/>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left"/>
      <w:textAlignment w:val="top"/>
    </w:pPr>
    <w:rPr>
      <w:rFonts w:ascii="Arial Narrow" w:eastAsia="Times New Roman" w:hAnsi="Arial Narrow"/>
      <w:sz w:val="20"/>
      <w:szCs w:val="20"/>
      <w:lang w:eastAsia="en-GB"/>
    </w:rPr>
  </w:style>
  <w:style w:type="paragraph" w:customStyle="1" w:styleId="xl144">
    <w:name w:val="xl144"/>
    <w:basedOn w:val="Normal"/>
    <w:rsid w:val="003B552F"/>
    <w:pPr>
      <w:pBdr>
        <w:top w:val="single" w:sz="8" w:space="0" w:color="auto"/>
        <w:left w:val="single" w:sz="4" w:space="0" w:color="auto"/>
      </w:pBdr>
      <w:shd w:val="clear" w:color="000000" w:fill="BFBFBF"/>
      <w:spacing w:before="100" w:beforeAutospacing="1" w:after="100" w:afterAutospacing="1"/>
      <w:jc w:val="left"/>
      <w:textAlignment w:val="top"/>
    </w:pPr>
    <w:rPr>
      <w:rFonts w:ascii="Arial Narrow" w:eastAsia="Times New Roman" w:hAnsi="Arial Narrow"/>
      <w:b/>
      <w:bCs/>
      <w:sz w:val="20"/>
      <w:szCs w:val="20"/>
      <w:lang w:eastAsia="en-GB"/>
    </w:rPr>
  </w:style>
  <w:style w:type="paragraph" w:customStyle="1" w:styleId="xl145">
    <w:name w:val="xl145"/>
    <w:basedOn w:val="Normal"/>
    <w:rsid w:val="003B552F"/>
    <w:pPr>
      <w:pBdr>
        <w:top w:val="single" w:sz="8" w:space="0" w:color="auto"/>
      </w:pBdr>
      <w:shd w:val="clear" w:color="000000" w:fill="BFBFBF"/>
      <w:spacing w:before="100" w:beforeAutospacing="1" w:after="100" w:afterAutospacing="1"/>
      <w:jc w:val="left"/>
      <w:textAlignment w:val="top"/>
    </w:pPr>
    <w:rPr>
      <w:rFonts w:ascii="Arial Narrow" w:eastAsia="Times New Roman" w:hAnsi="Arial Narrow"/>
      <w:b/>
      <w:bCs/>
      <w:sz w:val="20"/>
      <w:szCs w:val="20"/>
      <w:lang w:eastAsia="en-GB"/>
    </w:rPr>
  </w:style>
  <w:style w:type="paragraph" w:customStyle="1" w:styleId="xl146">
    <w:name w:val="xl146"/>
    <w:basedOn w:val="Normal"/>
    <w:rsid w:val="003B552F"/>
    <w:pPr>
      <w:pBdr>
        <w:top w:val="single" w:sz="8" w:space="0" w:color="auto"/>
        <w:right w:val="single" w:sz="4" w:space="0" w:color="auto"/>
      </w:pBdr>
      <w:shd w:val="clear" w:color="000000" w:fill="BFBFBF"/>
      <w:spacing w:before="100" w:beforeAutospacing="1" w:after="100" w:afterAutospacing="1"/>
      <w:jc w:val="left"/>
      <w:textAlignment w:val="top"/>
    </w:pPr>
    <w:rPr>
      <w:rFonts w:ascii="Arial Narrow" w:eastAsia="Times New Roman" w:hAnsi="Arial Narrow"/>
      <w:b/>
      <w:bCs/>
      <w:sz w:val="20"/>
      <w:szCs w:val="20"/>
      <w:lang w:eastAsia="en-GB"/>
    </w:rPr>
  </w:style>
  <w:style w:type="paragraph" w:customStyle="1" w:styleId="xl147">
    <w:name w:val="xl147"/>
    <w:basedOn w:val="Normal"/>
    <w:rsid w:val="003B552F"/>
    <w:pPr>
      <w:pBdr>
        <w:top w:val="single" w:sz="8" w:space="0" w:color="auto"/>
        <w:left w:val="single" w:sz="8" w:space="0" w:color="auto"/>
        <w:bottom w:val="single" w:sz="8" w:space="0" w:color="auto"/>
      </w:pBdr>
      <w:spacing w:before="100" w:beforeAutospacing="1" w:after="100" w:afterAutospacing="1"/>
      <w:jc w:val="left"/>
      <w:textAlignment w:val="top"/>
    </w:pPr>
    <w:rPr>
      <w:rFonts w:ascii="Arial Narrow" w:eastAsia="Times New Roman" w:hAnsi="Arial Narrow"/>
      <w:b/>
      <w:bCs/>
      <w:color w:val="FF0000"/>
      <w:sz w:val="20"/>
      <w:szCs w:val="20"/>
      <w:lang w:eastAsia="en-GB"/>
    </w:rPr>
  </w:style>
  <w:style w:type="paragraph" w:customStyle="1" w:styleId="xl148">
    <w:name w:val="xl148"/>
    <w:basedOn w:val="Normal"/>
    <w:rsid w:val="003B552F"/>
    <w:pPr>
      <w:pBdr>
        <w:top w:val="single" w:sz="8" w:space="0" w:color="auto"/>
        <w:bottom w:val="single" w:sz="8" w:space="0" w:color="auto"/>
      </w:pBdr>
      <w:spacing w:before="100" w:beforeAutospacing="1" w:after="100" w:afterAutospacing="1"/>
      <w:jc w:val="left"/>
      <w:textAlignment w:val="top"/>
    </w:pPr>
    <w:rPr>
      <w:rFonts w:ascii="Arial Narrow" w:eastAsia="Times New Roman" w:hAnsi="Arial Narrow"/>
      <w:b/>
      <w:bCs/>
      <w:color w:val="FF0000"/>
      <w:sz w:val="20"/>
      <w:szCs w:val="20"/>
      <w:lang w:eastAsia="en-GB"/>
    </w:rPr>
  </w:style>
  <w:style w:type="paragraph" w:customStyle="1" w:styleId="xl149">
    <w:name w:val="xl149"/>
    <w:basedOn w:val="Normal"/>
    <w:rsid w:val="003B552F"/>
    <w:pPr>
      <w:spacing w:before="100" w:beforeAutospacing="1" w:after="100" w:afterAutospacing="1"/>
      <w:jc w:val="left"/>
      <w:textAlignment w:val="top"/>
    </w:pPr>
    <w:rPr>
      <w:rFonts w:ascii="Arial Narrow" w:eastAsia="Times New Roman" w:hAnsi="Arial Narrow"/>
      <w:sz w:val="20"/>
      <w:szCs w:val="20"/>
      <w:lang w:eastAsia="en-GB"/>
    </w:rPr>
  </w:style>
  <w:style w:type="paragraph" w:customStyle="1" w:styleId="xl150">
    <w:name w:val="xl150"/>
    <w:basedOn w:val="Normal"/>
    <w:rsid w:val="003B552F"/>
    <w:pPr>
      <w:pBdr>
        <w:top w:val="single" w:sz="4" w:space="0" w:color="auto"/>
      </w:pBdr>
      <w:spacing w:before="100" w:beforeAutospacing="1" w:after="100" w:afterAutospacing="1"/>
      <w:jc w:val="left"/>
      <w:textAlignment w:val="top"/>
    </w:pPr>
    <w:rPr>
      <w:rFonts w:ascii="Arial Narrow" w:eastAsia="Times New Roman" w:hAnsi="Arial Narrow"/>
      <w:sz w:val="20"/>
      <w:szCs w:val="20"/>
      <w:lang w:eastAsia="en-GB"/>
    </w:rPr>
  </w:style>
  <w:style w:type="paragraph" w:customStyle="1" w:styleId="xl151">
    <w:name w:val="xl151"/>
    <w:basedOn w:val="Normal"/>
    <w:rsid w:val="003B552F"/>
    <w:pPr>
      <w:pBdr>
        <w:top w:val="single" w:sz="4" w:space="0" w:color="auto"/>
        <w:left w:val="single" w:sz="8" w:space="0" w:color="auto"/>
        <w:right w:val="single" w:sz="4" w:space="0" w:color="auto"/>
      </w:pBdr>
      <w:spacing w:before="100" w:beforeAutospacing="1" w:after="100" w:afterAutospacing="1"/>
      <w:jc w:val="left"/>
      <w:textAlignment w:val="top"/>
    </w:pPr>
    <w:rPr>
      <w:rFonts w:ascii="Arial Narrow" w:eastAsia="Times New Roman" w:hAnsi="Arial Narrow"/>
      <w:b/>
      <w:bCs/>
      <w:sz w:val="20"/>
      <w:szCs w:val="20"/>
      <w:lang w:eastAsia="en-GB"/>
    </w:rPr>
  </w:style>
  <w:style w:type="paragraph" w:customStyle="1" w:styleId="xl152">
    <w:name w:val="xl152"/>
    <w:basedOn w:val="Normal"/>
    <w:rsid w:val="003B552F"/>
    <w:pPr>
      <w:pBdr>
        <w:left w:val="single" w:sz="8" w:space="0" w:color="auto"/>
        <w:bottom w:val="single" w:sz="4" w:space="0" w:color="auto"/>
        <w:right w:val="single" w:sz="4" w:space="0" w:color="auto"/>
      </w:pBdr>
      <w:spacing w:before="100" w:beforeAutospacing="1" w:after="100" w:afterAutospacing="1"/>
      <w:jc w:val="left"/>
      <w:textAlignment w:val="top"/>
    </w:pPr>
    <w:rPr>
      <w:rFonts w:ascii="Arial Narrow" w:eastAsia="Times New Roman" w:hAnsi="Arial Narrow"/>
      <w:b/>
      <w:bCs/>
      <w:sz w:val="20"/>
      <w:szCs w:val="20"/>
      <w:lang w:eastAsia="en-GB"/>
    </w:rPr>
  </w:style>
  <w:style w:type="paragraph" w:customStyle="1" w:styleId="xl153">
    <w:name w:val="xl153"/>
    <w:basedOn w:val="Normal"/>
    <w:rsid w:val="003B552F"/>
    <w:pPr>
      <w:pBdr>
        <w:top w:val="single" w:sz="4" w:space="0" w:color="auto"/>
        <w:left w:val="single" w:sz="4" w:space="0" w:color="auto"/>
      </w:pBdr>
      <w:spacing w:before="100" w:beforeAutospacing="1" w:after="100" w:afterAutospacing="1"/>
      <w:jc w:val="left"/>
      <w:textAlignment w:val="top"/>
    </w:pPr>
    <w:rPr>
      <w:rFonts w:ascii="Arial Narrow" w:eastAsia="Times New Roman" w:hAnsi="Arial Narrow"/>
      <w:sz w:val="20"/>
      <w:szCs w:val="20"/>
      <w:lang w:eastAsia="en-GB"/>
    </w:rPr>
  </w:style>
  <w:style w:type="paragraph" w:customStyle="1" w:styleId="xl154">
    <w:name w:val="xl154"/>
    <w:basedOn w:val="Normal"/>
    <w:rsid w:val="003B552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Arial Narrow" w:eastAsia="Times New Roman" w:hAnsi="Arial Narrow"/>
      <w:b/>
      <w:bCs/>
      <w:sz w:val="20"/>
      <w:szCs w:val="20"/>
      <w:lang w:eastAsia="en-GB"/>
    </w:rPr>
  </w:style>
  <w:style w:type="paragraph" w:customStyle="1" w:styleId="xl155">
    <w:name w:val="xl155"/>
    <w:basedOn w:val="Normal"/>
    <w:rsid w:val="003B552F"/>
    <w:pPr>
      <w:pBdr>
        <w:left w:val="single" w:sz="4" w:space="0" w:color="auto"/>
      </w:pBdr>
      <w:spacing w:before="100" w:beforeAutospacing="1" w:after="100" w:afterAutospacing="1"/>
      <w:jc w:val="left"/>
      <w:textAlignment w:val="top"/>
    </w:pPr>
    <w:rPr>
      <w:rFonts w:ascii="Arial Narrow" w:eastAsia="Times New Roman" w:hAnsi="Arial Narrow"/>
      <w:sz w:val="20"/>
      <w:szCs w:val="20"/>
      <w:lang w:eastAsia="en-GB"/>
    </w:rPr>
  </w:style>
  <w:style w:type="paragraph" w:customStyle="1" w:styleId="xl156">
    <w:name w:val="xl156"/>
    <w:basedOn w:val="Normal"/>
    <w:rsid w:val="003B552F"/>
    <w:pPr>
      <w:pBdr>
        <w:top w:val="single" w:sz="4" w:space="0" w:color="auto"/>
        <w:left w:val="single" w:sz="8" w:space="0" w:color="auto"/>
      </w:pBdr>
      <w:spacing w:before="100" w:beforeAutospacing="1" w:after="100" w:afterAutospacing="1"/>
      <w:jc w:val="left"/>
      <w:textAlignment w:val="top"/>
    </w:pPr>
    <w:rPr>
      <w:rFonts w:ascii="Arial Narrow" w:eastAsia="Times New Roman" w:hAnsi="Arial Narrow"/>
      <w:b/>
      <w:bCs/>
      <w:sz w:val="20"/>
      <w:szCs w:val="20"/>
      <w:lang w:eastAsia="en-GB"/>
    </w:rPr>
  </w:style>
  <w:style w:type="paragraph" w:customStyle="1" w:styleId="xl157">
    <w:name w:val="xl157"/>
    <w:basedOn w:val="Normal"/>
    <w:rsid w:val="003B552F"/>
    <w:pPr>
      <w:pBdr>
        <w:left w:val="single" w:sz="8" w:space="0" w:color="auto"/>
      </w:pBdr>
      <w:spacing w:before="100" w:beforeAutospacing="1" w:after="100" w:afterAutospacing="1"/>
      <w:jc w:val="left"/>
      <w:textAlignment w:val="top"/>
    </w:pPr>
    <w:rPr>
      <w:rFonts w:ascii="Arial Narrow" w:eastAsia="Times New Roman" w:hAnsi="Arial Narrow"/>
      <w:b/>
      <w:bCs/>
      <w:sz w:val="20"/>
      <w:szCs w:val="20"/>
      <w:lang w:eastAsia="en-GB"/>
    </w:rPr>
  </w:style>
  <w:style w:type="paragraph" w:customStyle="1" w:styleId="xl158">
    <w:name w:val="xl158"/>
    <w:basedOn w:val="Normal"/>
    <w:rsid w:val="003B552F"/>
    <w:pPr>
      <w:pBdr>
        <w:left w:val="single" w:sz="8" w:space="0" w:color="auto"/>
        <w:bottom w:val="single" w:sz="4" w:space="0" w:color="auto"/>
      </w:pBdr>
      <w:spacing w:before="100" w:beforeAutospacing="1" w:after="100" w:afterAutospacing="1"/>
      <w:jc w:val="left"/>
      <w:textAlignment w:val="top"/>
    </w:pPr>
    <w:rPr>
      <w:rFonts w:ascii="Arial Narrow" w:eastAsia="Times New Roman" w:hAnsi="Arial Narrow"/>
      <w:b/>
      <w:bCs/>
      <w:sz w:val="20"/>
      <w:szCs w:val="20"/>
      <w:lang w:eastAsia="en-GB"/>
    </w:rPr>
  </w:style>
  <w:style w:type="paragraph" w:customStyle="1" w:styleId="xl159">
    <w:name w:val="xl159"/>
    <w:basedOn w:val="Normal"/>
    <w:rsid w:val="003B552F"/>
    <w:pPr>
      <w:pBdr>
        <w:left w:val="single" w:sz="4" w:space="0" w:color="auto"/>
        <w:right w:val="single" w:sz="4" w:space="0" w:color="auto"/>
      </w:pBdr>
      <w:spacing w:before="100" w:beforeAutospacing="1" w:after="100" w:afterAutospacing="1"/>
      <w:jc w:val="center"/>
      <w:textAlignment w:val="top"/>
    </w:pPr>
    <w:rPr>
      <w:rFonts w:ascii="Arial Narrow" w:eastAsia="Times New Roman" w:hAnsi="Arial Narrow"/>
      <w:sz w:val="20"/>
      <w:szCs w:val="20"/>
      <w:lang w:eastAsia="en-GB"/>
    </w:rPr>
  </w:style>
  <w:style w:type="paragraph" w:customStyle="1" w:styleId="xl160">
    <w:name w:val="xl160"/>
    <w:basedOn w:val="Normal"/>
    <w:rsid w:val="003B552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Narrow" w:eastAsia="Times New Roman" w:hAnsi="Arial Narrow"/>
      <w:sz w:val="20"/>
      <w:szCs w:val="20"/>
      <w:lang w:eastAsia="en-GB"/>
    </w:rPr>
  </w:style>
  <w:style w:type="paragraph" w:customStyle="1" w:styleId="xl161">
    <w:name w:val="xl161"/>
    <w:basedOn w:val="Normal"/>
    <w:rsid w:val="003B552F"/>
    <w:pPr>
      <w:pBdr>
        <w:left w:val="single" w:sz="4" w:space="0" w:color="auto"/>
        <w:right w:val="single" w:sz="4" w:space="0" w:color="auto"/>
      </w:pBdr>
      <w:shd w:val="clear" w:color="000000" w:fill="DBEEF3"/>
      <w:spacing w:before="100" w:beforeAutospacing="1" w:after="100" w:afterAutospacing="1"/>
      <w:jc w:val="center"/>
      <w:textAlignment w:val="top"/>
    </w:pPr>
    <w:rPr>
      <w:rFonts w:ascii="Arial Narrow" w:eastAsia="Times New Roman" w:hAnsi="Arial Narrow"/>
      <w:b/>
      <w:bCs/>
      <w:sz w:val="20"/>
      <w:szCs w:val="20"/>
      <w:lang w:eastAsia="en-GB"/>
    </w:rPr>
  </w:style>
  <w:style w:type="paragraph" w:customStyle="1" w:styleId="xl162">
    <w:name w:val="xl162"/>
    <w:basedOn w:val="Normal"/>
    <w:rsid w:val="003B552F"/>
    <w:pPr>
      <w:pBdr>
        <w:left w:val="single" w:sz="4" w:space="0" w:color="auto"/>
        <w:bottom w:val="single" w:sz="4" w:space="0" w:color="auto"/>
        <w:right w:val="single" w:sz="4" w:space="0" w:color="auto"/>
      </w:pBdr>
      <w:shd w:val="clear" w:color="000000" w:fill="DBEEF3"/>
      <w:spacing w:before="100" w:beforeAutospacing="1" w:after="100" w:afterAutospacing="1"/>
      <w:jc w:val="center"/>
      <w:textAlignment w:val="top"/>
    </w:pPr>
    <w:rPr>
      <w:rFonts w:ascii="Arial Narrow" w:eastAsia="Times New Roman" w:hAnsi="Arial Narrow"/>
      <w:b/>
      <w:bCs/>
      <w:sz w:val="20"/>
      <w:szCs w:val="20"/>
      <w:lang w:eastAsia="en-GB"/>
    </w:rPr>
  </w:style>
  <w:style w:type="paragraph" w:customStyle="1" w:styleId="xl163">
    <w:name w:val="xl163"/>
    <w:basedOn w:val="Normal"/>
    <w:rsid w:val="003B552F"/>
    <w:pPr>
      <w:pBdr>
        <w:top w:val="single" w:sz="4" w:space="0" w:color="auto"/>
        <w:left w:val="single" w:sz="4" w:space="0" w:color="auto"/>
      </w:pBdr>
      <w:shd w:val="clear" w:color="000000" w:fill="FFFFFF"/>
      <w:spacing w:before="100" w:beforeAutospacing="1" w:after="100" w:afterAutospacing="1"/>
      <w:jc w:val="left"/>
      <w:textAlignment w:val="top"/>
    </w:pPr>
    <w:rPr>
      <w:rFonts w:ascii="Arial Narrow" w:eastAsia="Times New Roman" w:hAnsi="Arial Narrow"/>
      <w:sz w:val="20"/>
      <w:szCs w:val="20"/>
      <w:lang w:eastAsia="en-GB"/>
    </w:rPr>
  </w:style>
  <w:style w:type="paragraph" w:customStyle="1" w:styleId="xl164">
    <w:name w:val="xl164"/>
    <w:basedOn w:val="Normal"/>
    <w:rsid w:val="003B552F"/>
    <w:pPr>
      <w:pBdr>
        <w:top w:val="single" w:sz="4" w:space="0" w:color="auto"/>
      </w:pBdr>
      <w:shd w:val="clear" w:color="000000" w:fill="FFFFFF"/>
      <w:spacing w:before="100" w:beforeAutospacing="1" w:after="100" w:afterAutospacing="1"/>
      <w:jc w:val="left"/>
      <w:textAlignment w:val="top"/>
    </w:pPr>
    <w:rPr>
      <w:rFonts w:ascii="Arial Narrow" w:eastAsia="Times New Roman" w:hAnsi="Arial Narrow"/>
      <w:sz w:val="20"/>
      <w:szCs w:val="20"/>
      <w:lang w:eastAsia="en-GB"/>
    </w:rPr>
  </w:style>
  <w:style w:type="paragraph" w:customStyle="1" w:styleId="xl165">
    <w:name w:val="xl165"/>
    <w:basedOn w:val="Normal"/>
    <w:rsid w:val="003B552F"/>
    <w:pPr>
      <w:pBdr>
        <w:left w:val="single" w:sz="4" w:space="0" w:color="auto"/>
      </w:pBdr>
      <w:shd w:val="clear" w:color="000000" w:fill="FFFFFF"/>
      <w:spacing w:before="100" w:beforeAutospacing="1" w:after="100" w:afterAutospacing="1"/>
      <w:jc w:val="left"/>
      <w:textAlignment w:val="top"/>
    </w:pPr>
    <w:rPr>
      <w:rFonts w:ascii="Arial Narrow" w:eastAsia="Times New Roman" w:hAnsi="Arial Narrow"/>
      <w:sz w:val="20"/>
      <w:szCs w:val="20"/>
      <w:lang w:eastAsia="en-GB"/>
    </w:rPr>
  </w:style>
  <w:style w:type="paragraph" w:customStyle="1" w:styleId="xl166">
    <w:name w:val="xl166"/>
    <w:basedOn w:val="Normal"/>
    <w:rsid w:val="003B552F"/>
    <w:pPr>
      <w:shd w:val="clear" w:color="000000" w:fill="FFFFFF"/>
      <w:spacing w:before="100" w:beforeAutospacing="1" w:after="100" w:afterAutospacing="1"/>
      <w:jc w:val="left"/>
      <w:textAlignment w:val="top"/>
    </w:pPr>
    <w:rPr>
      <w:rFonts w:ascii="Arial Narrow" w:eastAsia="Times New Roman" w:hAnsi="Arial Narrow"/>
      <w:sz w:val="20"/>
      <w:szCs w:val="20"/>
      <w:lang w:eastAsia="en-GB"/>
    </w:rPr>
  </w:style>
  <w:style w:type="paragraph" w:customStyle="1" w:styleId="xl167">
    <w:name w:val="xl167"/>
    <w:basedOn w:val="Normal"/>
    <w:rsid w:val="003B552F"/>
    <w:pPr>
      <w:pBdr>
        <w:left w:val="single" w:sz="8" w:space="0" w:color="auto"/>
        <w:right w:val="single" w:sz="4" w:space="0" w:color="auto"/>
      </w:pBdr>
      <w:shd w:val="clear" w:color="000000" w:fill="DBEEF3"/>
      <w:spacing w:before="100" w:beforeAutospacing="1" w:after="100" w:afterAutospacing="1"/>
      <w:jc w:val="left"/>
      <w:textAlignment w:val="top"/>
    </w:pPr>
    <w:rPr>
      <w:rFonts w:ascii="Arial Narrow" w:eastAsia="Times New Roman" w:hAnsi="Arial Narrow"/>
      <w:b/>
      <w:bCs/>
      <w:sz w:val="20"/>
      <w:szCs w:val="20"/>
      <w:lang w:eastAsia="en-GB"/>
    </w:rPr>
  </w:style>
  <w:style w:type="paragraph" w:customStyle="1" w:styleId="xl168">
    <w:name w:val="xl168"/>
    <w:basedOn w:val="Normal"/>
    <w:rsid w:val="003B552F"/>
    <w:pPr>
      <w:pBdr>
        <w:left w:val="single" w:sz="8" w:space="0" w:color="auto"/>
        <w:right w:val="single" w:sz="4" w:space="0" w:color="auto"/>
      </w:pBdr>
      <w:shd w:val="clear" w:color="000000" w:fill="DBEEF3"/>
      <w:spacing w:before="100" w:beforeAutospacing="1" w:after="100" w:afterAutospacing="1"/>
      <w:jc w:val="left"/>
      <w:textAlignment w:val="top"/>
    </w:pPr>
    <w:rPr>
      <w:rFonts w:ascii="Arial Narrow" w:eastAsia="Times New Roman" w:hAnsi="Arial Narrow"/>
      <w:b/>
      <w:bCs/>
      <w:sz w:val="20"/>
      <w:szCs w:val="20"/>
      <w:lang w:eastAsia="en-GB"/>
    </w:rPr>
  </w:style>
  <w:style w:type="paragraph" w:customStyle="1" w:styleId="xl169">
    <w:name w:val="xl169"/>
    <w:basedOn w:val="Normal"/>
    <w:rsid w:val="003B552F"/>
    <w:pPr>
      <w:pBdr>
        <w:left w:val="single" w:sz="8" w:space="0" w:color="auto"/>
        <w:bottom w:val="single" w:sz="4" w:space="0" w:color="auto"/>
        <w:right w:val="single" w:sz="4" w:space="0" w:color="auto"/>
      </w:pBdr>
      <w:shd w:val="clear" w:color="000000" w:fill="DBEEF3"/>
      <w:spacing w:before="100" w:beforeAutospacing="1" w:after="100" w:afterAutospacing="1"/>
      <w:jc w:val="left"/>
      <w:textAlignment w:val="top"/>
    </w:pPr>
    <w:rPr>
      <w:rFonts w:ascii="Arial Narrow" w:eastAsia="Times New Roman" w:hAnsi="Arial Narrow"/>
      <w:b/>
      <w:bCs/>
      <w:sz w:val="20"/>
      <w:szCs w:val="20"/>
      <w:lang w:eastAsia="en-GB"/>
    </w:rPr>
  </w:style>
  <w:style w:type="paragraph" w:customStyle="1" w:styleId="xl170">
    <w:name w:val="xl170"/>
    <w:basedOn w:val="Normal"/>
    <w:rsid w:val="003B552F"/>
    <w:pPr>
      <w:pBdr>
        <w:left w:val="single" w:sz="8" w:space="0" w:color="auto"/>
        <w:right w:val="single" w:sz="4" w:space="0" w:color="auto"/>
      </w:pBdr>
      <w:spacing w:before="100" w:beforeAutospacing="1" w:after="100" w:afterAutospacing="1"/>
      <w:jc w:val="left"/>
      <w:textAlignment w:val="top"/>
    </w:pPr>
    <w:rPr>
      <w:rFonts w:ascii="Arial Narrow" w:eastAsia="Times New Roman" w:hAnsi="Arial Narrow"/>
      <w:b/>
      <w:bCs/>
      <w:sz w:val="20"/>
      <w:szCs w:val="20"/>
      <w:lang w:eastAsia="en-GB"/>
    </w:rPr>
  </w:style>
  <w:style w:type="paragraph" w:customStyle="1" w:styleId="xl171">
    <w:name w:val="xl171"/>
    <w:basedOn w:val="Normal"/>
    <w:rsid w:val="003B552F"/>
    <w:pPr>
      <w:pBdr>
        <w:top w:val="single" w:sz="4" w:space="0" w:color="auto"/>
        <w:left w:val="single" w:sz="8" w:space="0" w:color="auto"/>
        <w:right w:val="single" w:sz="4" w:space="0" w:color="auto"/>
      </w:pBdr>
      <w:spacing w:before="100" w:beforeAutospacing="1" w:after="100" w:afterAutospacing="1"/>
      <w:jc w:val="left"/>
      <w:textAlignment w:val="top"/>
    </w:pPr>
    <w:rPr>
      <w:rFonts w:ascii="Arial Narrow" w:eastAsia="Times New Roman" w:hAnsi="Arial Narrow"/>
      <w:b/>
      <w:bCs/>
      <w:sz w:val="20"/>
      <w:szCs w:val="20"/>
      <w:lang w:eastAsia="en-GB"/>
    </w:rPr>
  </w:style>
  <w:style w:type="paragraph" w:customStyle="1" w:styleId="xl172">
    <w:name w:val="xl172"/>
    <w:basedOn w:val="Normal"/>
    <w:rsid w:val="003B552F"/>
    <w:pPr>
      <w:pBdr>
        <w:left w:val="single" w:sz="8" w:space="0" w:color="auto"/>
        <w:right w:val="single" w:sz="4" w:space="0" w:color="auto"/>
      </w:pBdr>
      <w:spacing w:before="100" w:beforeAutospacing="1" w:after="100" w:afterAutospacing="1"/>
      <w:jc w:val="left"/>
      <w:textAlignment w:val="top"/>
    </w:pPr>
    <w:rPr>
      <w:rFonts w:ascii="Arial Narrow" w:eastAsia="Times New Roman" w:hAnsi="Arial Narrow"/>
      <w:b/>
      <w:bCs/>
      <w:sz w:val="20"/>
      <w:szCs w:val="20"/>
      <w:lang w:eastAsia="en-GB"/>
    </w:rPr>
  </w:style>
  <w:style w:type="paragraph" w:customStyle="1" w:styleId="xl173">
    <w:name w:val="xl173"/>
    <w:basedOn w:val="Normal"/>
    <w:rsid w:val="003B552F"/>
    <w:pPr>
      <w:pBdr>
        <w:left w:val="single" w:sz="8" w:space="0" w:color="auto"/>
        <w:bottom w:val="single" w:sz="4" w:space="0" w:color="auto"/>
        <w:right w:val="single" w:sz="4" w:space="0" w:color="auto"/>
      </w:pBdr>
      <w:spacing w:before="100" w:beforeAutospacing="1" w:after="100" w:afterAutospacing="1"/>
      <w:jc w:val="left"/>
      <w:textAlignment w:val="top"/>
    </w:pPr>
    <w:rPr>
      <w:rFonts w:ascii="Arial Narrow" w:eastAsia="Times New Roman" w:hAnsi="Arial Narrow"/>
      <w:b/>
      <w:bCs/>
      <w:sz w:val="20"/>
      <w:szCs w:val="20"/>
      <w:lang w:eastAsia="en-GB"/>
    </w:rPr>
  </w:style>
  <w:style w:type="paragraph" w:customStyle="1" w:styleId="xl174">
    <w:name w:val="xl174"/>
    <w:basedOn w:val="Normal"/>
    <w:rsid w:val="003B552F"/>
    <w:pPr>
      <w:pBdr>
        <w:left w:val="single" w:sz="4" w:space="0" w:color="auto"/>
        <w:right w:val="single" w:sz="8" w:space="0" w:color="auto"/>
      </w:pBdr>
      <w:shd w:val="clear" w:color="000000" w:fill="DBEEF3"/>
      <w:spacing w:before="100" w:beforeAutospacing="1" w:after="100" w:afterAutospacing="1"/>
      <w:jc w:val="center"/>
      <w:textAlignment w:val="top"/>
    </w:pPr>
    <w:rPr>
      <w:rFonts w:ascii="Arial Narrow" w:eastAsia="Times New Roman" w:hAnsi="Arial Narrow"/>
      <w:b/>
      <w:bCs/>
      <w:sz w:val="20"/>
      <w:szCs w:val="20"/>
      <w:lang w:eastAsia="en-GB"/>
    </w:rPr>
  </w:style>
  <w:style w:type="paragraph" w:customStyle="1" w:styleId="xl175">
    <w:name w:val="xl175"/>
    <w:basedOn w:val="Normal"/>
    <w:rsid w:val="003B552F"/>
    <w:pPr>
      <w:pBdr>
        <w:left w:val="single" w:sz="4" w:space="0" w:color="auto"/>
        <w:bottom w:val="single" w:sz="4" w:space="0" w:color="auto"/>
        <w:right w:val="single" w:sz="8" w:space="0" w:color="auto"/>
      </w:pBdr>
      <w:shd w:val="clear" w:color="000000" w:fill="DBEEF3"/>
      <w:spacing w:before="100" w:beforeAutospacing="1" w:after="100" w:afterAutospacing="1"/>
      <w:jc w:val="center"/>
      <w:textAlignment w:val="top"/>
    </w:pPr>
    <w:rPr>
      <w:rFonts w:ascii="Arial Narrow" w:eastAsia="Times New Roman" w:hAnsi="Arial Narrow"/>
      <w:b/>
      <w:bCs/>
      <w:sz w:val="20"/>
      <w:szCs w:val="20"/>
      <w:lang w:eastAsia="en-GB"/>
    </w:rPr>
  </w:style>
  <w:style w:type="paragraph" w:customStyle="1" w:styleId="xl176">
    <w:name w:val="xl176"/>
    <w:basedOn w:val="Normal"/>
    <w:rsid w:val="003B552F"/>
    <w:pPr>
      <w:pBdr>
        <w:top w:val="single" w:sz="8" w:space="0" w:color="auto"/>
        <w:left w:val="single" w:sz="4" w:space="0" w:color="auto"/>
        <w:right w:val="single" w:sz="8" w:space="0" w:color="auto"/>
      </w:pBdr>
      <w:spacing w:before="100" w:beforeAutospacing="1" w:after="100" w:afterAutospacing="1"/>
      <w:jc w:val="center"/>
      <w:textAlignment w:val="top"/>
    </w:pPr>
    <w:rPr>
      <w:rFonts w:ascii="Arial Narrow" w:eastAsia="Times New Roman" w:hAnsi="Arial Narrow"/>
      <w:b/>
      <w:bCs/>
      <w:sz w:val="20"/>
      <w:szCs w:val="20"/>
      <w:lang w:eastAsia="en-GB"/>
    </w:rPr>
  </w:style>
  <w:style w:type="paragraph" w:customStyle="1" w:styleId="xl177">
    <w:name w:val="xl177"/>
    <w:basedOn w:val="Normal"/>
    <w:rsid w:val="003B552F"/>
    <w:pPr>
      <w:pBdr>
        <w:left w:val="single" w:sz="4" w:space="0" w:color="auto"/>
        <w:right w:val="single" w:sz="8" w:space="0" w:color="auto"/>
      </w:pBdr>
      <w:spacing w:before="100" w:beforeAutospacing="1" w:after="100" w:afterAutospacing="1"/>
      <w:jc w:val="center"/>
      <w:textAlignment w:val="top"/>
    </w:pPr>
    <w:rPr>
      <w:rFonts w:ascii="Arial Narrow" w:eastAsia="Times New Roman" w:hAnsi="Arial Narrow"/>
      <w:b/>
      <w:bCs/>
      <w:sz w:val="20"/>
      <w:szCs w:val="20"/>
      <w:lang w:eastAsia="en-GB"/>
    </w:rPr>
  </w:style>
  <w:style w:type="paragraph" w:customStyle="1" w:styleId="xl178">
    <w:name w:val="xl178"/>
    <w:basedOn w:val="Normal"/>
    <w:rsid w:val="003B552F"/>
    <w:pPr>
      <w:pBdr>
        <w:left w:val="single" w:sz="4" w:space="0" w:color="auto"/>
        <w:bottom w:val="single" w:sz="4" w:space="0" w:color="auto"/>
        <w:right w:val="single" w:sz="8" w:space="0" w:color="auto"/>
      </w:pBdr>
      <w:spacing w:before="100" w:beforeAutospacing="1" w:after="100" w:afterAutospacing="1"/>
      <w:jc w:val="right"/>
      <w:textAlignment w:val="top"/>
    </w:pPr>
    <w:rPr>
      <w:rFonts w:ascii="Arial Narrow" w:eastAsia="Times New Roman" w:hAnsi="Arial Narrow"/>
      <w:b/>
      <w:bCs/>
      <w:sz w:val="20"/>
      <w:szCs w:val="20"/>
      <w:lang w:eastAsia="en-GB"/>
    </w:rPr>
  </w:style>
  <w:style w:type="paragraph" w:customStyle="1" w:styleId="xl179">
    <w:name w:val="xl179"/>
    <w:basedOn w:val="Normal"/>
    <w:rsid w:val="003B552F"/>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top"/>
    </w:pPr>
    <w:rPr>
      <w:rFonts w:ascii="Arial Narrow" w:eastAsia="Times New Roman" w:hAnsi="Arial Narrow"/>
      <w:b/>
      <w:bCs/>
      <w:sz w:val="20"/>
      <w:szCs w:val="20"/>
      <w:lang w:eastAsia="en-GB"/>
    </w:rPr>
  </w:style>
  <w:style w:type="paragraph" w:customStyle="1" w:styleId="xl180">
    <w:name w:val="xl180"/>
    <w:basedOn w:val="Normal"/>
    <w:rsid w:val="003B552F"/>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Narrow" w:eastAsia="Times New Roman" w:hAnsi="Arial Narrow"/>
      <w:b/>
      <w:bCs/>
      <w:sz w:val="20"/>
      <w:szCs w:val="20"/>
      <w:lang w:eastAsia="en-GB"/>
    </w:rPr>
  </w:style>
  <w:style w:type="paragraph" w:customStyle="1" w:styleId="xl181">
    <w:name w:val="xl181"/>
    <w:basedOn w:val="Normal"/>
    <w:rsid w:val="003B552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Narrow" w:eastAsia="Times New Roman" w:hAnsi="Arial Narrow"/>
      <w:b/>
      <w:bCs/>
      <w:sz w:val="20"/>
      <w:szCs w:val="20"/>
      <w:lang w:eastAsia="en-GB"/>
    </w:rPr>
  </w:style>
  <w:style w:type="paragraph" w:customStyle="1" w:styleId="xl182">
    <w:name w:val="xl182"/>
    <w:basedOn w:val="Normal"/>
    <w:rsid w:val="003B552F"/>
    <w:pPr>
      <w:pBdr>
        <w:left w:val="single" w:sz="4" w:space="0" w:color="auto"/>
        <w:right w:val="single" w:sz="8" w:space="0" w:color="auto"/>
      </w:pBdr>
      <w:spacing w:before="100" w:beforeAutospacing="1" w:after="100" w:afterAutospacing="1"/>
      <w:jc w:val="center"/>
      <w:textAlignment w:val="top"/>
    </w:pPr>
    <w:rPr>
      <w:rFonts w:ascii="Arial Narrow" w:eastAsia="Times New Roman" w:hAnsi="Arial Narrow"/>
      <w:sz w:val="20"/>
      <w:szCs w:val="20"/>
      <w:lang w:eastAsia="en-GB"/>
    </w:rPr>
  </w:style>
  <w:style w:type="paragraph" w:customStyle="1" w:styleId="xl183">
    <w:name w:val="xl183"/>
    <w:basedOn w:val="Normal"/>
    <w:rsid w:val="003B552F"/>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Narrow" w:eastAsia="Times New Roman" w:hAnsi="Arial Narrow"/>
      <w:sz w:val="20"/>
      <w:szCs w:val="20"/>
      <w:lang w:eastAsia="en-GB"/>
    </w:rPr>
  </w:style>
  <w:style w:type="paragraph" w:customStyle="1" w:styleId="xl184">
    <w:name w:val="xl184"/>
    <w:basedOn w:val="Normal"/>
    <w:rsid w:val="003B552F"/>
    <w:pPr>
      <w:pBdr>
        <w:top w:val="single" w:sz="4" w:space="0" w:color="auto"/>
        <w:left w:val="single" w:sz="4" w:space="0" w:color="auto"/>
        <w:right w:val="single" w:sz="8" w:space="0" w:color="auto"/>
      </w:pBdr>
      <w:spacing w:before="100" w:beforeAutospacing="1" w:after="100" w:afterAutospacing="1"/>
      <w:jc w:val="right"/>
      <w:textAlignment w:val="top"/>
    </w:pPr>
    <w:rPr>
      <w:rFonts w:ascii="Arial Narrow" w:eastAsia="Times New Roman" w:hAnsi="Arial Narrow"/>
      <w:b/>
      <w:bCs/>
      <w:sz w:val="20"/>
      <w:szCs w:val="20"/>
      <w:lang w:eastAsia="en-GB"/>
    </w:rPr>
  </w:style>
  <w:style w:type="paragraph" w:customStyle="1" w:styleId="xl185">
    <w:name w:val="xl185"/>
    <w:basedOn w:val="Normal"/>
    <w:rsid w:val="003B552F"/>
    <w:pPr>
      <w:pBdr>
        <w:top w:val="single" w:sz="8" w:space="0" w:color="auto"/>
        <w:left w:val="single" w:sz="4" w:space="0" w:color="auto"/>
        <w:right w:val="single" w:sz="4" w:space="0" w:color="auto"/>
      </w:pBdr>
      <w:spacing w:before="100" w:beforeAutospacing="1" w:after="100" w:afterAutospacing="1"/>
      <w:jc w:val="center"/>
      <w:textAlignment w:val="top"/>
    </w:pPr>
    <w:rPr>
      <w:rFonts w:ascii="Arial Narrow" w:eastAsia="Times New Roman" w:hAnsi="Arial Narrow"/>
      <w:b/>
      <w:bCs/>
      <w:sz w:val="20"/>
      <w:szCs w:val="20"/>
      <w:lang w:eastAsia="en-GB"/>
    </w:rPr>
  </w:style>
  <w:style w:type="paragraph" w:customStyle="1" w:styleId="xl186">
    <w:name w:val="xl186"/>
    <w:basedOn w:val="Normal"/>
    <w:rsid w:val="003B552F"/>
    <w:pPr>
      <w:pBdr>
        <w:left w:val="single" w:sz="4" w:space="0" w:color="auto"/>
        <w:right w:val="single" w:sz="4" w:space="0" w:color="auto"/>
      </w:pBdr>
      <w:spacing w:before="100" w:beforeAutospacing="1" w:after="100" w:afterAutospacing="1"/>
      <w:jc w:val="center"/>
      <w:textAlignment w:val="top"/>
    </w:pPr>
    <w:rPr>
      <w:rFonts w:ascii="Arial Narrow" w:eastAsia="Times New Roman" w:hAnsi="Arial Narrow"/>
      <w:b/>
      <w:bCs/>
      <w:sz w:val="20"/>
      <w:szCs w:val="20"/>
      <w:lang w:eastAsia="en-GB"/>
    </w:rPr>
  </w:style>
  <w:style w:type="paragraph" w:customStyle="1" w:styleId="xl187">
    <w:name w:val="xl187"/>
    <w:basedOn w:val="Normal"/>
    <w:rsid w:val="003B552F"/>
    <w:pPr>
      <w:pBdr>
        <w:top w:val="single" w:sz="4" w:space="0" w:color="auto"/>
        <w:left w:val="single" w:sz="8" w:space="0" w:color="auto"/>
        <w:right w:val="single" w:sz="4" w:space="0" w:color="auto"/>
      </w:pBdr>
      <w:spacing w:before="100" w:beforeAutospacing="1" w:after="100" w:afterAutospacing="1"/>
      <w:jc w:val="left"/>
      <w:textAlignment w:val="top"/>
    </w:pPr>
    <w:rPr>
      <w:rFonts w:ascii="Arial Narrow" w:eastAsia="Times New Roman" w:hAnsi="Arial Narrow"/>
      <w:b/>
      <w:bCs/>
      <w:sz w:val="20"/>
      <w:szCs w:val="20"/>
      <w:lang w:eastAsia="en-GB"/>
    </w:rPr>
  </w:style>
  <w:style w:type="paragraph" w:customStyle="1" w:styleId="xl188">
    <w:name w:val="xl188"/>
    <w:basedOn w:val="Normal"/>
    <w:rsid w:val="003B552F"/>
    <w:pPr>
      <w:pBdr>
        <w:left w:val="single" w:sz="8" w:space="0" w:color="auto"/>
        <w:right w:val="single" w:sz="4" w:space="0" w:color="auto"/>
      </w:pBdr>
      <w:spacing w:before="100" w:beforeAutospacing="1" w:after="100" w:afterAutospacing="1"/>
      <w:jc w:val="left"/>
      <w:textAlignment w:val="top"/>
    </w:pPr>
    <w:rPr>
      <w:rFonts w:ascii="Arial Narrow" w:eastAsia="Times New Roman" w:hAnsi="Arial Narrow"/>
      <w:b/>
      <w:bCs/>
      <w:sz w:val="20"/>
      <w:szCs w:val="20"/>
      <w:lang w:eastAsia="en-GB"/>
    </w:rPr>
  </w:style>
  <w:style w:type="paragraph" w:customStyle="1" w:styleId="xl189">
    <w:name w:val="xl189"/>
    <w:basedOn w:val="Normal"/>
    <w:rsid w:val="003B552F"/>
    <w:pPr>
      <w:pBdr>
        <w:left w:val="single" w:sz="8" w:space="0" w:color="auto"/>
        <w:bottom w:val="single" w:sz="4" w:space="0" w:color="auto"/>
        <w:right w:val="single" w:sz="4" w:space="0" w:color="auto"/>
      </w:pBdr>
      <w:spacing w:before="100" w:beforeAutospacing="1" w:after="100" w:afterAutospacing="1"/>
      <w:jc w:val="left"/>
      <w:textAlignment w:val="top"/>
    </w:pPr>
    <w:rPr>
      <w:rFonts w:ascii="Arial Narrow" w:eastAsia="Times New Roman" w:hAnsi="Arial Narrow"/>
      <w:b/>
      <w:bCs/>
      <w:sz w:val="20"/>
      <w:szCs w:val="20"/>
      <w:lang w:eastAsia="en-GB"/>
    </w:rPr>
  </w:style>
  <w:style w:type="paragraph" w:customStyle="1" w:styleId="xl190">
    <w:name w:val="xl190"/>
    <w:basedOn w:val="Normal"/>
    <w:rsid w:val="003B552F"/>
    <w:pPr>
      <w:pBdr>
        <w:top w:val="single" w:sz="8" w:space="0" w:color="auto"/>
        <w:left w:val="single" w:sz="8" w:space="0" w:color="auto"/>
      </w:pBdr>
      <w:spacing w:before="100" w:beforeAutospacing="1" w:after="100" w:afterAutospacing="1"/>
      <w:jc w:val="left"/>
      <w:textAlignment w:val="top"/>
    </w:pPr>
    <w:rPr>
      <w:rFonts w:ascii="Arial Narrow" w:eastAsia="Times New Roman" w:hAnsi="Arial Narrow"/>
      <w:b/>
      <w:bCs/>
      <w:color w:val="FF0000"/>
      <w:sz w:val="20"/>
      <w:szCs w:val="20"/>
      <w:lang w:eastAsia="en-GB"/>
    </w:rPr>
  </w:style>
  <w:style w:type="paragraph" w:customStyle="1" w:styleId="xl191">
    <w:name w:val="xl191"/>
    <w:basedOn w:val="Normal"/>
    <w:rsid w:val="003B552F"/>
    <w:pPr>
      <w:pBdr>
        <w:top w:val="single" w:sz="8" w:space="0" w:color="auto"/>
      </w:pBdr>
      <w:spacing w:before="100" w:beforeAutospacing="1" w:after="100" w:afterAutospacing="1"/>
      <w:jc w:val="left"/>
      <w:textAlignment w:val="top"/>
    </w:pPr>
    <w:rPr>
      <w:rFonts w:ascii="Arial Narrow" w:eastAsia="Times New Roman" w:hAnsi="Arial Narrow"/>
      <w:b/>
      <w:bCs/>
      <w:color w:val="FF0000"/>
      <w:sz w:val="20"/>
      <w:szCs w:val="20"/>
      <w:lang w:eastAsia="en-GB"/>
    </w:rPr>
  </w:style>
  <w:style w:type="paragraph" w:customStyle="1" w:styleId="xl192">
    <w:name w:val="xl192"/>
    <w:basedOn w:val="Normal"/>
    <w:rsid w:val="003B552F"/>
    <w:pPr>
      <w:pBdr>
        <w:left w:val="single" w:sz="8" w:space="0" w:color="auto"/>
        <w:right w:val="single" w:sz="4" w:space="0" w:color="auto"/>
      </w:pBdr>
      <w:spacing w:before="100" w:beforeAutospacing="1" w:after="100" w:afterAutospacing="1"/>
      <w:jc w:val="left"/>
      <w:textAlignment w:val="top"/>
    </w:pPr>
    <w:rPr>
      <w:rFonts w:ascii="Arial Narrow" w:eastAsia="Times New Roman" w:hAnsi="Arial Narrow"/>
      <w:b/>
      <w:bCs/>
      <w:sz w:val="20"/>
      <w:szCs w:val="20"/>
      <w:lang w:eastAsia="en-GB"/>
    </w:rPr>
  </w:style>
  <w:style w:type="paragraph" w:customStyle="1" w:styleId="xl193">
    <w:name w:val="xl193"/>
    <w:basedOn w:val="Normal"/>
    <w:rsid w:val="003B552F"/>
    <w:pPr>
      <w:pBdr>
        <w:left w:val="single" w:sz="8" w:space="0" w:color="auto"/>
        <w:bottom w:val="single" w:sz="4" w:space="0" w:color="auto"/>
        <w:right w:val="single" w:sz="4" w:space="0" w:color="auto"/>
      </w:pBdr>
      <w:spacing w:before="100" w:beforeAutospacing="1" w:after="100" w:afterAutospacing="1"/>
      <w:jc w:val="left"/>
      <w:textAlignment w:val="top"/>
    </w:pPr>
    <w:rPr>
      <w:rFonts w:ascii="Arial Narrow" w:eastAsia="Times New Roman" w:hAnsi="Arial Narrow"/>
      <w:b/>
      <w:bCs/>
      <w:sz w:val="20"/>
      <w:szCs w:val="20"/>
      <w:lang w:eastAsia="en-GB"/>
    </w:rPr>
  </w:style>
  <w:style w:type="paragraph" w:customStyle="1" w:styleId="xl194">
    <w:name w:val="xl194"/>
    <w:basedOn w:val="Normal"/>
    <w:rsid w:val="003B552F"/>
    <w:pPr>
      <w:pBdr>
        <w:top w:val="single" w:sz="4" w:space="0" w:color="auto"/>
        <w:left w:val="single" w:sz="8" w:space="0" w:color="auto"/>
        <w:right w:val="single" w:sz="4" w:space="0" w:color="auto"/>
      </w:pBdr>
      <w:spacing w:before="100" w:beforeAutospacing="1" w:after="100" w:afterAutospacing="1"/>
      <w:jc w:val="left"/>
      <w:textAlignment w:val="top"/>
    </w:pPr>
    <w:rPr>
      <w:rFonts w:ascii="Arial Narrow" w:eastAsia="Times New Roman" w:hAnsi="Arial Narrow"/>
      <w:sz w:val="20"/>
      <w:szCs w:val="20"/>
      <w:lang w:eastAsia="en-GB"/>
    </w:rPr>
  </w:style>
  <w:style w:type="paragraph" w:customStyle="1" w:styleId="xl195">
    <w:name w:val="xl195"/>
    <w:basedOn w:val="Normal"/>
    <w:rsid w:val="003B552F"/>
    <w:pPr>
      <w:pBdr>
        <w:left w:val="single" w:sz="8" w:space="0" w:color="auto"/>
        <w:right w:val="single" w:sz="4" w:space="0" w:color="auto"/>
      </w:pBdr>
      <w:spacing w:before="100" w:beforeAutospacing="1" w:after="100" w:afterAutospacing="1"/>
      <w:jc w:val="left"/>
      <w:textAlignment w:val="top"/>
    </w:pPr>
    <w:rPr>
      <w:rFonts w:ascii="Arial Narrow" w:eastAsia="Times New Roman" w:hAnsi="Arial Narrow"/>
      <w:sz w:val="20"/>
      <w:szCs w:val="20"/>
      <w:lang w:eastAsia="en-GB"/>
    </w:rPr>
  </w:style>
  <w:style w:type="paragraph" w:customStyle="1" w:styleId="xl196">
    <w:name w:val="xl196"/>
    <w:basedOn w:val="Normal"/>
    <w:rsid w:val="003B552F"/>
    <w:pPr>
      <w:pBdr>
        <w:left w:val="single" w:sz="8" w:space="0" w:color="auto"/>
        <w:bottom w:val="single" w:sz="4" w:space="0" w:color="auto"/>
        <w:right w:val="single" w:sz="4" w:space="0" w:color="auto"/>
      </w:pBdr>
      <w:spacing w:before="100" w:beforeAutospacing="1" w:after="100" w:afterAutospacing="1"/>
      <w:jc w:val="left"/>
      <w:textAlignment w:val="top"/>
    </w:pPr>
    <w:rPr>
      <w:rFonts w:ascii="Arial Narrow" w:eastAsia="Times New Roman" w:hAnsi="Arial Narrow"/>
      <w:sz w:val="20"/>
      <w:szCs w:val="20"/>
      <w:lang w:eastAsia="en-GB"/>
    </w:rPr>
  </w:style>
  <w:style w:type="paragraph" w:customStyle="1" w:styleId="xl197">
    <w:name w:val="xl197"/>
    <w:basedOn w:val="Normal"/>
    <w:rsid w:val="003B552F"/>
    <w:pPr>
      <w:pBdr>
        <w:top w:val="single" w:sz="8" w:space="0" w:color="auto"/>
        <w:left w:val="single" w:sz="4" w:space="0" w:color="auto"/>
        <w:right w:val="single" w:sz="4" w:space="0" w:color="auto"/>
      </w:pBdr>
      <w:spacing w:before="100" w:beforeAutospacing="1" w:after="100" w:afterAutospacing="1"/>
      <w:jc w:val="center"/>
      <w:textAlignment w:val="top"/>
    </w:pPr>
    <w:rPr>
      <w:rFonts w:ascii="Arial Narrow" w:eastAsia="Times New Roman" w:hAnsi="Arial Narrow"/>
      <w:sz w:val="20"/>
      <w:szCs w:val="20"/>
      <w:lang w:eastAsia="en-GB"/>
    </w:rPr>
  </w:style>
  <w:style w:type="paragraph" w:customStyle="1" w:styleId="xl198">
    <w:name w:val="xl198"/>
    <w:basedOn w:val="Normal"/>
    <w:rsid w:val="003B552F"/>
    <w:pPr>
      <w:pBdr>
        <w:left w:val="single" w:sz="4" w:space="0" w:color="auto"/>
        <w:right w:val="single" w:sz="4" w:space="0" w:color="auto"/>
      </w:pBdr>
      <w:spacing w:before="100" w:beforeAutospacing="1" w:after="100" w:afterAutospacing="1"/>
      <w:jc w:val="center"/>
      <w:textAlignment w:val="top"/>
    </w:pPr>
    <w:rPr>
      <w:rFonts w:ascii="Arial Narrow" w:eastAsia="Times New Roman" w:hAnsi="Arial Narrow"/>
      <w:sz w:val="20"/>
      <w:szCs w:val="20"/>
      <w:lang w:eastAsia="en-GB"/>
    </w:rPr>
  </w:style>
  <w:style w:type="paragraph" w:customStyle="1" w:styleId="xl199">
    <w:name w:val="xl199"/>
    <w:basedOn w:val="Normal"/>
    <w:rsid w:val="003B552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Narrow" w:eastAsia="Times New Roman" w:hAnsi="Arial Narrow"/>
      <w:b/>
      <w:bCs/>
      <w:sz w:val="20"/>
      <w:szCs w:val="20"/>
      <w:lang w:eastAsia="en-GB"/>
    </w:rPr>
  </w:style>
  <w:style w:type="paragraph" w:customStyle="1" w:styleId="xl200">
    <w:name w:val="xl200"/>
    <w:basedOn w:val="Normal"/>
    <w:rsid w:val="003B55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eastAsia="Times New Roman" w:hAnsi="Arial Narrow"/>
      <w:b/>
      <w:bCs/>
      <w:sz w:val="20"/>
      <w:szCs w:val="20"/>
      <w:lang w:eastAsia="en-GB"/>
    </w:rPr>
  </w:style>
  <w:style w:type="paragraph" w:customStyle="1" w:styleId="xl201">
    <w:name w:val="xl201"/>
    <w:basedOn w:val="Normal"/>
    <w:rsid w:val="003B552F"/>
    <w:pPr>
      <w:pBdr>
        <w:top w:val="single" w:sz="8" w:space="0" w:color="auto"/>
        <w:left w:val="single" w:sz="4" w:space="0" w:color="auto"/>
      </w:pBdr>
      <w:spacing w:before="100" w:beforeAutospacing="1" w:after="100" w:afterAutospacing="1"/>
      <w:jc w:val="left"/>
      <w:textAlignment w:val="top"/>
    </w:pPr>
    <w:rPr>
      <w:rFonts w:ascii="Arial Narrow" w:eastAsia="Times New Roman" w:hAnsi="Arial Narrow"/>
      <w:sz w:val="20"/>
      <w:szCs w:val="20"/>
      <w:lang w:eastAsia="en-GB"/>
    </w:rPr>
  </w:style>
  <w:style w:type="paragraph" w:customStyle="1" w:styleId="xl202">
    <w:name w:val="xl202"/>
    <w:basedOn w:val="Normal"/>
    <w:rsid w:val="003B552F"/>
    <w:pPr>
      <w:pBdr>
        <w:top w:val="single" w:sz="8" w:space="0" w:color="auto"/>
      </w:pBdr>
      <w:spacing w:before="100" w:beforeAutospacing="1" w:after="100" w:afterAutospacing="1"/>
      <w:jc w:val="left"/>
      <w:textAlignment w:val="top"/>
    </w:pPr>
    <w:rPr>
      <w:rFonts w:ascii="Arial Narrow" w:eastAsia="Times New Roman" w:hAnsi="Arial Narrow"/>
      <w:sz w:val="20"/>
      <w:szCs w:val="20"/>
      <w:lang w:eastAsia="en-GB"/>
    </w:rPr>
  </w:style>
  <w:style w:type="character" w:customStyle="1" w:styleId="ListeafsnitTegn">
    <w:name w:val="Listeafsnit Tegn"/>
    <w:aliases w:val="Table/Figure Heading Tegn,List Paragraph (numbered (a)) Tegn,Lapis Bulleted List Tegn,Dot pt Tegn,F5 List Paragraph Tegn,List Paragraph1 Tegn,No Spacing1 Tegn,List Paragraph Char Char Char Tegn,Indicator Text Tegn,Numbered Para 1 Tegn"/>
    <w:basedOn w:val="Standardskrifttypeiafsnit"/>
    <w:link w:val="Listeafsnit"/>
    <w:uiPriority w:val="34"/>
    <w:rsid w:val="0043718E"/>
    <w:rPr>
      <w:rFonts w:ascii="Arial" w:hAnsi="Arial"/>
      <w:lang w:val="en-GB"/>
    </w:rPr>
  </w:style>
  <w:style w:type="table" w:customStyle="1" w:styleId="TableGrid1">
    <w:name w:val="Table Grid1"/>
    <w:basedOn w:val="Tabel-Normal"/>
    <w:next w:val="Tabel-Gitter"/>
    <w:uiPriority w:val="59"/>
    <w:rsid w:val="009D7378"/>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Char">
    <w:name w:val="Body Char"/>
    <w:link w:val="Body"/>
    <w:locked/>
    <w:rsid w:val="00370D78"/>
    <w:rPr>
      <w:rFonts w:ascii="Arial" w:eastAsia="Times New Roman" w:hAnsi="Arial" w:cs="Arial"/>
    </w:rPr>
  </w:style>
  <w:style w:type="paragraph" w:customStyle="1" w:styleId="Body">
    <w:name w:val="Body"/>
    <w:basedOn w:val="Normal"/>
    <w:link w:val="BodyChar"/>
    <w:rsid w:val="00370D78"/>
    <w:pPr>
      <w:spacing w:after="0"/>
      <w:ind w:left="-14"/>
    </w:pPr>
    <w:rPr>
      <w:rFonts w:eastAsia="Times New Roman"/>
      <w:sz w:val="20"/>
      <w:szCs w:val="20"/>
    </w:rPr>
  </w:style>
  <w:style w:type="paragraph" w:styleId="Brdtekst2">
    <w:name w:val="Body Text 2"/>
    <w:basedOn w:val="Normal"/>
    <w:link w:val="Brdtekst2Tegn"/>
    <w:uiPriority w:val="99"/>
    <w:semiHidden/>
    <w:unhideWhenUsed/>
    <w:rsid w:val="000C0EB1"/>
    <w:pPr>
      <w:spacing w:after="120" w:line="480" w:lineRule="auto"/>
    </w:pPr>
  </w:style>
  <w:style w:type="character" w:customStyle="1" w:styleId="Brdtekst2Tegn">
    <w:name w:val="Brødtekst 2 Tegn"/>
    <w:basedOn w:val="Standardskrifttypeiafsnit"/>
    <w:link w:val="Brdtekst2"/>
    <w:uiPriority w:val="99"/>
    <w:semiHidden/>
    <w:rsid w:val="000C0EB1"/>
    <w:rPr>
      <w:rFonts w:ascii="Arial" w:hAnsi="Arial"/>
      <w:lang w:val="en-GB"/>
    </w:rPr>
  </w:style>
  <w:style w:type="character" w:customStyle="1" w:styleId="HDComment">
    <w:name w:val="HD_Comment"/>
    <w:uiPriority w:val="1"/>
    <w:qFormat/>
    <w:rsid w:val="006856C9"/>
    <w:rPr>
      <w:i/>
      <w:iCs w:val="0"/>
      <w:color w:val="FF0000"/>
      <w:bdr w:val="none" w:sz="0" w:space="0" w:color="auto" w:frame="1"/>
    </w:rPr>
  </w:style>
  <w:style w:type="paragraph" w:styleId="Indholdsfortegnelse4">
    <w:name w:val="toc 4"/>
    <w:basedOn w:val="Normal"/>
    <w:next w:val="Normal"/>
    <w:autoRedefine/>
    <w:uiPriority w:val="39"/>
    <w:unhideWhenUsed/>
    <w:rsid w:val="007B2993"/>
    <w:pPr>
      <w:spacing w:after="0"/>
      <w:ind w:left="660"/>
      <w:jc w:val="left"/>
    </w:pPr>
    <w:rPr>
      <w:rFonts w:cs="Arial"/>
      <w:sz w:val="18"/>
      <w:szCs w:val="18"/>
    </w:rPr>
  </w:style>
  <w:style w:type="paragraph" w:styleId="Indholdsfortegnelse5">
    <w:name w:val="toc 5"/>
    <w:basedOn w:val="Normal"/>
    <w:next w:val="Normal"/>
    <w:autoRedefine/>
    <w:uiPriority w:val="39"/>
    <w:unhideWhenUsed/>
    <w:rsid w:val="007B2993"/>
    <w:pPr>
      <w:spacing w:after="0"/>
      <w:ind w:left="880"/>
      <w:jc w:val="left"/>
    </w:pPr>
    <w:rPr>
      <w:rFonts w:cs="Arial"/>
      <w:sz w:val="18"/>
      <w:szCs w:val="18"/>
    </w:rPr>
  </w:style>
  <w:style w:type="paragraph" w:styleId="Indholdsfortegnelse6">
    <w:name w:val="toc 6"/>
    <w:basedOn w:val="Normal"/>
    <w:next w:val="Normal"/>
    <w:autoRedefine/>
    <w:uiPriority w:val="39"/>
    <w:unhideWhenUsed/>
    <w:rsid w:val="007B2993"/>
    <w:pPr>
      <w:spacing w:after="0"/>
      <w:ind w:left="1100"/>
      <w:jc w:val="left"/>
    </w:pPr>
    <w:rPr>
      <w:rFonts w:cs="Arial"/>
      <w:sz w:val="18"/>
      <w:szCs w:val="18"/>
    </w:rPr>
  </w:style>
  <w:style w:type="paragraph" w:styleId="Indholdsfortegnelse7">
    <w:name w:val="toc 7"/>
    <w:basedOn w:val="Normal"/>
    <w:next w:val="Normal"/>
    <w:autoRedefine/>
    <w:uiPriority w:val="39"/>
    <w:unhideWhenUsed/>
    <w:rsid w:val="007B2993"/>
    <w:pPr>
      <w:spacing w:after="0"/>
      <w:ind w:left="1320"/>
      <w:jc w:val="left"/>
    </w:pPr>
    <w:rPr>
      <w:rFonts w:cs="Arial"/>
      <w:sz w:val="18"/>
      <w:szCs w:val="18"/>
    </w:rPr>
  </w:style>
  <w:style w:type="paragraph" w:styleId="Indholdsfortegnelse8">
    <w:name w:val="toc 8"/>
    <w:basedOn w:val="Normal"/>
    <w:next w:val="Normal"/>
    <w:autoRedefine/>
    <w:uiPriority w:val="39"/>
    <w:unhideWhenUsed/>
    <w:rsid w:val="007B2993"/>
    <w:pPr>
      <w:spacing w:after="0"/>
      <w:ind w:left="1540"/>
      <w:jc w:val="left"/>
    </w:pPr>
    <w:rPr>
      <w:rFonts w:cs="Arial"/>
      <w:sz w:val="18"/>
      <w:szCs w:val="18"/>
    </w:rPr>
  </w:style>
  <w:style w:type="paragraph" w:styleId="Indholdsfortegnelse9">
    <w:name w:val="toc 9"/>
    <w:basedOn w:val="Normal"/>
    <w:next w:val="Normal"/>
    <w:autoRedefine/>
    <w:uiPriority w:val="39"/>
    <w:unhideWhenUsed/>
    <w:rsid w:val="007B2993"/>
    <w:pPr>
      <w:spacing w:after="0"/>
      <w:ind w:left="1760"/>
      <w:jc w:val="left"/>
    </w:pPr>
    <w:rPr>
      <w:rFonts w:cs="Arial"/>
      <w:sz w:val="18"/>
      <w:szCs w:val="18"/>
    </w:rPr>
  </w:style>
  <w:style w:type="paragraph" w:styleId="Korrektur">
    <w:name w:val="Revision"/>
    <w:hidden/>
    <w:uiPriority w:val="99"/>
    <w:semiHidden/>
    <w:rsid w:val="00D16DE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9.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1.xml"/><Relationship Id="rId37"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10.xml"/><Relationship Id="rId36" Type="http://schemas.openxmlformats.org/officeDocument/2006/relationships/footer" Target="foot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footer" Target="footer7.xml"/><Relationship Id="rId27" Type="http://schemas.openxmlformats.org/officeDocument/2006/relationships/header" Target="header9.xml"/><Relationship Id="rId30" Type="http://schemas.openxmlformats.org/officeDocument/2006/relationships/header" Target="header10.xml"/><Relationship Id="rId35" Type="http://schemas.openxmlformats.org/officeDocument/2006/relationships/footer" Target="footer13.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3149F-6E43-4825-B664-CC33FAA6F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778274E6.dotm</Template>
  <TotalTime>0</TotalTime>
  <Pages>130</Pages>
  <Words>50464</Words>
  <Characters>307835</Characters>
  <Application>Microsoft Office Word</Application>
  <DocSecurity>0</DocSecurity>
  <Lines>2565</Lines>
  <Paragraphs>715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357584</CharactersWithSpaces>
  <SharedDoc>false</SharedDoc>
  <HLinks>
    <vt:vector size="204" baseType="variant">
      <vt:variant>
        <vt:i4>1441847</vt:i4>
      </vt:variant>
      <vt:variant>
        <vt:i4>200</vt:i4>
      </vt:variant>
      <vt:variant>
        <vt:i4>0</vt:i4>
      </vt:variant>
      <vt:variant>
        <vt:i4>5</vt:i4>
      </vt:variant>
      <vt:variant>
        <vt:lpwstr/>
      </vt:variant>
      <vt:variant>
        <vt:lpwstr>_Toc438232829</vt:lpwstr>
      </vt:variant>
      <vt:variant>
        <vt:i4>1441847</vt:i4>
      </vt:variant>
      <vt:variant>
        <vt:i4>194</vt:i4>
      </vt:variant>
      <vt:variant>
        <vt:i4>0</vt:i4>
      </vt:variant>
      <vt:variant>
        <vt:i4>5</vt:i4>
      </vt:variant>
      <vt:variant>
        <vt:lpwstr/>
      </vt:variant>
      <vt:variant>
        <vt:lpwstr>_Toc438232828</vt:lpwstr>
      </vt:variant>
      <vt:variant>
        <vt:i4>1441847</vt:i4>
      </vt:variant>
      <vt:variant>
        <vt:i4>188</vt:i4>
      </vt:variant>
      <vt:variant>
        <vt:i4>0</vt:i4>
      </vt:variant>
      <vt:variant>
        <vt:i4>5</vt:i4>
      </vt:variant>
      <vt:variant>
        <vt:lpwstr/>
      </vt:variant>
      <vt:variant>
        <vt:lpwstr>_Toc438232827</vt:lpwstr>
      </vt:variant>
      <vt:variant>
        <vt:i4>1441847</vt:i4>
      </vt:variant>
      <vt:variant>
        <vt:i4>182</vt:i4>
      </vt:variant>
      <vt:variant>
        <vt:i4>0</vt:i4>
      </vt:variant>
      <vt:variant>
        <vt:i4>5</vt:i4>
      </vt:variant>
      <vt:variant>
        <vt:lpwstr/>
      </vt:variant>
      <vt:variant>
        <vt:lpwstr>_Toc438232826</vt:lpwstr>
      </vt:variant>
      <vt:variant>
        <vt:i4>1441847</vt:i4>
      </vt:variant>
      <vt:variant>
        <vt:i4>176</vt:i4>
      </vt:variant>
      <vt:variant>
        <vt:i4>0</vt:i4>
      </vt:variant>
      <vt:variant>
        <vt:i4>5</vt:i4>
      </vt:variant>
      <vt:variant>
        <vt:lpwstr/>
      </vt:variant>
      <vt:variant>
        <vt:lpwstr>_Toc438232825</vt:lpwstr>
      </vt:variant>
      <vt:variant>
        <vt:i4>1441847</vt:i4>
      </vt:variant>
      <vt:variant>
        <vt:i4>170</vt:i4>
      </vt:variant>
      <vt:variant>
        <vt:i4>0</vt:i4>
      </vt:variant>
      <vt:variant>
        <vt:i4>5</vt:i4>
      </vt:variant>
      <vt:variant>
        <vt:lpwstr/>
      </vt:variant>
      <vt:variant>
        <vt:lpwstr>_Toc438232824</vt:lpwstr>
      </vt:variant>
      <vt:variant>
        <vt:i4>1441847</vt:i4>
      </vt:variant>
      <vt:variant>
        <vt:i4>164</vt:i4>
      </vt:variant>
      <vt:variant>
        <vt:i4>0</vt:i4>
      </vt:variant>
      <vt:variant>
        <vt:i4>5</vt:i4>
      </vt:variant>
      <vt:variant>
        <vt:lpwstr/>
      </vt:variant>
      <vt:variant>
        <vt:lpwstr>_Toc438232823</vt:lpwstr>
      </vt:variant>
      <vt:variant>
        <vt:i4>1441847</vt:i4>
      </vt:variant>
      <vt:variant>
        <vt:i4>158</vt:i4>
      </vt:variant>
      <vt:variant>
        <vt:i4>0</vt:i4>
      </vt:variant>
      <vt:variant>
        <vt:i4>5</vt:i4>
      </vt:variant>
      <vt:variant>
        <vt:lpwstr/>
      </vt:variant>
      <vt:variant>
        <vt:lpwstr>_Toc438232822</vt:lpwstr>
      </vt:variant>
      <vt:variant>
        <vt:i4>1441847</vt:i4>
      </vt:variant>
      <vt:variant>
        <vt:i4>152</vt:i4>
      </vt:variant>
      <vt:variant>
        <vt:i4>0</vt:i4>
      </vt:variant>
      <vt:variant>
        <vt:i4>5</vt:i4>
      </vt:variant>
      <vt:variant>
        <vt:lpwstr/>
      </vt:variant>
      <vt:variant>
        <vt:lpwstr>_Toc438232821</vt:lpwstr>
      </vt:variant>
      <vt:variant>
        <vt:i4>1441847</vt:i4>
      </vt:variant>
      <vt:variant>
        <vt:i4>146</vt:i4>
      </vt:variant>
      <vt:variant>
        <vt:i4>0</vt:i4>
      </vt:variant>
      <vt:variant>
        <vt:i4>5</vt:i4>
      </vt:variant>
      <vt:variant>
        <vt:lpwstr/>
      </vt:variant>
      <vt:variant>
        <vt:lpwstr>_Toc438232820</vt:lpwstr>
      </vt:variant>
      <vt:variant>
        <vt:i4>1376311</vt:i4>
      </vt:variant>
      <vt:variant>
        <vt:i4>140</vt:i4>
      </vt:variant>
      <vt:variant>
        <vt:i4>0</vt:i4>
      </vt:variant>
      <vt:variant>
        <vt:i4>5</vt:i4>
      </vt:variant>
      <vt:variant>
        <vt:lpwstr/>
      </vt:variant>
      <vt:variant>
        <vt:lpwstr>_Toc438232819</vt:lpwstr>
      </vt:variant>
      <vt:variant>
        <vt:i4>1376311</vt:i4>
      </vt:variant>
      <vt:variant>
        <vt:i4>134</vt:i4>
      </vt:variant>
      <vt:variant>
        <vt:i4>0</vt:i4>
      </vt:variant>
      <vt:variant>
        <vt:i4>5</vt:i4>
      </vt:variant>
      <vt:variant>
        <vt:lpwstr/>
      </vt:variant>
      <vt:variant>
        <vt:lpwstr>_Toc438232818</vt:lpwstr>
      </vt:variant>
      <vt:variant>
        <vt:i4>1376311</vt:i4>
      </vt:variant>
      <vt:variant>
        <vt:i4>128</vt:i4>
      </vt:variant>
      <vt:variant>
        <vt:i4>0</vt:i4>
      </vt:variant>
      <vt:variant>
        <vt:i4>5</vt:i4>
      </vt:variant>
      <vt:variant>
        <vt:lpwstr/>
      </vt:variant>
      <vt:variant>
        <vt:lpwstr>_Toc438232817</vt:lpwstr>
      </vt:variant>
      <vt:variant>
        <vt:i4>1376311</vt:i4>
      </vt:variant>
      <vt:variant>
        <vt:i4>122</vt:i4>
      </vt:variant>
      <vt:variant>
        <vt:i4>0</vt:i4>
      </vt:variant>
      <vt:variant>
        <vt:i4>5</vt:i4>
      </vt:variant>
      <vt:variant>
        <vt:lpwstr/>
      </vt:variant>
      <vt:variant>
        <vt:lpwstr>_Toc438232816</vt:lpwstr>
      </vt:variant>
      <vt:variant>
        <vt:i4>1376311</vt:i4>
      </vt:variant>
      <vt:variant>
        <vt:i4>116</vt:i4>
      </vt:variant>
      <vt:variant>
        <vt:i4>0</vt:i4>
      </vt:variant>
      <vt:variant>
        <vt:i4>5</vt:i4>
      </vt:variant>
      <vt:variant>
        <vt:lpwstr/>
      </vt:variant>
      <vt:variant>
        <vt:lpwstr>_Toc438232815</vt:lpwstr>
      </vt:variant>
      <vt:variant>
        <vt:i4>1376311</vt:i4>
      </vt:variant>
      <vt:variant>
        <vt:i4>110</vt:i4>
      </vt:variant>
      <vt:variant>
        <vt:i4>0</vt:i4>
      </vt:variant>
      <vt:variant>
        <vt:i4>5</vt:i4>
      </vt:variant>
      <vt:variant>
        <vt:lpwstr/>
      </vt:variant>
      <vt:variant>
        <vt:lpwstr>_Toc438232814</vt:lpwstr>
      </vt:variant>
      <vt:variant>
        <vt:i4>1376311</vt:i4>
      </vt:variant>
      <vt:variant>
        <vt:i4>104</vt:i4>
      </vt:variant>
      <vt:variant>
        <vt:i4>0</vt:i4>
      </vt:variant>
      <vt:variant>
        <vt:i4>5</vt:i4>
      </vt:variant>
      <vt:variant>
        <vt:lpwstr/>
      </vt:variant>
      <vt:variant>
        <vt:lpwstr>_Toc438232813</vt:lpwstr>
      </vt:variant>
      <vt:variant>
        <vt:i4>1376311</vt:i4>
      </vt:variant>
      <vt:variant>
        <vt:i4>98</vt:i4>
      </vt:variant>
      <vt:variant>
        <vt:i4>0</vt:i4>
      </vt:variant>
      <vt:variant>
        <vt:i4>5</vt:i4>
      </vt:variant>
      <vt:variant>
        <vt:lpwstr/>
      </vt:variant>
      <vt:variant>
        <vt:lpwstr>_Toc438232812</vt:lpwstr>
      </vt:variant>
      <vt:variant>
        <vt:i4>1376311</vt:i4>
      </vt:variant>
      <vt:variant>
        <vt:i4>92</vt:i4>
      </vt:variant>
      <vt:variant>
        <vt:i4>0</vt:i4>
      </vt:variant>
      <vt:variant>
        <vt:i4>5</vt:i4>
      </vt:variant>
      <vt:variant>
        <vt:lpwstr/>
      </vt:variant>
      <vt:variant>
        <vt:lpwstr>_Toc438232811</vt:lpwstr>
      </vt:variant>
      <vt:variant>
        <vt:i4>1376311</vt:i4>
      </vt:variant>
      <vt:variant>
        <vt:i4>86</vt:i4>
      </vt:variant>
      <vt:variant>
        <vt:i4>0</vt:i4>
      </vt:variant>
      <vt:variant>
        <vt:i4>5</vt:i4>
      </vt:variant>
      <vt:variant>
        <vt:lpwstr/>
      </vt:variant>
      <vt:variant>
        <vt:lpwstr>_Toc438232810</vt:lpwstr>
      </vt:variant>
      <vt:variant>
        <vt:i4>1310775</vt:i4>
      </vt:variant>
      <vt:variant>
        <vt:i4>80</vt:i4>
      </vt:variant>
      <vt:variant>
        <vt:i4>0</vt:i4>
      </vt:variant>
      <vt:variant>
        <vt:i4>5</vt:i4>
      </vt:variant>
      <vt:variant>
        <vt:lpwstr/>
      </vt:variant>
      <vt:variant>
        <vt:lpwstr>_Toc438232809</vt:lpwstr>
      </vt:variant>
      <vt:variant>
        <vt:i4>1310775</vt:i4>
      </vt:variant>
      <vt:variant>
        <vt:i4>74</vt:i4>
      </vt:variant>
      <vt:variant>
        <vt:i4>0</vt:i4>
      </vt:variant>
      <vt:variant>
        <vt:i4>5</vt:i4>
      </vt:variant>
      <vt:variant>
        <vt:lpwstr/>
      </vt:variant>
      <vt:variant>
        <vt:lpwstr>_Toc438232808</vt:lpwstr>
      </vt:variant>
      <vt:variant>
        <vt:i4>1310775</vt:i4>
      </vt:variant>
      <vt:variant>
        <vt:i4>68</vt:i4>
      </vt:variant>
      <vt:variant>
        <vt:i4>0</vt:i4>
      </vt:variant>
      <vt:variant>
        <vt:i4>5</vt:i4>
      </vt:variant>
      <vt:variant>
        <vt:lpwstr/>
      </vt:variant>
      <vt:variant>
        <vt:lpwstr>_Toc438232807</vt:lpwstr>
      </vt:variant>
      <vt:variant>
        <vt:i4>1310775</vt:i4>
      </vt:variant>
      <vt:variant>
        <vt:i4>62</vt:i4>
      </vt:variant>
      <vt:variant>
        <vt:i4>0</vt:i4>
      </vt:variant>
      <vt:variant>
        <vt:i4>5</vt:i4>
      </vt:variant>
      <vt:variant>
        <vt:lpwstr/>
      </vt:variant>
      <vt:variant>
        <vt:lpwstr>_Toc438232806</vt:lpwstr>
      </vt:variant>
      <vt:variant>
        <vt:i4>1310775</vt:i4>
      </vt:variant>
      <vt:variant>
        <vt:i4>56</vt:i4>
      </vt:variant>
      <vt:variant>
        <vt:i4>0</vt:i4>
      </vt:variant>
      <vt:variant>
        <vt:i4>5</vt:i4>
      </vt:variant>
      <vt:variant>
        <vt:lpwstr/>
      </vt:variant>
      <vt:variant>
        <vt:lpwstr>_Toc438232805</vt:lpwstr>
      </vt:variant>
      <vt:variant>
        <vt:i4>1310775</vt:i4>
      </vt:variant>
      <vt:variant>
        <vt:i4>50</vt:i4>
      </vt:variant>
      <vt:variant>
        <vt:i4>0</vt:i4>
      </vt:variant>
      <vt:variant>
        <vt:i4>5</vt:i4>
      </vt:variant>
      <vt:variant>
        <vt:lpwstr/>
      </vt:variant>
      <vt:variant>
        <vt:lpwstr>_Toc438232804</vt:lpwstr>
      </vt:variant>
      <vt:variant>
        <vt:i4>1310775</vt:i4>
      </vt:variant>
      <vt:variant>
        <vt:i4>44</vt:i4>
      </vt:variant>
      <vt:variant>
        <vt:i4>0</vt:i4>
      </vt:variant>
      <vt:variant>
        <vt:i4>5</vt:i4>
      </vt:variant>
      <vt:variant>
        <vt:lpwstr/>
      </vt:variant>
      <vt:variant>
        <vt:lpwstr>_Toc438232803</vt:lpwstr>
      </vt:variant>
      <vt:variant>
        <vt:i4>1310775</vt:i4>
      </vt:variant>
      <vt:variant>
        <vt:i4>38</vt:i4>
      </vt:variant>
      <vt:variant>
        <vt:i4>0</vt:i4>
      </vt:variant>
      <vt:variant>
        <vt:i4>5</vt:i4>
      </vt:variant>
      <vt:variant>
        <vt:lpwstr/>
      </vt:variant>
      <vt:variant>
        <vt:lpwstr>_Toc438232802</vt:lpwstr>
      </vt:variant>
      <vt:variant>
        <vt:i4>1310775</vt:i4>
      </vt:variant>
      <vt:variant>
        <vt:i4>32</vt:i4>
      </vt:variant>
      <vt:variant>
        <vt:i4>0</vt:i4>
      </vt:variant>
      <vt:variant>
        <vt:i4>5</vt:i4>
      </vt:variant>
      <vt:variant>
        <vt:lpwstr/>
      </vt:variant>
      <vt:variant>
        <vt:lpwstr>_Toc438232801</vt:lpwstr>
      </vt:variant>
      <vt:variant>
        <vt:i4>1310775</vt:i4>
      </vt:variant>
      <vt:variant>
        <vt:i4>26</vt:i4>
      </vt:variant>
      <vt:variant>
        <vt:i4>0</vt:i4>
      </vt:variant>
      <vt:variant>
        <vt:i4>5</vt:i4>
      </vt:variant>
      <vt:variant>
        <vt:lpwstr/>
      </vt:variant>
      <vt:variant>
        <vt:lpwstr>_Toc438232800</vt:lpwstr>
      </vt:variant>
      <vt:variant>
        <vt:i4>1900600</vt:i4>
      </vt:variant>
      <vt:variant>
        <vt:i4>20</vt:i4>
      </vt:variant>
      <vt:variant>
        <vt:i4>0</vt:i4>
      </vt:variant>
      <vt:variant>
        <vt:i4>5</vt:i4>
      </vt:variant>
      <vt:variant>
        <vt:lpwstr/>
      </vt:variant>
      <vt:variant>
        <vt:lpwstr>_Toc438232799</vt:lpwstr>
      </vt:variant>
      <vt:variant>
        <vt:i4>1900600</vt:i4>
      </vt:variant>
      <vt:variant>
        <vt:i4>14</vt:i4>
      </vt:variant>
      <vt:variant>
        <vt:i4>0</vt:i4>
      </vt:variant>
      <vt:variant>
        <vt:i4>5</vt:i4>
      </vt:variant>
      <vt:variant>
        <vt:lpwstr/>
      </vt:variant>
      <vt:variant>
        <vt:lpwstr>_Toc438232798</vt:lpwstr>
      </vt:variant>
      <vt:variant>
        <vt:i4>1900600</vt:i4>
      </vt:variant>
      <vt:variant>
        <vt:i4>8</vt:i4>
      </vt:variant>
      <vt:variant>
        <vt:i4>0</vt:i4>
      </vt:variant>
      <vt:variant>
        <vt:i4>5</vt:i4>
      </vt:variant>
      <vt:variant>
        <vt:lpwstr/>
      </vt:variant>
      <vt:variant>
        <vt:lpwstr>_Toc438232797</vt:lpwstr>
      </vt:variant>
      <vt:variant>
        <vt:i4>1900600</vt:i4>
      </vt:variant>
      <vt:variant>
        <vt:i4>2</vt:i4>
      </vt:variant>
      <vt:variant>
        <vt:i4>0</vt:i4>
      </vt:variant>
      <vt:variant>
        <vt:i4>5</vt:i4>
      </vt:variant>
      <vt:variant>
        <vt:lpwstr/>
      </vt:variant>
      <vt:variant>
        <vt:lpwstr>_Toc438232796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2015-12-30T12:32:00Z</dcterms:created>
  <dcterms:modified xsi:type="dcterms:W3CDTF">2015-12-30T12:32:00Z</dcterms:modified>
</cp:coreProperties>
</file>